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CF615" w14:textId="316F51BF" w:rsidR="002B1F8B" w:rsidRPr="004129C4" w:rsidRDefault="002B1F8B" w:rsidP="006C10F6">
      <w:pPr>
        <w:spacing w:after="0"/>
        <w:jc w:val="center"/>
        <w:rPr>
          <w:rFonts w:ascii="Times New Roman" w:hAnsi="Times New Roman" w:cs="Times New Roman"/>
          <w:b/>
          <w:sz w:val="18"/>
          <w:szCs w:val="24"/>
          <w:lang w:val="en-US"/>
        </w:rPr>
      </w:pPr>
      <w:r w:rsidRPr="004129C4">
        <w:rPr>
          <w:rFonts w:ascii="Times New Roman" w:hAnsi="Times New Roman" w:cs="Times New Roman"/>
          <w:b/>
          <w:sz w:val="28"/>
          <w:szCs w:val="24"/>
          <w:lang w:val="en-US"/>
        </w:rPr>
        <w:t>CEO Risk</w:t>
      </w:r>
      <w:r w:rsidR="00BA21B7" w:rsidRPr="004129C4">
        <w:rPr>
          <w:rFonts w:ascii="Times New Roman" w:hAnsi="Times New Roman" w:cs="Times New Roman"/>
          <w:b/>
          <w:sz w:val="28"/>
          <w:szCs w:val="24"/>
          <w:lang w:val="en-US"/>
        </w:rPr>
        <w:t xml:space="preserve"> </w:t>
      </w:r>
      <w:r w:rsidRPr="004129C4">
        <w:rPr>
          <w:rFonts w:ascii="Times New Roman" w:hAnsi="Times New Roman" w:cs="Times New Roman"/>
          <w:b/>
          <w:sz w:val="28"/>
          <w:szCs w:val="24"/>
          <w:lang w:val="en-US"/>
        </w:rPr>
        <w:t xml:space="preserve">Taking Equity Incentives and </w:t>
      </w:r>
      <w:r w:rsidR="00A2261E" w:rsidRPr="004129C4">
        <w:rPr>
          <w:rFonts w:ascii="Times New Roman" w:hAnsi="Times New Roman" w:cs="Times New Roman"/>
          <w:b/>
          <w:sz w:val="28"/>
          <w:szCs w:val="24"/>
          <w:lang w:val="en-US"/>
        </w:rPr>
        <w:t>Workplace</w:t>
      </w:r>
      <w:r w:rsidRPr="004129C4">
        <w:rPr>
          <w:rFonts w:ascii="Times New Roman" w:hAnsi="Times New Roman" w:cs="Times New Roman"/>
          <w:b/>
          <w:sz w:val="28"/>
          <w:szCs w:val="24"/>
          <w:lang w:val="en-US"/>
        </w:rPr>
        <w:t xml:space="preserve"> Misconduct</w:t>
      </w:r>
    </w:p>
    <w:p w14:paraId="38297D63" w14:textId="77777777" w:rsidR="002B1F8B" w:rsidRPr="004129C4" w:rsidRDefault="002B1F8B" w:rsidP="006C10F6">
      <w:pPr>
        <w:spacing w:after="0"/>
        <w:rPr>
          <w:rFonts w:ascii="Times New Roman" w:hAnsi="Times New Roman" w:cs="Times New Roman"/>
          <w:sz w:val="24"/>
          <w:szCs w:val="24"/>
          <w:lang w:val="en-US"/>
        </w:rPr>
      </w:pPr>
    </w:p>
    <w:p w14:paraId="4E738BDF" w14:textId="77777777" w:rsidR="00B8600E" w:rsidRPr="004129C4" w:rsidRDefault="00B8600E" w:rsidP="006C10F6">
      <w:pPr>
        <w:spacing w:after="0"/>
        <w:rPr>
          <w:rFonts w:ascii="Times New Roman" w:hAnsi="Times New Roman" w:cs="Times New Roman"/>
          <w:sz w:val="24"/>
          <w:szCs w:val="24"/>
          <w:lang w:val="en-US"/>
        </w:rPr>
      </w:pPr>
    </w:p>
    <w:p w14:paraId="56B6F3D9" w14:textId="77777777" w:rsidR="005865F1" w:rsidRPr="004129C4" w:rsidRDefault="005865F1" w:rsidP="006C10F6">
      <w:pPr>
        <w:spacing w:after="0"/>
        <w:rPr>
          <w:rFonts w:ascii="Times New Roman" w:hAnsi="Times New Roman" w:cs="Times New Roman"/>
          <w:sz w:val="24"/>
          <w:szCs w:val="24"/>
          <w:lang w:val="en-US"/>
        </w:rPr>
      </w:pPr>
    </w:p>
    <w:p w14:paraId="2ABC1F2D" w14:textId="5ADE0C8B" w:rsidR="002B1F8B" w:rsidRPr="004129C4" w:rsidRDefault="002B1F8B" w:rsidP="006C10F6">
      <w:pPr>
        <w:spacing w:after="0"/>
        <w:jc w:val="center"/>
        <w:rPr>
          <w:rFonts w:ascii="Times New Roman" w:hAnsi="Times New Roman" w:cs="Times New Roman"/>
          <w:b/>
          <w:sz w:val="24"/>
          <w:szCs w:val="24"/>
          <w:lang w:val="en-US"/>
        </w:rPr>
      </w:pPr>
      <w:r w:rsidRPr="004129C4">
        <w:rPr>
          <w:rFonts w:ascii="Times New Roman" w:hAnsi="Times New Roman" w:cs="Times New Roman"/>
          <w:b/>
          <w:sz w:val="24"/>
          <w:szCs w:val="24"/>
          <w:lang w:val="en-US"/>
        </w:rPr>
        <w:t>Abstract</w:t>
      </w:r>
    </w:p>
    <w:p w14:paraId="41C9BC35" w14:textId="77777777" w:rsidR="00B8600E" w:rsidRPr="004129C4" w:rsidRDefault="00B8600E" w:rsidP="006C10F6">
      <w:pPr>
        <w:spacing w:after="0"/>
        <w:jc w:val="center"/>
        <w:rPr>
          <w:rFonts w:ascii="Times New Roman" w:hAnsi="Times New Roman" w:cs="Times New Roman"/>
          <w:b/>
          <w:sz w:val="24"/>
          <w:szCs w:val="24"/>
          <w:lang w:val="en-US"/>
        </w:rPr>
      </w:pPr>
    </w:p>
    <w:p w14:paraId="7C0C357F" w14:textId="747D218C" w:rsidR="00487BDB" w:rsidRDefault="00536822" w:rsidP="00065746">
      <w:pPr>
        <w:spacing w:after="0"/>
        <w:jc w:val="both"/>
        <w:rPr>
          <w:rFonts w:ascii="Times New Roman" w:hAnsi="Times New Roman" w:cs="Times New Roman"/>
          <w:sz w:val="24"/>
          <w:szCs w:val="24"/>
          <w:lang w:val="en-US"/>
        </w:rPr>
      </w:pPr>
      <w:r w:rsidRPr="004129C4">
        <w:rPr>
          <w:rFonts w:ascii="Times New Roman" w:hAnsi="Times New Roman" w:cs="Times New Roman"/>
          <w:sz w:val="24"/>
          <w:szCs w:val="24"/>
          <w:lang w:val="en-US"/>
        </w:rPr>
        <w:t>We examine</w:t>
      </w:r>
      <w:r w:rsidR="00487BDB" w:rsidRPr="004129C4">
        <w:rPr>
          <w:rFonts w:ascii="Times New Roman" w:hAnsi="Times New Roman" w:cs="Times New Roman"/>
          <w:sz w:val="24"/>
          <w:szCs w:val="24"/>
          <w:lang w:val="en-US"/>
        </w:rPr>
        <w:t xml:space="preserve"> the relation between</w:t>
      </w:r>
      <w:r w:rsidR="00F12F4E" w:rsidRPr="004129C4">
        <w:rPr>
          <w:rFonts w:ascii="Times New Roman" w:hAnsi="Times New Roman" w:cs="Times New Roman"/>
          <w:sz w:val="24"/>
          <w:szCs w:val="24"/>
          <w:lang w:val="en-US"/>
        </w:rPr>
        <w:t xml:space="preserve"> CEO</w:t>
      </w:r>
      <w:r w:rsidR="00487BDB" w:rsidRPr="004129C4">
        <w:rPr>
          <w:rFonts w:ascii="Times New Roman" w:hAnsi="Times New Roman" w:cs="Times New Roman"/>
          <w:sz w:val="24"/>
          <w:szCs w:val="24"/>
          <w:lang w:val="en-US"/>
        </w:rPr>
        <w:t xml:space="preserve"> risk taking </w:t>
      </w:r>
      <w:r w:rsidR="00DF1640" w:rsidRPr="004129C4">
        <w:rPr>
          <w:rFonts w:ascii="Times New Roman" w:hAnsi="Times New Roman" w:cs="Times New Roman"/>
          <w:sz w:val="24"/>
          <w:szCs w:val="24"/>
          <w:lang w:val="en-US"/>
        </w:rPr>
        <w:t>equity</w:t>
      </w:r>
      <w:r w:rsidR="00487BDB" w:rsidRPr="004129C4">
        <w:rPr>
          <w:rFonts w:ascii="Times New Roman" w:hAnsi="Times New Roman" w:cs="Times New Roman"/>
          <w:sz w:val="24"/>
          <w:szCs w:val="24"/>
          <w:lang w:val="en-US"/>
        </w:rPr>
        <w:t xml:space="preserve"> incentives</w:t>
      </w:r>
      <w:r w:rsidR="00F12F4E" w:rsidRPr="004129C4">
        <w:rPr>
          <w:rFonts w:ascii="Times New Roman" w:hAnsi="Times New Roman" w:cs="Times New Roman"/>
          <w:sz w:val="24"/>
          <w:szCs w:val="24"/>
          <w:lang w:val="en-US"/>
        </w:rPr>
        <w:t xml:space="preserve">, as captured by CEO </w:t>
      </w:r>
      <w:proofErr w:type="spellStart"/>
      <w:r w:rsidR="00F12F4E" w:rsidRPr="004129C4">
        <w:rPr>
          <w:rFonts w:ascii="Times New Roman" w:hAnsi="Times New Roman" w:cs="Times New Roman"/>
          <w:sz w:val="24"/>
          <w:szCs w:val="24"/>
          <w:lang w:val="en-US"/>
        </w:rPr>
        <w:t>vega</w:t>
      </w:r>
      <w:proofErr w:type="spellEnd"/>
      <w:r w:rsidR="00F12F4E" w:rsidRPr="004129C4">
        <w:rPr>
          <w:rFonts w:ascii="Times New Roman" w:hAnsi="Times New Roman" w:cs="Times New Roman"/>
          <w:sz w:val="24"/>
          <w:szCs w:val="24"/>
          <w:lang w:val="en-US"/>
        </w:rPr>
        <w:t>,</w:t>
      </w:r>
      <w:r w:rsidR="00487BDB" w:rsidRPr="004129C4">
        <w:rPr>
          <w:rFonts w:ascii="Times New Roman" w:hAnsi="Times New Roman" w:cs="Times New Roman"/>
          <w:sz w:val="24"/>
          <w:szCs w:val="24"/>
          <w:lang w:val="en-US"/>
        </w:rPr>
        <w:t xml:space="preserve"> and workplace misconduct. </w:t>
      </w:r>
      <w:r w:rsidR="00F46BA2" w:rsidRPr="004129C4">
        <w:rPr>
          <w:rFonts w:ascii="Times New Roman" w:hAnsi="Times New Roman" w:cs="Times New Roman"/>
          <w:iCs/>
          <w:sz w:val="24"/>
          <w:szCs w:val="24"/>
          <w:lang w:val="en-US"/>
        </w:rPr>
        <w:t xml:space="preserve">Workplace </w:t>
      </w:r>
      <w:r w:rsidR="00F46BA2" w:rsidRPr="00602CA8">
        <w:rPr>
          <w:rFonts w:ascii="Times New Roman" w:hAnsi="Times New Roman" w:cs="Times New Roman"/>
          <w:iCs/>
          <w:sz w:val="24"/>
          <w:szCs w:val="24"/>
          <w:lang w:val="en-US"/>
        </w:rPr>
        <w:t xml:space="preserve">misconduct includes health and safety violations, non-compliance with </w:t>
      </w:r>
      <w:r w:rsidR="006753AD" w:rsidRPr="00602CA8">
        <w:rPr>
          <w:rFonts w:ascii="Times New Roman" w:hAnsi="Times New Roman" w:cs="Times New Roman"/>
          <w:iCs/>
          <w:sz w:val="24"/>
          <w:szCs w:val="24"/>
          <w:lang w:val="en-US"/>
        </w:rPr>
        <w:t>labor</w:t>
      </w:r>
      <w:r w:rsidR="00F46BA2" w:rsidRPr="00602CA8">
        <w:rPr>
          <w:rFonts w:ascii="Times New Roman" w:hAnsi="Times New Roman" w:cs="Times New Roman"/>
          <w:iCs/>
          <w:sz w:val="24"/>
          <w:szCs w:val="24"/>
          <w:lang w:val="en-US"/>
        </w:rPr>
        <w:t xml:space="preserve"> laws, and other violations broadly related to </w:t>
      </w:r>
      <w:r w:rsidR="006753AD" w:rsidRPr="00602CA8">
        <w:rPr>
          <w:rFonts w:ascii="Times New Roman" w:hAnsi="Times New Roman" w:cs="Times New Roman"/>
          <w:iCs/>
          <w:sz w:val="24"/>
          <w:szCs w:val="24"/>
          <w:lang w:val="en-US"/>
        </w:rPr>
        <w:t>labor</w:t>
      </w:r>
      <w:r w:rsidR="00F46BA2" w:rsidRPr="00602CA8">
        <w:rPr>
          <w:rFonts w:ascii="Times New Roman" w:hAnsi="Times New Roman" w:cs="Times New Roman"/>
          <w:iCs/>
          <w:sz w:val="24"/>
          <w:szCs w:val="24"/>
          <w:lang w:val="en-US"/>
        </w:rPr>
        <w:t xml:space="preserve"> exploitation</w:t>
      </w:r>
      <w:r w:rsidR="006603F7" w:rsidRPr="00602CA8">
        <w:rPr>
          <w:rFonts w:ascii="Times New Roman" w:hAnsi="Times New Roman" w:cs="Times New Roman"/>
          <w:iCs/>
          <w:sz w:val="24"/>
          <w:szCs w:val="24"/>
          <w:lang w:val="en-US"/>
        </w:rPr>
        <w:t>,</w:t>
      </w:r>
      <w:r w:rsidR="006406E8" w:rsidRPr="00602CA8">
        <w:rPr>
          <w:rFonts w:ascii="Times New Roman" w:hAnsi="Times New Roman" w:cs="Times New Roman"/>
          <w:iCs/>
          <w:sz w:val="24"/>
          <w:szCs w:val="24"/>
          <w:lang w:val="en-US"/>
        </w:rPr>
        <w:t xml:space="preserve"> and </w:t>
      </w:r>
      <w:r w:rsidR="006E69F3" w:rsidRPr="00602CA8">
        <w:rPr>
          <w:rFonts w:ascii="Times New Roman" w:hAnsi="Times New Roman" w:cs="Times New Roman"/>
          <w:iCs/>
          <w:sz w:val="24"/>
          <w:szCs w:val="24"/>
          <w:lang w:val="en-US"/>
        </w:rPr>
        <w:t xml:space="preserve">it </w:t>
      </w:r>
      <w:r w:rsidR="006406E8" w:rsidRPr="00602CA8">
        <w:rPr>
          <w:rFonts w:ascii="Times New Roman" w:hAnsi="Times New Roman" w:cs="Times New Roman"/>
          <w:iCs/>
          <w:sz w:val="24"/>
          <w:szCs w:val="24"/>
          <w:lang w:val="en-US"/>
        </w:rPr>
        <w:t>results in significant economic costs</w:t>
      </w:r>
      <w:r w:rsidR="00F46BA2" w:rsidRPr="00602CA8">
        <w:rPr>
          <w:rFonts w:ascii="Times New Roman" w:hAnsi="Times New Roman" w:cs="Times New Roman"/>
          <w:iCs/>
          <w:sz w:val="24"/>
          <w:szCs w:val="24"/>
          <w:lang w:val="en-US"/>
        </w:rPr>
        <w:t xml:space="preserve">. </w:t>
      </w:r>
      <w:r w:rsidR="00487BDB" w:rsidRPr="00602CA8">
        <w:rPr>
          <w:rFonts w:ascii="Times New Roman" w:hAnsi="Times New Roman" w:cs="Times New Roman"/>
          <w:sz w:val="24"/>
          <w:szCs w:val="24"/>
          <w:lang w:val="en-US"/>
        </w:rPr>
        <w:t xml:space="preserve">Using regression analysis, matched sample tests, and </w:t>
      </w:r>
      <w:r w:rsidR="00254E65" w:rsidRPr="00602CA8">
        <w:rPr>
          <w:rFonts w:ascii="Times New Roman" w:hAnsi="Times New Roman" w:cs="Times New Roman"/>
          <w:sz w:val="24"/>
          <w:szCs w:val="24"/>
          <w:lang w:val="en-US"/>
        </w:rPr>
        <w:t xml:space="preserve">a </w:t>
      </w:r>
      <w:r w:rsidR="00487BDB" w:rsidRPr="00602CA8">
        <w:rPr>
          <w:rFonts w:ascii="Times New Roman" w:hAnsi="Times New Roman" w:cs="Times New Roman"/>
          <w:sz w:val="24"/>
          <w:szCs w:val="24"/>
          <w:lang w:val="en-US"/>
        </w:rPr>
        <w:t xml:space="preserve">quasi-natural experiment we </w:t>
      </w:r>
      <w:r w:rsidR="00A96099" w:rsidRPr="00602CA8">
        <w:rPr>
          <w:rFonts w:ascii="Times New Roman" w:hAnsi="Times New Roman" w:cs="Times New Roman"/>
          <w:sz w:val="24"/>
          <w:szCs w:val="24"/>
          <w:lang w:val="en-US"/>
        </w:rPr>
        <w:t xml:space="preserve">find </w:t>
      </w:r>
      <w:r w:rsidR="00254E65" w:rsidRPr="00602CA8">
        <w:rPr>
          <w:rFonts w:ascii="Times New Roman" w:hAnsi="Times New Roman" w:cs="Times New Roman"/>
          <w:sz w:val="24"/>
          <w:szCs w:val="24"/>
          <w:lang w:val="en-US"/>
        </w:rPr>
        <w:t xml:space="preserve">a positive </w:t>
      </w:r>
      <w:r w:rsidR="00F12F4E" w:rsidRPr="00602CA8">
        <w:rPr>
          <w:rFonts w:ascii="Times New Roman" w:hAnsi="Times New Roman" w:cs="Times New Roman"/>
          <w:sz w:val="24"/>
          <w:szCs w:val="24"/>
          <w:lang w:val="en-US"/>
        </w:rPr>
        <w:t xml:space="preserve">relation between CEO </w:t>
      </w:r>
      <w:proofErr w:type="spellStart"/>
      <w:r w:rsidR="00F12F4E" w:rsidRPr="00602CA8">
        <w:rPr>
          <w:rFonts w:ascii="Times New Roman" w:hAnsi="Times New Roman" w:cs="Times New Roman"/>
          <w:sz w:val="24"/>
          <w:szCs w:val="24"/>
          <w:lang w:val="en-US"/>
        </w:rPr>
        <w:t>vega</w:t>
      </w:r>
      <w:proofErr w:type="spellEnd"/>
      <w:r w:rsidR="00F12F4E" w:rsidRPr="00602CA8">
        <w:rPr>
          <w:rFonts w:ascii="Times New Roman" w:hAnsi="Times New Roman" w:cs="Times New Roman"/>
          <w:sz w:val="24"/>
          <w:szCs w:val="24"/>
          <w:lang w:val="en-US"/>
        </w:rPr>
        <w:t xml:space="preserve"> and workplace misconduct.</w:t>
      </w:r>
      <w:r w:rsidR="00A96099" w:rsidRPr="00602CA8">
        <w:rPr>
          <w:rFonts w:ascii="Times New Roman" w:hAnsi="Times New Roman" w:cs="Times New Roman"/>
          <w:sz w:val="24"/>
          <w:szCs w:val="24"/>
          <w:lang w:val="en-US"/>
        </w:rPr>
        <w:t xml:space="preserve"> We identify a reduction in discretionary expenses </w:t>
      </w:r>
      <w:r w:rsidR="00D11317" w:rsidRPr="00602CA8">
        <w:rPr>
          <w:rFonts w:ascii="Times New Roman" w:hAnsi="Times New Roman" w:cs="Times New Roman"/>
          <w:sz w:val="24"/>
          <w:szCs w:val="24"/>
          <w:lang w:val="en-US"/>
        </w:rPr>
        <w:t xml:space="preserve">and increased </w:t>
      </w:r>
      <w:r w:rsidR="008F0FCD" w:rsidRPr="00602CA8">
        <w:rPr>
          <w:rFonts w:ascii="Times New Roman" w:hAnsi="Times New Roman" w:cs="Times New Roman"/>
          <w:sz w:val="24"/>
          <w:szCs w:val="24"/>
          <w:lang w:val="en-US"/>
        </w:rPr>
        <w:t>employee workload</w:t>
      </w:r>
      <w:r w:rsidR="00D11317" w:rsidRPr="00602CA8">
        <w:rPr>
          <w:rFonts w:ascii="Times New Roman" w:hAnsi="Times New Roman" w:cs="Times New Roman"/>
          <w:sz w:val="24"/>
          <w:szCs w:val="24"/>
          <w:lang w:val="en-US"/>
        </w:rPr>
        <w:t xml:space="preserve"> </w:t>
      </w:r>
      <w:r w:rsidR="00A96099" w:rsidRPr="00602CA8">
        <w:rPr>
          <w:rFonts w:ascii="Times New Roman" w:hAnsi="Times New Roman" w:cs="Times New Roman"/>
          <w:sz w:val="24"/>
          <w:szCs w:val="24"/>
          <w:lang w:val="en-US"/>
        </w:rPr>
        <w:t>as channel</w:t>
      </w:r>
      <w:r w:rsidR="00D11317" w:rsidRPr="00602CA8">
        <w:rPr>
          <w:rFonts w:ascii="Times New Roman" w:hAnsi="Times New Roman" w:cs="Times New Roman"/>
          <w:sz w:val="24"/>
          <w:szCs w:val="24"/>
          <w:lang w:val="en-US"/>
        </w:rPr>
        <w:t>s</w:t>
      </w:r>
      <w:r w:rsidR="00A96099" w:rsidRPr="00602CA8">
        <w:rPr>
          <w:rFonts w:ascii="Times New Roman" w:hAnsi="Times New Roman" w:cs="Times New Roman"/>
          <w:sz w:val="24"/>
          <w:szCs w:val="24"/>
          <w:lang w:val="en-US"/>
        </w:rPr>
        <w:t xml:space="preserve"> through which CEO </w:t>
      </w:r>
      <w:proofErr w:type="spellStart"/>
      <w:r w:rsidR="008314EE" w:rsidRPr="00602CA8">
        <w:rPr>
          <w:rFonts w:ascii="Times New Roman" w:hAnsi="Times New Roman" w:cs="Times New Roman"/>
          <w:sz w:val="24"/>
          <w:szCs w:val="24"/>
          <w:lang w:val="en-US"/>
        </w:rPr>
        <w:t>vega</w:t>
      </w:r>
      <w:proofErr w:type="spellEnd"/>
      <w:r w:rsidR="008F0FCD" w:rsidRPr="00602CA8">
        <w:rPr>
          <w:rFonts w:ascii="Times New Roman" w:hAnsi="Times New Roman" w:cs="Times New Roman"/>
          <w:sz w:val="24"/>
          <w:szCs w:val="24"/>
          <w:lang w:val="en-US"/>
        </w:rPr>
        <w:t xml:space="preserve"> </w:t>
      </w:r>
      <w:r w:rsidR="00D11317" w:rsidRPr="00602CA8">
        <w:rPr>
          <w:rFonts w:ascii="Times New Roman" w:hAnsi="Times New Roman" w:cs="Times New Roman"/>
          <w:sz w:val="24"/>
          <w:szCs w:val="24"/>
          <w:lang w:val="en-US"/>
        </w:rPr>
        <w:t>a</w:t>
      </w:r>
      <w:r w:rsidR="00A96099" w:rsidRPr="00602CA8">
        <w:rPr>
          <w:rFonts w:ascii="Times New Roman" w:hAnsi="Times New Roman" w:cs="Times New Roman"/>
          <w:sz w:val="24"/>
          <w:szCs w:val="24"/>
          <w:lang w:val="en-US"/>
        </w:rPr>
        <w:t>ffects workplace misconduct.</w:t>
      </w:r>
      <w:r w:rsidR="00A96099" w:rsidRPr="004129C4">
        <w:rPr>
          <w:rFonts w:ascii="Times New Roman" w:hAnsi="Times New Roman" w:cs="Times New Roman"/>
          <w:sz w:val="24"/>
          <w:szCs w:val="24"/>
          <w:lang w:val="en-US"/>
        </w:rPr>
        <w:t xml:space="preserve"> </w:t>
      </w:r>
    </w:p>
    <w:p w14:paraId="3A8D2B99" w14:textId="120049A9" w:rsidR="00CB3E9C" w:rsidRDefault="00CB3E9C" w:rsidP="00487BDB">
      <w:pPr>
        <w:spacing w:after="0"/>
        <w:rPr>
          <w:rFonts w:ascii="Times New Roman" w:hAnsi="Times New Roman" w:cs="Times New Roman"/>
          <w:sz w:val="24"/>
          <w:szCs w:val="24"/>
          <w:lang w:val="en-US"/>
        </w:rPr>
      </w:pPr>
    </w:p>
    <w:p w14:paraId="0A4E6C3E" w14:textId="77777777" w:rsidR="005B3F1B" w:rsidRDefault="005B3F1B" w:rsidP="00487BDB">
      <w:pPr>
        <w:spacing w:after="0"/>
        <w:rPr>
          <w:rFonts w:ascii="Times New Roman" w:hAnsi="Times New Roman" w:cs="Times New Roman"/>
          <w:sz w:val="24"/>
          <w:szCs w:val="24"/>
          <w:lang w:val="en-US"/>
        </w:rPr>
      </w:pPr>
    </w:p>
    <w:p w14:paraId="5BA795BF" w14:textId="77777777" w:rsidR="005B3F1B" w:rsidRPr="004129C4" w:rsidRDefault="005B3F1B" w:rsidP="00487BDB">
      <w:pPr>
        <w:spacing w:after="0"/>
        <w:rPr>
          <w:rFonts w:ascii="Times New Roman" w:hAnsi="Times New Roman" w:cs="Times New Roman"/>
          <w:sz w:val="24"/>
          <w:szCs w:val="24"/>
          <w:lang w:val="en-US"/>
        </w:rPr>
      </w:pPr>
    </w:p>
    <w:p w14:paraId="13940B03" w14:textId="61056C8A" w:rsidR="002B1F8B" w:rsidRPr="004129C4" w:rsidRDefault="002B1F8B" w:rsidP="006C10F6">
      <w:pPr>
        <w:spacing w:after="0"/>
        <w:jc w:val="both"/>
        <w:rPr>
          <w:rFonts w:ascii="Times New Roman" w:hAnsi="Times New Roman" w:cs="Times New Roman"/>
          <w:b/>
          <w:sz w:val="24"/>
          <w:szCs w:val="24"/>
          <w:lang w:val="en-US"/>
        </w:rPr>
      </w:pPr>
    </w:p>
    <w:p w14:paraId="33002336" w14:textId="77777777" w:rsidR="002B1F8B" w:rsidRPr="004129C4" w:rsidRDefault="002B1F8B" w:rsidP="006C10F6">
      <w:pPr>
        <w:spacing w:after="0"/>
        <w:jc w:val="center"/>
        <w:rPr>
          <w:rFonts w:ascii="Times New Roman" w:hAnsi="Times New Roman" w:cs="Times New Roman"/>
          <w:b/>
          <w:sz w:val="24"/>
          <w:szCs w:val="24"/>
          <w:lang w:val="en-US"/>
        </w:rPr>
      </w:pPr>
    </w:p>
    <w:p w14:paraId="27539B92" w14:textId="77777777" w:rsidR="002B1F8B" w:rsidRPr="004129C4" w:rsidRDefault="002B1F8B" w:rsidP="006C10F6">
      <w:pPr>
        <w:spacing w:after="0"/>
        <w:jc w:val="center"/>
        <w:rPr>
          <w:rFonts w:ascii="Times New Roman" w:hAnsi="Times New Roman" w:cs="Times New Roman"/>
          <w:b/>
          <w:sz w:val="24"/>
          <w:szCs w:val="24"/>
          <w:lang w:val="en-US"/>
        </w:rPr>
      </w:pPr>
    </w:p>
    <w:p w14:paraId="7AF3219E" w14:textId="36DE6DFB" w:rsidR="00800CBE" w:rsidRPr="004129C4" w:rsidRDefault="00800CBE" w:rsidP="006C10F6">
      <w:pPr>
        <w:spacing w:after="0"/>
        <w:jc w:val="center"/>
        <w:rPr>
          <w:rFonts w:ascii="Times New Roman" w:hAnsi="Times New Roman" w:cs="Times New Roman"/>
          <w:sz w:val="24"/>
          <w:szCs w:val="24"/>
          <w:lang w:val="en-US"/>
        </w:rPr>
      </w:pPr>
    </w:p>
    <w:p w14:paraId="0E2DFD98" w14:textId="156667AB" w:rsidR="00F12F4E" w:rsidRPr="004129C4" w:rsidRDefault="00F12F4E" w:rsidP="006C10F6">
      <w:pPr>
        <w:spacing w:after="0"/>
        <w:jc w:val="center"/>
        <w:rPr>
          <w:rFonts w:ascii="Times New Roman" w:hAnsi="Times New Roman" w:cs="Times New Roman"/>
          <w:sz w:val="24"/>
          <w:szCs w:val="24"/>
          <w:lang w:val="en-US"/>
        </w:rPr>
      </w:pPr>
    </w:p>
    <w:p w14:paraId="14A3CE7C" w14:textId="6B3529D6" w:rsidR="00F12F4E" w:rsidRPr="004129C4" w:rsidRDefault="00F12F4E" w:rsidP="006C10F6">
      <w:pPr>
        <w:spacing w:after="0"/>
        <w:jc w:val="center"/>
        <w:rPr>
          <w:rFonts w:ascii="Times New Roman" w:hAnsi="Times New Roman" w:cs="Times New Roman"/>
          <w:sz w:val="24"/>
          <w:szCs w:val="24"/>
          <w:lang w:val="en-US"/>
        </w:rPr>
      </w:pPr>
    </w:p>
    <w:p w14:paraId="7192D8D2" w14:textId="2994E7A7" w:rsidR="00F12F4E" w:rsidRPr="004129C4" w:rsidRDefault="00F12F4E" w:rsidP="006C10F6">
      <w:pPr>
        <w:spacing w:after="0"/>
        <w:jc w:val="center"/>
        <w:rPr>
          <w:rFonts w:ascii="Times New Roman" w:hAnsi="Times New Roman" w:cs="Times New Roman"/>
          <w:sz w:val="24"/>
          <w:szCs w:val="24"/>
          <w:lang w:val="en-US"/>
        </w:rPr>
      </w:pPr>
    </w:p>
    <w:p w14:paraId="5087B2C8" w14:textId="00E27695" w:rsidR="00F12F4E" w:rsidRPr="004129C4" w:rsidRDefault="00F12F4E" w:rsidP="006C10F6">
      <w:pPr>
        <w:spacing w:after="0"/>
        <w:jc w:val="center"/>
        <w:rPr>
          <w:rFonts w:ascii="Times New Roman" w:hAnsi="Times New Roman" w:cs="Times New Roman"/>
          <w:sz w:val="24"/>
          <w:szCs w:val="24"/>
          <w:lang w:val="en-US"/>
        </w:rPr>
      </w:pPr>
    </w:p>
    <w:p w14:paraId="0AEBD007" w14:textId="1398623B" w:rsidR="00F12F4E" w:rsidRPr="004129C4" w:rsidRDefault="00F12F4E" w:rsidP="006C10F6">
      <w:pPr>
        <w:spacing w:after="0"/>
        <w:jc w:val="center"/>
        <w:rPr>
          <w:rFonts w:ascii="Times New Roman" w:hAnsi="Times New Roman" w:cs="Times New Roman"/>
          <w:sz w:val="24"/>
          <w:szCs w:val="24"/>
          <w:lang w:val="en-US"/>
        </w:rPr>
      </w:pPr>
    </w:p>
    <w:p w14:paraId="57FD2D90" w14:textId="26C9D162" w:rsidR="00F12F4E" w:rsidRPr="004129C4" w:rsidRDefault="00F12F4E" w:rsidP="006C10F6">
      <w:pPr>
        <w:spacing w:after="0"/>
        <w:jc w:val="center"/>
        <w:rPr>
          <w:rFonts w:ascii="Times New Roman" w:hAnsi="Times New Roman" w:cs="Times New Roman"/>
          <w:sz w:val="24"/>
          <w:szCs w:val="24"/>
          <w:lang w:val="en-US"/>
        </w:rPr>
      </w:pPr>
    </w:p>
    <w:p w14:paraId="27725327" w14:textId="67ECBBA2" w:rsidR="00F12F4E" w:rsidRPr="004129C4" w:rsidRDefault="00F12F4E" w:rsidP="006C10F6">
      <w:pPr>
        <w:spacing w:after="0"/>
        <w:jc w:val="center"/>
        <w:rPr>
          <w:rFonts w:ascii="Times New Roman" w:hAnsi="Times New Roman" w:cs="Times New Roman"/>
          <w:sz w:val="24"/>
          <w:szCs w:val="24"/>
          <w:lang w:val="en-US"/>
        </w:rPr>
      </w:pPr>
    </w:p>
    <w:p w14:paraId="7FE72617" w14:textId="61AD444D" w:rsidR="00F12F4E" w:rsidRPr="004129C4" w:rsidRDefault="00F12F4E" w:rsidP="006C10F6">
      <w:pPr>
        <w:spacing w:after="0"/>
        <w:jc w:val="center"/>
        <w:rPr>
          <w:rFonts w:ascii="Times New Roman" w:hAnsi="Times New Roman" w:cs="Times New Roman"/>
          <w:sz w:val="24"/>
          <w:szCs w:val="24"/>
          <w:lang w:val="en-US"/>
        </w:rPr>
      </w:pPr>
    </w:p>
    <w:p w14:paraId="3B780550" w14:textId="77777777" w:rsidR="00A921E8" w:rsidRPr="004129C4" w:rsidRDefault="00A921E8" w:rsidP="006C10F6">
      <w:pPr>
        <w:spacing w:after="0"/>
        <w:jc w:val="center"/>
        <w:rPr>
          <w:rFonts w:ascii="Times New Roman" w:hAnsi="Times New Roman" w:cs="Times New Roman"/>
          <w:sz w:val="24"/>
          <w:szCs w:val="24"/>
          <w:lang w:val="en-US"/>
        </w:rPr>
      </w:pPr>
    </w:p>
    <w:p w14:paraId="067098C5" w14:textId="77777777" w:rsidR="00A921E8" w:rsidRPr="004129C4" w:rsidRDefault="00A921E8" w:rsidP="006C10F6">
      <w:pPr>
        <w:spacing w:after="0"/>
        <w:jc w:val="center"/>
        <w:rPr>
          <w:rFonts w:ascii="Times New Roman" w:hAnsi="Times New Roman" w:cs="Times New Roman"/>
          <w:sz w:val="24"/>
          <w:szCs w:val="24"/>
          <w:lang w:val="en-US"/>
        </w:rPr>
      </w:pPr>
    </w:p>
    <w:p w14:paraId="4F22393B" w14:textId="6EFA5E8D" w:rsidR="00F12F4E" w:rsidRPr="004129C4" w:rsidRDefault="00F12F4E" w:rsidP="006C10F6">
      <w:pPr>
        <w:spacing w:after="0"/>
        <w:jc w:val="center"/>
        <w:rPr>
          <w:rFonts w:ascii="Times New Roman" w:hAnsi="Times New Roman" w:cs="Times New Roman"/>
          <w:sz w:val="24"/>
          <w:szCs w:val="24"/>
          <w:lang w:val="en-US"/>
        </w:rPr>
      </w:pPr>
    </w:p>
    <w:p w14:paraId="160A4A6D" w14:textId="23D5ED2C" w:rsidR="00F12F4E" w:rsidRPr="004129C4" w:rsidRDefault="00F12F4E" w:rsidP="006C10F6">
      <w:pPr>
        <w:spacing w:after="0"/>
        <w:jc w:val="center"/>
        <w:rPr>
          <w:rFonts w:ascii="Times New Roman" w:hAnsi="Times New Roman" w:cs="Times New Roman"/>
          <w:sz w:val="24"/>
          <w:szCs w:val="24"/>
          <w:lang w:val="en-US"/>
        </w:rPr>
      </w:pPr>
    </w:p>
    <w:p w14:paraId="60F885F4" w14:textId="3937BABB" w:rsidR="00F12F4E" w:rsidRPr="009E161D" w:rsidRDefault="00F12F4E" w:rsidP="006C10F6">
      <w:pPr>
        <w:spacing w:after="0"/>
        <w:jc w:val="center"/>
        <w:rPr>
          <w:rFonts w:ascii="Times New Roman" w:hAnsi="Times New Roman" w:cs="Times New Roman"/>
          <w:sz w:val="24"/>
          <w:szCs w:val="24"/>
        </w:rPr>
      </w:pPr>
    </w:p>
    <w:p w14:paraId="2A0370A6" w14:textId="77777777" w:rsidR="00F12F4E" w:rsidRPr="004129C4" w:rsidRDefault="00F12F4E" w:rsidP="006C10F6">
      <w:pPr>
        <w:spacing w:after="0"/>
        <w:jc w:val="center"/>
        <w:rPr>
          <w:rFonts w:ascii="Times New Roman" w:hAnsi="Times New Roman" w:cs="Times New Roman"/>
          <w:sz w:val="24"/>
          <w:szCs w:val="24"/>
          <w:lang w:val="en-US"/>
        </w:rPr>
      </w:pPr>
    </w:p>
    <w:p w14:paraId="252ACA67" w14:textId="77777777" w:rsidR="000174A3" w:rsidRPr="004129C4" w:rsidRDefault="000174A3" w:rsidP="006C10F6">
      <w:pPr>
        <w:spacing w:after="0"/>
        <w:rPr>
          <w:sz w:val="24"/>
          <w:szCs w:val="24"/>
          <w:lang w:val="en-US"/>
        </w:rPr>
        <w:sectPr w:rsidR="000174A3" w:rsidRPr="004129C4" w:rsidSect="00B437C7">
          <w:footerReference w:type="default" r:id="rId11"/>
          <w:pgSz w:w="11906" w:h="16838"/>
          <w:pgMar w:top="1440" w:right="1440" w:bottom="1440" w:left="1440" w:header="708" w:footer="708" w:gutter="0"/>
          <w:cols w:space="708"/>
          <w:docGrid w:linePitch="360"/>
        </w:sectPr>
      </w:pPr>
    </w:p>
    <w:p w14:paraId="6187AE49" w14:textId="4FFD82C1" w:rsidR="00B24C90" w:rsidRPr="004129C4" w:rsidRDefault="00F02616" w:rsidP="00AF6E3E">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I</w:t>
      </w:r>
      <w:r w:rsidRPr="004129C4">
        <w:rPr>
          <w:rFonts w:ascii="Times New Roman" w:hAnsi="Times New Roman" w:cs="Times New Roman"/>
          <w:b/>
          <w:sz w:val="24"/>
          <w:szCs w:val="24"/>
          <w:lang w:val="en-US"/>
        </w:rPr>
        <w:t>. INTRODUCTION</w:t>
      </w:r>
    </w:p>
    <w:p w14:paraId="310CC25B" w14:textId="23ACC5B6" w:rsidR="00CF2AA3" w:rsidRPr="004129C4" w:rsidRDefault="00CF2AA3" w:rsidP="00EA25A1">
      <w:pPr>
        <w:autoSpaceDE w:val="0"/>
        <w:autoSpaceDN w:val="0"/>
        <w:adjustRightInd w:val="0"/>
        <w:spacing w:after="0" w:line="480" w:lineRule="auto"/>
        <w:ind w:firstLine="720"/>
        <w:jc w:val="both"/>
        <w:rPr>
          <w:rFonts w:ascii="Times New Roman" w:hAnsi="Times New Roman" w:cs="Times New Roman"/>
          <w:iCs/>
          <w:sz w:val="24"/>
          <w:szCs w:val="24"/>
          <w:lang w:val="en-US"/>
        </w:rPr>
      </w:pPr>
      <w:r w:rsidRPr="004129C4">
        <w:rPr>
          <w:rFonts w:ascii="Times New Roman" w:hAnsi="Times New Roman" w:cs="Times New Roman"/>
          <w:iCs/>
          <w:sz w:val="24"/>
          <w:szCs w:val="24"/>
          <w:lang w:val="en-US"/>
        </w:rPr>
        <w:t>Workplace misconduct</w:t>
      </w:r>
      <w:r w:rsidR="00755E33">
        <w:rPr>
          <w:rFonts w:ascii="Times New Roman" w:hAnsi="Times New Roman" w:cs="Times New Roman"/>
          <w:iCs/>
          <w:sz w:val="24"/>
          <w:szCs w:val="24"/>
          <w:lang w:val="en-US"/>
        </w:rPr>
        <w:t>, such as</w:t>
      </w:r>
      <w:r w:rsidRPr="004129C4">
        <w:rPr>
          <w:rFonts w:ascii="Times New Roman" w:hAnsi="Times New Roman" w:cs="Times New Roman"/>
          <w:iCs/>
          <w:sz w:val="24"/>
          <w:szCs w:val="24"/>
          <w:lang w:val="en-US"/>
        </w:rPr>
        <w:t xml:space="preserve"> </w:t>
      </w:r>
      <w:r w:rsidR="00755E33" w:rsidRPr="004129C4">
        <w:rPr>
          <w:rFonts w:ascii="Times New Roman" w:hAnsi="Times New Roman" w:cs="Times New Roman"/>
          <w:iCs/>
          <w:sz w:val="24"/>
          <w:szCs w:val="24"/>
          <w:lang w:val="en-US"/>
        </w:rPr>
        <w:t>health and safety violations, non-compliance with labor laws, and other violations broadly related to labor exploitation</w:t>
      </w:r>
      <w:r w:rsidR="00755E33">
        <w:rPr>
          <w:rFonts w:ascii="Times New Roman" w:hAnsi="Times New Roman" w:cs="Times New Roman"/>
          <w:iCs/>
          <w:sz w:val="24"/>
          <w:szCs w:val="24"/>
          <w:lang w:val="en-US"/>
        </w:rPr>
        <w:t>,</w:t>
      </w:r>
      <w:r w:rsidR="00755E33" w:rsidRPr="004129C4">
        <w:rPr>
          <w:rFonts w:ascii="Times New Roman" w:hAnsi="Times New Roman" w:cs="Times New Roman"/>
          <w:iCs/>
          <w:sz w:val="24"/>
          <w:szCs w:val="24"/>
          <w:lang w:val="en-US"/>
        </w:rPr>
        <w:t xml:space="preserve"> </w:t>
      </w:r>
      <w:r w:rsidRPr="004129C4">
        <w:rPr>
          <w:rFonts w:ascii="Times New Roman" w:hAnsi="Times New Roman" w:cs="Times New Roman"/>
          <w:iCs/>
          <w:sz w:val="24"/>
          <w:szCs w:val="24"/>
          <w:lang w:val="en-US"/>
        </w:rPr>
        <w:t xml:space="preserve">is associated with significant economic costs to employers, employees and society. The International Labor Organization (ILO) estimates that globally an average of </w:t>
      </w:r>
      <w:r w:rsidRPr="004129C4">
        <w:rPr>
          <w:rFonts w:ascii="Times New Roman" w:hAnsi="Times New Roman" w:cs="Times New Roman"/>
          <w:sz w:val="24"/>
          <w:szCs w:val="24"/>
          <w:lang w:val="en-US"/>
        </w:rPr>
        <w:t>US$2.8 trillion</w:t>
      </w:r>
      <w:r w:rsidRPr="004129C4">
        <w:rPr>
          <w:rFonts w:ascii="Times New Roman" w:hAnsi="Times New Roman" w:cs="Times New Roman"/>
          <w:iCs/>
          <w:sz w:val="24"/>
          <w:szCs w:val="24"/>
          <w:lang w:val="en-US"/>
        </w:rPr>
        <w:t xml:space="preserve"> is lost due to the direct </w:t>
      </w:r>
      <w:r w:rsidR="001376FE">
        <w:rPr>
          <w:rFonts w:ascii="Times New Roman" w:hAnsi="Times New Roman" w:cs="Times New Roman"/>
          <w:iCs/>
          <w:sz w:val="24"/>
          <w:szCs w:val="24"/>
          <w:lang w:val="en-US"/>
        </w:rPr>
        <w:t>and</w:t>
      </w:r>
      <w:r w:rsidRPr="004129C4">
        <w:rPr>
          <w:rFonts w:ascii="Times New Roman" w:hAnsi="Times New Roman" w:cs="Times New Roman"/>
          <w:iCs/>
          <w:sz w:val="24"/>
          <w:szCs w:val="24"/>
          <w:lang w:val="en-US"/>
        </w:rPr>
        <w:t xml:space="preserve"> indirect costs of workplace misconduct (ILO</w:t>
      </w:r>
      <w:r w:rsidR="00BC3337">
        <w:rPr>
          <w:rFonts w:ascii="Times New Roman" w:hAnsi="Times New Roman" w:cs="Times New Roman"/>
          <w:iCs/>
          <w:sz w:val="24"/>
          <w:szCs w:val="24"/>
          <w:lang w:val="en-US"/>
        </w:rPr>
        <w:t xml:space="preserve"> </w:t>
      </w:r>
      <w:r w:rsidRPr="004129C4">
        <w:rPr>
          <w:rFonts w:ascii="Times New Roman" w:hAnsi="Times New Roman" w:cs="Times New Roman"/>
          <w:iCs/>
          <w:sz w:val="24"/>
          <w:szCs w:val="24"/>
          <w:lang w:val="en-US"/>
        </w:rPr>
        <w:t>2013). Yet, while these serious violations</w:t>
      </w:r>
      <w:r w:rsidR="00CE6C20" w:rsidRPr="004129C4">
        <w:rPr>
          <w:rFonts w:ascii="Times New Roman" w:hAnsi="Times New Roman" w:cs="Times New Roman"/>
          <w:iCs/>
          <w:sz w:val="24"/>
          <w:szCs w:val="24"/>
          <w:lang w:val="en-US"/>
        </w:rPr>
        <w:t xml:space="preserve"> </w:t>
      </w:r>
      <w:r w:rsidR="00910B48" w:rsidRPr="004129C4">
        <w:rPr>
          <w:rFonts w:ascii="Times New Roman" w:hAnsi="Times New Roman" w:cs="Times New Roman"/>
          <w:iCs/>
          <w:sz w:val="24"/>
          <w:szCs w:val="24"/>
          <w:lang w:val="en-US"/>
        </w:rPr>
        <w:t xml:space="preserve">affect </w:t>
      </w:r>
      <w:r w:rsidR="00B52974" w:rsidRPr="004129C4">
        <w:rPr>
          <w:rFonts w:ascii="Times New Roman" w:hAnsi="Times New Roman" w:cs="Times New Roman"/>
          <w:iCs/>
          <w:sz w:val="24"/>
          <w:szCs w:val="24"/>
          <w:lang w:val="en-US"/>
        </w:rPr>
        <w:t>the wellbeing of employees</w:t>
      </w:r>
      <w:r w:rsidRPr="004129C4">
        <w:rPr>
          <w:rFonts w:ascii="Times New Roman" w:hAnsi="Times New Roman" w:cs="Times New Roman"/>
          <w:iCs/>
          <w:sz w:val="24"/>
          <w:szCs w:val="24"/>
          <w:lang w:val="en-US"/>
        </w:rPr>
        <w:t xml:space="preserve"> and pose significant costs to the economy</w:t>
      </w:r>
      <w:r w:rsidR="00CE6C20" w:rsidRPr="004129C4">
        <w:rPr>
          <w:rFonts w:ascii="Times New Roman" w:hAnsi="Times New Roman" w:cs="Times New Roman"/>
          <w:iCs/>
          <w:sz w:val="24"/>
          <w:szCs w:val="24"/>
          <w:lang w:val="en-US"/>
        </w:rPr>
        <w:t>,</w:t>
      </w:r>
      <w:r w:rsidRPr="004129C4">
        <w:rPr>
          <w:rFonts w:ascii="Times New Roman" w:hAnsi="Times New Roman" w:cs="Times New Roman"/>
          <w:iCs/>
          <w:sz w:val="24"/>
          <w:szCs w:val="24"/>
          <w:lang w:val="en-US"/>
        </w:rPr>
        <w:t xml:space="preserve"> little is known about </w:t>
      </w:r>
      <w:r w:rsidR="00910B48" w:rsidRPr="004129C4">
        <w:rPr>
          <w:rFonts w:ascii="Times New Roman" w:hAnsi="Times New Roman" w:cs="Times New Roman"/>
          <w:iCs/>
          <w:sz w:val="24"/>
          <w:szCs w:val="24"/>
          <w:lang w:val="en-US"/>
        </w:rPr>
        <w:t>their</w:t>
      </w:r>
      <w:r w:rsidRPr="004129C4">
        <w:rPr>
          <w:rFonts w:ascii="Times New Roman" w:hAnsi="Times New Roman" w:cs="Times New Roman"/>
          <w:iCs/>
          <w:sz w:val="24"/>
          <w:szCs w:val="24"/>
          <w:lang w:val="en-US"/>
        </w:rPr>
        <w:t xml:space="preserve"> determinants (</w:t>
      </w:r>
      <w:r w:rsidRPr="004129C4">
        <w:rPr>
          <w:rFonts w:ascii="Times New Roman" w:hAnsi="Times New Roman" w:cs="Times New Roman"/>
          <w:sz w:val="24"/>
          <w:szCs w:val="24"/>
          <w:lang w:val="en-US"/>
        </w:rPr>
        <w:t>Caskey and Ozel 2017</w:t>
      </w:r>
      <w:r w:rsidRPr="00D53A6C">
        <w:rPr>
          <w:rFonts w:ascii="Times New Roman" w:hAnsi="Times New Roman" w:cs="Times New Roman"/>
          <w:sz w:val="24"/>
          <w:szCs w:val="24"/>
          <w:lang w:val="en-US"/>
        </w:rPr>
        <w:t>,</w:t>
      </w:r>
      <w:r w:rsidRPr="004129C4">
        <w:rPr>
          <w:rFonts w:ascii="Times New Roman" w:hAnsi="Times New Roman" w:cs="Times New Roman"/>
          <w:sz w:val="24"/>
          <w:szCs w:val="24"/>
          <w:lang w:val="en-US"/>
        </w:rPr>
        <w:t xml:space="preserve"> Heese and Pérez-Cavazos 20</w:t>
      </w:r>
      <w:r w:rsidR="00E21317">
        <w:rPr>
          <w:rFonts w:ascii="Times New Roman" w:hAnsi="Times New Roman" w:cs="Times New Roman"/>
          <w:sz w:val="24"/>
          <w:szCs w:val="24"/>
          <w:lang w:val="en-US"/>
        </w:rPr>
        <w:t>20</w:t>
      </w:r>
      <w:r w:rsidRPr="004129C4">
        <w:rPr>
          <w:rFonts w:ascii="Times New Roman" w:hAnsi="Times New Roman" w:cs="Times New Roman"/>
          <w:sz w:val="24"/>
          <w:szCs w:val="24"/>
          <w:lang w:val="en-US"/>
        </w:rPr>
        <w:t>,</w:t>
      </w:r>
      <w:r w:rsidRPr="004129C4">
        <w:rPr>
          <w:lang w:val="en-US"/>
        </w:rPr>
        <w:t xml:space="preserve"> </w:t>
      </w:r>
      <w:r w:rsidRPr="004129C4">
        <w:rPr>
          <w:rFonts w:ascii="Times New Roman" w:hAnsi="Times New Roman" w:cs="Times New Roman"/>
          <w:sz w:val="24"/>
          <w:szCs w:val="24"/>
          <w:lang w:val="en-US"/>
        </w:rPr>
        <w:t xml:space="preserve">Li and </w:t>
      </w:r>
      <w:r w:rsidR="0044268F" w:rsidRPr="004129C4">
        <w:rPr>
          <w:rFonts w:ascii="Times New Roman" w:hAnsi="Times New Roman" w:cs="Times New Roman"/>
          <w:color w:val="000000" w:themeColor="text1"/>
          <w:sz w:val="24"/>
          <w:szCs w:val="24"/>
          <w:lang w:val="en-US"/>
        </w:rPr>
        <w:t>Raghunandan</w:t>
      </w:r>
      <w:r w:rsidRPr="004129C4">
        <w:rPr>
          <w:rFonts w:ascii="Times New Roman" w:hAnsi="Times New Roman" w:cs="Times New Roman"/>
          <w:sz w:val="24"/>
          <w:szCs w:val="24"/>
          <w:lang w:val="en-US"/>
        </w:rPr>
        <w:t xml:space="preserve"> 202</w:t>
      </w:r>
      <w:r w:rsidR="00A948CE">
        <w:rPr>
          <w:rFonts w:ascii="Times New Roman" w:hAnsi="Times New Roman" w:cs="Times New Roman"/>
          <w:sz w:val="24"/>
          <w:szCs w:val="24"/>
          <w:lang w:val="en-US"/>
        </w:rPr>
        <w:t>1</w:t>
      </w:r>
      <w:r w:rsidRPr="004129C4">
        <w:rPr>
          <w:rFonts w:ascii="Times New Roman" w:hAnsi="Times New Roman" w:cs="Times New Roman"/>
          <w:iCs/>
          <w:sz w:val="24"/>
          <w:szCs w:val="24"/>
          <w:lang w:val="en-US"/>
        </w:rPr>
        <w:t xml:space="preserve">). </w:t>
      </w:r>
    </w:p>
    <w:p w14:paraId="7D1D4B90" w14:textId="7A3E174D" w:rsidR="00DA2786" w:rsidRPr="0034718A" w:rsidRDefault="007B3C75" w:rsidP="00910B48">
      <w:pPr>
        <w:autoSpaceDE w:val="0"/>
        <w:autoSpaceDN w:val="0"/>
        <w:adjustRightInd w:val="0"/>
        <w:spacing w:after="0" w:line="480" w:lineRule="auto"/>
        <w:jc w:val="both"/>
        <w:rPr>
          <w:rFonts w:ascii="Times New Roman" w:hAnsi="Times New Roman" w:cs="Times New Roman"/>
          <w:iCs/>
          <w:sz w:val="24"/>
          <w:szCs w:val="24"/>
          <w:lang w:val="en-US"/>
        </w:rPr>
      </w:pPr>
      <w:r w:rsidRPr="004129C4">
        <w:rPr>
          <w:rFonts w:ascii="Times New Roman" w:hAnsi="Times New Roman" w:cs="Times New Roman"/>
          <w:iCs/>
          <w:sz w:val="24"/>
          <w:szCs w:val="24"/>
          <w:lang w:val="en-US"/>
        </w:rPr>
        <w:tab/>
        <w:t>Firm</w:t>
      </w:r>
      <w:r w:rsidR="00FE24FA" w:rsidRPr="004129C4">
        <w:rPr>
          <w:rFonts w:ascii="Times New Roman" w:hAnsi="Times New Roman" w:cs="Times New Roman"/>
          <w:iCs/>
          <w:sz w:val="24"/>
          <w:szCs w:val="24"/>
          <w:lang w:val="en-US"/>
        </w:rPr>
        <w:t>s</w:t>
      </w:r>
      <w:r w:rsidRPr="004129C4">
        <w:rPr>
          <w:rFonts w:ascii="Times New Roman" w:hAnsi="Times New Roman" w:cs="Times New Roman"/>
          <w:iCs/>
          <w:sz w:val="24"/>
          <w:szCs w:val="24"/>
          <w:lang w:val="en-US"/>
        </w:rPr>
        <w:t xml:space="preserve"> often </w:t>
      </w:r>
      <w:r w:rsidR="00F83CE6" w:rsidRPr="004129C4">
        <w:rPr>
          <w:rFonts w:ascii="Times New Roman" w:hAnsi="Times New Roman" w:cs="Times New Roman"/>
          <w:iCs/>
          <w:sz w:val="24"/>
          <w:szCs w:val="24"/>
          <w:lang w:val="en-US"/>
        </w:rPr>
        <w:t>regard</w:t>
      </w:r>
      <w:r w:rsidRPr="004129C4">
        <w:rPr>
          <w:rFonts w:ascii="Times New Roman" w:hAnsi="Times New Roman" w:cs="Times New Roman"/>
          <w:iCs/>
          <w:sz w:val="24"/>
          <w:szCs w:val="24"/>
          <w:lang w:val="en-US"/>
        </w:rPr>
        <w:t xml:space="preserve"> financial </w:t>
      </w:r>
      <w:r w:rsidR="005708C1" w:rsidRPr="004129C4">
        <w:rPr>
          <w:rFonts w:ascii="Times New Roman" w:hAnsi="Times New Roman" w:cs="Times New Roman"/>
          <w:iCs/>
          <w:sz w:val="24"/>
          <w:szCs w:val="24"/>
          <w:lang w:val="en-US"/>
        </w:rPr>
        <w:t xml:space="preserve">performance </w:t>
      </w:r>
      <w:r w:rsidR="00F83CE6" w:rsidRPr="004129C4">
        <w:rPr>
          <w:rFonts w:ascii="Times New Roman" w:hAnsi="Times New Roman" w:cs="Times New Roman"/>
          <w:iCs/>
          <w:sz w:val="24"/>
          <w:szCs w:val="24"/>
          <w:lang w:val="en-US"/>
        </w:rPr>
        <w:t>and</w:t>
      </w:r>
      <w:r w:rsidRPr="004129C4">
        <w:rPr>
          <w:rFonts w:ascii="Times New Roman" w:hAnsi="Times New Roman" w:cs="Times New Roman"/>
          <w:iCs/>
          <w:sz w:val="24"/>
          <w:szCs w:val="24"/>
          <w:lang w:val="en-US"/>
        </w:rPr>
        <w:t xml:space="preserve"> employee wellbeing as </w:t>
      </w:r>
      <w:r w:rsidR="00714DE1" w:rsidRPr="004129C4">
        <w:rPr>
          <w:rFonts w:ascii="Times New Roman" w:hAnsi="Times New Roman" w:cs="Times New Roman"/>
          <w:iCs/>
          <w:sz w:val="24"/>
          <w:szCs w:val="24"/>
          <w:lang w:val="en-US"/>
        </w:rPr>
        <w:t xml:space="preserve">the </w:t>
      </w:r>
      <w:r w:rsidRPr="004129C4">
        <w:rPr>
          <w:rFonts w:ascii="Times New Roman" w:hAnsi="Times New Roman" w:cs="Times New Roman"/>
          <w:iCs/>
          <w:sz w:val="24"/>
          <w:szCs w:val="24"/>
          <w:lang w:val="en-US"/>
        </w:rPr>
        <w:t>main pillars of their success</w:t>
      </w:r>
      <w:r w:rsidR="00667F58" w:rsidRPr="004129C4">
        <w:rPr>
          <w:rFonts w:ascii="Times New Roman" w:hAnsi="Times New Roman" w:cs="Times New Roman"/>
          <w:iCs/>
          <w:sz w:val="24"/>
          <w:szCs w:val="24"/>
          <w:lang w:val="en-US"/>
        </w:rPr>
        <w:t xml:space="preserve"> (</w:t>
      </w:r>
      <w:r w:rsidR="00667F58" w:rsidRPr="004129C4">
        <w:rPr>
          <w:rFonts w:ascii="Times New Roman" w:hAnsi="Times New Roman" w:cs="Times New Roman"/>
          <w:color w:val="000000" w:themeColor="text1"/>
          <w:sz w:val="24"/>
          <w:szCs w:val="24"/>
          <w:lang w:val="en-US"/>
        </w:rPr>
        <w:t>Chevron 2018)</w:t>
      </w:r>
      <w:r w:rsidRPr="004129C4">
        <w:rPr>
          <w:rFonts w:ascii="Times New Roman" w:hAnsi="Times New Roman" w:cs="Times New Roman"/>
          <w:iCs/>
          <w:sz w:val="24"/>
          <w:szCs w:val="24"/>
          <w:lang w:val="en-US"/>
        </w:rPr>
        <w:t>.</w:t>
      </w:r>
      <w:r w:rsidR="00910B48" w:rsidRPr="004129C4">
        <w:rPr>
          <w:rFonts w:ascii="Times New Roman" w:hAnsi="Times New Roman" w:cs="Times New Roman"/>
          <w:iCs/>
          <w:sz w:val="24"/>
          <w:szCs w:val="24"/>
          <w:lang w:val="en-US"/>
        </w:rPr>
        <w:t xml:space="preserve"> While </w:t>
      </w:r>
      <w:r w:rsidR="00B717A6" w:rsidRPr="004129C4">
        <w:rPr>
          <w:rFonts w:ascii="Times New Roman" w:hAnsi="Times New Roman" w:cs="Times New Roman"/>
          <w:iCs/>
          <w:sz w:val="24"/>
          <w:szCs w:val="24"/>
          <w:lang w:val="en-US"/>
        </w:rPr>
        <w:t>firms</w:t>
      </w:r>
      <w:r w:rsidR="00910B48" w:rsidRPr="004129C4">
        <w:rPr>
          <w:rFonts w:ascii="Times New Roman" w:hAnsi="Times New Roman" w:cs="Times New Roman"/>
          <w:iCs/>
          <w:sz w:val="24"/>
          <w:szCs w:val="24"/>
          <w:lang w:val="en-US"/>
        </w:rPr>
        <w:t xml:space="preserve"> invest</w:t>
      </w:r>
      <w:r w:rsidR="00910B48" w:rsidRPr="004129C4">
        <w:rPr>
          <w:rFonts w:ascii="Times New Roman" w:hAnsi="Times New Roman" w:cs="Times New Roman"/>
          <w:iCs/>
          <w:sz w:val="24"/>
          <w:szCs w:val="24"/>
          <w:vertAlign w:val="superscript"/>
          <w:lang w:val="en-US"/>
        </w:rPr>
        <w:t xml:space="preserve"> </w:t>
      </w:r>
      <w:r w:rsidRPr="004129C4">
        <w:rPr>
          <w:rFonts w:ascii="Times New Roman" w:hAnsi="Times New Roman" w:cs="Times New Roman"/>
          <w:iCs/>
          <w:sz w:val="24"/>
          <w:szCs w:val="24"/>
          <w:lang w:val="en-US"/>
        </w:rPr>
        <w:t xml:space="preserve">significant resources in creating </w:t>
      </w:r>
      <w:r w:rsidR="004B7E49" w:rsidRPr="004129C4">
        <w:rPr>
          <w:rFonts w:ascii="Times New Roman" w:hAnsi="Times New Roman" w:cs="Times New Roman"/>
          <w:iCs/>
          <w:sz w:val="24"/>
          <w:szCs w:val="24"/>
          <w:lang w:val="en-US"/>
        </w:rPr>
        <w:t xml:space="preserve">a </w:t>
      </w:r>
      <w:r w:rsidRPr="004129C4">
        <w:rPr>
          <w:rFonts w:ascii="Times New Roman" w:hAnsi="Times New Roman" w:cs="Times New Roman"/>
          <w:iCs/>
          <w:sz w:val="24"/>
          <w:szCs w:val="24"/>
          <w:lang w:val="en-US"/>
        </w:rPr>
        <w:t>healthy and environmentally responsible workplace for employees</w:t>
      </w:r>
      <w:r w:rsidR="00667F58" w:rsidRPr="004129C4">
        <w:rPr>
          <w:rFonts w:ascii="Times New Roman" w:hAnsi="Times New Roman" w:cs="Times New Roman"/>
          <w:iCs/>
          <w:sz w:val="24"/>
          <w:szCs w:val="24"/>
          <w:lang w:val="en-US"/>
        </w:rPr>
        <w:t xml:space="preserve"> (</w:t>
      </w:r>
      <w:r w:rsidR="00667F58" w:rsidRPr="004129C4">
        <w:rPr>
          <w:rFonts w:ascii="Times New Roman" w:hAnsi="Times New Roman" w:cs="Times New Roman"/>
          <w:color w:val="000000" w:themeColor="text1"/>
          <w:sz w:val="24"/>
          <w:szCs w:val="24"/>
          <w:lang w:val="en-US"/>
        </w:rPr>
        <w:t>Celgene 2019</w:t>
      </w:r>
      <w:r w:rsidR="00667F58" w:rsidRPr="004129C4">
        <w:rPr>
          <w:rFonts w:ascii="Times New Roman" w:hAnsi="Times New Roman" w:cs="Times New Roman"/>
          <w:iCs/>
          <w:sz w:val="24"/>
          <w:szCs w:val="24"/>
          <w:lang w:val="en-US"/>
        </w:rPr>
        <w:t>)</w:t>
      </w:r>
      <w:r w:rsidR="00910B48" w:rsidRPr="004129C4">
        <w:rPr>
          <w:rFonts w:ascii="Times New Roman" w:hAnsi="Times New Roman" w:cs="Times New Roman"/>
          <w:iCs/>
          <w:sz w:val="24"/>
          <w:szCs w:val="24"/>
          <w:lang w:val="en-US"/>
        </w:rPr>
        <w:t xml:space="preserve">, </w:t>
      </w:r>
      <w:r w:rsidR="00465516">
        <w:rPr>
          <w:rFonts w:ascii="Times New Roman" w:hAnsi="Times New Roman" w:cs="Times New Roman"/>
          <w:iCs/>
          <w:sz w:val="24"/>
          <w:szCs w:val="24"/>
          <w:lang w:val="en-US"/>
        </w:rPr>
        <w:t>little</w:t>
      </w:r>
      <w:r w:rsidR="0034718A">
        <w:rPr>
          <w:rFonts w:ascii="Times New Roman" w:hAnsi="Times New Roman" w:cs="Times New Roman"/>
          <w:iCs/>
          <w:sz w:val="24"/>
          <w:szCs w:val="24"/>
          <w:lang w:val="en-US"/>
        </w:rPr>
        <w:t xml:space="preserve"> is</w:t>
      </w:r>
      <w:r w:rsidR="00465516">
        <w:rPr>
          <w:rFonts w:ascii="Times New Roman" w:hAnsi="Times New Roman" w:cs="Times New Roman"/>
          <w:iCs/>
          <w:sz w:val="24"/>
          <w:szCs w:val="24"/>
          <w:lang w:val="en-US"/>
        </w:rPr>
        <w:t xml:space="preserve"> known about how the compensation structure of CEOs influences workplace misconduct. </w:t>
      </w:r>
      <w:r w:rsidR="00C52FF0" w:rsidRPr="004129C4">
        <w:rPr>
          <w:rFonts w:ascii="Times New Roman" w:hAnsi="Times New Roman" w:cs="Times New Roman"/>
          <w:iCs/>
          <w:sz w:val="24"/>
          <w:szCs w:val="24"/>
          <w:lang w:val="en-US"/>
        </w:rPr>
        <w:t xml:space="preserve">Prior research </w:t>
      </w:r>
      <w:r w:rsidR="001040D1">
        <w:rPr>
          <w:rFonts w:ascii="Times New Roman" w:hAnsi="Times New Roman" w:cs="Times New Roman"/>
          <w:iCs/>
          <w:sz w:val="24"/>
          <w:szCs w:val="24"/>
          <w:lang w:val="en-US"/>
        </w:rPr>
        <w:t>shows</w:t>
      </w:r>
      <w:r w:rsidR="00C52FF0" w:rsidRPr="004129C4">
        <w:rPr>
          <w:rFonts w:ascii="Times New Roman" w:hAnsi="Times New Roman" w:cs="Times New Roman"/>
          <w:iCs/>
          <w:sz w:val="24"/>
          <w:szCs w:val="24"/>
          <w:lang w:val="en-US"/>
        </w:rPr>
        <w:t xml:space="preserve"> that</w:t>
      </w:r>
      <w:r w:rsidR="000A439A" w:rsidRPr="004129C4">
        <w:rPr>
          <w:rFonts w:ascii="Times New Roman" w:hAnsi="Times New Roman" w:cs="Times New Roman"/>
          <w:iCs/>
          <w:sz w:val="24"/>
          <w:szCs w:val="24"/>
          <w:lang w:val="en-US"/>
        </w:rPr>
        <w:t xml:space="preserve"> </w:t>
      </w:r>
      <w:r w:rsidR="00441F3C" w:rsidRPr="004129C4">
        <w:rPr>
          <w:rFonts w:ascii="Times New Roman" w:hAnsi="Times New Roman" w:cs="Times New Roman"/>
          <w:iCs/>
          <w:sz w:val="24"/>
          <w:szCs w:val="24"/>
          <w:lang w:val="en-US"/>
        </w:rPr>
        <w:t xml:space="preserve">equity </w:t>
      </w:r>
      <w:r w:rsidR="00D41FE5" w:rsidRPr="004129C4">
        <w:rPr>
          <w:rFonts w:ascii="Times New Roman" w:hAnsi="Times New Roman" w:cs="Times New Roman"/>
          <w:iCs/>
          <w:sz w:val="24"/>
          <w:szCs w:val="24"/>
          <w:lang w:val="en-US"/>
        </w:rPr>
        <w:t xml:space="preserve">incentives </w:t>
      </w:r>
      <w:r w:rsidR="000A439A" w:rsidRPr="004129C4">
        <w:rPr>
          <w:rFonts w:ascii="Times New Roman" w:hAnsi="Times New Roman" w:cs="Times New Roman"/>
          <w:iCs/>
          <w:sz w:val="24"/>
          <w:szCs w:val="24"/>
          <w:lang w:val="en-US"/>
        </w:rPr>
        <w:t xml:space="preserve">encourage </w:t>
      </w:r>
      <w:r w:rsidR="00C52FF0" w:rsidRPr="004129C4">
        <w:rPr>
          <w:rFonts w:ascii="Times New Roman" w:hAnsi="Times New Roman" w:cs="Times New Roman"/>
          <w:iCs/>
          <w:sz w:val="24"/>
          <w:szCs w:val="24"/>
          <w:lang w:val="en-US"/>
        </w:rPr>
        <w:t xml:space="preserve">CEOs </w:t>
      </w:r>
      <w:r w:rsidR="000A439A" w:rsidRPr="004129C4">
        <w:rPr>
          <w:rFonts w:ascii="Times New Roman" w:hAnsi="Times New Roman" w:cs="Times New Roman"/>
          <w:iCs/>
          <w:sz w:val="24"/>
          <w:szCs w:val="24"/>
          <w:lang w:val="en-US"/>
        </w:rPr>
        <w:t xml:space="preserve">to undertake risky </w:t>
      </w:r>
      <w:r w:rsidR="00900C24" w:rsidRPr="004129C4">
        <w:rPr>
          <w:rFonts w:ascii="Times New Roman" w:hAnsi="Times New Roman" w:cs="Times New Roman"/>
          <w:iCs/>
          <w:sz w:val="24"/>
          <w:szCs w:val="24"/>
          <w:lang w:val="en-US"/>
        </w:rPr>
        <w:t xml:space="preserve">investment </w:t>
      </w:r>
      <w:r w:rsidR="000A439A" w:rsidRPr="004129C4">
        <w:rPr>
          <w:rFonts w:ascii="Times New Roman" w:hAnsi="Times New Roman" w:cs="Times New Roman"/>
          <w:iCs/>
          <w:sz w:val="24"/>
          <w:szCs w:val="24"/>
          <w:lang w:val="en-US"/>
        </w:rPr>
        <w:t>decisions</w:t>
      </w:r>
      <w:r w:rsidR="00C52FF0" w:rsidRPr="004129C4">
        <w:rPr>
          <w:rFonts w:ascii="Times New Roman" w:hAnsi="Times New Roman" w:cs="Times New Roman"/>
          <w:iCs/>
          <w:sz w:val="24"/>
          <w:szCs w:val="24"/>
          <w:lang w:val="en-US"/>
        </w:rPr>
        <w:t xml:space="preserve"> (</w:t>
      </w:r>
      <w:r w:rsidR="00150959" w:rsidRPr="004129C4">
        <w:rPr>
          <w:rFonts w:ascii="Times New Roman" w:hAnsi="Times New Roman" w:cs="Times New Roman"/>
          <w:sz w:val="24"/>
          <w:szCs w:val="24"/>
          <w:lang w:val="en-US"/>
        </w:rPr>
        <w:t>Armstrong and Vashishtha</w:t>
      </w:r>
      <w:r w:rsidR="00C52FF0" w:rsidRPr="004129C4">
        <w:rPr>
          <w:rFonts w:ascii="Times New Roman" w:hAnsi="Times New Roman" w:cs="Times New Roman"/>
          <w:sz w:val="24"/>
          <w:szCs w:val="24"/>
          <w:lang w:val="en-US"/>
        </w:rPr>
        <w:t xml:space="preserve"> 2012; </w:t>
      </w:r>
      <w:r w:rsidR="00C52FF0" w:rsidRPr="00094BA9">
        <w:rPr>
          <w:rFonts w:ascii="Times New Roman" w:hAnsi="Times New Roman" w:cs="Times New Roman"/>
          <w:sz w:val="24"/>
          <w:szCs w:val="24"/>
          <w:lang w:val="en-US"/>
        </w:rPr>
        <w:t>Armstrong,</w:t>
      </w:r>
      <w:r w:rsidR="00150959" w:rsidRPr="00094BA9">
        <w:rPr>
          <w:rFonts w:ascii="Times New Roman" w:hAnsi="Times New Roman" w:cs="Times New Roman"/>
          <w:sz w:val="24"/>
          <w:szCs w:val="24"/>
          <w:lang w:val="en-US"/>
        </w:rPr>
        <w:t xml:space="preserve"> Larcker, Ormazabal and Taylor</w:t>
      </w:r>
      <w:r w:rsidR="00C52FF0" w:rsidRPr="00094BA9">
        <w:rPr>
          <w:rFonts w:ascii="Times New Roman" w:hAnsi="Times New Roman" w:cs="Times New Roman"/>
          <w:sz w:val="24"/>
          <w:szCs w:val="24"/>
          <w:lang w:val="en-US"/>
        </w:rPr>
        <w:t xml:space="preserve"> 2013</w:t>
      </w:r>
      <w:r w:rsidR="00C52FF0" w:rsidRPr="0034718A">
        <w:rPr>
          <w:rFonts w:ascii="Times New Roman" w:hAnsi="Times New Roman" w:cs="Times New Roman"/>
          <w:sz w:val="24"/>
          <w:szCs w:val="24"/>
          <w:lang w:val="en-US"/>
        </w:rPr>
        <w:t xml:space="preserve">). </w:t>
      </w:r>
      <w:r w:rsidR="008B04E8" w:rsidRPr="0034718A">
        <w:rPr>
          <w:rFonts w:ascii="Times New Roman" w:hAnsi="Times New Roman" w:cs="Times New Roman"/>
          <w:sz w:val="24"/>
          <w:szCs w:val="24"/>
          <w:lang w:val="en-US"/>
        </w:rPr>
        <w:t>Given this</w:t>
      </w:r>
      <w:r w:rsidR="00C52FF0" w:rsidRPr="0034718A">
        <w:rPr>
          <w:rFonts w:ascii="Times New Roman" w:hAnsi="Times New Roman" w:cs="Times New Roman"/>
          <w:sz w:val="24"/>
          <w:szCs w:val="24"/>
          <w:lang w:val="en-US"/>
        </w:rPr>
        <w:t xml:space="preserve">, we </w:t>
      </w:r>
      <w:r w:rsidR="0034718A">
        <w:rPr>
          <w:rFonts w:ascii="Times New Roman" w:hAnsi="Times New Roman" w:cs="Times New Roman"/>
          <w:sz w:val="24"/>
          <w:szCs w:val="24"/>
          <w:lang w:val="en-US"/>
        </w:rPr>
        <w:t>conjecture</w:t>
      </w:r>
      <w:r w:rsidR="0034718A" w:rsidRPr="0034718A">
        <w:rPr>
          <w:rFonts w:ascii="Times New Roman" w:hAnsi="Times New Roman" w:cs="Times New Roman"/>
          <w:sz w:val="24"/>
          <w:szCs w:val="24"/>
          <w:lang w:val="en-US"/>
        </w:rPr>
        <w:t xml:space="preserve"> </w:t>
      </w:r>
      <w:r w:rsidR="003D00D6" w:rsidRPr="0034718A">
        <w:rPr>
          <w:rFonts w:ascii="Times New Roman" w:hAnsi="Times New Roman" w:cs="Times New Roman"/>
          <w:sz w:val="24"/>
          <w:szCs w:val="24"/>
          <w:lang w:val="en-US"/>
        </w:rPr>
        <w:t xml:space="preserve">that </w:t>
      </w:r>
      <w:r w:rsidR="00C52FF0" w:rsidRPr="0034718A">
        <w:rPr>
          <w:rFonts w:ascii="Times New Roman" w:hAnsi="Times New Roman" w:cs="Times New Roman"/>
          <w:sz w:val="24"/>
          <w:szCs w:val="24"/>
          <w:lang w:val="en-US"/>
        </w:rPr>
        <w:t>CEOs subject to</w:t>
      </w:r>
      <w:r w:rsidR="003D14DE" w:rsidRPr="0034718A">
        <w:rPr>
          <w:rFonts w:ascii="Times New Roman" w:hAnsi="Times New Roman" w:cs="Times New Roman"/>
          <w:sz w:val="24"/>
          <w:szCs w:val="24"/>
          <w:lang w:val="en-US"/>
        </w:rPr>
        <w:t xml:space="preserve"> </w:t>
      </w:r>
      <w:r w:rsidR="00C52FF0" w:rsidRPr="0034718A">
        <w:rPr>
          <w:rFonts w:ascii="Times New Roman" w:hAnsi="Times New Roman" w:cs="Times New Roman"/>
          <w:sz w:val="24"/>
          <w:szCs w:val="24"/>
          <w:lang w:val="en-US"/>
        </w:rPr>
        <w:t>risk taking equity incentives</w:t>
      </w:r>
      <w:r w:rsidR="00900C24" w:rsidRPr="0034718A">
        <w:rPr>
          <w:rFonts w:ascii="Times New Roman" w:hAnsi="Times New Roman" w:cs="Times New Roman"/>
          <w:sz w:val="24"/>
          <w:szCs w:val="24"/>
          <w:lang w:val="en-US"/>
        </w:rPr>
        <w:t xml:space="preserve"> take riskier </w:t>
      </w:r>
      <w:r w:rsidR="003247F3" w:rsidRPr="0034718A">
        <w:rPr>
          <w:rFonts w:ascii="Times New Roman" w:hAnsi="Times New Roman" w:cs="Times New Roman"/>
          <w:sz w:val="24"/>
          <w:szCs w:val="24"/>
          <w:lang w:val="en-US"/>
        </w:rPr>
        <w:t xml:space="preserve">strategic </w:t>
      </w:r>
      <w:r w:rsidR="00900C24" w:rsidRPr="0034718A">
        <w:rPr>
          <w:rFonts w:ascii="Times New Roman" w:hAnsi="Times New Roman" w:cs="Times New Roman"/>
          <w:sz w:val="24"/>
          <w:szCs w:val="24"/>
          <w:lang w:val="en-US"/>
        </w:rPr>
        <w:t>workplace decisions</w:t>
      </w:r>
      <w:r w:rsidR="00910B48" w:rsidRPr="0034718A">
        <w:rPr>
          <w:rFonts w:ascii="Times New Roman" w:hAnsi="Times New Roman" w:cs="Times New Roman"/>
          <w:sz w:val="24"/>
          <w:szCs w:val="24"/>
          <w:lang w:val="en-US"/>
        </w:rPr>
        <w:t xml:space="preserve"> </w:t>
      </w:r>
      <w:r w:rsidR="00D04C9D" w:rsidRPr="0034718A">
        <w:rPr>
          <w:rFonts w:ascii="Times New Roman" w:hAnsi="Times New Roman" w:cs="Times New Roman"/>
          <w:sz w:val="24"/>
          <w:szCs w:val="24"/>
          <w:lang w:val="en-US"/>
        </w:rPr>
        <w:t>that</w:t>
      </w:r>
      <w:r w:rsidR="00910B48" w:rsidRPr="0034718A">
        <w:rPr>
          <w:rFonts w:ascii="Times New Roman" w:hAnsi="Times New Roman" w:cs="Times New Roman"/>
          <w:sz w:val="24"/>
          <w:szCs w:val="24"/>
          <w:lang w:val="en-US"/>
        </w:rPr>
        <w:t xml:space="preserve"> </w:t>
      </w:r>
      <w:r w:rsidR="009E6D55">
        <w:rPr>
          <w:rFonts w:ascii="Times New Roman" w:hAnsi="Times New Roman" w:cs="Times New Roman"/>
          <w:sz w:val="24"/>
          <w:szCs w:val="24"/>
          <w:lang w:val="en-US"/>
        </w:rPr>
        <w:t xml:space="preserve">can </w:t>
      </w:r>
      <w:r w:rsidR="000A439A" w:rsidRPr="0034718A">
        <w:rPr>
          <w:rFonts w:ascii="Times New Roman" w:hAnsi="Times New Roman" w:cs="Times New Roman"/>
          <w:iCs/>
          <w:sz w:val="24"/>
          <w:szCs w:val="24"/>
          <w:lang w:val="en-US"/>
        </w:rPr>
        <w:t>result</w:t>
      </w:r>
      <w:r w:rsidR="00900C24" w:rsidRPr="0034718A">
        <w:rPr>
          <w:rFonts w:ascii="Times New Roman" w:hAnsi="Times New Roman" w:cs="Times New Roman"/>
          <w:iCs/>
          <w:sz w:val="24"/>
          <w:szCs w:val="24"/>
          <w:lang w:val="en-US"/>
        </w:rPr>
        <w:t xml:space="preserve"> in</w:t>
      </w:r>
      <w:r w:rsidR="00F83CE6" w:rsidRPr="0034718A">
        <w:rPr>
          <w:rFonts w:ascii="Times New Roman" w:hAnsi="Times New Roman" w:cs="Times New Roman"/>
          <w:iCs/>
          <w:sz w:val="24"/>
          <w:szCs w:val="24"/>
          <w:lang w:val="en-US"/>
        </w:rPr>
        <w:t xml:space="preserve"> workplace misconduct</w:t>
      </w:r>
      <w:r w:rsidR="00910B48" w:rsidRPr="0034718A">
        <w:rPr>
          <w:rFonts w:ascii="Times New Roman" w:hAnsi="Times New Roman" w:cs="Times New Roman"/>
          <w:iCs/>
          <w:sz w:val="24"/>
          <w:szCs w:val="24"/>
          <w:lang w:val="en-US"/>
        </w:rPr>
        <w:t>.</w:t>
      </w:r>
    </w:p>
    <w:p w14:paraId="67E8BB63" w14:textId="1D0D04FF" w:rsidR="00B279BE" w:rsidRPr="00EA25A1" w:rsidRDefault="003D00D6" w:rsidP="00343F87">
      <w:pPr>
        <w:autoSpaceDE w:val="0"/>
        <w:autoSpaceDN w:val="0"/>
        <w:adjustRightInd w:val="0"/>
        <w:spacing w:after="0" w:line="480" w:lineRule="auto"/>
        <w:ind w:firstLine="720"/>
        <w:jc w:val="both"/>
        <w:rPr>
          <w:rFonts w:ascii="Times New Roman" w:hAnsi="Times New Roman" w:cs="Times New Roman"/>
          <w:sz w:val="24"/>
          <w:szCs w:val="24"/>
          <w:highlight w:val="yellow"/>
          <w:lang w:val="en-US"/>
        </w:rPr>
      </w:pPr>
      <w:r w:rsidRPr="0034718A">
        <w:rPr>
          <w:rFonts w:ascii="Times New Roman" w:hAnsi="Times New Roman" w:cs="Times New Roman"/>
          <w:sz w:val="24"/>
          <w:szCs w:val="24"/>
          <w:lang w:val="en-US"/>
        </w:rPr>
        <w:t xml:space="preserve">To test this </w:t>
      </w:r>
      <w:r w:rsidR="0034718A">
        <w:rPr>
          <w:rFonts w:ascii="Times New Roman" w:hAnsi="Times New Roman" w:cs="Times New Roman"/>
          <w:sz w:val="24"/>
          <w:szCs w:val="24"/>
          <w:lang w:val="en-US"/>
        </w:rPr>
        <w:t>conjecture</w:t>
      </w:r>
      <w:r w:rsidRPr="0034718A">
        <w:rPr>
          <w:rFonts w:ascii="Times New Roman" w:hAnsi="Times New Roman" w:cs="Times New Roman"/>
          <w:sz w:val="24"/>
          <w:szCs w:val="24"/>
          <w:lang w:val="en-US"/>
        </w:rPr>
        <w:t xml:space="preserve"> w</w:t>
      </w:r>
      <w:r w:rsidR="00B279BE" w:rsidRPr="0034718A">
        <w:rPr>
          <w:rFonts w:ascii="Times New Roman" w:hAnsi="Times New Roman" w:cs="Times New Roman"/>
          <w:sz w:val="24"/>
          <w:szCs w:val="24"/>
          <w:lang w:val="en-US"/>
        </w:rPr>
        <w:t>e</w:t>
      </w:r>
      <w:r w:rsidR="00714DE1" w:rsidRPr="0034718A">
        <w:rPr>
          <w:rFonts w:ascii="Times New Roman" w:hAnsi="Times New Roman" w:cs="Times New Roman"/>
          <w:sz w:val="24"/>
          <w:szCs w:val="24"/>
          <w:lang w:val="en-US"/>
        </w:rPr>
        <w:t xml:space="preserve"> </w:t>
      </w:r>
      <w:r w:rsidR="00D04C9D" w:rsidRPr="0034718A">
        <w:rPr>
          <w:rFonts w:ascii="Times New Roman" w:hAnsi="Times New Roman" w:cs="Times New Roman"/>
          <w:sz w:val="24"/>
          <w:szCs w:val="24"/>
          <w:lang w:val="en-US"/>
        </w:rPr>
        <w:t>use data</w:t>
      </w:r>
      <w:r w:rsidR="00D04C9D" w:rsidRPr="004129C4">
        <w:rPr>
          <w:rFonts w:ascii="Times New Roman" w:hAnsi="Times New Roman" w:cs="Times New Roman"/>
          <w:sz w:val="24"/>
          <w:szCs w:val="24"/>
          <w:lang w:val="en-US"/>
        </w:rPr>
        <w:t xml:space="preserve"> on violations and the ensuing penalties issued by more than 40 federal regulatory agencies and the U.S. Justice Department </w:t>
      </w:r>
      <w:r w:rsidR="00D04C9D">
        <w:rPr>
          <w:rFonts w:ascii="Times New Roman" w:hAnsi="Times New Roman" w:cs="Times New Roman"/>
          <w:sz w:val="24"/>
          <w:szCs w:val="24"/>
          <w:lang w:val="en-US"/>
        </w:rPr>
        <w:t xml:space="preserve">from </w:t>
      </w:r>
      <w:r w:rsidR="00065CDF" w:rsidRPr="004129C4">
        <w:rPr>
          <w:rFonts w:ascii="Times New Roman" w:hAnsi="Times New Roman" w:cs="Times New Roman"/>
          <w:sz w:val="24"/>
          <w:szCs w:val="24"/>
          <w:lang w:val="en-US"/>
        </w:rPr>
        <w:t>Violation</w:t>
      </w:r>
      <w:r w:rsidR="009C04D2" w:rsidRPr="004129C4">
        <w:rPr>
          <w:rFonts w:ascii="Times New Roman" w:hAnsi="Times New Roman" w:cs="Times New Roman"/>
          <w:sz w:val="24"/>
          <w:szCs w:val="24"/>
          <w:lang w:val="en-US"/>
        </w:rPr>
        <w:t xml:space="preserve"> </w:t>
      </w:r>
      <w:r w:rsidR="00065CDF" w:rsidRPr="004129C4">
        <w:rPr>
          <w:rFonts w:ascii="Times New Roman" w:hAnsi="Times New Roman" w:cs="Times New Roman"/>
          <w:sz w:val="24"/>
          <w:szCs w:val="24"/>
          <w:lang w:val="en-US"/>
        </w:rPr>
        <w:t>Tracker</w:t>
      </w:r>
      <w:r w:rsidR="00B279BE" w:rsidRPr="004129C4">
        <w:rPr>
          <w:rFonts w:ascii="Times New Roman" w:hAnsi="Times New Roman" w:cs="Times New Roman"/>
          <w:sz w:val="24"/>
          <w:szCs w:val="24"/>
          <w:lang w:val="en-US"/>
        </w:rPr>
        <w:t xml:space="preserve">. We merge this </w:t>
      </w:r>
      <w:r w:rsidR="00885542" w:rsidRPr="004129C4">
        <w:rPr>
          <w:rFonts w:ascii="Times New Roman" w:hAnsi="Times New Roman" w:cs="Times New Roman"/>
          <w:sz w:val="24"/>
          <w:szCs w:val="24"/>
          <w:lang w:val="en-US"/>
        </w:rPr>
        <w:t xml:space="preserve">dataset with </w:t>
      </w:r>
      <w:r w:rsidR="00B279BE" w:rsidRPr="004129C4">
        <w:rPr>
          <w:rFonts w:ascii="Times New Roman" w:hAnsi="Times New Roman" w:cs="Times New Roman"/>
          <w:sz w:val="24"/>
          <w:szCs w:val="24"/>
          <w:lang w:val="en-US"/>
        </w:rPr>
        <w:t>data on executive compensation and firm characteristics</w:t>
      </w:r>
      <w:r w:rsidR="002034FE" w:rsidRPr="004129C4">
        <w:rPr>
          <w:rFonts w:ascii="Times New Roman" w:hAnsi="Times New Roman" w:cs="Times New Roman"/>
          <w:sz w:val="24"/>
          <w:szCs w:val="24"/>
          <w:lang w:val="en-US"/>
        </w:rPr>
        <w:t xml:space="preserve"> from </w:t>
      </w:r>
      <w:proofErr w:type="spellStart"/>
      <w:r w:rsidR="002034FE" w:rsidRPr="004129C4">
        <w:rPr>
          <w:rFonts w:ascii="Times New Roman" w:hAnsi="Times New Roman" w:cs="Times New Roman"/>
          <w:sz w:val="24"/>
          <w:szCs w:val="24"/>
          <w:lang w:val="en-US"/>
        </w:rPr>
        <w:t>Execucomp</w:t>
      </w:r>
      <w:proofErr w:type="spellEnd"/>
      <w:r w:rsidR="002034FE" w:rsidRPr="004129C4">
        <w:rPr>
          <w:rFonts w:ascii="Times New Roman" w:hAnsi="Times New Roman" w:cs="Times New Roman"/>
          <w:sz w:val="24"/>
          <w:szCs w:val="24"/>
          <w:lang w:val="en-US"/>
        </w:rPr>
        <w:t xml:space="preserve"> and </w:t>
      </w:r>
      <w:proofErr w:type="spellStart"/>
      <w:r w:rsidR="002034FE" w:rsidRPr="004129C4">
        <w:rPr>
          <w:rFonts w:ascii="Times New Roman" w:hAnsi="Times New Roman" w:cs="Times New Roman"/>
          <w:sz w:val="24"/>
          <w:szCs w:val="24"/>
          <w:lang w:val="en-US"/>
        </w:rPr>
        <w:t>Compustat</w:t>
      </w:r>
      <w:proofErr w:type="spellEnd"/>
      <w:r w:rsidR="002034FE" w:rsidRPr="004129C4">
        <w:rPr>
          <w:rFonts w:ascii="Times New Roman" w:hAnsi="Times New Roman" w:cs="Times New Roman"/>
          <w:sz w:val="24"/>
          <w:szCs w:val="24"/>
          <w:lang w:val="en-US"/>
        </w:rPr>
        <w:t>, respectively.</w:t>
      </w:r>
      <w:r w:rsidR="00B279BE" w:rsidRPr="004129C4">
        <w:rPr>
          <w:rFonts w:ascii="Times New Roman" w:hAnsi="Times New Roman" w:cs="Times New Roman"/>
          <w:sz w:val="24"/>
          <w:szCs w:val="24"/>
          <w:lang w:val="en-US"/>
        </w:rPr>
        <w:t xml:space="preserve"> </w:t>
      </w:r>
      <w:r w:rsidR="002034FE" w:rsidRPr="00EA25A1">
        <w:rPr>
          <w:rFonts w:ascii="Times New Roman" w:hAnsi="Times New Roman" w:cs="Times New Roman"/>
          <w:sz w:val="24"/>
          <w:szCs w:val="24"/>
          <w:lang w:val="en-US"/>
        </w:rPr>
        <w:t xml:space="preserve">Our final </w:t>
      </w:r>
      <w:r w:rsidR="00B279BE" w:rsidRPr="00EA25A1">
        <w:rPr>
          <w:rFonts w:ascii="Times New Roman" w:hAnsi="Times New Roman" w:cs="Times New Roman"/>
          <w:sz w:val="24"/>
          <w:szCs w:val="24"/>
          <w:lang w:val="en-US"/>
        </w:rPr>
        <w:t>sample</w:t>
      </w:r>
      <w:r w:rsidR="0027131E" w:rsidRPr="00EA25A1">
        <w:rPr>
          <w:rFonts w:ascii="Times New Roman" w:hAnsi="Times New Roman" w:cs="Times New Roman"/>
          <w:sz w:val="24"/>
          <w:szCs w:val="24"/>
          <w:lang w:val="en-US"/>
        </w:rPr>
        <w:t xml:space="preserve"> consists</w:t>
      </w:r>
      <w:r w:rsidR="00B279BE" w:rsidRPr="00EA25A1">
        <w:rPr>
          <w:rFonts w:ascii="Times New Roman" w:hAnsi="Times New Roman" w:cs="Times New Roman"/>
          <w:sz w:val="24"/>
          <w:szCs w:val="24"/>
          <w:lang w:val="en-US"/>
        </w:rPr>
        <w:t xml:space="preserve"> of </w:t>
      </w:r>
      <w:r w:rsidR="00DB1895" w:rsidRPr="00EA25A1">
        <w:rPr>
          <w:rFonts w:ascii="Times New Roman" w:hAnsi="Times New Roman" w:cs="Times New Roman"/>
          <w:sz w:val="24"/>
          <w:szCs w:val="24"/>
          <w:lang w:val="en-US"/>
        </w:rPr>
        <w:t>17,831</w:t>
      </w:r>
      <w:r w:rsidR="00714DE1" w:rsidRPr="00EA25A1">
        <w:rPr>
          <w:rFonts w:ascii="Times New Roman" w:hAnsi="Times New Roman" w:cs="Times New Roman"/>
          <w:sz w:val="24"/>
          <w:szCs w:val="24"/>
          <w:lang w:val="en-US"/>
        </w:rPr>
        <w:t xml:space="preserve"> </w:t>
      </w:r>
      <w:r w:rsidR="00B279BE" w:rsidRPr="00EA25A1">
        <w:rPr>
          <w:rFonts w:ascii="Times New Roman" w:hAnsi="Times New Roman" w:cs="Times New Roman"/>
          <w:sz w:val="24"/>
          <w:szCs w:val="24"/>
          <w:lang w:val="en-US"/>
        </w:rPr>
        <w:t>firm-year observations</w:t>
      </w:r>
      <w:r w:rsidR="005F42F0" w:rsidRPr="00EA25A1">
        <w:rPr>
          <w:rFonts w:ascii="Times New Roman" w:hAnsi="Times New Roman" w:cs="Times New Roman"/>
          <w:sz w:val="24"/>
          <w:szCs w:val="24"/>
          <w:lang w:val="en-US"/>
        </w:rPr>
        <w:t xml:space="preserve"> for </w:t>
      </w:r>
      <w:r w:rsidR="00714DE1" w:rsidRPr="00EA25A1">
        <w:rPr>
          <w:rFonts w:ascii="Times New Roman" w:hAnsi="Times New Roman" w:cs="Times New Roman"/>
          <w:sz w:val="24"/>
          <w:szCs w:val="24"/>
          <w:lang w:val="en-US"/>
        </w:rPr>
        <w:t>1,</w:t>
      </w:r>
      <w:r w:rsidR="00E40191" w:rsidRPr="00EA25A1">
        <w:rPr>
          <w:rFonts w:ascii="Times New Roman" w:hAnsi="Times New Roman" w:cs="Times New Roman"/>
          <w:sz w:val="24"/>
          <w:szCs w:val="24"/>
          <w:lang w:val="en-US"/>
        </w:rPr>
        <w:t>916</w:t>
      </w:r>
      <w:r w:rsidR="00714DE1" w:rsidRPr="00EA25A1">
        <w:rPr>
          <w:rFonts w:ascii="Times New Roman" w:hAnsi="Times New Roman" w:cs="Times New Roman"/>
          <w:sz w:val="24"/>
          <w:szCs w:val="24"/>
          <w:lang w:val="en-US"/>
        </w:rPr>
        <w:t xml:space="preserve"> </w:t>
      </w:r>
      <w:r w:rsidR="00B279BE" w:rsidRPr="00EA25A1">
        <w:rPr>
          <w:rFonts w:ascii="Times New Roman" w:hAnsi="Times New Roman" w:cs="Times New Roman"/>
          <w:sz w:val="24"/>
          <w:szCs w:val="24"/>
          <w:lang w:val="en-US"/>
        </w:rPr>
        <w:t xml:space="preserve">unique firms from 2000 to 2018. </w:t>
      </w:r>
      <w:r w:rsidR="00E40191" w:rsidRPr="00EA25A1">
        <w:rPr>
          <w:rFonts w:ascii="Times New Roman" w:hAnsi="Times New Roman" w:cs="Times New Roman"/>
          <w:sz w:val="24"/>
          <w:szCs w:val="24"/>
          <w:lang w:val="en-US"/>
        </w:rPr>
        <w:t>Firms in our sample</w:t>
      </w:r>
      <w:r w:rsidR="00B279BE" w:rsidRPr="00EA25A1">
        <w:rPr>
          <w:rFonts w:ascii="Times New Roman" w:hAnsi="Times New Roman" w:cs="Times New Roman"/>
          <w:sz w:val="24"/>
          <w:szCs w:val="24"/>
          <w:lang w:val="en-US"/>
        </w:rPr>
        <w:t xml:space="preserve"> have on average </w:t>
      </w:r>
      <w:r w:rsidR="00E40191" w:rsidRPr="00EA25A1">
        <w:rPr>
          <w:rFonts w:ascii="Times New Roman" w:hAnsi="Times New Roman" w:cs="Times New Roman"/>
          <w:sz w:val="24"/>
          <w:szCs w:val="24"/>
          <w:lang w:val="en-US"/>
        </w:rPr>
        <w:t>0.406</w:t>
      </w:r>
      <w:r w:rsidR="00714DE1" w:rsidRPr="00EA25A1">
        <w:rPr>
          <w:rFonts w:ascii="Times New Roman" w:hAnsi="Times New Roman" w:cs="Times New Roman"/>
          <w:sz w:val="24"/>
          <w:szCs w:val="24"/>
          <w:lang w:val="en-US"/>
        </w:rPr>
        <w:t xml:space="preserve"> </w:t>
      </w:r>
      <w:r w:rsidR="00B279BE" w:rsidRPr="00EA25A1">
        <w:rPr>
          <w:rFonts w:ascii="Times New Roman" w:hAnsi="Times New Roman" w:cs="Times New Roman"/>
          <w:sz w:val="24"/>
          <w:szCs w:val="24"/>
          <w:lang w:val="en-US"/>
        </w:rPr>
        <w:t xml:space="preserve">violations per year </w:t>
      </w:r>
      <w:r w:rsidR="00C03323" w:rsidRPr="00EA25A1">
        <w:rPr>
          <w:rFonts w:ascii="Times New Roman" w:hAnsi="Times New Roman" w:cs="Times New Roman"/>
          <w:sz w:val="24"/>
          <w:szCs w:val="24"/>
          <w:lang w:val="en-US"/>
        </w:rPr>
        <w:t xml:space="preserve">corresponding to </w:t>
      </w:r>
      <w:r w:rsidR="00AB0984" w:rsidRPr="00EA25A1">
        <w:rPr>
          <w:rFonts w:ascii="Times New Roman" w:hAnsi="Times New Roman" w:cs="Times New Roman"/>
          <w:sz w:val="24"/>
          <w:szCs w:val="24"/>
          <w:lang w:val="en-US"/>
        </w:rPr>
        <w:t xml:space="preserve">an </w:t>
      </w:r>
      <w:r w:rsidR="00B279BE" w:rsidRPr="00EA25A1">
        <w:rPr>
          <w:rFonts w:ascii="Times New Roman" w:hAnsi="Times New Roman" w:cs="Times New Roman"/>
          <w:sz w:val="24"/>
          <w:szCs w:val="24"/>
          <w:lang w:val="en-US"/>
        </w:rPr>
        <w:t xml:space="preserve">average penalty of </w:t>
      </w:r>
      <w:r w:rsidR="005F42F0" w:rsidRPr="00EA25A1">
        <w:rPr>
          <w:rFonts w:ascii="Times New Roman" w:hAnsi="Times New Roman" w:cs="Times New Roman"/>
          <w:sz w:val="24"/>
          <w:szCs w:val="24"/>
          <w:lang w:val="en-US"/>
        </w:rPr>
        <w:t>$</w:t>
      </w:r>
      <w:r w:rsidR="00E40191" w:rsidRPr="00EA25A1">
        <w:rPr>
          <w:rFonts w:ascii="Times New Roman" w:hAnsi="Times New Roman" w:cs="Times New Roman"/>
          <w:sz w:val="24"/>
          <w:szCs w:val="24"/>
          <w:lang w:val="en-US"/>
        </w:rPr>
        <w:t xml:space="preserve">148,000 </w:t>
      </w:r>
      <w:r w:rsidR="00C03323" w:rsidRPr="00EA25A1">
        <w:rPr>
          <w:rFonts w:ascii="Times New Roman" w:hAnsi="Times New Roman" w:cs="Times New Roman"/>
          <w:sz w:val="24"/>
          <w:szCs w:val="24"/>
          <w:lang w:val="en-US"/>
        </w:rPr>
        <w:t xml:space="preserve">per </w:t>
      </w:r>
      <w:r w:rsidR="00F0000F" w:rsidRPr="00EA25A1">
        <w:rPr>
          <w:rFonts w:ascii="Times New Roman" w:hAnsi="Times New Roman" w:cs="Times New Roman"/>
          <w:sz w:val="24"/>
          <w:szCs w:val="24"/>
          <w:lang w:val="en-US"/>
        </w:rPr>
        <w:t>year</w:t>
      </w:r>
      <w:r w:rsidR="00C03323" w:rsidRPr="00EA25A1">
        <w:rPr>
          <w:rFonts w:ascii="Times New Roman" w:hAnsi="Times New Roman" w:cs="Times New Roman"/>
          <w:sz w:val="24"/>
          <w:szCs w:val="24"/>
          <w:lang w:val="en-US"/>
        </w:rPr>
        <w:t>.</w:t>
      </w:r>
      <w:r w:rsidR="00343F87" w:rsidRPr="00EA25A1">
        <w:rPr>
          <w:rFonts w:ascii="Times New Roman" w:hAnsi="Times New Roman" w:cs="Times New Roman"/>
          <w:sz w:val="24"/>
          <w:szCs w:val="24"/>
          <w:lang w:val="en-US"/>
        </w:rPr>
        <w:t xml:space="preserve"> </w:t>
      </w:r>
    </w:p>
    <w:p w14:paraId="39DE2ADA" w14:textId="4098A205" w:rsidR="00D04C9D" w:rsidRDefault="000B23CC" w:rsidP="00150959">
      <w:pPr>
        <w:autoSpaceDE w:val="0"/>
        <w:autoSpaceDN w:val="0"/>
        <w:adjustRightInd w:val="0"/>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We examine</w:t>
      </w:r>
      <w:r w:rsidR="00594700" w:rsidRPr="00EA25A1">
        <w:rPr>
          <w:rFonts w:ascii="Times New Roman" w:hAnsi="Times New Roman" w:cs="Times New Roman"/>
          <w:sz w:val="24"/>
          <w:szCs w:val="24"/>
          <w:lang w:val="en-US"/>
        </w:rPr>
        <w:t xml:space="preserve"> </w:t>
      </w:r>
      <w:r w:rsidR="002C3AD5" w:rsidRPr="00EA25A1">
        <w:rPr>
          <w:rFonts w:ascii="Times New Roman" w:hAnsi="Times New Roman" w:cs="Times New Roman"/>
          <w:sz w:val="24"/>
          <w:szCs w:val="24"/>
          <w:lang w:val="en-US"/>
        </w:rPr>
        <w:t>the relation</w:t>
      </w:r>
      <w:r w:rsidR="00BD7BEB">
        <w:rPr>
          <w:rFonts w:ascii="Times New Roman" w:hAnsi="Times New Roman" w:cs="Times New Roman"/>
          <w:sz w:val="24"/>
          <w:szCs w:val="24"/>
          <w:lang w:val="en-US"/>
        </w:rPr>
        <w:t>ship</w:t>
      </w:r>
      <w:r w:rsidR="002C3AD5" w:rsidRPr="00EA25A1">
        <w:rPr>
          <w:rFonts w:ascii="Times New Roman" w:hAnsi="Times New Roman" w:cs="Times New Roman"/>
          <w:sz w:val="24"/>
          <w:szCs w:val="24"/>
          <w:lang w:val="en-US"/>
        </w:rPr>
        <w:t xml:space="preserve"> between</w:t>
      </w:r>
      <w:r w:rsidR="00B20AEA" w:rsidRPr="00EA25A1">
        <w:rPr>
          <w:rFonts w:ascii="Times New Roman" w:hAnsi="Times New Roman" w:cs="Times New Roman"/>
          <w:sz w:val="24"/>
          <w:szCs w:val="24"/>
          <w:lang w:val="en-US"/>
        </w:rPr>
        <w:t xml:space="preserve"> </w:t>
      </w:r>
      <w:r w:rsidR="00C301BC" w:rsidRPr="00EA25A1">
        <w:rPr>
          <w:rFonts w:ascii="Times New Roman" w:hAnsi="Times New Roman" w:cs="Times New Roman"/>
          <w:sz w:val="24"/>
          <w:szCs w:val="24"/>
          <w:lang w:val="en-US"/>
        </w:rPr>
        <w:t>risk taking</w:t>
      </w:r>
      <w:r w:rsidR="00B20AEA" w:rsidRPr="00EA25A1">
        <w:rPr>
          <w:rFonts w:ascii="Times New Roman" w:hAnsi="Times New Roman" w:cs="Times New Roman"/>
          <w:sz w:val="24"/>
          <w:szCs w:val="24"/>
          <w:lang w:val="en-US"/>
        </w:rPr>
        <w:t xml:space="preserve"> incentives </w:t>
      </w:r>
      <w:r w:rsidR="005F42F0" w:rsidRPr="00EA25A1">
        <w:rPr>
          <w:rFonts w:ascii="Times New Roman" w:hAnsi="Times New Roman" w:cs="Times New Roman"/>
          <w:sz w:val="24"/>
          <w:szCs w:val="24"/>
          <w:lang w:val="en-US"/>
        </w:rPr>
        <w:t>and workplace</w:t>
      </w:r>
      <w:r w:rsidR="00442F40" w:rsidRPr="00EA25A1">
        <w:rPr>
          <w:rFonts w:ascii="Times New Roman" w:hAnsi="Times New Roman" w:cs="Times New Roman"/>
          <w:sz w:val="24"/>
          <w:szCs w:val="24"/>
          <w:lang w:val="en-US"/>
        </w:rPr>
        <w:t xml:space="preserve"> violations</w:t>
      </w:r>
      <w:r w:rsidR="008F37DE" w:rsidRPr="00EA25A1">
        <w:rPr>
          <w:rFonts w:ascii="Times New Roman" w:hAnsi="Times New Roman" w:cs="Times New Roman"/>
          <w:sz w:val="24"/>
          <w:szCs w:val="24"/>
          <w:lang w:val="en-US"/>
        </w:rPr>
        <w:t xml:space="preserve"> as follows</w:t>
      </w:r>
      <w:r w:rsidR="000D4578">
        <w:rPr>
          <w:rFonts w:ascii="Times New Roman" w:hAnsi="Times New Roman" w:cs="Times New Roman"/>
          <w:sz w:val="24"/>
          <w:szCs w:val="24"/>
          <w:lang w:val="en-US"/>
        </w:rPr>
        <w:t>.</w:t>
      </w:r>
      <w:r w:rsidR="008F37DE" w:rsidRPr="00EA25A1">
        <w:rPr>
          <w:rFonts w:ascii="Times New Roman" w:hAnsi="Times New Roman" w:cs="Times New Roman"/>
          <w:sz w:val="24"/>
          <w:szCs w:val="24"/>
          <w:lang w:val="en-US"/>
        </w:rPr>
        <w:t xml:space="preserve"> </w:t>
      </w:r>
      <w:r w:rsidR="00B279BE" w:rsidRPr="00EA25A1">
        <w:rPr>
          <w:rFonts w:ascii="Times New Roman" w:hAnsi="Times New Roman" w:cs="Times New Roman"/>
          <w:sz w:val="24"/>
          <w:szCs w:val="24"/>
          <w:lang w:val="en-US"/>
        </w:rPr>
        <w:t>First, w</w:t>
      </w:r>
      <w:r w:rsidR="00442F40" w:rsidRPr="00EA25A1">
        <w:rPr>
          <w:rFonts w:ascii="Times New Roman" w:hAnsi="Times New Roman" w:cs="Times New Roman"/>
          <w:sz w:val="24"/>
          <w:szCs w:val="24"/>
          <w:lang w:val="en-US"/>
        </w:rPr>
        <w:t xml:space="preserve">e distinguish between </w:t>
      </w:r>
      <w:r w:rsidR="00C301BC" w:rsidRPr="00EA25A1">
        <w:rPr>
          <w:rFonts w:ascii="Times New Roman" w:hAnsi="Times New Roman" w:cs="Times New Roman"/>
          <w:sz w:val="24"/>
          <w:szCs w:val="24"/>
          <w:lang w:val="en-US"/>
        </w:rPr>
        <w:t>risk taking</w:t>
      </w:r>
      <w:r w:rsidR="00442F40" w:rsidRPr="00EA25A1">
        <w:rPr>
          <w:rFonts w:ascii="Times New Roman" w:hAnsi="Times New Roman" w:cs="Times New Roman"/>
          <w:sz w:val="24"/>
          <w:szCs w:val="24"/>
          <w:lang w:val="en-US"/>
        </w:rPr>
        <w:t xml:space="preserve"> incentives </w:t>
      </w:r>
      <w:r w:rsidR="00E3188C" w:rsidRPr="00EA25A1">
        <w:rPr>
          <w:rFonts w:ascii="Times New Roman" w:hAnsi="Times New Roman" w:cs="Times New Roman"/>
          <w:sz w:val="24"/>
          <w:szCs w:val="24"/>
          <w:lang w:val="en-US"/>
        </w:rPr>
        <w:t>arising</w:t>
      </w:r>
      <w:r w:rsidR="00442F40" w:rsidRPr="00EA25A1">
        <w:rPr>
          <w:rFonts w:ascii="Times New Roman" w:hAnsi="Times New Roman" w:cs="Times New Roman"/>
          <w:sz w:val="24"/>
          <w:szCs w:val="24"/>
          <w:lang w:val="en-US"/>
        </w:rPr>
        <w:t xml:space="preserve"> from </w:t>
      </w:r>
      <w:proofErr w:type="spellStart"/>
      <w:r w:rsidR="00442F40" w:rsidRPr="00EA25A1">
        <w:rPr>
          <w:rFonts w:ascii="Times New Roman" w:hAnsi="Times New Roman" w:cs="Times New Roman"/>
          <w:sz w:val="24"/>
          <w:szCs w:val="24"/>
          <w:lang w:val="en-US"/>
        </w:rPr>
        <w:t>v</w:t>
      </w:r>
      <w:r w:rsidR="00B303DF" w:rsidRPr="00EA25A1">
        <w:rPr>
          <w:rFonts w:ascii="Times New Roman" w:hAnsi="Times New Roman" w:cs="Times New Roman"/>
          <w:sz w:val="24"/>
          <w:szCs w:val="24"/>
          <w:lang w:val="en-US"/>
        </w:rPr>
        <w:t>ega</w:t>
      </w:r>
      <w:proofErr w:type="spellEnd"/>
      <w:r w:rsidR="00B303DF" w:rsidRPr="00EA25A1">
        <w:rPr>
          <w:rFonts w:ascii="Times New Roman" w:hAnsi="Times New Roman" w:cs="Times New Roman"/>
          <w:sz w:val="24"/>
          <w:szCs w:val="24"/>
          <w:lang w:val="en-US"/>
        </w:rPr>
        <w:t xml:space="preserve"> and </w:t>
      </w:r>
      <w:r w:rsidR="005F42F0" w:rsidRPr="00EA25A1">
        <w:rPr>
          <w:rFonts w:ascii="Times New Roman" w:hAnsi="Times New Roman" w:cs="Times New Roman"/>
          <w:sz w:val="24"/>
          <w:szCs w:val="24"/>
          <w:lang w:val="en-US"/>
        </w:rPr>
        <w:t>the</w:t>
      </w:r>
      <w:r w:rsidR="003D14DE" w:rsidRPr="00EA25A1">
        <w:rPr>
          <w:rFonts w:ascii="Times New Roman" w:hAnsi="Times New Roman" w:cs="Times New Roman"/>
          <w:sz w:val="24"/>
          <w:szCs w:val="24"/>
          <w:lang w:val="en-US"/>
        </w:rPr>
        <w:t xml:space="preserve"> </w:t>
      </w:r>
      <w:proofErr w:type="gramStart"/>
      <w:r w:rsidRPr="00EA25A1">
        <w:rPr>
          <w:rFonts w:ascii="Times New Roman" w:hAnsi="Times New Roman" w:cs="Times New Roman"/>
          <w:sz w:val="24"/>
          <w:szCs w:val="24"/>
          <w:lang w:val="en-US"/>
        </w:rPr>
        <w:t>risk</w:t>
      </w:r>
      <w:r w:rsidR="00A35028">
        <w:rPr>
          <w:rFonts w:ascii="Times New Roman" w:hAnsi="Times New Roman" w:cs="Times New Roman"/>
          <w:sz w:val="24"/>
          <w:szCs w:val="24"/>
          <w:lang w:val="en-US"/>
        </w:rPr>
        <w:t xml:space="preserve"> </w:t>
      </w:r>
      <w:r w:rsidRPr="00EA25A1">
        <w:rPr>
          <w:rFonts w:ascii="Times New Roman" w:hAnsi="Times New Roman" w:cs="Times New Roman"/>
          <w:sz w:val="24"/>
          <w:szCs w:val="24"/>
          <w:lang w:val="en-US"/>
        </w:rPr>
        <w:t>taking</w:t>
      </w:r>
      <w:proofErr w:type="gramEnd"/>
      <w:r w:rsidR="005F42F0" w:rsidRPr="00EA25A1">
        <w:rPr>
          <w:rFonts w:ascii="Times New Roman" w:hAnsi="Times New Roman" w:cs="Times New Roman"/>
          <w:sz w:val="24"/>
          <w:szCs w:val="24"/>
          <w:lang w:val="en-US"/>
        </w:rPr>
        <w:t xml:space="preserve"> incentives arising from </w:t>
      </w:r>
      <w:r w:rsidR="00B303DF" w:rsidRPr="00EA25A1">
        <w:rPr>
          <w:rFonts w:ascii="Times New Roman" w:hAnsi="Times New Roman" w:cs="Times New Roman"/>
          <w:sz w:val="24"/>
          <w:szCs w:val="24"/>
          <w:lang w:val="en-US"/>
        </w:rPr>
        <w:t>delta (Armstrong</w:t>
      </w:r>
      <w:r w:rsidR="001C128D" w:rsidRPr="00EA25A1">
        <w:rPr>
          <w:rFonts w:ascii="Times New Roman" w:hAnsi="Times New Roman" w:cs="Times New Roman"/>
          <w:sz w:val="24"/>
          <w:szCs w:val="24"/>
          <w:lang w:val="en-US"/>
        </w:rPr>
        <w:t xml:space="preserve"> </w:t>
      </w:r>
      <w:r w:rsidR="001040D1">
        <w:rPr>
          <w:rFonts w:ascii="Times New Roman" w:hAnsi="Times New Roman" w:cs="Times New Roman"/>
          <w:sz w:val="24"/>
          <w:szCs w:val="24"/>
          <w:lang w:val="en-US"/>
        </w:rPr>
        <w:t>et al.</w:t>
      </w:r>
      <w:r w:rsidR="001C128D" w:rsidRPr="00EA25A1">
        <w:rPr>
          <w:rFonts w:ascii="Times New Roman" w:hAnsi="Times New Roman" w:cs="Times New Roman"/>
          <w:sz w:val="24"/>
          <w:szCs w:val="24"/>
          <w:lang w:val="en-US"/>
        </w:rPr>
        <w:t xml:space="preserve"> 2013; Armstrong, </w:t>
      </w:r>
      <w:r w:rsidR="001C128D" w:rsidRPr="00EA25A1">
        <w:rPr>
          <w:rFonts w:ascii="Times New Roman" w:hAnsi="Times New Roman" w:cs="Times New Roman"/>
          <w:color w:val="000000" w:themeColor="text1"/>
          <w:sz w:val="24"/>
          <w:szCs w:val="24"/>
          <w:lang w:val="en-US"/>
        </w:rPr>
        <w:t xml:space="preserve">Blouin, </w:t>
      </w:r>
      <w:proofErr w:type="spellStart"/>
      <w:r w:rsidR="001C128D" w:rsidRPr="00EA25A1">
        <w:rPr>
          <w:rFonts w:ascii="Times New Roman" w:hAnsi="Times New Roman" w:cs="Times New Roman"/>
          <w:color w:val="000000" w:themeColor="text1"/>
          <w:sz w:val="24"/>
          <w:szCs w:val="24"/>
          <w:lang w:val="en-US"/>
        </w:rPr>
        <w:t>Jagolinzer</w:t>
      </w:r>
      <w:proofErr w:type="spellEnd"/>
      <w:r w:rsidR="001C128D" w:rsidRPr="00EA25A1">
        <w:rPr>
          <w:rFonts w:ascii="Times New Roman" w:hAnsi="Times New Roman" w:cs="Times New Roman"/>
          <w:color w:val="000000" w:themeColor="text1"/>
          <w:sz w:val="24"/>
          <w:szCs w:val="24"/>
          <w:lang w:val="en-US"/>
        </w:rPr>
        <w:t xml:space="preserve"> and Larcker</w:t>
      </w:r>
      <w:r w:rsidR="00442F40" w:rsidRPr="00EA25A1">
        <w:rPr>
          <w:rFonts w:ascii="Times New Roman" w:hAnsi="Times New Roman" w:cs="Times New Roman"/>
          <w:sz w:val="24"/>
          <w:szCs w:val="24"/>
          <w:lang w:val="en-US"/>
        </w:rPr>
        <w:t xml:space="preserve"> </w:t>
      </w:r>
      <w:r w:rsidR="00442F40" w:rsidRPr="00EA25A1">
        <w:rPr>
          <w:rFonts w:ascii="Times New Roman" w:hAnsi="Times New Roman" w:cs="Times New Roman"/>
          <w:sz w:val="24"/>
          <w:szCs w:val="24"/>
          <w:lang w:val="en-US"/>
        </w:rPr>
        <w:lastRenderedPageBreak/>
        <w:t>2015).</w:t>
      </w:r>
      <w:r w:rsidR="00774123">
        <w:rPr>
          <w:rStyle w:val="FootnoteReference"/>
          <w:rFonts w:ascii="Times New Roman" w:hAnsi="Times New Roman" w:cs="Times New Roman"/>
          <w:sz w:val="24"/>
          <w:szCs w:val="24"/>
          <w:lang w:val="en-US"/>
        </w:rPr>
        <w:footnoteReference w:id="1"/>
      </w:r>
      <w:r w:rsidR="00442F40" w:rsidRPr="00EA25A1">
        <w:rPr>
          <w:rFonts w:ascii="Times New Roman" w:hAnsi="Times New Roman" w:cs="Times New Roman"/>
          <w:sz w:val="24"/>
          <w:szCs w:val="24"/>
          <w:lang w:val="en-US"/>
        </w:rPr>
        <w:t xml:space="preserve"> </w:t>
      </w:r>
      <w:r w:rsidR="00B279BE" w:rsidRPr="00EA25A1">
        <w:rPr>
          <w:rFonts w:ascii="Times New Roman" w:hAnsi="Times New Roman" w:cs="Times New Roman"/>
          <w:sz w:val="24"/>
          <w:szCs w:val="24"/>
          <w:lang w:val="en-US"/>
        </w:rPr>
        <w:t xml:space="preserve">Second, we employ several econometric techniques </w:t>
      </w:r>
      <w:r w:rsidR="001B6B51">
        <w:rPr>
          <w:rFonts w:ascii="Times New Roman" w:hAnsi="Times New Roman" w:cs="Times New Roman"/>
          <w:sz w:val="24"/>
          <w:szCs w:val="24"/>
          <w:lang w:val="en-US"/>
        </w:rPr>
        <w:t>to</w:t>
      </w:r>
      <w:r w:rsidR="00B279BE" w:rsidRPr="00EA25A1">
        <w:rPr>
          <w:rFonts w:ascii="Times New Roman" w:hAnsi="Times New Roman" w:cs="Times New Roman"/>
          <w:sz w:val="24"/>
          <w:szCs w:val="24"/>
          <w:lang w:val="en-US"/>
        </w:rPr>
        <w:t xml:space="preserve"> test for </w:t>
      </w:r>
      <w:r w:rsidR="00B82F02" w:rsidRPr="00EA25A1">
        <w:rPr>
          <w:rFonts w:ascii="Times New Roman" w:hAnsi="Times New Roman" w:cs="Times New Roman"/>
          <w:sz w:val="24"/>
          <w:szCs w:val="24"/>
          <w:lang w:val="en-US"/>
        </w:rPr>
        <w:t>the relation between CEO</w:t>
      </w:r>
      <w:r w:rsidR="00B60422" w:rsidRPr="00EA25A1">
        <w:rPr>
          <w:rFonts w:ascii="Times New Roman" w:hAnsi="Times New Roman" w:cs="Times New Roman"/>
          <w:sz w:val="24"/>
          <w:szCs w:val="24"/>
          <w:lang w:val="en-US"/>
        </w:rPr>
        <w:t xml:space="preserve"> </w:t>
      </w:r>
      <w:r w:rsidR="00C301BC" w:rsidRPr="00EA25A1">
        <w:rPr>
          <w:rFonts w:ascii="Times New Roman" w:hAnsi="Times New Roman" w:cs="Times New Roman"/>
          <w:sz w:val="24"/>
          <w:szCs w:val="24"/>
          <w:lang w:val="en-US"/>
        </w:rPr>
        <w:t>risk taking</w:t>
      </w:r>
      <w:r w:rsidR="0027131E" w:rsidRPr="00EA25A1">
        <w:rPr>
          <w:rFonts w:ascii="Times New Roman" w:hAnsi="Times New Roman" w:cs="Times New Roman"/>
          <w:sz w:val="24"/>
          <w:szCs w:val="24"/>
          <w:lang w:val="en-US"/>
        </w:rPr>
        <w:t xml:space="preserve"> equity</w:t>
      </w:r>
      <w:r w:rsidR="00B60422" w:rsidRPr="00EA25A1">
        <w:rPr>
          <w:rFonts w:ascii="Times New Roman" w:hAnsi="Times New Roman" w:cs="Times New Roman"/>
          <w:sz w:val="24"/>
          <w:szCs w:val="24"/>
          <w:lang w:val="en-US"/>
        </w:rPr>
        <w:t xml:space="preserve"> incentives and workplace misconduct</w:t>
      </w:r>
      <w:r w:rsidR="00B279BE" w:rsidRPr="00EA25A1">
        <w:rPr>
          <w:rFonts w:ascii="Times New Roman" w:hAnsi="Times New Roman" w:cs="Times New Roman"/>
          <w:sz w:val="24"/>
          <w:szCs w:val="24"/>
          <w:lang w:val="en-US"/>
        </w:rPr>
        <w:t xml:space="preserve">. </w:t>
      </w:r>
      <w:r w:rsidR="001B7C85" w:rsidRPr="00EA25A1">
        <w:rPr>
          <w:rFonts w:ascii="Times New Roman" w:hAnsi="Times New Roman" w:cs="Times New Roman"/>
          <w:sz w:val="24"/>
          <w:szCs w:val="24"/>
          <w:lang w:val="en-US"/>
        </w:rPr>
        <w:t>Our research design choices closely follow prior literature</w:t>
      </w:r>
      <w:r w:rsidR="00B279BE" w:rsidRPr="00EA25A1">
        <w:rPr>
          <w:rFonts w:ascii="Times New Roman" w:hAnsi="Times New Roman" w:cs="Times New Roman"/>
          <w:sz w:val="24"/>
          <w:szCs w:val="24"/>
          <w:lang w:val="en-US"/>
        </w:rPr>
        <w:t xml:space="preserve"> (</w:t>
      </w:r>
      <w:r w:rsidR="00150959" w:rsidRPr="00EA25A1">
        <w:rPr>
          <w:rFonts w:ascii="Times New Roman" w:hAnsi="Times New Roman" w:cs="Times New Roman"/>
          <w:sz w:val="24"/>
          <w:szCs w:val="24"/>
          <w:lang w:val="en-US"/>
        </w:rPr>
        <w:t>Hayes, Lemmon, and Qiu</w:t>
      </w:r>
      <w:r w:rsidR="00150959" w:rsidRPr="00EA25A1" w:rsidDel="001F6E4D">
        <w:rPr>
          <w:rFonts w:ascii="Times New Roman" w:hAnsi="Times New Roman" w:cs="Times New Roman"/>
          <w:sz w:val="24"/>
          <w:szCs w:val="24"/>
          <w:lang w:val="en-US"/>
        </w:rPr>
        <w:t xml:space="preserve"> </w:t>
      </w:r>
      <w:r w:rsidR="00150959" w:rsidRPr="00EA25A1">
        <w:rPr>
          <w:rFonts w:ascii="Times New Roman" w:hAnsi="Times New Roman" w:cs="Times New Roman"/>
          <w:sz w:val="24"/>
          <w:szCs w:val="24"/>
          <w:lang w:val="en-US"/>
        </w:rPr>
        <w:t>2012</w:t>
      </w:r>
      <w:r w:rsidR="002E74C4" w:rsidRPr="00EA25A1">
        <w:rPr>
          <w:rFonts w:ascii="Times New Roman" w:hAnsi="Times New Roman" w:cs="Times New Roman"/>
          <w:sz w:val="24"/>
          <w:szCs w:val="24"/>
          <w:lang w:val="en-US"/>
        </w:rPr>
        <w:t xml:space="preserve">; </w:t>
      </w:r>
      <w:r w:rsidR="00150959" w:rsidRPr="00EA25A1">
        <w:rPr>
          <w:rFonts w:ascii="Times New Roman" w:hAnsi="Times New Roman" w:cs="Times New Roman"/>
          <w:sz w:val="24"/>
          <w:szCs w:val="24"/>
          <w:lang w:val="en-US"/>
        </w:rPr>
        <w:t xml:space="preserve">Armstrong, </w:t>
      </w:r>
      <w:r w:rsidR="00094BA9">
        <w:rPr>
          <w:rFonts w:ascii="Times New Roman" w:hAnsi="Times New Roman" w:cs="Times New Roman"/>
          <w:sz w:val="24"/>
          <w:szCs w:val="24"/>
          <w:lang w:val="en-US"/>
        </w:rPr>
        <w:t>et al.</w:t>
      </w:r>
      <w:r w:rsidR="00150959" w:rsidRPr="00EA25A1">
        <w:rPr>
          <w:rFonts w:ascii="Times New Roman" w:hAnsi="Times New Roman" w:cs="Times New Roman"/>
          <w:sz w:val="24"/>
          <w:szCs w:val="24"/>
          <w:lang w:val="en-US"/>
        </w:rPr>
        <w:t xml:space="preserve"> 2013</w:t>
      </w:r>
      <w:r w:rsidR="00B279BE" w:rsidRPr="00EA25A1">
        <w:rPr>
          <w:rFonts w:ascii="Times New Roman" w:hAnsi="Times New Roman" w:cs="Times New Roman"/>
          <w:sz w:val="24"/>
          <w:szCs w:val="24"/>
          <w:lang w:val="en-US"/>
        </w:rPr>
        <w:t>;</w:t>
      </w:r>
      <w:r w:rsidR="002E74C4" w:rsidRPr="00EA25A1">
        <w:rPr>
          <w:rFonts w:ascii="Times New Roman" w:hAnsi="Times New Roman" w:cs="Times New Roman"/>
          <w:sz w:val="24"/>
          <w:szCs w:val="24"/>
          <w:lang w:val="en-US"/>
        </w:rPr>
        <w:t xml:space="preserve"> </w:t>
      </w:r>
      <w:r w:rsidR="00150959" w:rsidRPr="00EA25A1">
        <w:rPr>
          <w:rFonts w:ascii="Times New Roman" w:hAnsi="Times New Roman" w:cs="Times New Roman"/>
          <w:sz w:val="24"/>
          <w:szCs w:val="24"/>
          <w:lang w:val="en-US"/>
        </w:rPr>
        <w:t>Bakke, Mahmudi, Fernando and Salas 2016</w:t>
      </w:r>
      <w:r w:rsidR="00D440A2" w:rsidRPr="00EA25A1">
        <w:rPr>
          <w:rFonts w:ascii="Times New Roman" w:hAnsi="Times New Roman" w:cs="Times New Roman"/>
          <w:sz w:val="24"/>
          <w:szCs w:val="24"/>
          <w:lang w:val="en-US"/>
        </w:rPr>
        <w:t xml:space="preserve">; </w:t>
      </w:r>
      <w:r w:rsidR="002E74C4" w:rsidRPr="00EA25A1">
        <w:rPr>
          <w:rFonts w:ascii="Times New Roman" w:hAnsi="Times New Roman" w:cs="Times New Roman"/>
          <w:sz w:val="24"/>
          <w:szCs w:val="24"/>
          <w:lang w:val="en-US"/>
        </w:rPr>
        <w:t>Ferri</w:t>
      </w:r>
      <w:r w:rsidR="00B303DF" w:rsidRPr="00EA25A1">
        <w:rPr>
          <w:rFonts w:ascii="Times New Roman" w:hAnsi="Times New Roman" w:cs="Times New Roman"/>
          <w:sz w:val="24"/>
          <w:szCs w:val="24"/>
          <w:lang w:val="en-US"/>
        </w:rPr>
        <w:t xml:space="preserve"> and Li </w:t>
      </w:r>
      <w:r w:rsidR="003A15E4" w:rsidRPr="00EA25A1">
        <w:rPr>
          <w:rFonts w:ascii="Times New Roman" w:hAnsi="Times New Roman" w:cs="Times New Roman"/>
          <w:sz w:val="24"/>
          <w:szCs w:val="24"/>
          <w:lang w:val="en-US"/>
        </w:rPr>
        <w:t>2020</w:t>
      </w:r>
      <w:r w:rsidR="002E74C4" w:rsidRPr="00EA25A1">
        <w:rPr>
          <w:rFonts w:ascii="Times New Roman" w:hAnsi="Times New Roman" w:cs="Times New Roman"/>
          <w:sz w:val="24"/>
          <w:szCs w:val="24"/>
          <w:lang w:val="en-US"/>
        </w:rPr>
        <w:t>;</w:t>
      </w:r>
      <w:r w:rsidR="00B279BE" w:rsidRPr="00EA25A1">
        <w:rPr>
          <w:rFonts w:ascii="Times New Roman" w:hAnsi="Times New Roman" w:cs="Times New Roman"/>
          <w:sz w:val="24"/>
          <w:szCs w:val="24"/>
          <w:lang w:val="en-US"/>
        </w:rPr>
        <w:t xml:space="preserve"> </w:t>
      </w:r>
      <w:r w:rsidR="002E74C4" w:rsidRPr="00EA25A1">
        <w:rPr>
          <w:rFonts w:ascii="Times New Roman" w:hAnsi="Times New Roman" w:cs="Times New Roman"/>
          <w:sz w:val="24"/>
          <w:szCs w:val="24"/>
          <w:lang w:val="en-US"/>
        </w:rPr>
        <w:t>Hong 2019</w:t>
      </w:r>
      <w:r w:rsidR="00B279BE" w:rsidRPr="00EA25A1">
        <w:rPr>
          <w:rFonts w:ascii="Times New Roman" w:hAnsi="Times New Roman" w:cs="Times New Roman"/>
          <w:sz w:val="24"/>
          <w:szCs w:val="24"/>
          <w:lang w:val="en-US"/>
        </w:rPr>
        <w:t>)</w:t>
      </w:r>
      <w:r w:rsidR="001B7C85" w:rsidRPr="00EA25A1">
        <w:rPr>
          <w:rFonts w:ascii="Times New Roman" w:hAnsi="Times New Roman" w:cs="Times New Roman"/>
          <w:sz w:val="24"/>
          <w:szCs w:val="24"/>
          <w:lang w:val="en-US"/>
        </w:rPr>
        <w:t xml:space="preserve">. Specifically, we examine the relation between equity </w:t>
      </w:r>
      <w:r w:rsidR="00C301BC" w:rsidRPr="00EA25A1">
        <w:rPr>
          <w:rFonts w:ascii="Times New Roman" w:hAnsi="Times New Roman" w:cs="Times New Roman"/>
          <w:sz w:val="24"/>
          <w:szCs w:val="24"/>
          <w:lang w:val="en-US"/>
        </w:rPr>
        <w:t>risk taking</w:t>
      </w:r>
      <w:r w:rsidR="00B60422" w:rsidRPr="00EA25A1">
        <w:rPr>
          <w:rFonts w:ascii="Times New Roman" w:hAnsi="Times New Roman" w:cs="Times New Roman"/>
          <w:sz w:val="24"/>
          <w:szCs w:val="24"/>
          <w:lang w:val="en-US"/>
        </w:rPr>
        <w:t xml:space="preserve"> </w:t>
      </w:r>
      <w:r w:rsidR="001B7C85" w:rsidRPr="00EA25A1">
        <w:rPr>
          <w:rFonts w:ascii="Times New Roman" w:hAnsi="Times New Roman" w:cs="Times New Roman"/>
          <w:sz w:val="24"/>
          <w:szCs w:val="24"/>
          <w:lang w:val="en-US"/>
        </w:rPr>
        <w:t xml:space="preserve">incentives and </w:t>
      </w:r>
      <w:r w:rsidR="00B60422" w:rsidRPr="00EA25A1">
        <w:rPr>
          <w:rFonts w:ascii="Times New Roman" w:hAnsi="Times New Roman" w:cs="Times New Roman"/>
          <w:sz w:val="24"/>
          <w:szCs w:val="24"/>
          <w:lang w:val="en-US"/>
        </w:rPr>
        <w:t xml:space="preserve">workplace misconduct </w:t>
      </w:r>
      <w:r w:rsidR="001B7C85" w:rsidRPr="00EA25A1">
        <w:rPr>
          <w:rFonts w:ascii="Times New Roman" w:hAnsi="Times New Roman" w:cs="Times New Roman"/>
          <w:sz w:val="24"/>
          <w:szCs w:val="24"/>
          <w:lang w:val="en-US"/>
        </w:rPr>
        <w:t>using both regression and matched</w:t>
      </w:r>
      <w:r w:rsidR="00500013">
        <w:rPr>
          <w:rFonts w:ascii="Times New Roman" w:hAnsi="Times New Roman" w:cs="Times New Roman"/>
          <w:sz w:val="24"/>
          <w:szCs w:val="24"/>
          <w:lang w:val="en-US"/>
        </w:rPr>
        <w:t xml:space="preserve"> </w:t>
      </w:r>
      <w:r w:rsidR="00B303DF" w:rsidRPr="00EA25A1">
        <w:rPr>
          <w:rFonts w:ascii="Times New Roman" w:hAnsi="Times New Roman" w:cs="Times New Roman"/>
          <w:sz w:val="24"/>
          <w:szCs w:val="24"/>
          <w:lang w:val="en-US"/>
        </w:rPr>
        <w:t>sam</w:t>
      </w:r>
      <w:r w:rsidR="00150959" w:rsidRPr="00EA25A1">
        <w:rPr>
          <w:rFonts w:ascii="Times New Roman" w:hAnsi="Times New Roman" w:cs="Times New Roman"/>
          <w:sz w:val="24"/>
          <w:szCs w:val="24"/>
          <w:lang w:val="en-US"/>
        </w:rPr>
        <w:t xml:space="preserve">ple tests (Armstrong, </w:t>
      </w:r>
      <w:proofErr w:type="spellStart"/>
      <w:r w:rsidR="00150959" w:rsidRPr="00EA25A1">
        <w:rPr>
          <w:rFonts w:ascii="Times New Roman" w:hAnsi="Times New Roman" w:cs="Times New Roman"/>
          <w:sz w:val="24"/>
          <w:szCs w:val="24"/>
          <w:lang w:val="en-US"/>
        </w:rPr>
        <w:t>Jagolinzer</w:t>
      </w:r>
      <w:proofErr w:type="spellEnd"/>
      <w:r w:rsidR="00150959" w:rsidRPr="00EA25A1">
        <w:rPr>
          <w:rFonts w:ascii="Times New Roman" w:hAnsi="Times New Roman" w:cs="Times New Roman"/>
          <w:sz w:val="24"/>
          <w:szCs w:val="24"/>
          <w:lang w:val="en-US"/>
        </w:rPr>
        <w:t xml:space="preserve"> and Larcker 2010</w:t>
      </w:r>
      <w:r w:rsidR="00B303DF" w:rsidRPr="00EA25A1">
        <w:rPr>
          <w:rFonts w:ascii="Times New Roman" w:hAnsi="Times New Roman" w:cs="Times New Roman"/>
          <w:sz w:val="24"/>
          <w:szCs w:val="24"/>
          <w:lang w:val="en-US"/>
        </w:rPr>
        <w:t xml:space="preserve">; </w:t>
      </w:r>
      <w:r w:rsidR="00150959" w:rsidRPr="00EA25A1">
        <w:rPr>
          <w:rFonts w:ascii="Times New Roman" w:hAnsi="Times New Roman" w:cs="Times New Roman"/>
          <w:sz w:val="24"/>
          <w:szCs w:val="24"/>
          <w:lang w:val="en-US"/>
        </w:rPr>
        <w:t xml:space="preserve">Armstrong </w:t>
      </w:r>
      <w:r w:rsidR="00094BA9">
        <w:rPr>
          <w:rFonts w:ascii="Times New Roman" w:hAnsi="Times New Roman" w:cs="Times New Roman"/>
          <w:sz w:val="24"/>
          <w:szCs w:val="24"/>
          <w:lang w:val="en-US"/>
        </w:rPr>
        <w:t>et al.</w:t>
      </w:r>
      <w:r w:rsidR="00150959" w:rsidRPr="00EA25A1">
        <w:rPr>
          <w:rFonts w:ascii="Times New Roman" w:hAnsi="Times New Roman" w:cs="Times New Roman"/>
          <w:sz w:val="24"/>
          <w:szCs w:val="24"/>
          <w:lang w:val="en-US"/>
        </w:rPr>
        <w:t xml:space="preserve"> 2013</w:t>
      </w:r>
      <w:r w:rsidR="001B7C85" w:rsidRPr="00EA25A1">
        <w:rPr>
          <w:rFonts w:ascii="Times New Roman" w:hAnsi="Times New Roman" w:cs="Times New Roman"/>
          <w:sz w:val="24"/>
          <w:szCs w:val="24"/>
          <w:lang w:val="en-US"/>
        </w:rPr>
        <w:t xml:space="preserve">) with </w:t>
      </w:r>
      <w:r w:rsidR="00BD7BEB">
        <w:rPr>
          <w:rFonts w:ascii="Times New Roman" w:hAnsi="Times New Roman" w:cs="Times New Roman"/>
          <w:sz w:val="24"/>
          <w:szCs w:val="24"/>
          <w:lang w:val="en-US"/>
        </w:rPr>
        <w:t>year</w:t>
      </w:r>
      <w:r w:rsidR="00BD7BEB" w:rsidRPr="00EA25A1">
        <w:rPr>
          <w:rFonts w:ascii="Times New Roman" w:hAnsi="Times New Roman" w:cs="Times New Roman"/>
          <w:sz w:val="24"/>
          <w:szCs w:val="24"/>
          <w:lang w:val="en-US"/>
        </w:rPr>
        <w:t xml:space="preserve"> </w:t>
      </w:r>
      <w:r w:rsidR="001B7C85" w:rsidRPr="00EA25A1">
        <w:rPr>
          <w:rFonts w:ascii="Times New Roman" w:hAnsi="Times New Roman" w:cs="Times New Roman"/>
          <w:sz w:val="24"/>
          <w:szCs w:val="24"/>
          <w:lang w:val="en-US"/>
        </w:rPr>
        <w:t>and firm fixed effects</w:t>
      </w:r>
      <w:r w:rsidR="00D440A2" w:rsidRPr="00EA25A1">
        <w:rPr>
          <w:rFonts w:ascii="Times New Roman" w:hAnsi="Times New Roman" w:cs="Times New Roman"/>
          <w:sz w:val="24"/>
          <w:szCs w:val="24"/>
          <w:lang w:val="en-US"/>
        </w:rPr>
        <w:t>,</w:t>
      </w:r>
      <w:r w:rsidR="001B7C85" w:rsidRPr="00EA25A1">
        <w:rPr>
          <w:rFonts w:ascii="Times New Roman" w:hAnsi="Times New Roman" w:cs="Times New Roman"/>
          <w:sz w:val="24"/>
          <w:szCs w:val="24"/>
          <w:lang w:val="en-US"/>
        </w:rPr>
        <w:t xml:space="preserve"> and </w:t>
      </w:r>
      <w:r w:rsidR="00B60422" w:rsidRPr="00EA25A1">
        <w:rPr>
          <w:rFonts w:ascii="Times New Roman" w:hAnsi="Times New Roman" w:cs="Times New Roman"/>
          <w:sz w:val="24"/>
          <w:szCs w:val="24"/>
          <w:lang w:val="en-US"/>
        </w:rPr>
        <w:t xml:space="preserve">standard </w:t>
      </w:r>
      <w:r w:rsidR="001B7C85" w:rsidRPr="00EA25A1">
        <w:rPr>
          <w:rFonts w:ascii="Times New Roman" w:hAnsi="Times New Roman" w:cs="Times New Roman"/>
          <w:sz w:val="24"/>
          <w:szCs w:val="24"/>
          <w:lang w:val="en-US"/>
        </w:rPr>
        <w:t xml:space="preserve">errors clustered by firm. </w:t>
      </w:r>
    </w:p>
    <w:p w14:paraId="7EB8C297" w14:textId="73E41E4D" w:rsidR="002F38A4" w:rsidRPr="00EA25A1" w:rsidRDefault="00F003D8" w:rsidP="00150959">
      <w:pPr>
        <w:autoSpaceDE w:val="0"/>
        <w:autoSpaceDN w:val="0"/>
        <w:adjustRightInd w:val="0"/>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E11C62" w:rsidRPr="002E5872">
        <w:rPr>
          <w:rFonts w:ascii="Times New Roman" w:hAnsi="Times New Roman" w:cs="Times New Roman"/>
          <w:sz w:val="24"/>
          <w:szCs w:val="24"/>
          <w:lang w:val="en-US"/>
        </w:rPr>
        <w:t xml:space="preserve">o ensure that we capture management strategic </w:t>
      </w:r>
      <w:r w:rsidR="003943B8" w:rsidRPr="002E5872">
        <w:rPr>
          <w:rFonts w:ascii="Times New Roman" w:hAnsi="Times New Roman" w:cs="Times New Roman"/>
          <w:sz w:val="24"/>
          <w:szCs w:val="24"/>
          <w:lang w:val="en-US"/>
        </w:rPr>
        <w:t>risk</w:t>
      </w:r>
      <w:r w:rsidR="00A35028" w:rsidRPr="002E5872">
        <w:rPr>
          <w:rFonts w:ascii="Times New Roman" w:hAnsi="Times New Roman" w:cs="Times New Roman"/>
          <w:sz w:val="24"/>
          <w:szCs w:val="24"/>
          <w:lang w:val="en-US"/>
        </w:rPr>
        <w:t xml:space="preserve"> </w:t>
      </w:r>
      <w:r w:rsidR="003943B8" w:rsidRPr="002E5872">
        <w:rPr>
          <w:rFonts w:ascii="Times New Roman" w:hAnsi="Times New Roman" w:cs="Times New Roman"/>
          <w:sz w:val="24"/>
          <w:szCs w:val="24"/>
          <w:lang w:val="en-US"/>
        </w:rPr>
        <w:t>taking</w:t>
      </w:r>
      <w:r w:rsidR="00E11C62" w:rsidRPr="002E5872">
        <w:rPr>
          <w:rFonts w:ascii="Times New Roman" w:hAnsi="Times New Roman" w:cs="Times New Roman"/>
          <w:sz w:val="24"/>
          <w:szCs w:val="24"/>
          <w:lang w:val="en-US"/>
        </w:rPr>
        <w:t xml:space="preserve"> decisions </w:t>
      </w:r>
      <w:r w:rsidR="00343F87" w:rsidRPr="002E5872">
        <w:rPr>
          <w:rFonts w:ascii="Times New Roman" w:hAnsi="Times New Roman" w:cs="Times New Roman"/>
          <w:sz w:val="24"/>
          <w:szCs w:val="24"/>
          <w:lang w:val="en-US"/>
        </w:rPr>
        <w:t>concerning</w:t>
      </w:r>
      <w:r w:rsidR="00E11C62" w:rsidRPr="002E5872">
        <w:rPr>
          <w:rFonts w:ascii="Times New Roman" w:hAnsi="Times New Roman" w:cs="Times New Roman"/>
          <w:sz w:val="24"/>
          <w:szCs w:val="24"/>
          <w:lang w:val="en-US"/>
        </w:rPr>
        <w:t xml:space="preserve"> workplace misconduct</w:t>
      </w:r>
      <w:r w:rsidR="001B6B51" w:rsidRPr="002E5872">
        <w:rPr>
          <w:rFonts w:ascii="Times New Roman" w:hAnsi="Times New Roman" w:cs="Times New Roman"/>
          <w:sz w:val="24"/>
          <w:szCs w:val="24"/>
          <w:lang w:val="en-US"/>
        </w:rPr>
        <w:t>,</w:t>
      </w:r>
      <w:r w:rsidR="00E11C62" w:rsidRPr="002E5872">
        <w:rPr>
          <w:rFonts w:ascii="Times New Roman" w:hAnsi="Times New Roman" w:cs="Times New Roman"/>
          <w:sz w:val="24"/>
          <w:szCs w:val="24"/>
          <w:lang w:val="en-US"/>
        </w:rPr>
        <w:t xml:space="preserve"> as opposed to earnings management decisions </w:t>
      </w:r>
      <w:r w:rsidR="000F518E" w:rsidRPr="002E5872">
        <w:rPr>
          <w:rFonts w:ascii="Times New Roman" w:hAnsi="Times New Roman" w:cs="Times New Roman"/>
          <w:sz w:val="24"/>
          <w:szCs w:val="24"/>
          <w:lang w:val="en-US"/>
        </w:rPr>
        <w:t>like</w:t>
      </w:r>
      <w:r w:rsidR="00E11C62" w:rsidRPr="002E5872">
        <w:rPr>
          <w:rFonts w:ascii="Times New Roman" w:hAnsi="Times New Roman" w:cs="Times New Roman"/>
          <w:sz w:val="24"/>
          <w:szCs w:val="24"/>
          <w:lang w:val="en-US"/>
        </w:rPr>
        <w:t xml:space="preserve"> those </w:t>
      </w:r>
      <w:r w:rsidR="000F518E" w:rsidRPr="002E5872">
        <w:rPr>
          <w:rFonts w:ascii="Times New Roman" w:hAnsi="Times New Roman" w:cs="Times New Roman"/>
          <w:sz w:val="24"/>
          <w:szCs w:val="24"/>
          <w:lang w:val="en-US"/>
        </w:rPr>
        <w:t>examined</w:t>
      </w:r>
      <w:r w:rsidR="00E11C62" w:rsidRPr="002E5872">
        <w:rPr>
          <w:rFonts w:ascii="Times New Roman" w:hAnsi="Times New Roman" w:cs="Times New Roman"/>
          <w:sz w:val="24"/>
          <w:szCs w:val="24"/>
          <w:lang w:val="en-US"/>
        </w:rPr>
        <w:t xml:space="preserve"> by Caskey and Ozel (2017), we control for firm performance throughout our analysis.</w:t>
      </w:r>
      <w:r w:rsidR="00FB694A">
        <w:rPr>
          <w:rFonts w:ascii="Times New Roman" w:hAnsi="Times New Roman" w:cs="Times New Roman"/>
          <w:sz w:val="24"/>
          <w:szCs w:val="24"/>
          <w:lang w:val="en-US"/>
        </w:rPr>
        <w:t xml:space="preserve"> </w:t>
      </w:r>
      <w:r w:rsidR="00EA25A1">
        <w:rPr>
          <w:rFonts w:ascii="Times New Roman" w:hAnsi="Times New Roman" w:cs="Times New Roman"/>
          <w:sz w:val="24"/>
          <w:szCs w:val="24"/>
          <w:lang w:val="en-US"/>
        </w:rPr>
        <w:t xml:space="preserve">We also </w:t>
      </w:r>
      <w:r w:rsidR="001B7C85" w:rsidRPr="00EA25A1">
        <w:rPr>
          <w:rFonts w:ascii="Times New Roman" w:hAnsi="Times New Roman" w:cs="Times New Roman"/>
          <w:sz w:val="24"/>
          <w:szCs w:val="24"/>
          <w:lang w:val="en-US"/>
        </w:rPr>
        <w:t xml:space="preserve">use the </w:t>
      </w:r>
      <w:r w:rsidR="00B60422" w:rsidRPr="00EA25A1">
        <w:rPr>
          <w:rFonts w:ascii="Times New Roman" w:hAnsi="Times New Roman" w:cs="Times New Roman"/>
          <w:sz w:val="24"/>
          <w:szCs w:val="24"/>
          <w:lang w:val="en-US"/>
        </w:rPr>
        <w:t xml:space="preserve">implementation of Statement of </w:t>
      </w:r>
      <w:r w:rsidR="001B7C85" w:rsidRPr="00EA25A1">
        <w:rPr>
          <w:rFonts w:ascii="Times New Roman" w:hAnsi="Times New Roman" w:cs="Times New Roman"/>
          <w:sz w:val="24"/>
          <w:szCs w:val="24"/>
          <w:lang w:val="en-US"/>
        </w:rPr>
        <w:t>Financial Accounting Standard</w:t>
      </w:r>
      <w:r w:rsidR="00582EB7" w:rsidRPr="00EA25A1">
        <w:rPr>
          <w:rFonts w:ascii="Times New Roman" w:hAnsi="Times New Roman" w:cs="Times New Roman"/>
          <w:sz w:val="24"/>
          <w:szCs w:val="24"/>
          <w:lang w:val="en-US"/>
        </w:rPr>
        <w:t>s</w:t>
      </w:r>
      <w:r w:rsidR="001B7C85" w:rsidRPr="00EA25A1">
        <w:rPr>
          <w:rFonts w:ascii="Times New Roman" w:hAnsi="Times New Roman" w:cs="Times New Roman"/>
          <w:sz w:val="24"/>
          <w:szCs w:val="24"/>
          <w:lang w:val="en-US"/>
        </w:rPr>
        <w:t xml:space="preserve"> (</w:t>
      </w:r>
      <w:r w:rsidR="00C25E48" w:rsidRPr="00EA25A1">
        <w:rPr>
          <w:rFonts w:ascii="Times New Roman" w:hAnsi="Times New Roman" w:cs="Times New Roman"/>
          <w:sz w:val="24"/>
          <w:szCs w:val="24"/>
          <w:lang w:val="en-US"/>
        </w:rPr>
        <w:t>S</w:t>
      </w:r>
      <w:r w:rsidR="001B7C85" w:rsidRPr="00EA25A1">
        <w:rPr>
          <w:rFonts w:ascii="Times New Roman" w:hAnsi="Times New Roman" w:cs="Times New Roman"/>
          <w:sz w:val="24"/>
          <w:szCs w:val="24"/>
          <w:lang w:val="en-US"/>
        </w:rPr>
        <w:t>FAS)</w:t>
      </w:r>
      <w:r w:rsidR="00A22900">
        <w:rPr>
          <w:rFonts w:ascii="Times New Roman" w:hAnsi="Times New Roman" w:cs="Times New Roman"/>
          <w:sz w:val="24"/>
          <w:szCs w:val="24"/>
          <w:lang w:val="en-US"/>
        </w:rPr>
        <w:t xml:space="preserve"> </w:t>
      </w:r>
      <w:r w:rsidR="001B7C85" w:rsidRPr="00EA25A1">
        <w:rPr>
          <w:rFonts w:ascii="Times New Roman" w:hAnsi="Times New Roman" w:cs="Times New Roman"/>
          <w:sz w:val="24"/>
          <w:szCs w:val="24"/>
          <w:lang w:val="en-US"/>
        </w:rPr>
        <w:t xml:space="preserve">123R </w:t>
      </w:r>
      <w:r w:rsidR="0027131E" w:rsidRPr="00EA25A1">
        <w:rPr>
          <w:rFonts w:ascii="Times New Roman" w:hAnsi="Times New Roman" w:cs="Times New Roman"/>
          <w:sz w:val="24"/>
          <w:szCs w:val="24"/>
          <w:lang w:val="en-US"/>
        </w:rPr>
        <w:t xml:space="preserve">in 2005 </w:t>
      </w:r>
      <w:r w:rsidR="001B7C85" w:rsidRPr="00EA25A1">
        <w:rPr>
          <w:rFonts w:ascii="Times New Roman" w:hAnsi="Times New Roman" w:cs="Times New Roman"/>
          <w:sz w:val="24"/>
          <w:szCs w:val="24"/>
          <w:lang w:val="en-US"/>
        </w:rPr>
        <w:t>(</w:t>
      </w:r>
      <w:r w:rsidR="00150959" w:rsidRPr="00EA25A1">
        <w:rPr>
          <w:rFonts w:ascii="Times New Roman" w:hAnsi="Times New Roman" w:cs="Times New Roman"/>
          <w:sz w:val="24"/>
          <w:szCs w:val="24"/>
          <w:lang w:val="en-US"/>
        </w:rPr>
        <w:t>Hayes</w:t>
      </w:r>
      <w:r w:rsidR="00024071">
        <w:rPr>
          <w:rFonts w:ascii="Times New Roman" w:hAnsi="Times New Roman" w:cs="Times New Roman"/>
          <w:sz w:val="24"/>
          <w:szCs w:val="24"/>
          <w:lang w:val="en-US"/>
        </w:rPr>
        <w:t xml:space="preserve"> et al. </w:t>
      </w:r>
      <w:r w:rsidR="00150959" w:rsidRPr="00EA25A1">
        <w:rPr>
          <w:rFonts w:ascii="Times New Roman" w:hAnsi="Times New Roman" w:cs="Times New Roman"/>
          <w:sz w:val="24"/>
          <w:szCs w:val="24"/>
          <w:lang w:val="en-US"/>
        </w:rPr>
        <w:t>2012</w:t>
      </w:r>
      <w:r w:rsidR="00D440A2" w:rsidRPr="00EA25A1">
        <w:rPr>
          <w:rFonts w:ascii="Times New Roman" w:hAnsi="Times New Roman" w:cs="Times New Roman"/>
          <w:sz w:val="24"/>
          <w:szCs w:val="24"/>
          <w:lang w:val="en-US"/>
        </w:rPr>
        <w:t xml:space="preserve">; </w:t>
      </w:r>
      <w:r w:rsidR="00150959" w:rsidRPr="00EA25A1">
        <w:rPr>
          <w:rFonts w:ascii="Times New Roman" w:hAnsi="Times New Roman" w:cs="Times New Roman"/>
          <w:sz w:val="24"/>
          <w:szCs w:val="24"/>
          <w:lang w:val="en-US"/>
        </w:rPr>
        <w:t>Bakke</w:t>
      </w:r>
      <w:r w:rsidR="00094BA9">
        <w:rPr>
          <w:rFonts w:ascii="Times New Roman" w:hAnsi="Times New Roman" w:cs="Times New Roman"/>
          <w:sz w:val="24"/>
          <w:szCs w:val="24"/>
          <w:lang w:val="en-US"/>
        </w:rPr>
        <w:t xml:space="preserve"> et al.</w:t>
      </w:r>
      <w:r w:rsidR="00150959" w:rsidRPr="00EA25A1">
        <w:rPr>
          <w:rFonts w:ascii="Times New Roman" w:hAnsi="Times New Roman" w:cs="Times New Roman"/>
          <w:sz w:val="24"/>
          <w:szCs w:val="24"/>
          <w:lang w:val="en-US"/>
        </w:rPr>
        <w:t>2016</w:t>
      </w:r>
      <w:r w:rsidR="00D440A2" w:rsidRPr="00EA25A1">
        <w:rPr>
          <w:rFonts w:ascii="Times New Roman" w:hAnsi="Times New Roman" w:cs="Times New Roman"/>
          <w:sz w:val="24"/>
          <w:szCs w:val="24"/>
          <w:lang w:val="en-US"/>
        </w:rPr>
        <w:t xml:space="preserve">; </w:t>
      </w:r>
      <w:r w:rsidR="00C12B9D" w:rsidRPr="00EA25A1">
        <w:rPr>
          <w:rFonts w:ascii="Times New Roman" w:hAnsi="Times New Roman" w:cs="Times New Roman"/>
          <w:sz w:val="24"/>
          <w:szCs w:val="24"/>
          <w:lang w:val="en-US"/>
        </w:rPr>
        <w:t xml:space="preserve">Ferri </w:t>
      </w:r>
      <w:r w:rsidR="00B303DF" w:rsidRPr="00EA25A1">
        <w:rPr>
          <w:rFonts w:ascii="Times New Roman" w:hAnsi="Times New Roman" w:cs="Times New Roman"/>
          <w:sz w:val="24"/>
          <w:szCs w:val="24"/>
          <w:lang w:val="en-US"/>
        </w:rPr>
        <w:t>and Li</w:t>
      </w:r>
      <w:r w:rsidR="003A15E4" w:rsidRPr="00EA25A1">
        <w:rPr>
          <w:rFonts w:ascii="Times New Roman" w:hAnsi="Times New Roman" w:cs="Times New Roman"/>
          <w:sz w:val="24"/>
          <w:szCs w:val="24"/>
          <w:lang w:val="en-US"/>
        </w:rPr>
        <w:t xml:space="preserve"> 2020</w:t>
      </w:r>
      <w:r w:rsidR="00D440A2" w:rsidRPr="00EA25A1">
        <w:rPr>
          <w:rFonts w:ascii="Times New Roman" w:hAnsi="Times New Roman" w:cs="Times New Roman"/>
          <w:sz w:val="24"/>
          <w:szCs w:val="24"/>
          <w:lang w:val="en-US"/>
        </w:rPr>
        <w:t>; Hong 2019</w:t>
      </w:r>
      <w:r w:rsidR="001B7C85" w:rsidRPr="00EA25A1">
        <w:rPr>
          <w:rFonts w:ascii="Times New Roman" w:hAnsi="Times New Roman" w:cs="Times New Roman"/>
          <w:sz w:val="24"/>
          <w:szCs w:val="24"/>
          <w:lang w:val="en-US"/>
        </w:rPr>
        <w:t>)</w:t>
      </w:r>
      <w:r w:rsidR="00012B36">
        <w:rPr>
          <w:rFonts w:ascii="Times New Roman" w:hAnsi="Times New Roman" w:cs="Times New Roman"/>
          <w:sz w:val="24"/>
          <w:szCs w:val="24"/>
          <w:lang w:val="en-US"/>
        </w:rPr>
        <w:t>,</w:t>
      </w:r>
      <w:r w:rsidR="00755E33">
        <w:rPr>
          <w:rFonts w:ascii="Times New Roman" w:hAnsi="Times New Roman" w:cs="Times New Roman"/>
          <w:sz w:val="24"/>
          <w:szCs w:val="24"/>
          <w:lang w:val="en-US"/>
        </w:rPr>
        <w:t xml:space="preserve"> that </w:t>
      </w:r>
      <w:r w:rsidR="00C25E48" w:rsidRPr="00EA25A1">
        <w:rPr>
          <w:rFonts w:ascii="Times New Roman" w:hAnsi="Times New Roman" w:cs="Times New Roman"/>
          <w:sz w:val="24"/>
          <w:szCs w:val="24"/>
          <w:lang w:val="en-US"/>
        </w:rPr>
        <w:t xml:space="preserve">mandated the expensing of </w:t>
      </w:r>
      <w:r w:rsidR="003943B8" w:rsidRPr="00EA25A1">
        <w:rPr>
          <w:rFonts w:ascii="Times New Roman" w:hAnsi="Times New Roman" w:cs="Times New Roman"/>
          <w:sz w:val="24"/>
          <w:szCs w:val="24"/>
          <w:lang w:val="en-US"/>
        </w:rPr>
        <w:t>stock-based</w:t>
      </w:r>
      <w:r w:rsidR="00C25E48" w:rsidRPr="00EA25A1">
        <w:rPr>
          <w:rFonts w:ascii="Times New Roman" w:hAnsi="Times New Roman" w:cs="Times New Roman"/>
          <w:sz w:val="24"/>
          <w:szCs w:val="24"/>
          <w:lang w:val="en-US"/>
        </w:rPr>
        <w:t xml:space="preserve"> compensation in the Income Statement</w:t>
      </w:r>
      <w:r w:rsidR="00012B36">
        <w:rPr>
          <w:rFonts w:ascii="Times New Roman" w:hAnsi="Times New Roman" w:cs="Times New Roman"/>
          <w:sz w:val="24"/>
          <w:szCs w:val="24"/>
          <w:lang w:val="en-US"/>
        </w:rPr>
        <w:t xml:space="preserve">, as </w:t>
      </w:r>
      <w:proofErr w:type="gramStart"/>
      <w:r w:rsidR="00012B36">
        <w:rPr>
          <w:rFonts w:ascii="Times New Roman" w:hAnsi="Times New Roman" w:cs="Times New Roman"/>
          <w:sz w:val="24"/>
          <w:szCs w:val="24"/>
          <w:lang w:val="en-US"/>
        </w:rPr>
        <w:t xml:space="preserve">a  </w:t>
      </w:r>
      <w:r w:rsidR="00012B36" w:rsidRPr="00EA25A1">
        <w:rPr>
          <w:rFonts w:ascii="Times New Roman" w:hAnsi="Times New Roman" w:cs="Times New Roman"/>
          <w:sz w:val="24"/>
          <w:szCs w:val="24"/>
          <w:lang w:val="en-US"/>
        </w:rPr>
        <w:t>quasi</w:t>
      </w:r>
      <w:proofErr w:type="gramEnd"/>
      <w:r w:rsidR="00012B36" w:rsidRPr="00EA25A1">
        <w:rPr>
          <w:rFonts w:ascii="Times New Roman" w:hAnsi="Times New Roman" w:cs="Times New Roman"/>
          <w:sz w:val="24"/>
          <w:szCs w:val="24"/>
          <w:lang w:val="en-US"/>
        </w:rPr>
        <w:t xml:space="preserve">-natural experiment </w:t>
      </w:r>
      <w:r w:rsidR="00012B36">
        <w:rPr>
          <w:rFonts w:ascii="Times New Roman" w:hAnsi="Times New Roman" w:cs="Times New Roman"/>
          <w:sz w:val="24"/>
          <w:szCs w:val="24"/>
          <w:lang w:val="en-US"/>
        </w:rPr>
        <w:t>to test our conjectures.</w:t>
      </w:r>
      <w:r w:rsidR="00C25E48" w:rsidRPr="00EA25A1">
        <w:rPr>
          <w:rFonts w:ascii="Times New Roman" w:hAnsi="Times New Roman" w:cs="Times New Roman"/>
          <w:sz w:val="24"/>
          <w:szCs w:val="24"/>
          <w:lang w:val="en-US"/>
        </w:rPr>
        <w:t xml:space="preserve"> </w:t>
      </w:r>
      <w:r w:rsidR="00522D2D">
        <w:rPr>
          <w:rFonts w:ascii="Times New Roman" w:hAnsi="Times New Roman" w:cs="Times New Roman"/>
          <w:sz w:val="24"/>
          <w:szCs w:val="24"/>
          <w:lang w:val="en-US"/>
        </w:rPr>
        <w:t>P</w:t>
      </w:r>
      <w:r w:rsidR="00522D2D" w:rsidRPr="00EA25A1">
        <w:rPr>
          <w:rFonts w:ascii="Times New Roman" w:hAnsi="Times New Roman" w:cs="Times New Roman"/>
          <w:sz w:val="24"/>
          <w:szCs w:val="24"/>
          <w:lang w:val="en-US"/>
        </w:rPr>
        <w:t>rior literature document</w:t>
      </w:r>
      <w:r w:rsidR="00522D2D">
        <w:rPr>
          <w:rFonts w:ascii="Times New Roman" w:hAnsi="Times New Roman" w:cs="Times New Roman"/>
          <w:sz w:val="24"/>
          <w:szCs w:val="24"/>
          <w:lang w:val="en-US"/>
        </w:rPr>
        <w:t>s</w:t>
      </w:r>
      <w:r w:rsidR="00522D2D" w:rsidRPr="00EA25A1">
        <w:rPr>
          <w:rFonts w:ascii="Times New Roman" w:hAnsi="Times New Roman" w:cs="Times New Roman"/>
          <w:sz w:val="24"/>
          <w:szCs w:val="24"/>
          <w:lang w:val="en-US"/>
        </w:rPr>
        <w:t xml:space="preserve"> a significant </w:t>
      </w:r>
      <w:r w:rsidR="00522D2D">
        <w:rPr>
          <w:rFonts w:ascii="Times New Roman" w:hAnsi="Times New Roman" w:cs="Times New Roman"/>
          <w:sz w:val="24"/>
          <w:szCs w:val="24"/>
          <w:lang w:val="en-US"/>
        </w:rPr>
        <w:t>reduction</w:t>
      </w:r>
      <w:r w:rsidR="00522D2D" w:rsidRPr="00EA25A1">
        <w:rPr>
          <w:rFonts w:ascii="Times New Roman" w:hAnsi="Times New Roman" w:cs="Times New Roman"/>
          <w:sz w:val="24"/>
          <w:szCs w:val="24"/>
          <w:lang w:val="en-US"/>
        </w:rPr>
        <w:t xml:space="preserve"> in the use of stock options in executive compensation contracts </w:t>
      </w:r>
      <w:r w:rsidR="00522D2D">
        <w:rPr>
          <w:rFonts w:ascii="Times New Roman" w:hAnsi="Times New Roman" w:cs="Times New Roman"/>
          <w:sz w:val="24"/>
          <w:szCs w:val="24"/>
          <w:lang w:val="en-US"/>
        </w:rPr>
        <w:t xml:space="preserve">following the implementation of SFAS 123R </w:t>
      </w:r>
      <w:r w:rsidR="00522D2D" w:rsidRPr="00EA25A1">
        <w:rPr>
          <w:rFonts w:ascii="Times New Roman" w:hAnsi="Times New Roman" w:cs="Times New Roman"/>
          <w:sz w:val="24"/>
          <w:szCs w:val="24"/>
          <w:lang w:val="en-US"/>
        </w:rPr>
        <w:t>(Carter, Lynch and Tuna 2007; Hayes</w:t>
      </w:r>
      <w:r w:rsidR="00024071">
        <w:rPr>
          <w:rFonts w:ascii="Times New Roman" w:hAnsi="Times New Roman" w:cs="Times New Roman"/>
          <w:sz w:val="24"/>
          <w:szCs w:val="24"/>
          <w:lang w:val="en-US"/>
        </w:rPr>
        <w:t xml:space="preserve"> et al. </w:t>
      </w:r>
      <w:r w:rsidR="00522D2D" w:rsidRPr="00EA25A1" w:rsidDel="001F6E4D">
        <w:rPr>
          <w:rFonts w:ascii="Times New Roman" w:hAnsi="Times New Roman" w:cs="Times New Roman"/>
          <w:sz w:val="24"/>
          <w:szCs w:val="24"/>
          <w:lang w:val="en-US"/>
        </w:rPr>
        <w:t xml:space="preserve"> </w:t>
      </w:r>
      <w:r w:rsidR="00522D2D" w:rsidRPr="00EA25A1">
        <w:rPr>
          <w:rFonts w:ascii="Times New Roman" w:hAnsi="Times New Roman" w:cs="Times New Roman"/>
          <w:sz w:val="24"/>
          <w:szCs w:val="24"/>
          <w:lang w:val="en-US"/>
        </w:rPr>
        <w:t>2012; and Bakke</w:t>
      </w:r>
      <w:r w:rsidR="00094BA9">
        <w:rPr>
          <w:rFonts w:ascii="Times New Roman" w:hAnsi="Times New Roman" w:cs="Times New Roman"/>
          <w:sz w:val="24"/>
          <w:szCs w:val="24"/>
          <w:lang w:val="en-US"/>
        </w:rPr>
        <w:t xml:space="preserve"> et al.</w:t>
      </w:r>
      <w:r w:rsidR="00522D2D" w:rsidRPr="00EA25A1">
        <w:rPr>
          <w:rFonts w:ascii="Times New Roman" w:hAnsi="Times New Roman" w:cs="Times New Roman"/>
          <w:sz w:val="24"/>
          <w:szCs w:val="24"/>
          <w:lang w:val="en-US"/>
        </w:rPr>
        <w:t>2016)</w:t>
      </w:r>
      <w:r w:rsidR="00B60422" w:rsidRPr="00EA25A1">
        <w:rPr>
          <w:rFonts w:ascii="Times New Roman" w:hAnsi="Times New Roman" w:cs="Times New Roman"/>
          <w:sz w:val="24"/>
          <w:szCs w:val="24"/>
          <w:lang w:val="en-US"/>
        </w:rPr>
        <w:t>.</w:t>
      </w:r>
      <w:r w:rsidR="002F38A4" w:rsidRPr="00EA25A1">
        <w:rPr>
          <w:rFonts w:ascii="Times New Roman" w:hAnsi="Times New Roman" w:cs="Times New Roman"/>
          <w:sz w:val="24"/>
          <w:szCs w:val="24"/>
          <w:lang w:val="en-US"/>
        </w:rPr>
        <w:t xml:space="preserve"> </w:t>
      </w:r>
      <w:r w:rsidR="00A35028">
        <w:rPr>
          <w:rFonts w:ascii="Times New Roman" w:hAnsi="Times New Roman" w:cs="Times New Roman"/>
          <w:sz w:val="24"/>
          <w:szCs w:val="24"/>
          <w:lang w:val="en-US"/>
        </w:rPr>
        <w:t>Therefore, t</w:t>
      </w:r>
      <w:r w:rsidR="00D440A2" w:rsidRPr="00EA25A1">
        <w:rPr>
          <w:rFonts w:ascii="Times New Roman" w:hAnsi="Times New Roman" w:cs="Times New Roman"/>
          <w:sz w:val="24"/>
          <w:szCs w:val="24"/>
          <w:lang w:val="en-US"/>
        </w:rPr>
        <w:t>h</w:t>
      </w:r>
      <w:r w:rsidR="00C25E48" w:rsidRPr="00EA25A1">
        <w:rPr>
          <w:rFonts w:ascii="Times New Roman" w:hAnsi="Times New Roman" w:cs="Times New Roman"/>
          <w:sz w:val="24"/>
          <w:szCs w:val="24"/>
          <w:lang w:val="en-US"/>
        </w:rPr>
        <w:t xml:space="preserve">e implementation of SFAS 123R </w:t>
      </w:r>
      <w:r w:rsidR="00522D2D" w:rsidRPr="00EA25A1">
        <w:rPr>
          <w:rFonts w:ascii="Times New Roman" w:hAnsi="Times New Roman" w:cs="Times New Roman"/>
          <w:sz w:val="24"/>
          <w:szCs w:val="24"/>
          <w:lang w:val="en-US"/>
        </w:rPr>
        <w:t>provides a</w:t>
      </w:r>
      <w:r w:rsidR="0018779E">
        <w:rPr>
          <w:rFonts w:ascii="Times New Roman" w:hAnsi="Times New Roman" w:cs="Times New Roman"/>
          <w:sz w:val="24"/>
          <w:szCs w:val="24"/>
          <w:lang w:val="en-US"/>
        </w:rPr>
        <w:t xml:space="preserve"> plausible</w:t>
      </w:r>
      <w:r w:rsidR="00522D2D" w:rsidRPr="00EA25A1">
        <w:rPr>
          <w:rFonts w:ascii="Times New Roman" w:hAnsi="Times New Roman" w:cs="Times New Roman"/>
          <w:sz w:val="24"/>
          <w:szCs w:val="24"/>
          <w:lang w:val="en-US"/>
        </w:rPr>
        <w:t xml:space="preserve"> exogenous shock to CEO </w:t>
      </w:r>
      <w:proofErr w:type="spellStart"/>
      <w:r w:rsidR="00522D2D" w:rsidRPr="00EA25A1">
        <w:rPr>
          <w:rFonts w:ascii="Times New Roman" w:hAnsi="Times New Roman" w:cs="Times New Roman"/>
          <w:sz w:val="24"/>
          <w:szCs w:val="24"/>
          <w:lang w:val="en-US"/>
        </w:rPr>
        <w:t>vega</w:t>
      </w:r>
      <w:proofErr w:type="spellEnd"/>
      <w:r w:rsidR="007D3F25" w:rsidRPr="00EA25A1">
        <w:rPr>
          <w:rFonts w:ascii="Times New Roman" w:hAnsi="Times New Roman" w:cs="Times New Roman"/>
          <w:sz w:val="24"/>
          <w:szCs w:val="24"/>
          <w:lang w:val="en-US"/>
        </w:rPr>
        <w:t xml:space="preserve">. </w:t>
      </w:r>
    </w:p>
    <w:p w14:paraId="659769BD" w14:textId="6CAEF30D" w:rsidR="00646AF8" w:rsidRPr="003E60FF" w:rsidRDefault="002F38A4" w:rsidP="00343F87">
      <w:pPr>
        <w:autoSpaceDE w:val="0"/>
        <w:autoSpaceDN w:val="0"/>
        <w:adjustRightInd w:val="0"/>
        <w:spacing w:after="0" w:line="480" w:lineRule="auto"/>
        <w:ind w:firstLine="720"/>
        <w:jc w:val="both"/>
        <w:rPr>
          <w:rFonts w:ascii="Times New Roman" w:hAnsi="Times New Roman" w:cs="Times New Roman"/>
          <w:sz w:val="24"/>
          <w:szCs w:val="24"/>
          <w:lang w:val="en-US"/>
        </w:rPr>
      </w:pPr>
      <w:r w:rsidRPr="0018779E">
        <w:rPr>
          <w:rFonts w:ascii="Times New Roman" w:hAnsi="Times New Roman" w:cs="Times New Roman"/>
          <w:sz w:val="24"/>
          <w:szCs w:val="24"/>
          <w:lang w:val="en-US"/>
        </w:rPr>
        <w:t>Our results show</w:t>
      </w:r>
      <w:r w:rsidR="00065CDF" w:rsidRPr="00EA25A1">
        <w:rPr>
          <w:rFonts w:ascii="Times New Roman" w:hAnsi="Times New Roman" w:cs="Times New Roman"/>
          <w:sz w:val="24"/>
          <w:szCs w:val="24"/>
          <w:lang w:val="en-US"/>
        </w:rPr>
        <w:t xml:space="preserve"> that </w:t>
      </w:r>
      <w:r w:rsidR="00DE1594" w:rsidRPr="00EA25A1">
        <w:rPr>
          <w:rFonts w:ascii="Times New Roman" w:hAnsi="Times New Roman" w:cs="Times New Roman"/>
          <w:sz w:val="24"/>
          <w:szCs w:val="24"/>
          <w:lang w:val="en-US"/>
        </w:rPr>
        <w:t xml:space="preserve">CEO </w:t>
      </w:r>
      <w:r w:rsidR="003D14DE" w:rsidRPr="00EA25A1">
        <w:rPr>
          <w:rFonts w:ascii="Times New Roman" w:hAnsi="Times New Roman" w:cs="Times New Roman"/>
          <w:sz w:val="24"/>
          <w:szCs w:val="24"/>
          <w:lang w:val="en-US"/>
        </w:rPr>
        <w:t xml:space="preserve">risk </w:t>
      </w:r>
      <w:r w:rsidR="00065CDF" w:rsidRPr="00EA25A1">
        <w:rPr>
          <w:rFonts w:ascii="Times New Roman" w:hAnsi="Times New Roman" w:cs="Times New Roman"/>
          <w:sz w:val="24"/>
          <w:szCs w:val="24"/>
          <w:lang w:val="en-US"/>
        </w:rPr>
        <w:t>taking equity incentives</w:t>
      </w:r>
      <w:r w:rsidR="00DE1594" w:rsidRPr="00EA25A1">
        <w:rPr>
          <w:rFonts w:ascii="Times New Roman" w:hAnsi="Times New Roman" w:cs="Times New Roman"/>
          <w:sz w:val="24"/>
          <w:szCs w:val="24"/>
          <w:lang w:val="en-US"/>
        </w:rPr>
        <w:t xml:space="preserve">, </w:t>
      </w:r>
      <w:r w:rsidR="003943B8">
        <w:rPr>
          <w:rFonts w:ascii="Times New Roman" w:hAnsi="Times New Roman" w:cs="Times New Roman"/>
          <w:sz w:val="24"/>
          <w:szCs w:val="24"/>
          <w:lang w:val="en-US"/>
        </w:rPr>
        <w:t>as captured</w:t>
      </w:r>
      <w:r w:rsidR="00DE1594" w:rsidRPr="00EA25A1">
        <w:rPr>
          <w:rFonts w:ascii="Times New Roman" w:hAnsi="Times New Roman" w:cs="Times New Roman"/>
          <w:sz w:val="24"/>
          <w:szCs w:val="24"/>
          <w:lang w:val="en-US"/>
        </w:rPr>
        <w:t xml:space="preserve"> by </w:t>
      </w:r>
      <w:proofErr w:type="spellStart"/>
      <w:r w:rsidR="00DE1594" w:rsidRPr="00EA25A1">
        <w:rPr>
          <w:rFonts w:ascii="Times New Roman" w:hAnsi="Times New Roman" w:cs="Times New Roman"/>
          <w:sz w:val="24"/>
          <w:szCs w:val="24"/>
          <w:lang w:val="en-US"/>
        </w:rPr>
        <w:t>vega</w:t>
      </w:r>
      <w:proofErr w:type="spellEnd"/>
      <w:r w:rsidR="00065CDF" w:rsidRPr="00EA25A1">
        <w:rPr>
          <w:rFonts w:ascii="Times New Roman" w:hAnsi="Times New Roman" w:cs="Times New Roman"/>
          <w:sz w:val="24"/>
          <w:szCs w:val="24"/>
          <w:lang w:val="en-US"/>
        </w:rPr>
        <w:t xml:space="preserve"> </w:t>
      </w:r>
      <w:r w:rsidR="00EF6101" w:rsidRPr="00EA25A1">
        <w:rPr>
          <w:rFonts w:ascii="Times New Roman" w:hAnsi="Times New Roman" w:cs="Times New Roman"/>
          <w:sz w:val="24"/>
          <w:szCs w:val="24"/>
          <w:lang w:val="en-US"/>
        </w:rPr>
        <w:t>are positively related to workplace</w:t>
      </w:r>
      <w:r w:rsidR="00065CDF" w:rsidRPr="00EA25A1">
        <w:rPr>
          <w:rFonts w:ascii="Times New Roman" w:hAnsi="Times New Roman" w:cs="Times New Roman"/>
          <w:sz w:val="24"/>
          <w:szCs w:val="24"/>
          <w:lang w:val="en-US"/>
        </w:rPr>
        <w:t xml:space="preserve"> misconduct</w:t>
      </w:r>
      <w:r w:rsidR="00DE1594" w:rsidRPr="00EA25A1">
        <w:rPr>
          <w:rFonts w:ascii="Times New Roman" w:hAnsi="Times New Roman" w:cs="Times New Roman"/>
          <w:sz w:val="24"/>
          <w:szCs w:val="24"/>
          <w:lang w:val="en-US"/>
        </w:rPr>
        <w:t>, as captured by the number and severity of workplace violations</w:t>
      </w:r>
      <w:r w:rsidR="00065CDF" w:rsidRPr="00EA25A1">
        <w:rPr>
          <w:rFonts w:ascii="Times New Roman" w:hAnsi="Times New Roman" w:cs="Times New Roman"/>
          <w:sz w:val="24"/>
          <w:szCs w:val="24"/>
          <w:lang w:val="en-US"/>
        </w:rPr>
        <w:t xml:space="preserve">. </w:t>
      </w:r>
      <w:r w:rsidR="00271868" w:rsidRPr="00EA25A1">
        <w:rPr>
          <w:rFonts w:ascii="Times New Roman" w:hAnsi="Times New Roman" w:cs="Times New Roman"/>
          <w:sz w:val="24"/>
          <w:szCs w:val="24"/>
          <w:lang w:val="en-US"/>
        </w:rPr>
        <w:t xml:space="preserve">The observed relation between </w:t>
      </w:r>
      <w:r w:rsidR="00127DCB" w:rsidRPr="00EA25A1">
        <w:rPr>
          <w:rFonts w:ascii="Times New Roman" w:hAnsi="Times New Roman" w:cs="Times New Roman"/>
          <w:sz w:val="24"/>
          <w:szCs w:val="24"/>
          <w:lang w:val="en-US"/>
        </w:rPr>
        <w:t xml:space="preserve">CEO </w:t>
      </w:r>
      <w:proofErr w:type="spellStart"/>
      <w:r w:rsidR="00127DCB" w:rsidRPr="00EA25A1">
        <w:rPr>
          <w:rFonts w:ascii="Times New Roman" w:hAnsi="Times New Roman" w:cs="Times New Roman"/>
          <w:sz w:val="24"/>
          <w:szCs w:val="24"/>
          <w:lang w:val="en-US"/>
        </w:rPr>
        <w:t>vega</w:t>
      </w:r>
      <w:proofErr w:type="spellEnd"/>
      <w:r w:rsidR="00127DCB" w:rsidRPr="00EA25A1">
        <w:rPr>
          <w:rFonts w:ascii="Times New Roman" w:hAnsi="Times New Roman" w:cs="Times New Roman"/>
          <w:sz w:val="24"/>
          <w:szCs w:val="24"/>
          <w:lang w:val="en-US"/>
        </w:rPr>
        <w:t xml:space="preserve"> and workplace violations is economically significant. </w:t>
      </w:r>
      <w:bookmarkStart w:id="0" w:name="_Hlk87602580"/>
      <w:r w:rsidR="00127DCB" w:rsidRPr="00EA25A1">
        <w:rPr>
          <w:rFonts w:ascii="Times New Roman" w:hAnsi="Times New Roman" w:cs="Times New Roman"/>
          <w:sz w:val="24"/>
          <w:szCs w:val="24"/>
          <w:lang w:val="en-US"/>
        </w:rPr>
        <w:t xml:space="preserve">Specifically, a one standard deviation increase in CEO </w:t>
      </w:r>
      <w:proofErr w:type="spellStart"/>
      <w:r w:rsidR="00127DCB" w:rsidRPr="00EA25A1">
        <w:rPr>
          <w:rFonts w:ascii="Times New Roman" w:hAnsi="Times New Roman" w:cs="Times New Roman"/>
          <w:sz w:val="24"/>
          <w:szCs w:val="24"/>
          <w:lang w:val="en-US"/>
        </w:rPr>
        <w:t>vega</w:t>
      </w:r>
      <w:proofErr w:type="spellEnd"/>
      <w:r w:rsidR="00127DCB" w:rsidRPr="00EA25A1">
        <w:rPr>
          <w:rFonts w:ascii="Times New Roman" w:hAnsi="Times New Roman" w:cs="Times New Roman"/>
          <w:sz w:val="24"/>
          <w:szCs w:val="24"/>
          <w:lang w:val="en-US"/>
        </w:rPr>
        <w:t xml:space="preserve"> is related to a</w:t>
      </w:r>
      <w:r w:rsidR="003F20F3">
        <w:rPr>
          <w:rFonts w:ascii="Times New Roman" w:hAnsi="Times New Roman" w:cs="Times New Roman"/>
          <w:sz w:val="24"/>
          <w:szCs w:val="24"/>
          <w:lang w:val="en-US"/>
        </w:rPr>
        <w:t xml:space="preserve"> </w:t>
      </w:r>
      <w:r w:rsidR="00BA0226" w:rsidRPr="00EA25A1">
        <w:rPr>
          <w:rFonts w:ascii="Times New Roman" w:hAnsi="Times New Roman" w:cs="Times New Roman"/>
          <w:sz w:val="24"/>
          <w:szCs w:val="24"/>
          <w:lang w:val="en-US"/>
        </w:rPr>
        <w:t>6.7</w:t>
      </w:r>
      <w:r w:rsidR="000B3A69">
        <w:rPr>
          <w:rFonts w:ascii="Times New Roman" w:hAnsi="Times New Roman" w:cs="Times New Roman"/>
          <w:sz w:val="24"/>
          <w:szCs w:val="24"/>
          <w:lang w:val="en-US"/>
        </w:rPr>
        <w:t xml:space="preserve"> </w:t>
      </w:r>
      <w:proofErr w:type="spellStart"/>
      <w:r w:rsidR="000B3A69">
        <w:rPr>
          <w:rFonts w:ascii="Times New Roman" w:hAnsi="Times New Roman" w:cs="Times New Roman"/>
          <w:sz w:val="24"/>
          <w:szCs w:val="24"/>
          <w:lang w:val="en-US"/>
        </w:rPr>
        <w:t>percent</w:t>
      </w:r>
      <w:r w:rsidR="003F20F3">
        <w:rPr>
          <w:rFonts w:ascii="Times New Roman" w:hAnsi="Times New Roman" w:cs="Times New Roman"/>
          <w:sz w:val="24"/>
          <w:szCs w:val="24"/>
          <w:lang w:val="en-US"/>
        </w:rPr>
        <w:t>increase</w:t>
      </w:r>
      <w:proofErr w:type="spellEnd"/>
      <w:r w:rsidR="003F20F3">
        <w:rPr>
          <w:rFonts w:ascii="Times New Roman" w:hAnsi="Times New Roman" w:cs="Times New Roman"/>
          <w:sz w:val="24"/>
          <w:szCs w:val="24"/>
          <w:lang w:val="en-US"/>
        </w:rPr>
        <w:t xml:space="preserve"> </w:t>
      </w:r>
      <w:r w:rsidR="00127DCB" w:rsidRPr="00EA25A1">
        <w:rPr>
          <w:rFonts w:ascii="Times New Roman" w:hAnsi="Times New Roman" w:cs="Times New Roman"/>
          <w:sz w:val="24"/>
          <w:szCs w:val="24"/>
          <w:lang w:val="en-US"/>
        </w:rPr>
        <w:t xml:space="preserve">in the number of violations and a </w:t>
      </w:r>
      <w:r w:rsidR="00BA0226" w:rsidRPr="00EA25A1">
        <w:rPr>
          <w:rFonts w:ascii="Times New Roman" w:hAnsi="Times New Roman" w:cs="Times New Roman"/>
          <w:sz w:val="24"/>
          <w:szCs w:val="24"/>
          <w:lang w:val="en-US"/>
        </w:rPr>
        <w:t>5.5</w:t>
      </w:r>
      <w:r w:rsidR="000B3A69">
        <w:rPr>
          <w:rFonts w:ascii="Times New Roman" w:hAnsi="Times New Roman" w:cs="Times New Roman"/>
          <w:sz w:val="24"/>
          <w:szCs w:val="24"/>
          <w:lang w:val="en-US"/>
        </w:rPr>
        <w:t xml:space="preserve"> percent</w:t>
      </w:r>
      <w:r w:rsidR="003F20F3">
        <w:rPr>
          <w:rFonts w:ascii="Times New Roman" w:hAnsi="Times New Roman" w:cs="Times New Roman"/>
          <w:sz w:val="24"/>
          <w:szCs w:val="24"/>
          <w:lang w:val="en-US"/>
        </w:rPr>
        <w:t xml:space="preserve"> increase</w:t>
      </w:r>
      <w:r w:rsidR="00127DCB" w:rsidRPr="00EA25A1">
        <w:rPr>
          <w:rFonts w:ascii="Times New Roman" w:hAnsi="Times New Roman" w:cs="Times New Roman"/>
          <w:sz w:val="24"/>
          <w:szCs w:val="24"/>
          <w:lang w:val="en-US"/>
        </w:rPr>
        <w:t xml:space="preserve"> in the value of penalties for the mean </w:t>
      </w:r>
      <w:r w:rsidR="00127DCB" w:rsidRPr="00EA25A1">
        <w:rPr>
          <w:rFonts w:ascii="Times New Roman" w:hAnsi="Times New Roman" w:cs="Times New Roman"/>
          <w:sz w:val="24"/>
          <w:szCs w:val="24"/>
          <w:lang w:val="en-US"/>
        </w:rPr>
        <w:lastRenderedPageBreak/>
        <w:t>observation in our sample</w:t>
      </w:r>
      <w:r w:rsidR="001B6B51">
        <w:rPr>
          <w:rFonts w:ascii="Times New Roman" w:hAnsi="Times New Roman" w:cs="Times New Roman"/>
          <w:sz w:val="24"/>
          <w:szCs w:val="24"/>
          <w:lang w:val="en-US"/>
        </w:rPr>
        <w:t xml:space="preserve">. </w:t>
      </w:r>
      <w:bookmarkStart w:id="1" w:name="_Hlk133745724"/>
      <w:bookmarkEnd w:id="0"/>
      <w:r w:rsidR="001D6A42">
        <w:rPr>
          <w:rFonts w:ascii="Times New Roman" w:hAnsi="Times New Roman" w:cs="Times New Roman"/>
          <w:sz w:val="24"/>
          <w:szCs w:val="24"/>
          <w:lang w:val="en-US"/>
        </w:rPr>
        <w:t>R</w:t>
      </w:r>
      <w:r w:rsidR="00867AE1" w:rsidRPr="00A65BF5">
        <w:rPr>
          <w:rFonts w:ascii="Times New Roman" w:hAnsi="Times New Roman" w:cs="Times New Roman"/>
          <w:sz w:val="24"/>
          <w:szCs w:val="24"/>
          <w:lang w:val="en-US"/>
        </w:rPr>
        <w:t xml:space="preserve">esults </w:t>
      </w:r>
      <w:r w:rsidR="00F05E82">
        <w:rPr>
          <w:rFonts w:ascii="Times New Roman" w:hAnsi="Times New Roman" w:cs="Times New Roman"/>
          <w:sz w:val="24"/>
          <w:szCs w:val="24"/>
          <w:lang w:val="en-US"/>
        </w:rPr>
        <w:t>show</w:t>
      </w:r>
      <w:r w:rsidR="00F05E82" w:rsidRPr="00A65BF5">
        <w:rPr>
          <w:rFonts w:ascii="Times New Roman" w:hAnsi="Times New Roman" w:cs="Times New Roman"/>
          <w:sz w:val="24"/>
          <w:szCs w:val="24"/>
          <w:lang w:val="en-US"/>
        </w:rPr>
        <w:t xml:space="preserve"> </w:t>
      </w:r>
      <w:r w:rsidR="00867AE1" w:rsidRPr="00A65BF5">
        <w:rPr>
          <w:rFonts w:ascii="Times New Roman" w:hAnsi="Times New Roman" w:cs="Times New Roman"/>
          <w:sz w:val="24"/>
          <w:szCs w:val="24"/>
          <w:lang w:val="en-US"/>
        </w:rPr>
        <w:t>that the implementation of SFAS 123R</w:t>
      </w:r>
      <w:r w:rsidR="00F05E82">
        <w:rPr>
          <w:rFonts w:ascii="Times New Roman" w:hAnsi="Times New Roman" w:cs="Times New Roman"/>
          <w:sz w:val="24"/>
          <w:szCs w:val="24"/>
          <w:lang w:val="en-US"/>
        </w:rPr>
        <w:t xml:space="preserve">, which </w:t>
      </w:r>
      <w:r w:rsidR="00B77EF7">
        <w:rPr>
          <w:rFonts w:ascii="Times New Roman" w:hAnsi="Times New Roman" w:cs="Times New Roman"/>
          <w:sz w:val="24"/>
          <w:szCs w:val="24"/>
          <w:lang w:val="en-US"/>
        </w:rPr>
        <w:t xml:space="preserve">reduced </w:t>
      </w:r>
      <w:r w:rsidR="007D2CEA">
        <w:rPr>
          <w:rFonts w:ascii="Times New Roman" w:hAnsi="Times New Roman" w:cs="Times New Roman"/>
          <w:sz w:val="24"/>
          <w:szCs w:val="24"/>
          <w:lang w:val="en-US"/>
        </w:rPr>
        <w:t>the use of stock options in CEO executive contracts</w:t>
      </w:r>
      <w:r w:rsidR="00B77EF7">
        <w:rPr>
          <w:rFonts w:ascii="Times New Roman" w:hAnsi="Times New Roman" w:cs="Times New Roman"/>
          <w:sz w:val="24"/>
          <w:szCs w:val="24"/>
          <w:lang w:val="en-US"/>
        </w:rPr>
        <w:t xml:space="preserve">, </w:t>
      </w:r>
      <w:r w:rsidR="007D2CEA">
        <w:rPr>
          <w:rFonts w:ascii="Times New Roman" w:hAnsi="Times New Roman" w:cs="Times New Roman"/>
          <w:sz w:val="24"/>
          <w:szCs w:val="24"/>
          <w:lang w:val="en-US"/>
        </w:rPr>
        <w:t>is related to a reduction in</w:t>
      </w:r>
      <w:r w:rsidR="00B77EF7">
        <w:rPr>
          <w:rFonts w:ascii="Times New Roman" w:hAnsi="Times New Roman" w:cs="Times New Roman"/>
          <w:sz w:val="24"/>
          <w:szCs w:val="24"/>
          <w:lang w:val="en-US"/>
        </w:rPr>
        <w:t xml:space="preserve"> </w:t>
      </w:r>
      <w:r w:rsidR="001B22B1" w:rsidRPr="00A65BF5">
        <w:rPr>
          <w:rFonts w:ascii="Times New Roman" w:hAnsi="Times New Roman" w:cs="Times New Roman"/>
          <w:sz w:val="24"/>
          <w:szCs w:val="24"/>
          <w:lang w:val="en-US"/>
        </w:rPr>
        <w:t xml:space="preserve">the number and severity of workplace violations. </w:t>
      </w:r>
      <w:bookmarkEnd w:id="1"/>
      <w:r w:rsidR="001B22B1" w:rsidRPr="00A65BF5">
        <w:rPr>
          <w:rFonts w:ascii="Times New Roman" w:hAnsi="Times New Roman" w:cs="Times New Roman"/>
          <w:sz w:val="24"/>
          <w:szCs w:val="24"/>
          <w:lang w:val="en-US"/>
        </w:rPr>
        <w:t xml:space="preserve">Given that it is unlikely that the implementation of SFAS 123R had an influence on the number and severity of workplace violations other than through its effect on CEO </w:t>
      </w:r>
      <w:proofErr w:type="spellStart"/>
      <w:r w:rsidR="001B22B1" w:rsidRPr="00A65BF5">
        <w:rPr>
          <w:rFonts w:ascii="Times New Roman" w:hAnsi="Times New Roman" w:cs="Times New Roman"/>
          <w:sz w:val="24"/>
          <w:szCs w:val="24"/>
          <w:lang w:val="en-US"/>
        </w:rPr>
        <w:t>vega</w:t>
      </w:r>
      <w:proofErr w:type="spellEnd"/>
      <w:r w:rsidR="001B22B1" w:rsidRPr="00A65BF5">
        <w:rPr>
          <w:rFonts w:ascii="Times New Roman" w:hAnsi="Times New Roman" w:cs="Times New Roman"/>
          <w:sz w:val="24"/>
          <w:szCs w:val="24"/>
          <w:lang w:val="en-US"/>
        </w:rPr>
        <w:t>, we believe that these re</w:t>
      </w:r>
      <w:r w:rsidR="00191F58" w:rsidRPr="00A65BF5">
        <w:rPr>
          <w:rFonts w:ascii="Times New Roman" w:hAnsi="Times New Roman" w:cs="Times New Roman"/>
          <w:sz w:val="24"/>
          <w:szCs w:val="24"/>
          <w:lang w:val="en-US"/>
        </w:rPr>
        <w:t>s</w:t>
      </w:r>
      <w:r w:rsidR="001B22B1" w:rsidRPr="00A65BF5">
        <w:rPr>
          <w:rFonts w:ascii="Times New Roman" w:hAnsi="Times New Roman" w:cs="Times New Roman"/>
          <w:sz w:val="24"/>
          <w:szCs w:val="24"/>
          <w:lang w:val="en-US"/>
        </w:rPr>
        <w:t xml:space="preserve">ults </w:t>
      </w:r>
      <w:r w:rsidR="00F71B22" w:rsidRPr="00A65BF5">
        <w:rPr>
          <w:rFonts w:ascii="Times New Roman" w:hAnsi="Times New Roman" w:cs="Times New Roman"/>
          <w:sz w:val="24"/>
          <w:szCs w:val="24"/>
          <w:lang w:val="en-US"/>
        </w:rPr>
        <w:t xml:space="preserve">support our conjecture that CEO </w:t>
      </w:r>
      <w:proofErr w:type="spellStart"/>
      <w:r w:rsidR="00F71B22" w:rsidRPr="00A65BF5">
        <w:rPr>
          <w:rFonts w:ascii="Times New Roman" w:hAnsi="Times New Roman" w:cs="Times New Roman"/>
          <w:sz w:val="24"/>
          <w:szCs w:val="24"/>
          <w:lang w:val="en-US"/>
        </w:rPr>
        <w:t>vega</w:t>
      </w:r>
      <w:proofErr w:type="spellEnd"/>
      <w:r w:rsidR="00F71B22" w:rsidRPr="00A65BF5">
        <w:rPr>
          <w:rFonts w:ascii="Times New Roman" w:hAnsi="Times New Roman" w:cs="Times New Roman"/>
          <w:sz w:val="24"/>
          <w:szCs w:val="24"/>
          <w:lang w:val="en-US"/>
        </w:rPr>
        <w:t xml:space="preserve"> influences </w:t>
      </w:r>
      <w:r w:rsidR="001B22B1" w:rsidRPr="00A65BF5">
        <w:rPr>
          <w:rFonts w:ascii="Times New Roman" w:hAnsi="Times New Roman" w:cs="Times New Roman"/>
          <w:sz w:val="24"/>
          <w:szCs w:val="24"/>
          <w:lang w:val="en-US"/>
        </w:rPr>
        <w:t xml:space="preserve">workplace misconduct. Finally, the fact that our results are robust to different econometric choices, </w:t>
      </w:r>
      <w:r w:rsidR="001B22B1" w:rsidRPr="003E60FF">
        <w:rPr>
          <w:rFonts w:ascii="Times New Roman" w:hAnsi="Times New Roman" w:cs="Times New Roman"/>
          <w:sz w:val="24"/>
          <w:szCs w:val="24"/>
          <w:lang w:val="en-US"/>
        </w:rPr>
        <w:t>firm and year fixed effects</w:t>
      </w:r>
      <w:r w:rsidR="006A35EE" w:rsidRPr="003E60FF">
        <w:rPr>
          <w:rFonts w:ascii="Times New Roman" w:hAnsi="Times New Roman" w:cs="Times New Roman"/>
          <w:sz w:val="24"/>
          <w:szCs w:val="24"/>
          <w:lang w:val="en-US"/>
        </w:rPr>
        <w:t>,</w:t>
      </w:r>
      <w:r w:rsidR="001B22B1" w:rsidRPr="003E60FF">
        <w:rPr>
          <w:rFonts w:ascii="Times New Roman" w:hAnsi="Times New Roman" w:cs="Times New Roman"/>
          <w:sz w:val="24"/>
          <w:szCs w:val="24"/>
          <w:lang w:val="en-US"/>
        </w:rPr>
        <w:t xml:space="preserve"> and firm</w:t>
      </w:r>
      <w:r w:rsidR="00343F87" w:rsidRPr="003E60FF">
        <w:rPr>
          <w:rFonts w:ascii="Times New Roman" w:hAnsi="Times New Roman" w:cs="Times New Roman"/>
          <w:sz w:val="24"/>
          <w:szCs w:val="24"/>
          <w:lang w:val="en-US"/>
        </w:rPr>
        <w:t xml:space="preserve"> </w:t>
      </w:r>
      <w:r w:rsidR="001B22B1" w:rsidRPr="003E60FF">
        <w:rPr>
          <w:rFonts w:ascii="Times New Roman" w:hAnsi="Times New Roman" w:cs="Times New Roman"/>
          <w:sz w:val="24"/>
          <w:szCs w:val="24"/>
          <w:lang w:val="en-US"/>
        </w:rPr>
        <w:t>spe</w:t>
      </w:r>
      <w:r w:rsidR="004B0612" w:rsidRPr="003E60FF">
        <w:rPr>
          <w:rFonts w:ascii="Times New Roman" w:hAnsi="Times New Roman" w:cs="Times New Roman"/>
          <w:sz w:val="24"/>
          <w:szCs w:val="24"/>
          <w:lang w:val="en-US"/>
        </w:rPr>
        <w:t>ci</w:t>
      </w:r>
      <w:r w:rsidR="001B22B1" w:rsidRPr="003E60FF">
        <w:rPr>
          <w:rFonts w:ascii="Times New Roman" w:hAnsi="Times New Roman" w:cs="Times New Roman"/>
          <w:sz w:val="24"/>
          <w:szCs w:val="24"/>
          <w:lang w:val="en-US"/>
        </w:rPr>
        <w:t xml:space="preserve">fic controls suggest that our results are not driven by a correlated omitted variable. </w:t>
      </w:r>
    </w:p>
    <w:p w14:paraId="6FED46AF" w14:textId="107F5A0C" w:rsidR="00E145B8" w:rsidRPr="003E60FF" w:rsidRDefault="00E145B8" w:rsidP="00A177A3">
      <w:pPr>
        <w:autoSpaceDE w:val="0"/>
        <w:autoSpaceDN w:val="0"/>
        <w:adjustRightInd w:val="0"/>
        <w:spacing w:after="0" w:line="480" w:lineRule="auto"/>
        <w:ind w:firstLine="720"/>
        <w:jc w:val="both"/>
        <w:rPr>
          <w:rFonts w:ascii="Times New Roman" w:hAnsi="Times New Roman" w:cs="Times New Roman"/>
          <w:sz w:val="24"/>
          <w:szCs w:val="24"/>
          <w:lang w:val="en-US"/>
        </w:rPr>
      </w:pPr>
      <w:r w:rsidRPr="008B408B">
        <w:rPr>
          <w:rFonts w:ascii="Times New Roman" w:hAnsi="Times New Roman" w:cs="Times New Roman"/>
          <w:sz w:val="24"/>
          <w:szCs w:val="24"/>
          <w:lang w:val="en-US"/>
        </w:rPr>
        <w:t xml:space="preserve">We identify </w:t>
      </w:r>
      <w:r w:rsidR="003F20F3">
        <w:rPr>
          <w:rFonts w:ascii="Times New Roman" w:hAnsi="Times New Roman" w:cs="Times New Roman"/>
          <w:sz w:val="24"/>
          <w:szCs w:val="24"/>
          <w:lang w:val="en-US"/>
        </w:rPr>
        <w:t>the mechanisms</w:t>
      </w:r>
      <w:r w:rsidRPr="008B408B">
        <w:rPr>
          <w:rFonts w:ascii="Times New Roman" w:hAnsi="Times New Roman" w:cs="Times New Roman"/>
          <w:sz w:val="24"/>
          <w:szCs w:val="24"/>
          <w:lang w:val="en-US"/>
        </w:rPr>
        <w:t xml:space="preserve"> th</w:t>
      </w:r>
      <w:r w:rsidR="00A177A3" w:rsidRPr="008B408B">
        <w:rPr>
          <w:rFonts w:ascii="Times New Roman" w:hAnsi="Times New Roman" w:cs="Times New Roman"/>
          <w:sz w:val="24"/>
          <w:szCs w:val="24"/>
          <w:lang w:val="en-US"/>
        </w:rPr>
        <w:t>r</w:t>
      </w:r>
      <w:r w:rsidRPr="008B408B">
        <w:rPr>
          <w:rFonts w:ascii="Times New Roman" w:hAnsi="Times New Roman" w:cs="Times New Roman"/>
          <w:sz w:val="24"/>
          <w:szCs w:val="24"/>
          <w:lang w:val="en-US"/>
        </w:rPr>
        <w:t xml:space="preserve">ough which CEO </w:t>
      </w:r>
      <w:proofErr w:type="spellStart"/>
      <w:r w:rsidR="00D11317" w:rsidRPr="008B408B">
        <w:rPr>
          <w:rFonts w:ascii="Times New Roman" w:hAnsi="Times New Roman" w:cs="Times New Roman"/>
          <w:sz w:val="24"/>
          <w:szCs w:val="24"/>
          <w:lang w:val="en-US"/>
        </w:rPr>
        <w:t>vega</w:t>
      </w:r>
      <w:proofErr w:type="spellEnd"/>
      <w:r w:rsidRPr="008B408B">
        <w:rPr>
          <w:rFonts w:ascii="Times New Roman" w:hAnsi="Times New Roman" w:cs="Times New Roman"/>
          <w:sz w:val="24"/>
          <w:szCs w:val="24"/>
          <w:lang w:val="en-US"/>
        </w:rPr>
        <w:t xml:space="preserve"> affect</w:t>
      </w:r>
      <w:r w:rsidR="00083A3C" w:rsidRPr="008B408B">
        <w:rPr>
          <w:rFonts w:ascii="Times New Roman" w:hAnsi="Times New Roman" w:cs="Times New Roman"/>
          <w:sz w:val="24"/>
          <w:szCs w:val="24"/>
          <w:lang w:val="en-US"/>
        </w:rPr>
        <w:t>s</w:t>
      </w:r>
      <w:r w:rsidRPr="008B408B">
        <w:rPr>
          <w:rFonts w:ascii="Times New Roman" w:hAnsi="Times New Roman" w:cs="Times New Roman"/>
          <w:sz w:val="24"/>
          <w:szCs w:val="24"/>
          <w:lang w:val="en-US"/>
        </w:rPr>
        <w:t xml:space="preserve"> workplace misconduct. CEOs </w:t>
      </w:r>
      <w:r w:rsidR="003E095C" w:rsidRPr="008B408B">
        <w:rPr>
          <w:rFonts w:ascii="Times New Roman" w:hAnsi="Times New Roman" w:cs="Times New Roman"/>
          <w:sz w:val="24"/>
          <w:szCs w:val="24"/>
          <w:lang w:val="en-US"/>
        </w:rPr>
        <w:t xml:space="preserve">may </w:t>
      </w:r>
      <w:r w:rsidR="008314EE" w:rsidRPr="008B408B">
        <w:rPr>
          <w:rFonts w:ascii="Times New Roman" w:hAnsi="Times New Roman" w:cs="Times New Roman"/>
          <w:sz w:val="24"/>
          <w:szCs w:val="24"/>
          <w:lang w:val="en-US"/>
        </w:rPr>
        <w:t xml:space="preserve">take riskier strategic workplace decisions </w:t>
      </w:r>
      <w:r w:rsidR="008B408B" w:rsidRPr="008B408B">
        <w:rPr>
          <w:rFonts w:ascii="Times New Roman" w:hAnsi="Times New Roman" w:cs="Times New Roman"/>
          <w:sz w:val="24"/>
          <w:szCs w:val="24"/>
          <w:lang w:val="en-US"/>
        </w:rPr>
        <w:t>that</w:t>
      </w:r>
      <w:r w:rsidR="008314EE" w:rsidRPr="008B408B">
        <w:rPr>
          <w:rFonts w:ascii="Times New Roman" w:hAnsi="Times New Roman" w:cs="Times New Roman"/>
          <w:sz w:val="24"/>
          <w:szCs w:val="24"/>
          <w:lang w:val="en-US"/>
        </w:rPr>
        <w:t xml:space="preserve"> </w:t>
      </w:r>
      <w:r w:rsidRPr="008B408B">
        <w:rPr>
          <w:rFonts w:ascii="Times New Roman" w:hAnsi="Times New Roman" w:cs="Times New Roman"/>
          <w:sz w:val="24"/>
          <w:szCs w:val="24"/>
          <w:lang w:val="en-US"/>
        </w:rPr>
        <w:t>directly affect workplace misconduct by cu</w:t>
      </w:r>
      <w:r w:rsidR="00A177A3" w:rsidRPr="008B408B">
        <w:rPr>
          <w:rFonts w:ascii="Times New Roman" w:hAnsi="Times New Roman" w:cs="Times New Roman"/>
          <w:sz w:val="24"/>
          <w:szCs w:val="24"/>
          <w:lang w:val="en-US"/>
        </w:rPr>
        <w:t>t</w:t>
      </w:r>
      <w:r w:rsidRPr="008B408B">
        <w:rPr>
          <w:rFonts w:ascii="Times New Roman" w:hAnsi="Times New Roman" w:cs="Times New Roman"/>
          <w:sz w:val="24"/>
          <w:szCs w:val="24"/>
          <w:lang w:val="en-US"/>
        </w:rPr>
        <w:t>ting safety-related expenditures, or indirectly</w:t>
      </w:r>
      <w:r w:rsidR="008B408B">
        <w:rPr>
          <w:rFonts w:ascii="Times New Roman" w:hAnsi="Times New Roman" w:cs="Times New Roman"/>
          <w:sz w:val="24"/>
          <w:szCs w:val="24"/>
          <w:lang w:val="en-US"/>
        </w:rPr>
        <w:t xml:space="preserve"> </w:t>
      </w:r>
      <w:r w:rsidR="008B408B" w:rsidRPr="008B408B">
        <w:rPr>
          <w:rFonts w:ascii="Times New Roman" w:hAnsi="Times New Roman" w:cs="Times New Roman"/>
          <w:sz w:val="24"/>
          <w:szCs w:val="24"/>
          <w:lang w:val="en-US"/>
        </w:rPr>
        <w:t xml:space="preserve">affect </w:t>
      </w:r>
      <w:r w:rsidR="008B408B" w:rsidRPr="00B723D0">
        <w:rPr>
          <w:rFonts w:ascii="Times New Roman" w:hAnsi="Times New Roman" w:cs="Times New Roman"/>
          <w:sz w:val="24"/>
          <w:szCs w:val="24"/>
          <w:lang w:val="en-US"/>
        </w:rPr>
        <w:t>workplace misconduct</w:t>
      </w:r>
      <w:r w:rsidRPr="00B723D0">
        <w:rPr>
          <w:rFonts w:ascii="Times New Roman" w:hAnsi="Times New Roman" w:cs="Times New Roman"/>
          <w:sz w:val="24"/>
          <w:szCs w:val="24"/>
          <w:lang w:val="en-US"/>
        </w:rPr>
        <w:t xml:space="preserve"> by </w:t>
      </w:r>
      <w:r w:rsidR="003E095C" w:rsidRPr="00B723D0">
        <w:rPr>
          <w:rFonts w:ascii="Times New Roman" w:hAnsi="Times New Roman" w:cs="Times New Roman"/>
          <w:sz w:val="24"/>
          <w:szCs w:val="24"/>
          <w:lang w:val="en-US"/>
        </w:rPr>
        <w:t>imposing</w:t>
      </w:r>
      <w:r w:rsidR="00D11317" w:rsidRPr="00B723D0">
        <w:rPr>
          <w:rFonts w:ascii="Times New Roman" w:hAnsi="Times New Roman" w:cs="Times New Roman"/>
          <w:sz w:val="24"/>
          <w:szCs w:val="24"/>
          <w:lang w:val="en-US"/>
        </w:rPr>
        <w:t xml:space="preserve"> </w:t>
      </w:r>
      <w:r w:rsidR="008B408B" w:rsidRPr="00B723D0">
        <w:rPr>
          <w:rFonts w:ascii="Times New Roman" w:hAnsi="Times New Roman" w:cs="Times New Roman"/>
          <w:sz w:val="24"/>
          <w:szCs w:val="24"/>
          <w:lang w:val="en-US"/>
        </w:rPr>
        <w:t xml:space="preserve">a </w:t>
      </w:r>
      <w:r w:rsidR="00D97BA2" w:rsidRPr="00B723D0">
        <w:rPr>
          <w:rFonts w:ascii="Times New Roman" w:hAnsi="Times New Roman" w:cs="Times New Roman"/>
          <w:sz w:val="24"/>
          <w:szCs w:val="24"/>
          <w:lang w:val="en-US"/>
        </w:rPr>
        <w:t xml:space="preserve">heavy </w:t>
      </w:r>
      <w:r w:rsidR="003D00D6" w:rsidRPr="00B723D0">
        <w:rPr>
          <w:rFonts w:ascii="Times New Roman" w:hAnsi="Times New Roman" w:cs="Times New Roman"/>
          <w:sz w:val="24"/>
          <w:szCs w:val="24"/>
          <w:lang w:val="en-US"/>
        </w:rPr>
        <w:t>workload</w:t>
      </w:r>
      <w:r w:rsidR="003E095C" w:rsidRPr="00B723D0">
        <w:rPr>
          <w:rFonts w:ascii="Times New Roman" w:hAnsi="Times New Roman" w:cs="Times New Roman"/>
          <w:sz w:val="24"/>
          <w:szCs w:val="24"/>
          <w:lang w:val="en-US"/>
        </w:rPr>
        <w:t xml:space="preserve"> on employees</w:t>
      </w:r>
      <w:r w:rsidR="00D11317" w:rsidRPr="00B723D0">
        <w:rPr>
          <w:rFonts w:ascii="Times New Roman" w:hAnsi="Times New Roman" w:cs="Times New Roman"/>
          <w:sz w:val="24"/>
          <w:szCs w:val="24"/>
          <w:lang w:val="en-US"/>
        </w:rPr>
        <w:t>.</w:t>
      </w:r>
      <w:r w:rsidRPr="00B723D0">
        <w:rPr>
          <w:rFonts w:ascii="Times New Roman" w:hAnsi="Times New Roman" w:cs="Times New Roman"/>
          <w:sz w:val="24"/>
          <w:szCs w:val="24"/>
          <w:lang w:val="en-US"/>
        </w:rPr>
        <w:t xml:space="preserve"> We find that both </w:t>
      </w:r>
      <w:r w:rsidR="009349F4" w:rsidRPr="00B723D0">
        <w:rPr>
          <w:rFonts w:ascii="Times New Roman" w:hAnsi="Times New Roman" w:cs="Times New Roman"/>
          <w:sz w:val="24"/>
          <w:szCs w:val="24"/>
          <w:lang w:val="en-US"/>
        </w:rPr>
        <w:t>channels</w:t>
      </w:r>
      <w:r w:rsidRPr="00B723D0">
        <w:rPr>
          <w:rFonts w:ascii="Times New Roman" w:hAnsi="Times New Roman" w:cs="Times New Roman"/>
          <w:sz w:val="24"/>
          <w:szCs w:val="24"/>
          <w:lang w:val="en-US"/>
        </w:rPr>
        <w:t xml:space="preserve"> </w:t>
      </w:r>
      <w:r w:rsidR="00083A3C" w:rsidRPr="00B723D0">
        <w:rPr>
          <w:rFonts w:ascii="Times New Roman" w:hAnsi="Times New Roman" w:cs="Times New Roman"/>
          <w:sz w:val="24"/>
          <w:szCs w:val="24"/>
          <w:lang w:val="en-US"/>
        </w:rPr>
        <w:t>have an important role</w:t>
      </w:r>
      <w:r w:rsidRPr="00B723D0">
        <w:rPr>
          <w:rFonts w:ascii="Times New Roman" w:hAnsi="Times New Roman" w:cs="Times New Roman"/>
          <w:sz w:val="24"/>
          <w:szCs w:val="24"/>
          <w:lang w:val="en-US"/>
        </w:rPr>
        <w:t xml:space="preserve">. </w:t>
      </w:r>
      <w:r w:rsidR="00B723D0" w:rsidRPr="00B723D0">
        <w:rPr>
          <w:rFonts w:ascii="Times New Roman" w:hAnsi="Times New Roman" w:cs="Times New Roman"/>
          <w:sz w:val="24"/>
          <w:szCs w:val="24"/>
          <w:lang w:val="en-US"/>
        </w:rPr>
        <w:t>Specifically</w:t>
      </w:r>
      <w:r w:rsidRPr="00B723D0">
        <w:rPr>
          <w:rFonts w:ascii="Times New Roman" w:hAnsi="Times New Roman" w:cs="Times New Roman"/>
          <w:sz w:val="24"/>
          <w:szCs w:val="24"/>
          <w:lang w:val="en-US"/>
        </w:rPr>
        <w:t xml:space="preserve">, the relationship between CEO </w:t>
      </w:r>
      <w:proofErr w:type="spellStart"/>
      <w:r w:rsidR="009349F4" w:rsidRPr="00B723D0">
        <w:rPr>
          <w:rFonts w:ascii="Times New Roman" w:hAnsi="Times New Roman" w:cs="Times New Roman"/>
          <w:sz w:val="24"/>
          <w:szCs w:val="24"/>
          <w:lang w:val="en-US"/>
        </w:rPr>
        <w:t>vega</w:t>
      </w:r>
      <w:proofErr w:type="spellEnd"/>
      <w:r w:rsidR="009349F4" w:rsidRPr="00B723D0">
        <w:rPr>
          <w:rFonts w:ascii="Times New Roman" w:hAnsi="Times New Roman" w:cs="Times New Roman"/>
          <w:sz w:val="24"/>
          <w:szCs w:val="24"/>
          <w:lang w:val="en-US"/>
        </w:rPr>
        <w:t xml:space="preserve"> and workplace violations</w:t>
      </w:r>
      <w:r w:rsidRPr="00B723D0">
        <w:rPr>
          <w:rFonts w:ascii="Times New Roman" w:hAnsi="Times New Roman" w:cs="Times New Roman"/>
          <w:sz w:val="24"/>
          <w:szCs w:val="24"/>
          <w:lang w:val="en-US"/>
        </w:rPr>
        <w:t xml:space="preserve"> </w:t>
      </w:r>
      <w:r w:rsidR="008314EE" w:rsidRPr="00B723D0">
        <w:rPr>
          <w:rFonts w:ascii="Times New Roman" w:hAnsi="Times New Roman" w:cs="Times New Roman"/>
          <w:sz w:val="24"/>
          <w:szCs w:val="24"/>
          <w:lang w:val="en-US"/>
        </w:rPr>
        <w:t>is a function of</w:t>
      </w:r>
      <w:r w:rsidR="00F62082" w:rsidRPr="00B723D0">
        <w:rPr>
          <w:rFonts w:ascii="Times New Roman" w:hAnsi="Times New Roman" w:cs="Times New Roman"/>
          <w:sz w:val="24"/>
          <w:szCs w:val="24"/>
          <w:lang w:val="en-US"/>
        </w:rPr>
        <w:t xml:space="preserve"> </w:t>
      </w:r>
      <w:r w:rsidR="00D97BA2" w:rsidRPr="00B723D0">
        <w:rPr>
          <w:rFonts w:ascii="Times New Roman" w:hAnsi="Times New Roman" w:cs="Times New Roman"/>
          <w:sz w:val="24"/>
          <w:szCs w:val="24"/>
          <w:lang w:val="en-US"/>
        </w:rPr>
        <w:t>reductions</w:t>
      </w:r>
      <w:r w:rsidR="008314EE" w:rsidRPr="00B723D0">
        <w:rPr>
          <w:rFonts w:ascii="Times New Roman" w:hAnsi="Times New Roman" w:cs="Times New Roman"/>
          <w:sz w:val="24"/>
          <w:szCs w:val="24"/>
          <w:lang w:val="en-US"/>
        </w:rPr>
        <w:t xml:space="preserve"> in</w:t>
      </w:r>
      <w:r w:rsidRPr="00B723D0">
        <w:rPr>
          <w:rFonts w:ascii="Times New Roman" w:hAnsi="Times New Roman" w:cs="Times New Roman"/>
          <w:sz w:val="24"/>
          <w:szCs w:val="24"/>
          <w:lang w:val="en-US"/>
        </w:rPr>
        <w:t xml:space="preserve"> safety-related </w:t>
      </w:r>
      <w:r w:rsidR="003E095C" w:rsidRPr="00B723D0">
        <w:rPr>
          <w:rFonts w:ascii="Times New Roman" w:hAnsi="Times New Roman" w:cs="Times New Roman"/>
          <w:sz w:val="24"/>
          <w:szCs w:val="24"/>
          <w:lang w:val="en-US"/>
        </w:rPr>
        <w:t xml:space="preserve">spending </w:t>
      </w:r>
      <w:r w:rsidRPr="00B723D0">
        <w:rPr>
          <w:rFonts w:ascii="Times New Roman" w:hAnsi="Times New Roman" w:cs="Times New Roman"/>
          <w:sz w:val="24"/>
          <w:szCs w:val="24"/>
          <w:lang w:val="en-US"/>
        </w:rPr>
        <w:t xml:space="preserve">and </w:t>
      </w:r>
      <w:r w:rsidR="0063309D" w:rsidRPr="00B723D0">
        <w:rPr>
          <w:rFonts w:ascii="Times New Roman" w:hAnsi="Times New Roman" w:cs="Times New Roman"/>
          <w:sz w:val="24"/>
          <w:szCs w:val="24"/>
          <w:lang w:val="en-US"/>
        </w:rPr>
        <w:t>i</w:t>
      </w:r>
      <w:r w:rsidR="008314EE" w:rsidRPr="00B723D0">
        <w:rPr>
          <w:rFonts w:ascii="Times New Roman" w:hAnsi="Times New Roman" w:cs="Times New Roman"/>
          <w:sz w:val="24"/>
          <w:szCs w:val="24"/>
          <w:lang w:val="en-US"/>
        </w:rPr>
        <w:t>ncreased workloads.</w:t>
      </w:r>
    </w:p>
    <w:p w14:paraId="1CF2D92A" w14:textId="4B1771AA" w:rsidR="00DF3BCB" w:rsidRPr="003E60FF" w:rsidRDefault="00C109C4" w:rsidP="00A177A3">
      <w:pPr>
        <w:autoSpaceDE w:val="0"/>
        <w:autoSpaceDN w:val="0"/>
        <w:adjustRightInd w:val="0"/>
        <w:spacing w:after="0" w:line="480" w:lineRule="auto"/>
        <w:ind w:firstLine="720"/>
        <w:jc w:val="both"/>
        <w:rPr>
          <w:rFonts w:ascii="Times New Roman" w:hAnsi="Times New Roman" w:cs="Times New Roman"/>
          <w:sz w:val="24"/>
          <w:szCs w:val="24"/>
          <w:lang w:val="en-US"/>
        </w:rPr>
      </w:pPr>
      <w:r w:rsidRPr="003E60FF">
        <w:rPr>
          <w:rFonts w:ascii="Times New Roman" w:hAnsi="Times New Roman" w:cs="Times New Roman"/>
          <w:sz w:val="24"/>
          <w:szCs w:val="24"/>
          <w:lang w:val="en-US"/>
        </w:rPr>
        <w:t xml:space="preserve">We </w:t>
      </w:r>
      <w:r w:rsidR="00693D56">
        <w:rPr>
          <w:rFonts w:ascii="Times New Roman" w:hAnsi="Times New Roman" w:cs="Times New Roman"/>
          <w:sz w:val="24"/>
          <w:szCs w:val="24"/>
          <w:lang w:val="en-US"/>
        </w:rPr>
        <w:t>undertake</w:t>
      </w:r>
      <w:r w:rsidRPr="003E60FF">
        <w:rPr>
          <w:rFonts w:ascii="Times New Roman" w:hAnsi="Times New Roman" w:cs="Times New Roman"/>
          <w:sz w:val="24"/>
          <w:szCs w:val="24"/>
          <w:lang w:val="en-US"/>
        </w:rPr>
        <w:t xml:space="preserve"> </w:t>
      </w:r>
      <w:r w:rsidR="00AE08DD">
        <w:rPr>
          <w:rFonts w:ascii="Times New Roman" w:hAnsi="Times New Roman" w:cs="Times New Roman"/>
          <w:sz w:val="24"/>
          <w:szCs w:val="24"/>
          <w:lang w:val="en-US"/>
        </w:rPr>
        <w:t xml:space="preserve">several </w:t>
      </w:r>
      <w:r w:rsidR="00DF3BCB" w:rsidRPr="003E60FF">
        <w:rPr>
          <w:rFonts w:ascii="Times New Roman" w:hAnsi="Times New Roman" w:cs="Times New Roman"/>
          <w:sz w:val="24"/>
          <w:szCs w:val="24"/>
          <w:lang w:val="en-US"/>
        </w:rPr>
        <w:t xml:space="preserve">robustness tests </w:t>
      </w:r>
      <w:r w:rsidRPr="003E60FF">
        <w:rPr>
          <w:rFonts w:ascii="Times New Roman" w:hAnsi="Times New Roman" w:cs="Times New Roman"/>
          <w:sz w:val="24"/>
          <w:szCs w:val="24"/>
          <w:lang w:val="en-US"/>
        </w:rPr>
        <w:t xml:space="preserve">to </w:t>
      </w:r>
      <w:r w:rsidR="00DF3BCB" w:rsidRPr="003E60FF">
        <w:rPr>
          <w:rFonts w:ascii="Times New Roman" w:hAnsi="Times New Roman" w:cs="Times New Roman"/>
          <w:sz w:val="24"/>
          <w:szCs w:val="24"/>
          <w:lang w:val="en-US"/>
        </w:rPr>
        <w:t xml:space="preserve">examine </w:t>
      </w:r>
      <w:r w:rsidR="003F20F3">
        <w:rPr>
          <w:rFonts w:ascii="Times New Roman" w:hAnsi="Times New Roman" w:cs="Times New Roman"/>
          <w:sz w:val="24"/>
          <w:szCs w:val="24"/>
          <w:lang w:val="en-US"/>
        </w:rPr>
        <w:t>the sensitivity of our results</w:t>
      </w:r>
      <w:r w:rsidR="00101C51" w:rsidRPr="003E60FF">
        <w:rPr>
          <w:rFonts w:ascii="Times New Roman" w:hAnsi="Times New Roman" w:cs="Times New Roman"/>
          <w:sz w:val="24"/>
          <w:szCs w:val="24"/>
          <w:lang w:val="en-US"/>
        </w:rPr>
        <w:t xml:space="preserve"> to different research design choices. First, we test whether our results are sensitive to scaling the dependent variables in our analysis by total assets. Second, </w:t>
      </w:r>
      <w:r w:rsidR="00177B15" w:rsidRPr="003E60FF">
        <w:rPr>
          <w:rFonts w:ascii="Times New Roman" w:hAnsi="Times New Roman" w:cs="Times New Roman"/>
          <w:sz w:val="24"/>
          <w:szCs w:val="24"/>
          <w:lang w:val="en-US"/>
        </w:rPr>
        <w:t xml:space="preserve">to ensure that our analysis is robust to different types of matching, we </w:t>
      </w:r>
      <w:r w:rsidR="00177B15" w:rsidRPr="006D55CD">
        <w:rPr>
          <w:rFonts w:ascii="Times New Roman" w:hAnsi="Times New Roman" w:cs="Times New Roman"/>
          <w:sz w:val="24"/>
          <w:szCs w:val="24"/>
          <w:lang w:val="en-US"/>
        </w:rPr>
        <w:t xml:space="preserve">repeat our matching analysis and match </w:t>
      </w:r>
      <w:r w:rsidR="00EB6CBA" w:rsidRPr="006D55CD">
        <w:rPr>
          <w:rFonts w:ascii="Times New Roman" w:hAnsi="Times New Roman" w:cs="Times New Roman"/>
          <w:sz w:val="24"/>
          <w:szCs w:val="24"/>
          <w:lang w:val="en-US"/>
        </w:rPr>
        <w:t>violator firms with non-violator firms</w:t>
      </w:r>
      <w:r w:rsidR="00177B15" w:rsidRPr="006D55CD">
        <w:rPr>
          <w:rFonts w:ascii="Times New Roman" w:hAnsi="Times New Roman" w:cs="Times New Roman"/>
          <w:sz w:val="24"/>
          <w:szCs w:val="24"/>
          <w:lang w:val="en-US"/>
        </w:rPr>
        <w:t xml:space="preserve"> on size, year and industry. Third, </w:t>
      </w:r>
      <w:r w:rsidR="00B723D0" w:rsidRPr="006D55CD">
        <w:rPr>
          <w:rFonts w:ascii="Times New Roman" w:hAnsi="Times New Roman" w:cs="Times New Roman"/>
          <w:sz w:val="24"/>
          <w:szCs w:val="24"/>
          <w:lang w:val="en-US"/>
        </w:rPr>
        <w:t xml:space="preserve">to ensure that our measures for </w:t>
      </w:r>
      <w:r w:rsidR="006D55CD" w:rsidRPr="006D55CD">
        <w:rPr>
          <w:rFonts w:ascii="Times New Roman" w:hAnsi="Times New Roman" w:cs="Times New Roman"/>
          <w:sz w:val="24"/>
          <w:szCs w:val="24"/>
          <w:lang w:val="en-US"/>
        </w:rPr>
        <w:t>employee</w:t>
      </w:r>
      <w:r w:rsidR="00B723D0" w:rsidRPr="006D55CD">
        <w:rPr>
          <w:rFonts w:ascii="Times New Roman" w:hAnsi="Times New Roman" w:cs="Times New Roman"/>
          <w:sz w:val="24"/>
          <w:szCs w:val="24"/>
          <w:lang w:val="en-US"/>
        </w:rPr>
        <w:t xml:space="preserve"> workload do not capture changes in </w:t>
      </w:r>
      <w:r w:rsidR="006D55CD" w:rsidRPr="006D55CD">
        <w:rPr>
          <w:rFonts w:ascii="Times New Roman" w:hAnsi="Times New Roman" w:cs="Times New Roman"/>
          <w:sz w:val="24"/>
          <w:szCs w:val="24"/>
          <w:lang w:val="en-US"/>
        </w:rPr>
        <w:t xml:space="preserve">employee </w:t>
      </w:r>
      <w:r w:rsidR="00B723D0" w:rsidRPr="006D55CD">
        <w:rPr>
          <w:rFonts w:ascii="Times New Roman" w:hAnsi="Times New Roman" w:cs="Times New Roman"/>
          <w:sz w:val="24"/>
          <w:szCs w:val="24"/>
          <w:lang w:val="en-US"/>
        </w:rPr>
        <w:t xml:space="preserve">workloads arising from structural changes in the firm, </w:t>
      </w:r>
      <w:r w:rsidR="0036771D" w:rsidRPr="006D55CD">
        <w:rPr>
          <w:rFonts w:ascii="Times New Roman" w:hAnsi="Times New Roman" w:cs="Times New Roman"/>
          <w:sz w:val="24"/>
          <w:szCs w:val="24"/>
          <w:lang w:val="en-US"/>
        </w:rPr>
        <w:t>we</w:t>
      </w:r>
      <w:r w:rsidR="006D55CD" w:rsidRPr="006D55CD">
        <w:rPr>
          <w:rFonts w:ascii="Times New Roman" w:hAnsi="Times New Roman" w:cs="Times New Roman"/>
          <w:sz w:val="24"/>
          <w:szCs w:val="24"/>
          <w:lang w:val="en-US"/>
        </w:rPr>
        <w:t xml:space="preserve"> drop firms subject to </w:t>
      </w:r>
      <w:r w:rsidR="0036771D" w:rsidRPr="006D55CD">
        <w:rPr>
          <w:rFonts w:ascii="Times New Roman" w:hAnsi="Times New Roman" w:cs="Times New Roman"/>
          <w:sz w:val="24"/>
          <w:szCs w:val="24"/>
          <w:lang w:val="en-US"/>
        </w:rPr>
        <w:t>mergers and acquisitions (M&amp;As)</w:t>
      </w:r>
      <w:r w:rsidR="006D55CD">
        <w:rPr>
          <w:rFonts w:ascii="Times New Roman" w:hAnsi="Times New Roman" w:cs="Times New Roman"/>
          <w:sz w:val="24"/>
          <w:szCs w:val="24"/>
          <w:lang w:val="en-US"/>
        </w:rPr>
        <w:t xml:space="preserve"> </w:t>
      </w:r>
      <w:r w:rsidR="006D55CD" w:rsidRPr="006D55CD">
        <w:rPr>
          <w:rFonts w:ascii="Times New Roman" w:hAnsi="Times New Roman" w:cs="Times New Roman"/>
          <w:sz w:val="24"/>
          <w:szCs w:val="24"/>
          <w:lang w:val="en-US"/>
        </w:rPr>
        <w:t xml:space="preserve">from our analysis. </w:t>
      </w:r>
      <w:r w:rsidR="001D6A42" w:rsidRPr="006D55CD">
        <w:rPr>
          <w:rFonts w:ascii="Times New Roman" w:hAnsi="Times New Roman" w:cs="Times New Roman"/>
          <w:sz w:val="24"/>
          <w:szCs w:val="24"/>
          <w:lang w:val="en-US"/>
        </w:rPr>
        <w:t>Fo</w:t>
      </w:r>
      <w:r w:rsidR="00FB441C" w:rsidRPr="006D55CD">
        <w:rPr>
          <w:rFonts w:ascii="Times New Roman" w:hAnsi="Times New Roman" w:cs="Times New Roman"/>
          <w:sz w:val="24"/>
          <w:szCs w:val="24"/>
          <w:lang w:val="en-US"/>
        </w:rPr>
        <w:t>u</w:t>
      </w:r>
      <w:r w:rsidR="001D6A42" w:rsidRPr="006D55CD">
        <w:rPr>
          <w:rFonts w:ascii="Times New Roman" w:hAnsi="Times New Roman" w:cs="Times New Roman"/>
          <w:sz w:val="24"/>
          <w:szCs w:val="24"/>
          <w:lang w:val="en-US"/>
        </w:rPr>
        <w:t>rth,</w:t>
      </w:r>
      <w:r w:rsidR="001D6A42">
        <w:rPr>
          <w:rFonts w:ascii="Times New Roman" w:hAnsi="Times New Roman" w:cs="Times New Roman"/>
          <w:sz w:val="24"/>
          <w:szCs w:val="24"/>
          <w:lang w:val="en-US"/>
        </w:rPr>
        <w:t xml:space="preserve"> we control for CEO</w:t>
      </w:r>
      <w:r w:rsidR="002C32F4">
        <w:rPr>
          <w:rFonts w:ascii="Times New Roman" w:hAnsi="Times New Roman" w:cs="Times New Roman"/>
          <w:sz w:val="24"/>
          <w:szCs w:val="24"/>
          <w:lang w:val="en-US"/>
        </w:rPr>
        <w:t xml:space="preserve"> motivations and</w:t>
      </w:r>
      <w:r w:rsidR="001D6A42">
        <w:rPr>
          <w:rFonts w:ascii="Times New Roman" w:hAnsi="Times New Roman" w:cs="Times New Roman"/>
          <w:sz w:val="24"/>
          <w:szCs w:val="24"/>
          <w:lang w:val="en-US"/>
        </w:rPr>
        <w:t xml:space="preserve"> incentives t</w:t>
      </w:r>
      <w:r w:rsidR="00610814">
        <w:rPr>
          <w:rFonts w:ascii="Times New Roman" w:hAnsi="Times New Roman" w:cs="Times New Roman"/>
          <w:sz w:val="24"/>
          <w:szCs w:val="24"/>
          <w:lang w:val="en-US"/>
        </w:rPr>
        <w:t xml:space="preserve">hat </w:t>
      </w:r>
      <w:r w:rsidR="001D6A42" w:rsidRPr="00FB441C">
        <w:rPr>
          <w:rFonts w:ascii="Times New Roman" w:hAnsi="Times New Roman" w:cs="Times New Roman"/>
          <w:sz w:val="24"/>
          <w:szCs w:val="24"/>
          <w:lang w:val="en-US"/>
        </w:rPr>
        <w:t xml:space="preserve">might be correlated with </w:t>
      </w:r>
      <w:r w:rsidR="001D430F">
        <w:rPr>
          <w:rFonts w:ascii="Times New Roman" w:hAnsi="Times New Roman" w:cs="Times New Roman"/>
          <w:sz w:val="24"/>
          <w:szCs w:val="24"/>
          <w:lang w:val="en-US"/>
        </w:rPr>
        <w:t xml:space="preserve">CEO </w:t>
      </w:r>
      <w:proofErr w:type="spellStart"/>
      <w:r w:rsidR="001D430F">
        <w:rPr>
          <w:rFonts w:ascii="Times New Roman" w:hAnsi="Times New Roman" w:cs="Times New Roman"/>
          <w:sz w:val="24"/>
          <w:szCs w:val="24"/>
          <w:lang w:val="en-US"/>
        </w:rPr>
        <w:t>vega</w:t>
      </w:r>
      <w:proofErr w:type="spellEnd"/>
      <w:r w:rsidR="001D6A42">
        <w:rPr>
          <w:rFonts w:ascii="Times New Roman" w:hAnsi="Times New Roman" w:cs="Times New Roman"/>
          <w:sz w:val="24"/>
          <w:szCs w:val="24"/>
          <w:lang w:val="en-US"/>
        </w:rPr>
        <w:t xml:space="preserve"> such as </w:t>
      </w:r>
      <w:r w:rsidR="001D6A42" w:rsidRPr="00CB37C9">
        <w:rPr>
          <w:rFonts w:ascii="Times New Roman" w:hAnsi="Times New Roman" w:cs="Times New Roman"/>
          <w:sz w:val="24"/>
          <w:szCs w:val="24"/>
          <w:lang w:val="en-US"/>
        </w:rPr>
        <w:t xml:space="preserve">CEO severance pay, </w:t>
      </w:r>
      <w:r w:rsidR="001D6A42" w:rsidRPr="00FB441C">
        <w:rPr>
          <w:rFonts w:ascii="Times New Roman" w:hAnsi="Times New Roman" w:cs="Times New Roman"/>
          <w:sz w:val="24"/>
          <w:szCs w:val="24"/>
          <w:lang w:val="en-US"/>
        </w:rPr>
        <w:t>CEO dismissal threat</w:t>
      </w:r>
      <w:r w:rsidR="001D6A42" w:rsidRPr="00CB37C9">
        <w:rPr>
          <w:rFonts w:ascii="Times New Roman" w:hAnsi="Times New Roman" w:cs="Times New Roman"/>
          <w:sz w:val="24"/>
          <w:szCs w:val="24"/>
          <w:lang w:val="en-US"/>
        </w:rPr>
        <w:t>, and</w:t>
      </w:r>
      <w:r w:rsidR="001D6A42" w:rsidRPr="00FB441C">
        <w:rPr>
          <w:rFonts w:ascii="Times New Roman" w:hAnsi="Times New Roman" w:cs="Times New Roman"/>
          <w:sz w:val="24"/>
          <w:szCs w:val="24"/>
          <w:lang w:val="en-US"/>
        </w:rPr>
        <w:t xml:space="preserve"> managerial ability.</w:t>
      </w:r>
      <w:r w:rsidR="001D6A42">
        <w:rPr>
          <w:rFonts w:eastAsia="Times New Roman"/>
          <w:lang w:val="en-US"/>
        </w:rPr>
        <w:t xml:space="preserve"> </w:t>
      </w:r>
      <w:r w:rsidR="001D430F" w:rsidRPr="003E60FF">
        <w:rPr>
          <w:rFonts w:ascii="Times New Roman" w:hAnsi="Times New Roman" w:cs="Times New Roman"/>
          <w:sz w:val="24"/>
          <w:szCs w:val="24"/>
          <w:lang w:val="en-US"/>
        </w:rPr>
        <w:t xml:space="preserve">Results </w:t>
      </w:r>
      <w:r w:rsidR="00AA5195">
        <w:rPr>
          <w:rFonts w:ascii="Times New Roman" w:hAnsi="Times New Roman" w:cs="Times New Roman"/>
          <w:sz w:val="24"/>
          <w:szCs w:val="24"/>
          <w:lang w:val="en-US"/>
        </w:rPr>
        <w:t>of</w:t>
      </w:r>
      <w:r w:rsidR="00AA5195" w:rsidRPr="003E60FF">
        <w:rPr>
          <w:rFonts w:ascii="Times New Roman" w:hAnsi="Times New Roman" w:cs="Times New Roman"/>
          <w:sz w:val="24"/>
          <w:szCs w:val="24"/>
          <w:lang w:val="en-US"/>
        </w:rPr>
        <w:t xml:space="preserve"> </w:t>
      </w:r>
      <w:r w:rsidR="001D430F" w:rsidRPr="003E60FF">
        <w:rPr>
          <w:rFonts w:ascii="Times New Roman" w:hAnsi="Times New Roman" w:cs="Times New Roman"/>
          <w:sz w:val="24"/>
          <w:szCs w:val="24"/>
          <w:lang w:val="en-US"/>
        </w:rPr>
        <w:t>these robustness tests support our baseline results.</w:t>
      </w:r>
    </w:p>
    <w:p w14:paraId="016E8AE8" w14:textId="002524A0" w:rsidR="00F9253B" w:rsidRPr="00D21E88" w:rsidRDefault="004C0290" w:rsidP="00343F87">
      <w:pPr>
        <w:autoSpaceDE w:val="0"/>
        <w:autoSpaceDN w:val="0"/>
        <w:adjustRightInd w:val="0"/>
        <w:spacing w:after="0" w:line="480" w:lineRule="auto"/>
        <w:ind w:firstLine="720"/>
        <w:jc w:val="both"/>
        <w:rPr>
          <w:rFonts w:ascii="Times New Roman" w:eastAsia="Times New Roman" w:hAnsi="Times New Roman" w:cs="Times New Roman"/>
          <w:iCs/>
          <w:color w:val="000000"/>
          <w:sz w:val="24"/>
          <w:szCs w:val="24"/>
          <w:lang w:val="en-US" w:eastAsia="zh-CN"/>
        </w:rPr>
      </w:pPr>
      <w:r w:rsidRPr="003E60FF">
        <w:rPr>
          <w:rFonts w:ascii="Times New Roman" w:hAnsi="Times New Roman" w:cs="Times New Roman"/>
          <w:sz w:val="24"/>
          <w:szCs w:val="24"/>
          <w:lang w:val="en-US"/>
        </w:rPr>
        <w:lastRenderedPageBreak/>
        <w:t>In further analysis, we</w:t>
      </w:r>
      <w:r w:rsidR="00BC5495" w:rsidRPr="003E60FF">
        <w:rPr>
          <w:rFonts w:ascii="Times New Roman" w:hAnsi="Times New Roman" w:cs="Times New Roman"/>
          <w:sz w:val="24"/>
          <w:szCs w:val="24"/>
          <w:lang w:val="en-US"/>
        </w:rPr>
        <w:t xml:space="preserve"> examine</w:t>
      </w:r>
      <w:r w:rsidR="00BD24D4" w:rsidRPr="003E60FF">
        <w:rPr>
          <w:rFonts w:ascii="Times New Roman" w:hAnsi="Times New Roman" w:cs="Times New Roman"/>
          <w:sz w:val="24"/>
          <w:szCs w:val="24"/>
          <w:lang w:val="en-US"/>
        </w:rPr>
        <w:t xml:space="preserve"> why firms compensate CEOs with high </w:t>
      </w:r>
      <w:proofErr w:type="spellStart"/>
      <w:r w:rsidR="00BD24D4" w:rsidRPr="003E60FF">
        <w:rPr>
          <w:rFonts w:ascii="Times New Roman" w:hAnsi="Times New Roman" w:cs="Times New Roman"/>
          <w:sz w:val="24"/>
          <w:szCs w:val="24"/>
          <w:lang w:val="en-US"/>
        </w:rPr>
        <w:t>vega</w:t>
      </w:r>
      <w:proofErr w:type="spellEnd"/>
      <w:r w:rsidR="00BD24D4" w:rsidRPr="003E60FF">
        <w:rPr>
          <w:rFonts w:ascii="Times New Roman" w:hAnsi="Times New Roman" w:cs="Times New Roman"/>
          <w:sz w:val="24"/>
          <w:szCs w:val="24"/>
          <w:lang w:val="en-US"/>
        </w:rPr>
        <w:t xml:space="preserve"> when such compensation structure is potentially detrimental to firm employees. </w:t>
      </w:r>
      <w:r w:rsidR="00286FD6" w:rsidRPr="003E60FF">
        <w:rPr>
          <w:rFonts w:ascii="Times New Roman" w:eastAsia="Times New Roman" w:hAnsi="Times New Roman" w:cs="Times New Roman"/>
          <w:iCs/>
          <w:color w:val="000000"/>
          <w:sz w:val="24"/>
          <w:szCs w:val="24"/>
          <w:lang w:val="en-US" w:eastAsia="zh-CN"/>
        </w:rPr>
        <w:t>W</w:t>
      </w:r>
      <w:r w:rsidR="00F9253B" w:rsidRPr="003E60FF">
        <w:rPr>
          <w:rFonts w:ascii="Times New Roman" w:eastAsia="Times New Roman" w:hAnsi="Times New Roman" w:cs="Times New Roman"/>
          <w:iCs/>
          <w:color w:val="000000"/>
          <w:sz w:val="24"/>
          <w:szCs w:val="24"/>
          <w:lang w:val="en-US" w:eastAsia="zh-CN"/>
        </w:rPr>
        <w:t xml:space="preserve">e find that firms with </w:t>
      </w:r>
      <w:r w:rsidR="00A177A3" w:rsidRPr="003E60FF">
        <w:rPr>
          <w:rFonts w:ascii="Times New Roman" w:eastAsia="Times New Roman" w:hAnsi="Times New Roman" w:cs="Times New Roman"/>
          <w:iCs/>
          <w:color w:val="000000"/>
          <w:sz w:val="24"/>
          <w:szCs w:val="24"/>
          <w:lang w:val="en-US" w:eastAsia="zh-CN"/>
        </w:rPr>
        <w:t>a</w:t>
      </w:r>
      <w:r w:rsidR="00F9253B" w:rsidRPr="003E60FF">
        <w:rPr>
          <w:rFonts w:ascii="Times New Roman" w:eastAsia="Times New Roman" w:hAnsi="Times New Roman" w:cs="Times New Roman"/>
          <w:iCs/>
          <w:color w:val="000000"/>
          <w:sz w:val="24"/>
          <w:szCs w:val="24"/>
          <w:lang w:val="en-US" w:eastAsia="zh-CN"/>
        </w:rPr>
        <w:t xml:space="preserve"> high number of </w:t>
      </w:r>
      <w:r w:rsidR="008A45B2" w:rsidRPr="003E60FF">
        <w:rPr>
          <w:rFonts w:ascii="Times New Roman" w:eastAsia="Times New Roman" w:hAnsi="Times New Roman" w:cs="Times New Roman"/>
          <w:iCs/>
          <w:color w:val="000000"/>
          <w:sz w:val="24"/>
          <w:szCs w:val="24"/>
          <w:lang w:val="en-US" w:eastAsia="zh-CN"/>
        </w:rPr>
        <w:t xml:space="preserve">workplace </w:t>
      </w:r>
      <w:r w:rsidR="00F9253B" w:rsidRPr="003E60FF">
        <w:rPr>
          <w:rFonts w:ascii="Times New Roman" w:eastAsia="Times New Roman" w:hAnsi="Times New Roman" w:cs="Times New Roman"/>
          <w:iCs/>
          <w:color w:val="000000"/>
          <w:sz w:val="24"/>
          <w:szCs w:val="24"/>
          <w:lang w:val="en-US" w:eastAsia="zh-CN"/>
        </w:rPr>
        <w:t>violation</w:t>
      </w:r>
      <w:r w:rsidR="008A45B2" w:rsidRPr="003E60FF">
        <w:rPr>
          <w:rFonts w:ascii="Times New Roman" w:eastAsia="Times New Roman" w:hAnsi="Times New Roman" w:cs="Times New Roman"/>
          <w:iCs/>
          <w:color w:val="000000"/>
          <w:sz w:val="24"/>
          <w:szCs w:val="24"/>
          <w:lang w:val="en-US" w:eastAsia="zh-CN"/>
        </w:rPr>
        <w:t>s</w:t>
      </w:r>
      <w:r w:rsidR="00F9253B" w:rsidRPr="003E60FF">
        <w:rPr>
          <w:rFonts w:ascii="Times New Roman" w:eastAsia="Times New Roman" w:hAnsi="Times New Roman" w:cs="Times New Roman"/>
          <w:iCs/>
          <w:color w:val="000000"/>
          <w:sz w:val="24"/>
          <w:szCs w:val="24"/>
          <w:lang w:val="en-US" w:eastAsia="zh-CN"/>
        </w:rPr>
        <w:t xml:space="preserve"> and penalties have </w:t>
      </w:r>
      <w:r w:rsidR="00174F61" w:rsidRPr="003E60FF">
        <w:rPr>
          <w:rFonts w:ascii="Times New Roman" w:eastAsia="Times New Roman" w:hAnsi="Times New Roman" w:cs="Times New Roman"/>
          <w:iCs/>
          <w:color w:val="000000"/>
          <w:sz w:val="24"/>
          <w:szCs w:val="24"/>
          <w:lang w:val="en-US" w:eastAsia="zh-CN"/>
        </w:rPr>
        <w:t>higher profitability</w:t>
      </w:r>
      <w:r w:rsidR="00F9253B" w:rsidRPr="003E60FF">
        <w:rPr>
          <w:rFonts w:ascii="Times New Roman" w:eastAsia="Times New Roman" w:hAnsi="Times New Roman" w:cs="Times New Roman"/>
          <w:iCs/>
          <w:color w:val="000000"/>
          <w:sz w:val="24"/>
          <w:szCs w:val="24"/>
          <w:lang w:val="en-US" w:eastAsia="zh-CN"/>
        </w:rPr>
        <w:t xml:space="preserve">. </w:t>
      </w:r>
      <w:r w:rsidR="00F52DB2" w:rsidRPr="001B0E08">
        <w:rPr>
          <w:rFonts w:ascii="Times New Roman" w:eastAsia="Times New Roman" w:hAnsi="Times New Roman" w:cs="Times New Roman"/>
          <w:iCs/>
          <w:color w:val="000000"/>
          <w:sz w:val="24"/>
          <w:szCs w:val="24"/>
          <w:lang w:val="en-US" w:eastAsia="zh-CN"/>
        </w:rPr>
        <w:t>Moreover, as we conjecture that workplace misconduct results from risk</w:t>
      </w:r>
      <w:r w:rsidR="00C51932">
        <w:rPr>
          <w:rFonts w:ascii="Times New Roman" w:eastAsia="Times New Roman" w:hAnsi="Times New Roman" w:cs="Times New Roman"/>
          <w:iCs/>
          <w:color w:val="000000"/>
          <w:sz w:val="24"/>
          <w:szCs w:val="24"/>
          <w:lang w:val="en-US" w:eastAsia="zh-CN"/>
        </w:rPr>
        <w:t xml:space="preserve"> </w:t>
      </w:r>
      <w:r w:rsidR="00F52DB2" w:rsidRPr="001B0E08">
        <w:rPr>
          <w:rFonts w:ascii="Times New Roman" w:eastAsia="Times New Roman" w:hAnsi="Times New Roman" w:cs="Times New Roman"/>
          <w:iCs/>
          <w:color w:val="000000"/>
          <w:sz w:val="24"/>
          <w:szCs w:val="24"/>
          <w:lang w:val="en-US" w:eastAsia="zh-CN"/>
        </w:rPr>
        <w:t xml:space="preserve">taking incentives arising from </w:t>
      </w:r>
      <w:proofErr w:type="spellStart"/>
      <w:r w:rsidR="00F52DB2" w:rsidRPr="001B0E08">
        <w:rPr>
          <w:rFonts w:ascii="Times New Roman" w:eastAsia="Times New Roman" w:hAnsi="Times New Roman" w:cs="Times New Roman"/>
          <w:iCs/>
          <w:color w:val="000000"/>
          <w:sz w:val="24"/>
          <w:szCs w:val="24"/>
          <w:lang w:val="en-US" w:eastAsia="zh-CN"/>
        </w:rPr>
        <w:t>vega</w:t>
      </w:r>
      <w:proofErr w:type="spellEnd"/>
      <w:r w:rsidR="00F52DB2" w:rsidRPr="001B0E08">
        <w:rPr>
          <w:rFonts w:ascii="Times New Roman" w:eastAsia="Times New Roman" w:hAnsi="Times New Roman" w:cs="Times New Roman"/>
          <w:iCs/>
          <w:color w:val="000000"/>
          <w:sz w:val="24"/>
          <w:szCs w:val="24"/>
          <w:lang w:val="en-US" w:eastAsia="zh-CN"/>
        </w:rPr>
        <w:t xml:space="preserve">, we examine the relation between workplace misconduct and future stock volatility. </w:t>
      </w:r>
      <w:r w:rsidR="00286FD6" w:rsidRPr="001B0E08">
        <w:rPr>
          <w:rFonts w:ascii="Times New Roman" w:eastAsia="Times New Roman" w:hAnsi="Times New Roman" w:cs="Times New Roman"/>
          <w:iCs/>
          <w:color w:val="000000"/>
          <w:sz w:val="24"/>
          <w:szCs w:val="24"/>
          <w:lang w:val="en-US" w:eastAsia="zh-CN"/>
        </w:rPr>
        <w:t>In line with expectations</w:t>
      </w:r>
      <w:r w:rsidR="00AE08DD">
        <w:rPr>
          <w:rFonts w:ascii="Times New Roman" w:eastAsia="Times New Roman" w:hAnsi="Times New Roman" w:cs="Times New Roman"/>
          <w:iCs/>
          <w:color w:val="000000"/>
          <w:sz w:val="24"/>
          <w:szCs w:val="24"/>
          <w:lang w:val="en-US" w:eastAsia="zh-CN"/>
        </w:rPr>
        <w:t>,</w:t>
      </w:r>
      <w:r w:rsidR="00286FD6" w:rsidRPr="001B0E08">
        <w:rPr>
          <w:rFonts w:ascii="Times New Roman" w:eastAsia="Times New Roman" w:hAnsi="Times New Roman" w:cs="Times New Roman"/>
          <w:iCs/>
          <w:color w:val="000000"/>
          <w:sz w:val="24"/>
          <w:szCs w:val="24"/>
          <w:lang w:val="en-US" w:eastAsia="zh-CN"/>
        </w:rPr>
        <w:t xml:space="preserve"> we find a positive relation between workplace misconduct and future stock volatility, suggesting that CEOs elicit stock </w:t>
      </w:r>
      <w:r w:rsidR="00F62082">
        <w:rPr>
          <w:rFonts w:ascii="Times New Roman" w:eastAsia="Times New Roman" w:hAnsi="Times New Roman" w:cs="Times New Roman"/>
          <w:iCs/>
          <w:color w:val="000000"/>
          <w:sz w:val="24"/>
          <w:szCs w:val="24"/>
          <w:lang w:val="en-US" w:eastAsia="zh-CN"/>
        </w:rPr>
        <w:t>volatility</w:t>
      </w:r>
      <w:r w:rsidR="00286FD6" w:rsidRPr="00D21E88">
        <w:rPr>
          <w:rFonts w:ascii="Times New Roman" w:eastAsia="Times New Roman" w:hAnsi="Times New Roman" w:cs="Times New Roman"/>
          <w:iCs/>
          <w:color w:val="000000"/>
          <w:sz w:val="24"/>
          <w:szCs w:val="24"/>
          <w:lang w:val="en-US" w:eastAsia="zh-CN"/>
        </w:rPr>
        <w:t xml:space="preserve"> through higher workplace misconduct. Finally, we examine the moderating effect of </w:t>
      </w:r>
      <w:r w:rsidR="00FB441C">
        <w:rPr>
          <w:rFonts w:ascii="Times New Roman" w:eastAsia="Times New Roman" w:hAnsi="Times New Roman" w:cs="Times New Roman"/>
          <w:iCs/>
          <w:color w:val="000000"/>
          <w:sz w:val="24"/>
          <w:szCs w:val="24"/>
          <w:lang w:val="en-US" w:eastAsia="zh-CN"/>
        </w:rPr>
        <w:t>board oversight</w:t>
      </w:r>
      <w:r w:rsidR="00286FD6" w:rsidRPr="00D21E88">
        <w:rPr>
          <w:rFonts w:ascii="Times New Roman" w:eastAsia="Times New Roman" w:hAnsi="Times New Roman" w:cs="Times New Roman"/>
          <w:iCs/>
          <w:color w:val="000000"/>
          <w:sz w:val="24"/>
          <w:szCs w:val="24"/>
          <w:lang w:val="en-US" w:eastAsia="zh-CN"/>
        </w:rPr>
        <w:t xml:space="preserve"> on the relation between </w:t>
      </w:r>
      <w:r w:rsidR="006C64D9">
        <w:rPr>
          <w:rFonts w:ascii="Times New Roman" w:eastAsia="Times New Roman" w:hAnsi="Times New Roman" w:cs="Times New Roman"/>
          <w:iCs/>
          <w:color w:val="000000"/>
          <w:sz w:val="24"/>
          <w:szCs w:val="24"/>
          <w:lang w:val="en-US" w:eastAsia="zh-CN"/>
        </w:rPr>
        <w:t xml:space="preserve">CEO </w:t>
      </w:r>
      <w:proofErr w:type="spellStart"/>
      <w:r w:rsidR="00286FD6" w:rsidRPr="00D21E88">
        <w:rPr>
          <w:rFonts w:ascii="Times New Roman" w:eastAsia="Times New Roman" w:hAnsi="Times New Roman" w:cs="Times New Roman"/>
          <w:iCs/>
          <w:color w:val="000000"/>
          <w:sz w:val="24"/>
          <w:szCs w:val="24"/>
          <w:lang w:val="en-US" w:eastAsia="zh-CN"/>
        </w:rPr>
        <w:t>vega</w:t>
      </w:r>
      <w:proofErr w:type="spellEnd"/>
      <w:r w:rsidR="00286FD6" w:rsidRPr="00D21E88">
        <w:rPr>
          <w:rFonts w:ascii="Times New Roman" w:eastAsia="Times New Roman" w:hAnsi="Times New Roman" w:cs="Times New Roman"/>
          <w:iCs/>
          <w:color w:val="000000"/>
          <w:sz w:val="24"/>
          <w:szCs w:val="24"/>
          <w:lang w:val="en-US" w:eastAsia="zh-CN"/>
        </w:rPr>
        <w:t xml:space="preserve"> and workplace misconduct. In line with the notion that </w:t>
      </w:r>
      <w:r w:rsidR="00FB441C">
        <w:rPr>
          <w:rFonts w:ascii="Times New Roman" w:eastAsia="Times New Roman" w:hAnsi="Times New Roman" w:cs="Times New Roman"/>
          <w:iCs/>
          <w:color w:val="000000"/>
          <w:sz w:val="24"/>
          <w:szCs w:val="24"/>
          <w:lang w:val="en-US" w:eastAsia="zh-CN"/>
        </w:rPr>
        <w:t>less (more) busy boards provide</w:t>
      </w:r>
      <w:r w:rsidR="00286FD6" w:rsidRPr="00D21E88">
        <w:rPr>
          <w:rFonts w:ascii="Times New Roman" w:eastAsia="Times New Roman" w:hAnsi="Times New Roman" w:cs="Times New Roman"/>
          <w:iCs/>
          <w:color w:val="000000"/>
          <w:sz w:val="24"/>
          <w:szCs w:val="24"/>
          <w:lang w:val="en-US" w:eastAsia="zh-CN"/>
        </w:rPr>
        <w:t xml:space="preserve"> more</w:t>
      </w:r>
      <w:r w:rsidR="00FB441C">
        <w:rPr>
          <w:rFonts w:ascii="Times New Roman" w:eastAsia="Times New Roman" w:hAnsi="Times New Roman" w:cs="Times New Roman"/>
          <w:iCs/>
          <w:color w:val="000000"/>
          <w:sz w:val="24"/>
          <w:szCs w:val="24"/>
          <w:lang w:val="en-US" w:eastAsia="zh-CN"/>
        </w:rPr>
        <w:t xml:space="preserve"> (less)</w:t>
      </w:r>
      <w:r w:rsidR="00286FD6" w:rsidRPr="00D21E88">
        <w:rPr>
          <w:rFonts w:ascii="Times New Roman" w:eastAsia="Times New Roman" w:hAnsi="Times New Roman" w:cs="Times New Roman"/>
          <w:iCs/>
          <w:color w:val="000000"/>
          <w:sz w:val="24"/>
          <w:szCs w:val="24"/>
          <w:lang w:val="en-US" w:eastAsia="zh-CN"/>
        </w:rPr>
        <w:t xml:space="preserve"> effective monitoring of managerial activities, we find that the relation between </w:t>
      </w:r>
      <w:proofErr w:type="spellStart"/>
      <w:r w:rsidR="00286FD6" w:rsidRPr="00D21E88">
        <w:rPr>
          <w:rFonts w:ascii="Times New Roman" w:eastAsia="Times New Roman" w:hAnsi="Times New Roman" w:cs="Times New Roman"/>
          <w:iCs/>
          <w:color w:val="000000"/>
          <w:sz w:val="24"/>
          <w:szCs w:val="24"/>
          <w:lang w:val="en-US" w:eastAsia="zh-CN"/>
        </w:rPr>
        <w:t>vega</w:t>
      </w:r>
      <w:proofErr w:type="spellEnd"/>
      <w:r w:rsidR="00286FD6" w:rsidRPr="00D21E88">
        <w:rPr>
          <w:rFonts w:ascii="Times New Roman" w:eastAsia="Times New Roman" w:hAnsi="Times New Roman" w:cs="Times New Roman"/>
          <w:iCs/>
          <w:color w:val="000000"/>
          <w:sz w:val="24"/>
          <w:szCs w:val="24"/>
          <w:lang w:val="en-US" w:eastAsia="zh-CN"/>
        </w:rPr>
        <w:t xml:space="preserve"> and workplace misconduct is attenuated </w:t>
      </w:r>
      <w:r w:rsidR="00FB441C">
        <w:rPr>
          <w:rFonts w:ascii="Times New Roman" w:eastAsia="Times New Roman" w:hAnsi="Times New Roman" w:cs="Times New Roman"/>
          <w:iCs/>
          <w:color w:val="000000"/>
          <w:sz w:val="24"/>
          <w:szCs w:val="24"/>
          <w:lang w:val="en-US" w:eastAsia="zh-CN"/>
        </w:rPr>
        <w:t>when</w:t>
      </w:r>
      <w:r w:rsidR="00286FD6" w:rsidRPr="00D21E88">
        <w:rPr>
          <w:rFonts w:ascii="Times New Roman" w:eastAsia="Times New Roman" w:hAnsi="Times New Roman" w:cs="Times New Roman"/>
          <w:iCs/>
          <w:color w:val="000000"/>
          <w:sz w:val="24"/>
          <w:szCs w:val="24"/>
          <w:lang w:val="en-US" w:eastAsia="zh-CN"/>
        </w:rPr>
        <w:t xml:space="preserve"> </w:t>
      </w:r>
      <w:r w:rsidR="00FB441C">
        <w:rPr>
          <w:rFonts w:ascii="Times New Roman" w:eastAsia="Times New Roman" w:hAnsi="Times New Roman" w:cs="Times New Roman"/>
          <w:iCs/>
          <w:color w:val="000000"/>
          <w:sz w:val="24"/>
          <w:szCs w:val="24"/>
          <w:lang w:val="en-US" w:eastAsia="zh-CN"/>
        </w:rPr>
        <w:t>board members are less busy</w:t>
      </w:r>
      <w:r w:rsidR="00286FD6" w:rsidRPr="00D21E88">
        <w:rPr>
          <w:rFonts w:ascii="Times New Roman" w:eastAsia="Times New Roman" w:hAnsi="Times New Roman" w:cs="Times New Roman"/>
          <w:iCs/>
          <w:color w:val="000000"/>
          <w:sz w:val="24"/>
          <w:szCs w:val="24"/>
          <w:lang w:val="en-US" w:eastAsia="zh-CN"/>
        </w:rPr>
        <w:t xml:space="preserve">. </w:t>
      </w:r>
    </w:p>
    <w:p w14:paraId="7791EB32" w14:textId="1B5FAF9A" w:rsidR="009C04D2" w:rsidRPr="00B81DFD" w:rsidRDefault="002F38A4" w:rsidP="0028121B">
      <w:pPr>
        <w:autoSpaceDE w:val="0"/>
        <w:autoSpaceDN w:val="0"/>
        <w:adjustRightInd w:val="0"/>
        <w:spacing w:after="0" w:line="480" w:lineRule="auto"/>
        <w:ind w:firstLine="720"/>
        <w:jc w:val="both"/>
        <w:rPr>
          <w:rFonts w:ascii="Times New Roman" w:hAnsi="Times New Roman" w:cs="Times New Roman"/>
          <w:sz w:val="24"/>
          <w:szCs w:val="24"/>
          <w:lang w:val="en-US"/>
        </w:rPr>
      </w:pPr>
      <w:bookmarkStart w:id="2" w:name="_Hlk89162886"/>
      <w:r w:rsidRPr="00D21E88">
        <w:rPr>
          <w:rFonts w:ascii="Times New Roman" w:hAnsi="Times New Roman" w:cs="Times New Roman"/>
          <w:sz w:val="24"/>
          <w:szCs w:val="24"/>
          <w:lang w:val="en-US"/>
        </w:rPr>
        <w:t xml:space="preserve">Our study contributes to </w:t>
      </w:r>
      <w:r w:rsidR="004B0612" w:rsidRPr="00D21E88">
        <w:rPr>
          <w:rFonts w:ascii="Times New Roman" w:hAnsi="Times New Roman" w:cs="Times New Roman"/>
          <w:sz w:val="24"/>
          <w:szCs w:val="24"/>
          <w:lang w:val="en-US"/>
        </w:rPr>
        <w:t xml:space="preserve">extant </w:t>
      </w:r>
      <w:r w:rsidRPr="00D21E88">
        <w:rPr>
          <w:rFonts w:ascii="Times New Roman" w:hAnsi="Times New Roman" w:cs="Times New Roman"/>
          <w:sz w:val="24"/>
          <w:szCs w:val="24"/>
          <w:lang w:val="en-US"/>
        </w:rPr>
        <w:t>literature in the following way</w:t>
      </w:r>
      <w:r w:rsidR="004B0612" w:rsidRPr="00D21E88">
        <w:rPr>
          <w:rFonts w:ascii="Times New Roman" w:hAnsi="Times New Roman" w:cs="Times New Roman"/>
          <w:sz w:val="24"/>
          <w:szCs w:val="24"/>
          <w:lang w:val="en-US"/>
        </w:rPr>
        <w:t>s</w:t>
      </w:r>
      <w:r w:rsidRPr="00D21E88">
        <w:rPr>
          <w:rFonts w:ascii="Times New Roman" w:hAnsi="Times New Roman" w:cs="Times New Roman"/>
          <w:sz w:val="24"/>
          <w:szCs w:val="24"/>
          <w:lang w:val="en-US"/>
        </w:rPr>
        <w:t xml:space="preserve">. </w:t>
      </w:r>
      <w:r w:rsidR="00C56322" w:rsidRPr="00D21E88">
        <w:rPr>
          <w:rFonts w:ascii="Times New Roman" w:hAnsi="Times New Roman" w:cs="Times New Roman"/>
          <w:sz w:val="24"/>
          <w:szCs w:val="24"/>
          <w:lang w:val="en-US"/>
        </w:rPr>
        <w:t xml:space="preserve">First, we contribute to the </w:t>
      </w:r>
      <w:r w:rsidR="002C6DEB" w:rsidRPr="00D21E88">
        <w:rPr>
          <w:rFonts w:ascii="Times New Roman" w:hAnsi="Times New Roman" w:cs="Times New Roman"/>
          <w:sz w:val="24"/>
          <w:szCs w:val="24"/>
          <w:lang w:val="en-US"/>
        </w:rPr>
        <w:t>nascent</w:t>
      </w:r>
      <w:r w:rsidR="005860D4" w:rsidRPr="00D21E88">
        <w:rPr>
          <w:rFonts w:ascii="Times New Roman" w:hAnsi="Times New Roman" w:cs="Times New Roman"/>
          <w:sz w:val="24"/>
          <w:szCs w:val="24"/>
          <w:lang w:val="en-US"/>
        </w:rPr>
        <w:t xml:space="preserve"> </w:t>
      </w:r>
      <w:r w:rsidR="00C56322" w:rsidRPr="00D21E88">
        <w:rPr>
          <w:rFonts w:ascii="Times New Roman" w:hAnsi="Times New Roman" w:cs="Times New Roman"/>
          <w:sz w:val="24"/>
          <w:szCs w:val="24"/>
          <w:lang w:val="en-US"/>
        </w:rPr>
        <w:t xml:space="preserve">literature on the determinants of employee welfare. </w:t>
      </w:r>
      <w:r w:rsidR="007C4840" w:rsidRPr="00D21E88">
        <w:rPr>
          <w:rFonts w:ascii="Times New Roman" w:hAnsi="Times New Roman" w:cs="Times New Roman"/>
          <w:sz w:val="24"/>
          <w:szCs w:val="24"/>
          <w:lang w:val="en-US"/>
        </w:rPr>
        <w:t xml:space="preserve">Li and </w:t>
      </w:r>
      <w:r w:rsidR="0044268F" w:rsidRPr="00D21E88">
        <w:rPr>
          <w:rFonts w:ascii="Times New Roman" w:hAnsi="Times New Roman" w:cs="Times New Roman"/>
          <w:color w:val="000000" w:themeColor="text1"/>
          <w:sz w:val="24"/>
          <w:szCs w:val="24"/>
          <w:lang w:val="en-US"/>
        </w:rPr>
        <w:t>Raghunandan</w:t>
      </w:r>
      <w:r w:rsidR="0044268F" w:rsidRPr="00D21E88">
        <w:rPr>
          <w:rFonts w:ascii="Times New Roman" w:hAnsi="Times New Roman" w:cs="Times New Roman"/>
          <w:sz w:val="24"/>
          <w:szCs w:val="24"/>
          <w:lang w:val="en-US"/>
        </w:rPr>
        <w:t xml:space="preserve"> </w:t>
      </w:r>
      <w:r w:rsidR="007C4840" w:rsidRPr="00D21E88">
        <w:rPr>
          <w:rFonts w:ascii="Times New Roman" w:hAnsi="Times New Roman" w:cs="Times New Roman"/>
          <w:sz w:val="24"/>
          <w:szCs w:val="24"/>
          <w:lang w:val="en-US"/>
        </w:rPr>
        <w:t>(202</w:t>
      </w:r>
      <w:r w:rsidR="00A948CE">
        <w:rPr>
          <w:rFonts w:ascii="Times New Roman" w:hAnsi="Times New Roman" w:cs="Times New Roman"/>
          <w:sz w:val="24"/>
          <w:szCs w:val="24"/>
          <w:lang w:val="en-US"/>
        </w:rPr>
        <w:t>1</w:t>
      </w:r>
      <w:r w:rsidR="007C4840" w:rsidRPr="00D21E88">
        <w:rPr>
          <w:rFonts w:ascii="Times New Roman" w:hAnsi="Times New Roman" w:cs="Times New Roman"/>
          <w:sz w:val="24"/>
          <w:szCs w:val="24"/>
          <w:lang w:val="en-US"/>
        </w:rPr>
        <w:t xml:space="preserve">) find that institutional ownership is negatively related to a </w:t>
      </w:r>
      <w:r w:rsidR="004B7933">
        <w:rPr>
          <w:rFonts w:ascii="Times New Roman" w:hAnsi="Times New Roman" w:cs="Times New Roman"/>
          <w:sz w:val="24"/>
          <w:szCs w:val="24"/>
          <w:lang w:val="en-US"/>
        </w:rPr>
        <w:t>firm’s</w:t>
      </w:r>
      <w:r w:rsidR="004B7933" w:rsidRPr="00D21E88">
        <w:rPr>
          <w:rFonts w:ascii="Times New Roman" w:hAnsi="Times New Roman" w:cs="Times New Roman"/>
          <w:sz w:val="24"/>
          <w:szCs w:val="24"/>
          <w:lang w:val="en-US"/>
        </w:rPr>
        <w:t xml:space="preserve"> </w:t>
      </w:r>
      <w:r w:rsidR="007C4840" w:rsidRPr="00D21E88">
        <w:rPr>
          <w:rFonts w:ascii="Times New Roman" w:hAnsi="Times New Roman" w:cs="Times New Roman"/>
          <w:sz w:val="24"/>
          <w:szCs w:val="24"/>
          <w:lang w:val="en-US"/>
        </w:rPr>
        <w:t>propensity of violating labor laws while Heese and Pérez-Cavazos (20</w:t>
      </w:r>
      <w:r w:rsidR="00E21317">
        <w:rPr>
          <w:rFonts w:ascii="Times New Roman" w:hAnsi="Times New Roman" w:cs="Times New Roman"/>
          <w:sz w:val="24"/>
          <w:szCs w:val="24"/>
          <w:lang w:val="en-US"/>
        </w:rPr>
        <w:t>20</w:t>
      </w:r>
      <w:r w:rsidR="007C4840" w:rsidRPr="00D21E88">
        <w:rPr>
          <w:rFonts w:ascii="Times New Roman" w:hAnsi="Times New Roman" w:cs="Times New Roman"/>
          <w:sz w:val="24"/>
          <w:szCs w:val="24"/>
          <w:lang w:val="en-US"/>
        </w:rPr>
        <w:t xml:space="preserve">) and Christensen, Floyd, Liu and Maffett (2017) show that greater monitoring and investor </w:t>
      </w:r>
      <w:r w:rsidR="007C4840" w:rsidRPr="00FB441C">
        <w:rPr>
          <w:rFonts w:ascii="Times New Roman" w:hAnsi="Times New Roman" w:cs="Times New Roman"/>
          <w:sz w:val="24"/>
          <w:szCs w:val="24"/>
          <w:lang w:val="en-US"/>
        </w:rPr>
        <w:t>awareness of employee</w:t>
      </w:r>
      <w:r w:rsidR="007C4840" w:rsidRPr="00D21E88">
        <w:rPr>
          <w:rFonts w:ascii="Times New Roman" w:hAnsi="Times New Roman" w:cs="Times New Roman"/>
          <w:sz w:val="24"/>
          <w:szCs w:val="24"/>
          <w:lang w:val="en-US"/>
        </w:rPr>
        <w:t xml:space="preserve"> safety issues result in a reduction in worker injuries and workplace violations. </w:t>
      </w:r>
      <w:r w:rsidR="00001543" w:rsidRPr="00D21E88">
        <w:rPr>
          <w:rFonts w:ascii="Times New Roman" w:hAnsi="Times New Roman" w:cs="Times New Roman"/>
          <w:sz w:val="24"/>
          <w:szCs w:val="24"/>
          <w:lang w:val="en-US"/>
        </w:rPr>
        <w:t xml:space="preserve">Cohn and Wardlaw (2016) show that financing frictions lower </w:t>
      </w:r>
      <w:r w:rsidR="001F3896">
        <w:rPr>
          <w:rFonts w:ascii="Times New Roman" w:hAnsi="Times New Roman" w:cs="Times New Roman"/>
          <w:sz w:val="24"/>
          <w:szCs w:val="24"/>
          <w:lang w:val="en-US"/>
        </w:rPr>
        <w:t>employee</w:t>
      </w:r>
      <w:r w:rsidR="001F3896" w:rsidRPr="00D21E88">
        <w:rPr>
          <w:rFonts w:ascii="Times New Roman" w:hAnsi="Times New Roman" w:cs="Times New Roman"/>
          <w:sz w:val="24"/>
          <w:szCs w:val="24"/>
          <w:lang w:val="en-US"/>
        </w:rPr>
        <w:t xml:space="preserve"> </w:t>
      </w:r>
      <w:r w:rsidR="00001543" w:rsidRPr="00D21E88">
        <w:rPr>
          <w:rFonts w:ascii="Times New Roman" w:hAnsi="Times New Roman" w:cs="Times New Roman"/>
          <w:sz w:val="24"/>
          <w:szCs w:val="24"/>
          <w:lang w:val="en-US"/>
        </w:rPr>
        <w:t>welfare as firms underinvest in employee safety</w:t>
      </w:r>
      <w:r w:rsidR="001F7BDF">
        <w:rPr>
          <w:rFonts w:ascii="Times New Roman" w:hAnsi="Times New Roman" w:cs="Times New Roman"/>
          <w:sz w:val="24"/>
          <w:szCs w:val="24"/>
          <w:lang w:val="en-US"/>
        </w:rPr>
        <w:t xml:space="preserve"> while</w:t>
      </w:r>
      <w:r w:rsidR="00001543" w:rsidRPr="00D21E88">
        <w:rPr>
          <w:rFonts w:ascii="Times New Roman" w:hAnsi="Times New Roman" w:cs="Times New Roman"/>
          <w:sz w:val="24"/>
          <w:szCs w:val="24"/>
          <w:lang w:val="en-US"/>
        </w:rPr>
        <w:t xml:space="preserve"> </w:t>
      </w:r>
      <w:r w:rsidR="00DE1F3F" w:rsidRPr="00D21E88">
        <w:rPr>
          <w:rFonts w:ascii="Times New Roman" w:hAnsi="Times New Roman" w:cs="Times New Roman"/>
          <w:sz w:val="24"/>
          <w:szCs w:val="24"/>
          <w:lang w:val="en-US"/>
        </w:rPr>
        <w:t xml:space="preserve">Caskey and Ozel (2017) document a higher injury rate in </w:t>
      </w:r>
      <w:r w:rsidR="00113CC5">
        <w:rPr>
          <w:rFonts w:ascii="Times New Roman" w:hAnsi="Times New Roman" w:cs="Times New Roman"/>
          <w:sz w:val="24"/>
          <w:szCs w:val="24"/>
          <w:lang w:val="en-US"/>
        </w:rPr>
        <w:t xml:space="preserve">benchmark beating </w:t>
      </w:r>
      <w:r w:rsidR="00DE1F3F" w:rsidRPr="00D21E88">
        <w:rPr>
          <w:rFonts w:ascii="Times New Roman" w:hAnsi="Times New Roman" w:cs="Times New Roman"/>
          <w:sz w:val="24"/>
          <w:szCs w:val="24"/>
          <w:lang w:val="en-US"/>
        </w:rPr>
        <w:t>firms.</w:t>
      </w:r>
      <w:r w:rsidR="00343F87" w:rsidRPr="00D21E88">
        <w:rPr>
          <w:rFonts w:ascii="Times New Roman" w:hAnsi="Times New Roman" w:cs="Times New Roman"/>
          <w:sz w:val="24"/>
          <w:szCs w:val="24"/>
          <w:lang w:val="en-US"/>
        </w:rPr>
        <w:t xml:space="preserve"> </w:t>
      </w:r>
      <w:r w:rsidR="009C04D2" w:rsidRPr="00CF3404">
        <w:rPr>
          <w:rFonts w:ascii="Times New Roman" w:hAnsi="Times New Roman" w:cs="Times New Roman"/>
          <w:sz w:val="24"/>
          <w:szCs w:val="24"/>
          <w:lang w:val="en-US"/>
        </w:rPr>
        <w:t>We contribute to this literature</w:t>
      </w:r>
      <w:r w:rsidR="00CE6C20" w:rsidRPr="00CF3404">
        <w:rPr>
          <w:rFonts w:ascii="Times New Roman" w:hAnsi="Times New Roman" w:cs="Times New Roman"/>
          <w:sz w:val="24"/>
          <w:szCs w:val="24"/>
          <w:lang w:val="en-US"/>
        </w:rPr>
        <w:t xml:space="preserve"> on the determinants of workplace misconduct</w:t>
      </w:r>
      <w:r w:rsidR="009C04D2" w:rsidRPr="00CF3404">
        <w:rPr>
          <w:rFonts w:ascii="Times New Roman" w:hAnsi="Times New Roman" w:cs="Times New Roman"/>
          <w:sz w:val="24"/>
          <w:szCs w:val="24"/>
          <w:lang w:val="en-US"/>
        </w:rPr>
        <w:t xml:space="preserve"> </w:t>
      </w:r>
      <w:r w:rsidR="007C4840" w:rsidRPr="00CF3404">
        <w:rPr>
          <w:rFonts w:ascii="Times New Roman" w:hAnsi="Times New Roman" w:cs="Times New Roman"/>
          <w:sz w:val="24"/>
          <w:szCs w:val="24"/>
          <w:lang w:val="en-US"/>
        </w:rPr>
        <w:t>by showing that an important determina</w:t>
      </w:r>
      <w:r w:rsidR="00B44729" w:rsidRPr="00CF3404">
        <w:rPr>
          <w:rFonts w:ascii="Times New Roman" w:hAnsi="Times New Roman" w:cs="Times New Roman"/>
          <w:sz w:val="24"/>
          <w:szCs w:val="24"/>
          <w:lang w:val="en-US"/>
        </w:rPr>
        <w:t>n</w:t>
      </w:r>
      <w:r w:rsidR="007C4840" w:rsidRPr="00CF3404">
        <w:rPr>
          <w:rFonts w:ascii="Times New Roman" w:hAnsi="Times New Roman" w:cs="Times New Roman"/>
          <w:sz w:val="24"/>
          <w:szCs w:val="24"/>
          <w:lang w:val="en-US"/>
        </w:rPr>
        <w:t xml:space="preserve">t of employee welfare is </w:t>
      </w:r>
      <w:r w:rsidR="00CF3404">
        <w:rPr>
          <w:rFonts w:ascii="Times New Roman" w:hAnsi="Times New Roman" w:cs="Times New Roman"/>
          <w:sz w:val="24"/>
          <w:szCs w:val="24"/>
          <w:lang w:val="en-US"/>
        </w:rPr>
        <w:t xml:space="preserve">the </w:t>
      </w:r>
      <w:r w:rsidR="00CE6C20" w:rsidRPr="00CF3404">
        <w:rPr>
          <w:rFonts w:ascii="Times New Roman" w:hAnsi="Times New Roman" w:cs="Times New Roman"/>
          <w:sz w:val="24"/>
          <w:szCs w:val="24"/>
          <w:lang w:val="en-US"/>
        </w:rPr>
        <w:t>executive</w:t>
      </w:r>
      <w:r w:rsidR="007C4840" w:rsidRPr="00CF3404">
        <w:rPr>
          <w:rFonts w:ascii="Times New Roman" w:hAnsi="Times New Roman" w:cs="Times New Roman"/>
          <w:sz w:val="24"/>
          <w:szCs w:val="24"/>
          <w:lang w:val="en-US"/>
        </w:rPr>
        <w:t xml:space="preserve"> compensation</w:t>
      </w:r>
      <w:r w:rsidR="008572A1" w:rsidRPr="00CF3404">
        <w:rPr>
          <w:rFonts w:ascii="Times New Roman" w:hAnsi="Times New Roman" w:cs="Times New Roman"/>
          <w:sz w:val="24"/>
          <w:szCs w:val="24"/>
          <w:lang w:val="en-US"/>
        </w:rPr>
        <w:t xml:space="preserve"> structure</w:t>
      </w:r>
      <w:r w:rsidR="007C4840" w:rsidRPr="00CF3404">
        <w:rPr>
          <w:rFonts w:ascii="Times New Roman" w:hAnsi="Times New Roman" w:cs="Times New Roman"/>
          <w:sz w:val="24"/>
          <w:szCs w:val="24"/>
          <w:lang w:val="en-US"/>
        </w:rPr>
        <w:t>.</w:t>
      </w:r>
      <w:r w:rsidR="007C4840" w:rsidRPr="00D21E88">
        <w:rPr>
          <w:rFonts w:ascii="Times New Roman" w:hAnsi="Times New Roman" w:cs="Times New Roman"/>
          <w:sz w:val="24"/>
          <w:szCs w:val="24"/>
          <w:lang w:val="en-US"/>
        </w:rPr>
        <w:t xml:space="preserve"> Specifically, we show that CEO risk taking incentives influence the amount and severity of workplace misconduct.</w:t>
      </w:r>
    </w:p>
    <w:p w14:paraId="2FDF05EA" w14:textId="5BE5BD2E" w:rsidR="00CE4E2F" w:rsidRPr="00D21E88" w:rsidRDefault="007C4840" w:rsidP="00B44729">
      <w:pPr>
        <w:autoSpaceDE w:val="0"/>
        <w:autoSpaceDN w:val="0"/>
        <w:adjustRightInd w:val="0"/>
        <w:spacing w:after="0" w:line="480" w:lineRule="auto"/>
        <w:ind w:firstLine="720"/>
        <w:jc w:val="both"/>
        <w:rPr>
          <w:rFonts w:ascii="Times New Roman" w:hAnsi="Times New Roman" w:cs="Times New Roman"/>
          <w:sz w:val="24"/>
          <w:szCs w:val="24"/>
          <w:lang w:val="en-US"/>
        </w:rPr>
      </w:pPr>
      <w:bookmarkStart w:id="3" w:name="_Hlk133657435"/>
      <w:r w:rsidRPr="00D21E88">
        <w:rPr>
          <w:rFonts w:ascii="Times New Roman" w:hAnsi="Times New Roman" w:cs="Times New Roman"/>
          <w:sz w:val="24"/>
          <w:szCs w:val="24"/>
          <w:lang w:val="en-US"/>
        </w:rPr>
        <w:t xml:space="preserve">Second, we contribute to the literature </w:t>
      </w:r>
      <w:r w:rsidR="008C3BB1">
        <w:rPr>
          <w:rFonts w:ascii="Times New Roman" w:hAnsi="Times New Roman" w:cs="Times New Roman"/>
          <w:sz w:val="24"/>
          <w:szCs w:val="24"/>
          <w:lang w:val="en-US"/>
        </w:rPr>
        <w:t>examining</w:t>
      </w:r>
      <w:r w:rsidRPr="00D21E88">
        <w:rPr>
          <w:rFonts w:ascii="Times New Roman" w:hAnsi="Times New Roman" w:cs="Times New Roman"/>
          <w:sz w:val="24"/>
          <w:szCs w:val="24"/>
          <w:lang w:val="en-US"/>
        </w:rPr>
        <w:t xml:space="preserve"> the effects </w:t>
      </w:r>
      <w:r w:rsidR="001F3896">
        <w:rPr>
          <w:rFonts w:ascii="Times New Roman" w:hAnsi="Times New Roman" w:cs="Times New Roman"/>
          <w:sz w:val="24"/>
          <w:szCs w:val="24"/>
          <w:lang w:val="en-US"/>
        </w:rPr>
        <w:t xml:space="preserve">of </w:t>
      </w:r>
      <w:r w:rsidRPr="00D21E88">
        <w:rPr>
          <w:rFonts w:ascii="Times New Roman" w:hAnsi="Times New Roman" w:cs="Times New Roman"/>
          <w:sz w:val="24"/>
          <w:szCs w:val="24"/>
          <w:lang w:val="en-US"/>
        </w:rPr>
        <w:t>CEO compensation</w:t>
      </w:r>
      <w:r w:rsidR="001F3896">
        <w:rPr>
          <w:rFonts w:ascii="Times New Roman" w:hAnsi="Times New Roman" w:cs="Times New Roman"/>
          <w:sz w:val="24"/>
          <w:szCs w:val="24"/>
          <w:lang w:val="en-US"/>
        </w:rPr>
        <w:t xml:space="preserve"> sensitivity</w:t>
      </w:r>
      <w:r w:rsidRPr="00D21E88">
        <w:rPr>
          <w:rFonts w:ascii="Times New Roman" w:hAnsi="Times New Roman" w:cs="Times New Roman"/>
          <w:sz w:val="24"/>
          <w:szCs w:val="24"/>
          <w:lang w:val="en-US"/>
        </w:rPr>
        <w:t xml:space="preserve"> to stock price volatility on </w:t>
      </w:r>
      <w:r w:rsidR="009A0526" w:rsidRPr="00D21E88">
        <w:rPr>
          <w:rFonts w:ascii="Times New Roman" w:hAnsi="Times New Roman" w:cs="Times New Roman"/>
          <w:sz w:val="24"/>
          <w:szCs w:val="24"/>
          <w:lang w:val="en-US"/>
        </w:rPr>
        <w:t xml:space="preserve">firm </w:t>
      </w:r>
      <w:r w:rsidRPr="00D21E88">
        <w:rPr>
          <w:rFonts w:ascii="Times New Roman" w:hAnsi="Times New Roman" w:cs="Times New Roman"/>
          <w:sz w:val="24"/>
          <w:szCs w:val="24"/>
          <w:lang w:val="en-US"/>
        </w:rPr>
        <w:t>misconduct</w:t>
      </w:r>
      <w:r w:rsidR="006A2A70" w:rsidRPr="00D21E88">
        <w:rPr>
          <w:rFonts w:ascii="Times New Roman" w:hAnsi="Times New Roman" w:cs="Times New Roman"/>
          <w:sz w:val="24"/>
          <w:szCs w:val="24"/>
          <w:lang w:val="en-US"/>
        </w:rPr>
        <w:t xml:space="preserve"> and </w:t>
      </w:r>
      <w:r w:rsidR="00247333">
        <w:rPr>
          <w:rFonts w:ascii="Times New Roman" w:hAnsi="Times New Roman" w:cs="Times New Roman"/>
          <w:sz w:val="24"/>
          <w:szCs w:val="24"/>
          <w:lang w:val="en-US"/>
        </w:rPr>
        <w:t xml:space="preserve">corporate </w:t>
      </w:r>
      <w:r w:rsidR="006A2A70" w:rsidRPr="00D21E88">
        <w:rPr>
          <w:rFonts w:ascii="Times New Roman" w:hAnsi="Times New Roman" w:cs="Times New Roman"/>
          <w:sz w:val="24"/>
          <w:szCs w:val="24"/>
          <w:lang w:val="en-US"/>
        </w:rPr>
        <w:t xml:space="preserve">irresponsible </w:t>
      </w:r>
      <w:r w:rsidR="00FD2282" w:rsidRPr="00D21E88">
        <w:rPr>
          <w:rFonts w:ascii="Times New Roman" w:hAnsi="Times New Roman" w:cs="Times New Roman"/>
          <w:sz w:val="24"/>
          <w:szCs w:val="24"/>
          <w:lang w:val="en-US"/>
        </w:rPr>
        <w:t>behavior</w:t>
      </w:r>
      <w:r w:rsidR="006A2A70" w:rsidRPr="00D21E88">
        <w:rPr>
          <w:rFonts w:ascii="Times New Roman" w:hAnsi="Times New Roman" w:cs="Times New Roman"/>
          <w:sz w:val="24"/>
          <w:szCs w:val="24"/>
          <w:lang w:val="en-US"/>
        </w:rPr>
        <w:t xml:space="preserve"> in general.</w:t>
      </w:r>
      <w:r w:rsidRPr="00D21E88">
        <w:rPr>
          <w:rFonts w:ascii="Times New Roman" w:hAnsi="Times New Roman" w:cs="Times New Roman"/>
          <w:sz w:val="24"/>
          <w:szCs w:val="24"/>
          <w:lang w:val="en-US"/>
        </w:rPr>
        <w:t xml:space="preserve"> Prior literature shows that firms are more likely to engage in financial misreporting if </w:t>
      </w:r>
      <w:r w:rsidRPr="00D21E88">
        <w:rPr>
          <w:rFonts w:ascii="Times New Roman" w:hAnsi="Times New Roman" w:cs="Times New Roman"/>
          <w:sz w:val="24"/>
          <w:szCs w:val="24"/>
          <w:lang w:val="en-US"/>
        </w:rPr>
        <w:lastRenderedPageBreak/>
        <w:t xml:space="preserve">CEOs have high </w:t>
      </w:r>
      <w:r w:rsidR="004721F4" w:rsidRPr="00D21E88">
        <w:rPr>
          <w:rFonts w:ascii="Times New Roman" w:hAnsi="Times New Roman" w:cs="Times New Roman"/>
          <w:sz w:val="24"/>
          <w:szCs w:val="24"/>
          <w:lang w:val="en-US"/>
        </w:rPr>
        <w:t>risk</w:t>
      </w:r>
      <w:r w:rsidR="00A35028">
        <w:rPr>
          <w:rFonts w:ascii="Times New Roman" w:hAnsi="Times New Roman" w:cs="Times New Roman"/>
          <w:sz w:val="24"/>
          <w:szCs w:val="24"/>
          <w:lang w:val="en-US"/>
        </w:rPr>
        <w:t xml:space="preserve"> </w:t>
      </w:r>
      <w:r w:rsidR="004721F4" w:rsidRPr="00D21E88">
        <w:rPr>
          <w:rFonts w:ascii="Times New Roman" w:hAnsi="Times New Roman" w:cs="Times New Roman"/>
          <w:sz w:val="24"/>
          <w:szCs w:val="24"/>
          <w:lang w:val="en-US"/>
        </w:rPr>
        <w:t>taking</w:t>
      </w:r>
      <w:r w:rsidRPr="00D21E88">
        <w:rPr>
          <w:rFonts w:ascii="Times New Roman" w:hAnsi="Times New Roman" w:cs="Times New Roman"/>
          <w:sz w:val="24"/>
          <w:szCs w:val="24"/>
          <w:lang w:val="en-US"/>
        </w:rPr>
        <w:t xml:space="preserve"> incentives</w:t>
      </w:r>
      <w:r w:rsidR="006A2A70" w:rsidRPr="00D21E88">
        <w:rPr>
          <w:rFonts w:ascii="Times New Roman" w:hAnsi="Times New Roman" w:cs="Times New Roman"/>
          <w:sz w:val="24"/>
          <w:szCs w:val="24"/>
          <w:lang w:val="en-US"/>
        </w:rPr>
        <w:t xml:space="preserve"> (Bergstresser and Philippon 2006; Burns and Kedia 2006; Erickson, Hanlon and Maydew 2006; Efendi, Srivastava and Swanson 2007; Armstrong</w:t>
      </w:r>
      <w:r w:rsidR="00094BA9">
        <w:rPr>
          <w:rFonts w:ascii="Times New Roman" w:hAnsi="Times New Roman" w:cs="Times New Roman"/>
          <w:sz w:val="24"/>
          <w:szCs w:val="24"/>
          <w:lang w:val="en-US"/>
        </w:rPr>
        <w:t xml:space="preserve"> et al. </w:t>
      </w:r>
      <w:r w:rsidR="006A2A70" w:rsidRPr="00D21E88">
        <w:rPr>
          <w:rFonts w:ascii="Times New Roman" w:hAnsi="Times New Roman" w:cs="Times New Roman"/>
          <w:sz w:val="24"/>
          <w:szCs w:val="24"/>
          <w:lang w:val="en-US"/>
        </w:rPr>
        <w:t>2010; Armstrong</w:t>
      </w:r>
      <w:r w:rsidR="00094BA9">
        <w:rPr>
          <w:rFonts w:ascii="Times New Roman" w:hAnsi="Times New Roman" w:cs="Times New Roman"/>
          <w:sz w:val="24"/>
          <w:szCs w:val="24"/>
          <w:lang w:val="en-US"/>
        </w:rPr>
        <w:t xml:space="preserve"> et al. </w:t>
      </w:r>
      <w:r w:rsidR="006A2A70" w:rsidRPr="00D21E88">
        <w:rPr>
          <w:rFonts w:ascii="Times New Roman" w:hAnsi="Times New Roman" w:cs="Times New Roman"/>
          <w:sz w:val="24"/>
          <w:szCs w:val="24"/>
          <w:lang w:val="en-US"/>
        </w:rPr>
        <w:t xml:space="preserve">2013). </w:t>
      </w:r>
      <w:r w:rsidRPr="00D21E88">
        <w:rPr>
          <w:rFonts w:ascii="Times New Roman" w:hAnsi="Times New Roman" w:cs="Times New Roman"/>
          <w:sz w:val="24"/>
          <w:szCs w:val="24"/>
          <w:lang w:val="en-US"/>
        </w:rPr>
        <w:t xml:space="preserve">Using matched sample tests, prior literature </w:t>
      </w:r>
      <w:r w:rsidR="00247333">
        <w:rPr>
          <w:rFonts w:ascii="Times New Roman" w:hAnsi="Times New Roman" w:cs="Times New Roman"/>
          <w:sz w:val="24"/>
          <w:szCs w:val="24"/>
          <w:lang w:val="en-US"/>
        </w:rPr>
        <w:t>shows</w:t>
      </w:r>
      <w:r w:rsidRPr="00D21E88">
        <w:rPr>
          <w:rFonts w:ascii="Times New Roman" w:hAnsi="Times New Roman" w:cs="Times New Roman"/>
          <w:sz w:val="24"/>
          <w:szCs w:val="24"/>
          <w:lang w:val="en-US"/>
        </w:rPr>
        <w:t xml:space="preserve"> that firms </w:t>
      </w:r>
      <w:r w:rsidR="00247333">
        <w:rPr>
          <w:rFonts w:ascii="Times New Roman" w:hAnsi="Times New Roman" w:cs="Times New Roman"/>
          <w:sz w:val="24"/>
          <w:szCs w:val="24"/>
          <w:lang w:val="en-US"/>
        </w:rPr>
        <w:t>with higher CEO risk taking incentives</w:t>
      </w:r>
      <w:r w:rsidRPr="00D21E88">
        <w:rPr>
          <w:rFonts w:ascii="Times New Roman" w:hAnsi="Times New Roman" w:cs="Times New Roman"/>
          <w:sz w:val="24"/>
          <w:szCs w:val="24"/>
          <w:lang w:val="en-US"/>
        </w:rPr>
        <w:t xml:space="preserve"> have higher discretionary accruals, more accounting restatements</w:t>
      </w:r>
      <w:r w:rsidR="00A22900">
        <w:rPr>
          <w:rFonts w:ascii="Times New Roman" w:hAnsi="Times New Roman" w:cs="Times New Roman"/>
          <w:sz w:val="24"/>
          <w:szCs w:val="24"/>
          <w:lang w:val="en-US"/>
        </w:rPr>
        <w:t>,</w:t>
      </w:r>
      <w:r w:rsidRPr="00D21E88">
        <w:rPr>
          <w:rFonts w:ascii="Times New Roman" w:hAnsi="Times New Roman" w:cs="Times New Roman"/>
          <w:sz w:val="24"/>
          <w:szCs w:val="24"/>
          <w:lang w:val="en-US"/>
        </w:rPr>
        <w:t xml:space="preserve"> and</w:t>
      </w:r>
      <w:r w:rsidR="0052505F">
        <w:rPr>
          <w:rFonts w:ascii="Times New Roman" w:hAnsi="Times New Roman" w:cs="Times New Roman"/>
          <w:sz w:val="24"/>
          <w:szCs w:val="24"/>
          <w:lang w:val="en-US"/>
        </w:rPr>
        <w:t xml:space="preserve"> more</w:t>
      </w:r>
      <w:r w:rsidRPr="00D21E88">
        <w:rPr>
          <w:rFonts w:ascii="Times New Roman" w:hAnsi="Times New Roman" w:cs="Times New Roman"/>
          <w:sz w:val="24"/>
          <w:szCs w:val="24"/>
          <w:lang w:val="en-US"/>
        </w:rPr>
        <w:t xml:space="preserve"> accounting fraud cases (Armstrong</w:t>
      </w:r>
      <w:r w:rsidR="00094BA9">
        <w:rPr>
          <w:rFonts w:ascii="Times New Roman" w:hAnsi="Times New Roman" w:cs="Times New Roman"/>
          <w:sz w:val="24"/>
          <w:szCs w:val="24"/>
          <w:lang w:val="en-US"/>
        </w:rPr>
        <w:t xml:space="preserve"> et al. </w:t>
      </w:r>
      <w:r w:rsidRPr="00D21E88">
        <w:rPr>
          <w:rFonts w:ascii="Times New Roman" w:hAnsi="Times New Roman" w:cs="Times New Roman"/>
          <w:sz w:val="24"/>
          <w:szCs w:val="24"/>
          <w:lang w:val="en-US"/>
        </w:rPr>
        <w:t xml:space="preserve">2013). </w:t>
      </w:r>
    </w:p>
    <w:p w14:paraId="3C66A573" w14:textId="20773BE2" w:rsidR="005C0D69" w:rsidRPr="00D21E88" w:rsidRDefault="006A2A70" w:rsidP="00B44729">
      <w:pPr>
        <w:autoSpaceDE w:val="0"/>
        <w:autoSpaceDN w:val="0"/>
        <w:adjustRightInd w:val="0"/>
        <w:spacing w:after="0" w:line="480" w:lineRule="auto"/>
        <w:ind w:firstLine="720"/>
        <w:jc w:val="both"/>
        <w:rPr>
          <w:rFonts w:ascii="Times New Roman" w:hAnsi="Times New Roman" w:cs="Times New Roman"/>
          <w:sz w:val="24"/>
          <w:szCs w:val="24"/>
          <w:lang w:val="en-US"/>
        </w:rPr>
      </w:pPr>
      <w:r w:rsidRPr="00D21E88">
        <w:rPr>
          <w:rFonts w:ascii="Times New Roman" w:hAnsi="Times New Roman" w:cs="Times New Roman"/>
          <w:sz w:val="24"/>
          <w:szCs w:val="24"/>
          <w:lang w:val="en-US"/>
        </w:rPr>
        <w:t xml:space="preserve">Studies </w:t>
      </w:r>
      <w:r w:rsidR="00247333">
        <w:rPr>
          <w:rFonts w:ascii="Times New Roman" w:hAnsi="Times New Roman" w:cs="Times New Roman"/>
          <w:sz w:val="24"/>
          <w:szCs w:val="24"/>
          <w:lang w:val="en-US"/>
        </w:rPr>
        <w:t>examining</w:t>
      </w:r>
      <w:r w:rsidR="00247333" w:rsidRPr="00D21E88">
        <w:rPr>
          <w:rFonts w:ascii="Times New Roman" w:hAnsi="Times New Roman" w:cs="Times New Roman"/>
          <w:sz w:val="24"/>
          <w:szCs w:val="24"/>
          <w:lang w:val="en-US"/>
        </w:rPr>
        <w:t xml:space="preserve"> the effects of </w:t>
      </w:r>
      <w:r w:rsidR="00247333">
        <w:rPr>
          <w:rFonts w:ascii="Times New Roman" w:hAnsi="Times New Roman" w:cs="Times New Roman"/>
          <w:sz w:val="24"/>
          <w:szCs w:val="24"/>
          <w:lang w:val="en-US"/>
        </w:rPr>
        <w:t>CEO risk taking incentives o</w:t>
      </w:r>
      <w:r w:rsidRPr="00D21E88">
        <w:rPr>
          <w:rFonts w:ascii="Times New Roman" w:hAnsi="Times New Roman" w:cs="Times New Roman"/>
          <w:sz w:val="24"/>
          <w:szCs w:val="24"/>
          <w:lang w:val="en-US"/>
        </w:rPr>
        <w:t xml:space="preserve">n </w:t>
      </w:r>
      <w:r w:rsidR="00E25E1E" w:rsidRPr="00D21E88">
        <w:rPr>
          <w:rFonts w:ascii="Times New Roman" w:hAnsi="Times New Roman" w:cs="Times New Roman"/>
          <w:sz w:val="24"/>
          <w:szCs w:val="24"/>
          <w:lang w:val="en-US"/>
        </w:rPr>
        <w:t>corporate</w:t>
      </w:r>
      <w:r w:rsidR="00C204F9" w:rsidRPr="00D21E88">
        <w:rPr>
          <w:rFonts w:ascii="Times New Roman" w:hAnsi="Times New Roman" w:cs="Times New Roman"/>
          <w:sz w:val="24"/>
          <w:szCs w:val="24"/>
          <w:lang w:val="en-US"/>
        </w:rPr>
        <w:t xml:space="preserve"> social</w:t>
      </w:r>
      <w:r w:rsidR="00247333">
        <w:rPr>
          <w:rFonts w:ascii="Times New Roman" w:hAnsi="Times New Roman" w:cs="Times New Roman"/>
          <w:sz w:val="24"/>
          <w:szCs w:val="24"/>
          <w:lang w:val="en-US"/>
        </w:rPr>
        <w:t>ly</w:t>
      </w:r>
      <w:r w:rsidRPr="00D21E88">
        <w:rPr>
          <w:rFonts w:ascii="Times New Roman" w:hAnsi="Times New Roman" w:cs="Times New Roman"/>
          <w:sz w:val="24"/>
          <w:szCs w:val="24"/>
          <w:lang w:val="en-US"/>
        </w:rPr>
        <w:t xml:space="preserve"> irresponsible behavior show mixed results (</w:t>
      </w:r>
      <w:bookmarkStart w:id="4" w:name="_Hlk88214448"/>
      <w:proofErr w:type="spellStart"/>
      <w:r w:rsidR="00A22900" w:rsidRPr="00F62082">
        <w:rPr>
          <w:rFonts w:ascii="Times New Roman" w:hAnsi="Times New Roman" w:cs="Times New Roman"/>
          <w:color w:val="000000" w:themeColor="text1"/>
          <w:sz w:val="24"/>
          <w:szCs w:val="24"/>
          <w:lang w:val="en-US"/>
        </w:rPr>
        <w:t>Bouslah</w:t>
      </w:r>
      <w:proofErr w:type="spellEnd"/>
      <w:r w:rsidR="00A22900">
        <w:rPr>
          <w:rFonts w:ascii="Times New Roman" w:hAnsi="Times New Roman" w:cs="Times New Roman"/>
          <w:color w:val="000000" w:themeColor="text1"/>
          <w:sz w:val="24"/>
          <w:szCs w:val="24"/>
          <w:lang w:val="en-US"/>
        </w:rPr>
        <w:t xml:space="preserve">, </w:t>
      </w:r>
      <w:proofErr w:type="spellStart"/>
      <w:r w:rsidR="00A22900" w:rsidRPr="00F62082">
        <w:rPr>
          <w:rFonts w:ascii="Times New Roman" w:hAnsi="Times New Roman" w:cs="Times New Roman"/>
          <w:color w:val="000000" w:themeColor="text1"/>
          <w:sz w:val="24"/>
          <w:szCs w:val="24"/>
          <w:lang w:val="en-US"/>
        </w:rPr>
        <w:t>Liñares</w:t>
      </w:r>
      <w:proofErr w:type="spellEnd"/>
      <w:r w:rsidR="00A22900" w:rsidRPr="00F62082">
        <w:rPr>
          <w:rFonts w:ascii="Times New Roman" w:hAnsi="Times New Roman" w:cs="Times New Roman"/>
          <w:color w:val="000000" w:themeColor="text1"/>
          <w:sz w:val="24"/>
          <w:szCs w:val="24"/>
          <w:lang w:val="en-US"/>
        </w:rPr>
        <w:t xml:space="preserve">-Zegarra, </w:t>
      </w:r>
      <w:proofErr w:type="spellStart"/>
      <w:r w:rsidR="00A22900" w:rsidRPr="00F62082">
        <w:rPr>
          <w:rFonts w:ascii="Times New Roman" w:hAnsi="Times New Roman" w:cs="Times New Roman"/>
          <w:color w:val="000000" w:themeColor="text1"/>
          <w:sz w:val="24"/>
          <w:szCs w:val="24"/>
          <w:lang w:val="en-US"/>
        </w:rPr>
        <w:t>M'Zali</w:t>
      </w:r>
      <w:proofErr w:type="spellEnd"/>
      <w:r w:rsidR="00A22900">
        <w:rPr>
          <w:rFonts w:ascii="Times New Roman" w:hAnsi="Times New Roman" w:cs="Times New Roman"/>
          <w:color w:val="000000" w:themeColor="text1"/>
          <w:sz w:val="24"/>
          <w:szCs w:val="24"/>
          <w:lang w:val="en-US"/>
        </w:rPr>
        <w:t xml:space="preserve"> and </w:t>
      </w:r>
      <w:r w:rsidR="00A22900" w:rsidRPr="00F62082">
        <w:rPr>
          <w:rFonts w:ascii="Times New Roman" w:hAnsi="Times New Roman" w:cs="Times New Roman"/>
          <w:color w:val="000000" w:themeColor="text1"/>
          <w:sz w:val="24"/>
          <w:szCs w:val="24"/>
          <w:lang w:val="en-US"/>
        </w:rPr>
        <w:t>Scholtens</w:t>
      </w:r>
      <w:r w:rsidR="00A22900">
        <w:rPr>
          <w:rFonts w:ascii="Times New Roman" w:hAnsi="Times New Roman" w:cs="Times New Roman"/>
          <w:color w:val="000000" w:themeColor="text1"/>
          <w:sz w:val="24"/>
          <w:szCs w:val="24"/>
          <w:lang w:val="en-US"/>
        </w:rPr>
        <w:t xml:space="preserve"> </w:t>
      </w:r>
      <w:bookmarkEnd w:id="4"/>
      <w:r w:rsidRPr="00D21E88">
        <w:rPr>
          <w:rFonts w:ascii="Times New Roman" w:hAnsi="Times New Roman" w:cs="Times New Roman"/>
          <w:sz w:val="24"/>
          <w:szCs w:val="24"/>
          <w:lang w:val="en-US"/>
        </w:rPr>
        <w:t xml:space="preserve">2018; </w:t>
      </w:r>
      <w:r w:rsidR="00A22900">
        <w:rPr>
          <w:rFonts w:ascii="Times New Roman" w:hAnsi="Times New Roman" w:cs="Times New Roman"/>
          <w:color w:val="000000" w:themeColor="text1"/>
          <w:sz w:val="24"/>
          <w:szCs w:val="24"/>
          <w:lang w:val="en-US"/>
        </w:rPr>
        <w:t xml:space="preserve">Dunbar, </w:t>
      </w:r>
      <w:r w:rsidR="00A22900" w:rsidRPr="00F62082">
        <w:rPr>
          <w:rFonts w:ascii="Times New Roman" w:hAnsi="Times New Roman" w:cs="Times New Roman"/>
          <w:color w:val="000000" w:themeColor="text1"/>
          <w:sz w:val="24"/>
          <w:szCs w:val="24"/>
          <w:lang w:val="en-US"/>
        </w:rPr>
        <w:t>Li</w:t>
      </w:r>
      <w:r w:rsidR="00A22900">
        <w:rPr>
          <w:rFonts w:ascii="Times New Roman" w:hAnsi="Times New Roman" w:cs="Times New Roman"/>
          <w:color w:val="000000" w:themeColor="text1"/>
          <w:sz w:val="24"/>
          <w:szCs w:val="24"/>
          <w:lang w:val="en-US"/>
        </w:rPr>
        <w:t xml:space="preserve"> and </w:t>
      </w:r>
      <w:r w:rsidR="00A22900" w:rsidRPr="00F62082">
        <w:rPr>
          <w:rFonts w:ascii="Times New Roman" w:hAnsi="Times New Roman" w:cs="Times New Roman"/>
          <w:color w:val="000000" w:themeColor="text1"/>
          <w:sz w:val="24"/>
          <w:szCs w:val="24"/>
          <w:lang w:val="en-US"/>
        </w:rPr>
        <w:t>Shi</w:t>
      </w:r>
      <w:r w:rsidR="00A22900">
        <w:rPr>
          <w:rFonts w:ascii="Times New Roman" w:hAnsi="Times New Roman" w:cs="Times New Roman"/>
          <w:color w:val="000000" w:themeColor="text1"/>
          <w:sz w:val="24"/>
          <w:szCs w:val="24"/>
          <w:lang w:val="en-US"/>
        </w:rPr>
        <w:t xml:space="preserve"> </w:t>
      </w:r>
      <w:r w:rsidRPr="00D21E88">
        <w:rPr>
          <w:rFonts w:ascii="Times New Roman" w:hAnsi="Times New Roman" w:cs="Times New Roman"/>
          <w:sz w:val="24"/>
          <w:szCs w:val="24"/>
          <w:lang w:val="en-US"/>
        </w:rPr>
        <w:t>2020)</w:t>
      </w:r>
      <w:r w:rsidR="009E5795" w:rsidRPr="00D21E88">
        <w:rPr>
          <w:rFonts w:ascii="Times New Roman" w:hAnsi="Times New Roman" w:cs="Times New Roman"/>
          <w:sz w:val="24"/>
          <w:szCs w:val="24"/>
          <w:lang w:val="en-US"/>
        </w:rPr>
        <w:t>.</w:t>
      </w:r>
      <w:r w:rsidR="001920D3">
        <w:rPr>
          <w:rStyle w:val="FootnoteReference"/>
          <w:rFonts w:ascii="Times New Roman" w:hAnsi="Times New Roman" w:cs="Times New Roman"/>
          <w:sz w:val="24"/>
          <w:szCs w:val="24"/>
          <w:lang w:val="en-US"/>
        </w:rPr>
        <w:footnoteReference w:id="2"/>
      </w:r>
      <w:r w:rsidR="009E5795" w:rsidRPr="00D21E88">
        <w:rPr>
          <w:rFonts w:ascii="Times New Roman" w:hAnsi="Times New Roman" w:cs="Times New Roman"/>
          <w:sz w:val="24"/>
          <w:szCs w:val="24"/>
          <w:lang w:val="en-US"/>
        </w:rPr>
        <w:t xml:space="preserve"> </w:t>
      </w:r>
      <w:r w:rsidR="00247333">
        <w:rPr>
          <w:rFonts w:ascii="Times New Roman" w:hAnsi="Times New Roman" w:cs="Times New Roman"/>
          <w:sz w:val="24"/>
          <w:szCs w:val="24"/>
          <w:lang w:val="en-US"/>
        </w:rPr>
        <w:t>These results</w:t>
      </w:r>
      <w:r w:rsidR="00CE4E2F" w:rsidRPr="00D21E88">
        <w:rPr>
          <w:rFonts w:ascii="Times New Roman" w:hAnsi="Times New Roman" w:cs="Times New Roman"/>
          <w:sz w:val="24"/>
          <w:szCs w:val="24"/>
          <w:lang w:val="en-US"/>
        </w:rPr>
        <w:t xml:space="preserve"> </w:t>
      </w:r>
      <w:r w:rsidR="00B613C1" w:rsidRPr="00D21E88">
        <w:rPr>
          <w:rFonts w:ascii="Times New Roman" w:hAnsi="Times New Roman" w:cs="Times New Roman"/>
          <w:sz w:val="24"/>
          <w:szCs w:val="24"/>
          <w:lang w:val="en-US"/>
        </w:rPr>
        <w:t xml:space="preserve">might be partly driven by measurement errors in capturing </w:t>
      </w:r>
      <w:r w:rsidR="00895DC2">
        <w:rPr>
          <w:rFonts w:ascii="Times New Roman" w:hAnsi="Times New Roman" w:cs="Times New Roman"/>
          <w:sz w:val="24"/>
          <w:szCs w:val="24"/>
          <w:lang w:val="en-US"/>
        </w:rPr>
        <w:t xml:space="preserve">data on </w:t>
      </w:r>
      <w:r w:rsidR="00B613C1" w:rsidRPr="00D21E88">
        <w:rPr>
          <w:rFonts w:ascii="Times New Roman" w:hAnsi="Times New Roman" w:cs="Times New Roman"/>
          <w:sz w:val="24"/>
          <w:szCs w:val="24"/>
          <w:lang w:val="en-US"/>
        </w:rPr>
        <w:t>corporate social irresponsib</w:t>
      </w:r>
      <w:r w:rsidR="001920D3">
        <w:rPr>
          <w:rFonts w:ascii="Times New Roman" w:hAnsi="Times New Roman" w:cs="Times New Roman"/>
          <w:sz w:val="24"/>
          <w:szCs w:val="24"/>
          <w:lang w:val="en-US"/>
        </w:rPr>
        <w:t>ility</w:t>
      </w:r>
      <w:r w:rsidR="00B613C1" w:rsidRPr="00D21E88">
        <w:rPr>
          <w:rFonts w:ascii="Times New Roman" w:hAnsi="Times New Roman" w:cs="Times New Roman"/>
          <w:sz w:val="24"/>
          <w:szCs w:val="24"/>
          <w:lang w:val="en-US"/>
        </w:rPr>
        <w:t>.</w:t>
      </w:r>
      <w:r w:rsidR="0033318B">
        <w:rPr>
          <w:rStyle w:val="FootnoteReference"/>
          <w:rFonts w:ascii="Times New Roman" w:hAnsi="Times New Roman" w:cs="Times New Roman"/>
          <w:sz w:val="24"/>
          <w:szCs w:val="24"/>
          <w:lang w:val="en-US"/>
        </w:rPr>
        <w:footnoteReference w:id="3"/>
      </w:r>
      <w:r w:rsidR="00B613C1" w:rsidRPr="00D21E88">
        <w:rPr>
          <w:rFonts w:ascii="Times New Roman" w:hAnsi="Times New Roman" w:cs="Times New Roman"/>
          <w:sz w:val="24"/>
          <w:szCs w:val="24"/>
          <w:lang w:val="en-US"/>
        </w:rPr>
        <w:t xml:space="preserve"> </w:t>
      </w:r>
      <w:r w:rsidR="005C0D69" w:rsidRPr="00D21E88">
        <w:rPr>
          <w:rFonts w:ascii="Times New Roman" w:hAnsi="Times New Roman" w:cs="Times New Roman"/>
          <w:sz w:val="24"/>
          <w:szCs w:val="24"/>
          <w:lang w:val="en-US"/>
        </w:rPr>
        <w:t>We address these limitations in prior literature</w:t>
      </w:r>
      <w:r w:rsidR="00C8322D" w:rsidRPr="00D21E88">
        <w:rPr>
          <w:rFonts w:ascii="Times New Roman" w:hAnsi="Times New Roman" w:cs="Times New Roman"/>
          <w:sz w:val="24"/>
          <w:szCs w:val="24"/>
          <w:lang w:val="en-US"/>
        </w:rPr>
        <w:t xml:space="preserve"> by identifying a cleaner measure of a specific type of corporate</w:t>
      </w:r>
      <w:r w:rsidR="00247333">
        <w:rPr>
          <w:rFonts w:ascii="Times New Roman" w:hAnsi="Times New Roman" w:cs="Times New Roman"/>
          <w:sz w:val="24"/>
          <w:szCs w:val="24"/>
          <w:lang w:val="en-US"/>
        </w:rPr>
        <w:t xml:space="preserve"> socially</w:t>
      </w:r>
      <w:r w:rsidR="00C8322D" w:rsidRPr="00D21E88">
        <w:rPr>
          <w:rFonts w:ascii="Times New Roman" w:hAnsi="Times New Roman" w:cs="Times New Roman"/>
          <w:sz w:val="24"/>
          <w:szCs w:val="24"/>
          <w:lang w:val="en-US"/>
        </w:rPr>
        <w:t xml:space="preserve"> irresponsible behavior, i.e.</w:t>
      </w:r>
      <w:r w:rsidR="00170DC7">
        <w:rPr>
          <w:rFonts w:ascii="Times New Roman" w:hAnsi="Times New Roman" w:cs="Times New Roman"/>
          <w:sz w:val="24"/>
          <w:szCs w:val="24"/>
          <w:lang w:val="en-US"/>
        </w:rPr>
        <w:t>,</w:t>
      </w:r>
      <w:r w:rsidR="00C8322D" w:rsidRPr="00D21E88">
        <w:rPr>
          <w:rFonts w:ascii="Times New Roman" w:hAnsi="Times New Roman" w:cs="Times New Roman"/>
          <w:sz w:val="24"/>
          <w:szCs w:val="24"/>
          <w:lang w:val="en-US"/>
        </w:rPr>
        <w:t xml:space="preserve"> </w:t>
      </w:r>
      <w:r w:rsidR="009A0526" w:rsidRPr="00D21E88">
        <w:rPr>
          <w:rFonts w:ascii="Times New Roman" w:hAnsi="Times New Roman" w:cs="Times New Roman"/>
          <w:sz w:val="24"/>
          <w:szCs w:val="24"/>
          <w:lang w:val="en-US"/>
        </w:rPr>
        <w:t>workplace</w:t>
      </w:r>
      <w:r w:rsidR="00C8322D" w:rsidRPr="00D21E88">
        <w:rPr>
          <w:rFonts w:ascii="Times New Roman" w:hAnsi="Times New Roman" w:cs="Times New Roman"/>
          <w:sz w:val="24"/>
          <w:szCs w:val="24"/>
          <w:lang w:val="en-US"/>
        </w:rPr>
        <w:t xml:space="preserve"> violations. Unlike </w:t>
      </w:r>
      <w:r w:rsidR="002A65E3">
        <w:rPr>
          <w:rFonts w:ascii="Times New Roman" w:hAnsi="Times New Roman" w:cs="Times New Roman"/>
          <w:sz w:val="24"/>
          <w:szCs w:val="24"/>
          <w:lang w:val="en-US"/>
        </w:rPr>
        <w:t xml:space="preserve">the </w:t>
      </w:r>
      <w:r w:rsidR="00E72594">
        <w:rPr>
          <w:rFonts w:ascii="Times New Roman" w:hAnsi="Times New Roman" w:cs="Times New Roman"/>
          <w:sz w:val="24"/>
          <w:szCs w:val="24"/>
          <w:lang w:val="en-US"/>
        </w:rPr>
        <w:t xml:space="preserve">subjective </w:t>
      </w:r>
      <w:r w:rsidR="00C8322D" w:rsidRPr="00D21E88">
        <w:rPr>
          <w:rFonts w:ascii="Times New Roman" w:hAnsi="Times New Roman" w:cs="Times New Roman"/>
          <w:sz w:val="24"/>
          <w:szCs w:val="24"/>
          <w:lang w:val="en-US"/>
        </w:rPr>
        <w:t xml:space="preserve">measures of corporate social irresponsibility used in prior literature, </w:t>
      </w:r>
      <w:r w:rsidR="009A0526" w:rsidRPr="00D21E88">
        <w:rPr>
          <w:rFonts w:ascii="Times New Roman" w:hAnsi="Times New Roman" w:cs="Times New Roman"/>
          <w:sz w:val="24"/>
          <w:szCs w:val="24"/>
          <w:lang w:val="en-US"/>
        </w:rPr>
        <w:t>workplace</w:t>
      </w:r>
      <w:r w:rsidR="00C8322D" w:rsidRPr="00D21E88">
        <w:rPr>
          <w:rFonts w:ascii="Times New Roman" w:hAnsi="Times New Roman" w:cs="Times New Roman"/>
          <w:sz w:val="24"/>
          <w:szCs w:val="24"/>
          <w:lang w:val="en-US"/>
        </w:rPr>
        <w:t xml:space="preserve"> violations </w:t>
      </w:r>
      <w:r w:rsidR="00CE4E2F" w:rsidRPr="00D21E88">
        <w:rPr>
          <w:rFonts w:ascii="Times New Roman" w:hAnsi="Times New Roman" w:cs="Times New Roman"/>
          <w:sz w:val="24"/>
          <w:szCs w:val="24"/>
          <w:lang w:val="en-US"/>
        </w:rPr>
        <w:t xml:space="preserve">are objective </w:t>
      </w:r>
      <w:r w:rsidR="00E72594">
        <w:rPr>
          <w:rFonts w:ascii="Times New Roman" w:hAnsi="Times New Roman" w:cs="Times New Roman"/>
          <w:sz w:val="24"/>
          <w:szCs w:val="24"/>
          <w:lang w:val="en-US"/>
        </w:rPr>
        <w:t>as</w:t>
      </w:r>
      <w:r w:rsidR="00CE4E2F" w:rsidRPr="00D21E88">
        <w:rPr>
          <w:rFonts w:ascii="Times New Roman" w:hAnsi="Times New Roman" w:cs="Times New Roman"/>
          <w:sz w:val="24"/>
          <w:szCs w:val="24"/>
          <w:lang w:val="en-US"/>
        </w:rPr>
        <w:t xml:space="preserve"> they are the result of an investigation and </w:t>
      </w:r>
      <w:r w:rsidR="002A65E3">
        <w:rPr>
          <w:rFonts w:ascii="Times New Roman" w:hAnsi="Times New Roman" w:cs="Times New Roman"/>
          <w:sz w:val="24"/>
          <w:szCs w:val="24"/>
          <w:lang w:val="en-US"/>
        </w:rPr>
        <w:t xml:space="preserve">a </w:t>
      </w:r>
      <w:r w:rsidR="00CE4E2F" w:rsidRPr="00D21E88">
        <w:rPr>
          <w:rFonts w:ascii="Times New Roman" w:hAnsi="Times New Roman" w:cs="Times New Roman"/>
          <w:sz w:val="24"/>
          <w:szCs w:val="24"/>
          <w:lang w:val="en-US"/>
        </w:rPr>
        <w:t>subsequent official pronouncement by regula</w:t>
      </w:r>
      <w:r w:rsidR="009A0526" w:rsidRPr="00D21E88">
        <w:rPr>
          <w:rFonts w:ascii="Times New Roman" w:hAnsi="Times New Roman" w:cs="Times New Roman"/>
          <w:sz w:val="24"/>
          <w:szCs w:val="24"/>
          <w:lang w:val="en-US"/>
        </w:rPr>
        <w:t>tory</w:t>
      </w:r>
      <w:r w:rsidR="00CE4E2F" w:rsidRPr="00D21E88">
        <w:rPr>
          <w:rFonts w:ascii="Times New Roman" w:hAnsi="Times New Roman" w:cs="Times New Roman"/>
          <w:sz w:val="24"/>
          <w:szCs w:val="24"/>
          <w:lang w:val="en-US"/>
        </w:rPr>
        <w:t xml:space="preserve"> agenc</w:t>
      </w:r>
      <w:r w:rsidR="00E72594">
        <w:rPr>
          <w:rFonts w:ascii="Times New Roman" w:hAnsi="Times New Roman" w:cs="Times New Roman"/>
          <w:sz w:val="24"/>
          <w:szCs w:val="24"/>
          <w:lang w:val="en-US"/>
        </w:rPr>
        <w:t>ies</w:t>
      </w:r>
      <w:r w:rsidR="00CE4E2F" w:rsidRPr="00D21E88">
        <w:rPr>
          <w:rFonts w:ascii="Times New Roman" w:hAnsi="Times New Roman" w:cs="Times New Roman"/>
          <w:sz w:val="24"/>
          <w:szCs w:val="24"/>
          <w:lang w:val="en-US"/>
        </w:rPr>
        <w:t xml:space="preserve">. </w:t>
      </w:r>
      <w:r w:rsidR="00434D72">
        <w:rPr>
          <w:rFonts w:ascii="Times New Roman" w:hAnsi="Times New Roman" w:cs="Times New Roman"/>
          <w:sz w:val="24"/>
          <w:szCs w:val="24"/>
          <w:lang w:val="en-US"/>
        </w:rPr>
        <w:t>Moreover</w:t>
      </w:r>
      <w:r w:rsidR="00CE4E2F" w:rsidRPr="00D21E88">
        <w:rPr>
          <w:rFonts w:ascii="Times New Roman" w:hAnsi="Times New Roman" w:cs="Times New Roman"/>
          <w:sz w:val="24"/>
          <w:szCs w:val="24"/>
          <w:lang w:val="en-US"/>
        </w:rPr>
        <w:t xml:space="preserve">, </w:t>
      </w:r>
      <w:r w:rsidR="009A0526" w:rsidRPr="00D21E88">
        <w:rPr>
          <w:rFonts w:ascii="Times New Roman" w:hAnsi="Times New Roman" w:cs="Times New Roman"/>
          <w:sz w:val="24"/>
          <w:szCs w:val="24"/>
          <w:lang w:val="en-US"/>
        </w:rPr>
        <w:t>workplace</w:t>
      </w:r>
      <w:r w:rsidR="00CE4E2F" w:rsidRPr="00D21E88">
        <w:rPr>
          <w:rFonts w:ascii="Times New Roman" w:hAnsi="Times New Roman" w:cs="Times New Roman"/>
          <w:sz w:val="24"/>
          <w:szCs w:val="24"/>
          <w:lang w:val="en-US"/>
        </w:rPr>
        <w:t xml:space="preserve"> violations </w:t>
      </w:r>
      <w:r w:rsidR="00434D72">
        <w:rPr>
          <w:rFonts w:ascii="Times New Roman" w:hAnsi="Times New Roman" w:cs="Times New Roman"/>
          <w:sz w:val="24"/>
          <w:szCs w:val="24"/>
          <w:lang w:val="en-US"/>
        </w:rPr>
        <w:t xml:space="preserve">directly affect </w:t>
      </w:r>
      <w:r w:rsidR="00CE4E2F" w:rsidRPr="00D21E88">
        <w:rPr>
          <w:rFonts w:ascii="Times New Roman" w:hAnsi="Times New Roman" w:cs="Times New Roman"/>
          <w:sz w:val="24"/>
          <w:szCs w:val="24"/>
          <w:lang w:val="en-US"/>
        </w:rPr>
        <w:t>a specific stakeholder of the firm</w:t>
      </w:r>
      <w:r w:rsidR="00434D72">
        <w:rPr>
          <w:rFonts w:ascii="Times New Roman" w:hAnsi="Times New Roman" w:cs="Times New Roman"/>
          <w:sz w:val="24"/>
          <w:szCs w:val="24"/>
          <w:lang w:val="en-US"/>
        </w:rPr>
        <w:t xml:space="preserve"> </w:t>
      </w:r>
      <w:proofErr w:type="gramStart"/>
      <w:r w:rsidR="00434D72">
        <w:rPr>
          <w:rFonts w:ascii="Times New Roman" w:hAnsi="Times New Roman" w:cs="Times New Roman"/>
          <w:sz w:val="24"/>
          <w:szCs w:val="24"/>
          <w:lang w:val="en-US"/>
        </w:rPr>
        <w:t xml:space="preserve">– </w:t>
      </w:r>
      <w:r w:rsidR="00CE4E2F" w:rsidRPr="00D21E88">
        <w:rPr>
          <w:rFonts w:ascii="Times New Roman" w:hAnsi="Times New Roman" w:cs="Times New Roman"/>
          <w:sz w:val="24"/>
          <w:szCs w:val="24"/>
          <w:lang w:val="en-US"/>
        </w:rPr>
        <w:t xml:space="preserve"> </w:t>
      </w:r>
      <w:r w:rsidR="00024071">
        <w:rPr>
          <w:rFonts w:ascii="Times New Roman" w:hAnsi="Times New Roman" w:cs="Times New Roman"/>
          <w:sz w:val="24"/>
          <w:szCs w:val="24"/>
          <w:lang w:val="en-US"/>
        </w:rPr>
        <w:t>its</w:t>
      </w:r>
      <w:proofErr w:type="gramEnd"/>
      <w:r w:rsidR="00024071">
        <w:rPr>
          <w:rFonts w:ascii="Times New Roman" w:hAnsi="Times New Roman" w:cs="Times New Roman"/>
          <w:sz w:val="24"/>
          <w:szCs w:val="24"/>
          <w:lang w:val="en-US"/>
        </w:rPr>
        <w:t xml:space="preserve"> </w:t>
      </w:r>
      <w:r w:rsidR="00CE4E2F" w:rsidRPr="00D21E88">
        <w:rPr>
          <w:rFonts w:ascii="Times New Roman" w:hAnsi="Times New Roman" w:cs="Times New Roman"/>
          <w:sz w:val="24"/>
          <w:szCs w:val="24"/>
          <w:lang w:val="en-US"/>
        </w:rPr>
        <w:t>employees</w:t>
      </w:r>
      <w:r w:rsidR="00434D72">
        <w:rPr>
          <w:rFonts w:ascii="Times New Roman" w:hAnsi="Times New Roman" w:cs="Times New Roman"/>
          <w:sz w:val="24"/>
          <w:szCs w:val="24"/>
          <w:lang w:val="en-US"/>
        </w:rPr>
        <w:t xml:space="preserve">. </w:t>
      </w:r>
    </w:p>
    <w:bookmarkEnd w:id="3"/>
    <w:p w14:paraId="0C5BF3C1" w14:textId="2732B4F9" w:rsidR="008F70A7" w:rsidRPr="00D21E88" w:rsidRDefault="007C4840" w:rsidP="00343F87">
      <w:pPr>
        <w:autoSpaceDE w:val="0"/>
        <w:autoSpaceDN w:val="0"/>
        <w:adjustRightInd w:val="0"/>
        <w:spacing w:after="0" w:line="480" w:lineRule="auto"/>
        <w:ind w:firstLine="720"/>
        <w:jc w:val="both"/>
        <w:rPr>
          <w:lang w:val="en-US"/>
        </w:rPr>
      </w:pPr>
      <w:r w:rsidRPr="00D21E88">
        <w:rPr>
          <w:rFonts w:ascii="Times New Roman" w:hAnsi="Times New Roman" w:cs="Times New Roman"/>
          <w:sz w:val="24"/>
          <w:szCs w:val="24"/>
          <w:lang w:val="en-US"/>
        </w:rPr>
        <w:t>Third</w:t>
      </w:r>
      <w:r w:rsidR="009C04D2" w:rsidRPr="00D21E88">
        <w:rPr>
          <w:rFonts w:ascii="Times New Roman" w:hAnsi="Times New Roman" w:cs="Times New Roman"/>
          <w:sz w:val="24"/>
          <w:szCs w:val="24"/>
          <w:lang w:val="en-US"/>
        </w:rPr>
        <w:t xml:space="preserve">, we contribute to the literature </w:t>
      </w:r>
      <w:r w:rsidR="005860D4" w:rsidRPr="00D21E88">
        <w:rPr>
          <w:rFonts w:ascii="Times New Roman" w:hAnsi="Times New Roman" w:cs="Times New Roman"/>
          <w:sz w:val="24"/>
          <w:szCs w:val="24"/>
          <w:lang w:val="en-US"/>
        </w:rPr>
        <w:t xml:space="preserve">on </w:t>
      </w:r>
      <w:r w:rsidR="003B4702" w:rsidRPr="00D21E88">
        <w:rPr>
          <w:rFonts w:ascii="Times New Roman" w:hAnsi="Times New Roman" w:cs="Times New Roman"/>
          <w:sz w:val="24"/>
          <w:szCs w:val="24"/>
          <w:lang w:val="en-US"/>
        </w:rPr>
        <w:t xml:space="preserve">executive compensation </w:t>
      </w:r>
      <w:r w:rsidR="005860D4" w:rsidRPr="00D21E88">
        <w:rPr>
          <w:rFonts w:ascii="Times New Roman" w:hAnsi="Times New Roman" w:cs="Times New Roman"/>
          <w:sz w:val="24"/>
          <w:szCs w:val="24"/>
          <w:lang w:val="en-US"/>
        </w:rPr>
        <w:t xml:space="preserve">in general. </w:t>
      </w:r>
      <w:r w:rsidR="001F3896">
        <w:rPr>
          <w:rFonts w:ascii="Times New Roman" w:hAnsi="Times New Roman" w:cs="Times New Roman"/>
          <w:sz w:val="24"/>
          <w:szCs w:val="24"/>
          <w:lang w:val="en-US"/>
        </w:rPr>
        <w:t>Prior literature</w:t>
      </w:r>
      <w:r w:rsidR="00343F87" w:rsidRPr="00D21E88">
        <w:rPr>
          <w:rFonts w:ascii="Times New Roman" w:hAnsi="Times New Roman" w:cs="Times New Roman"/>
          <w:sz w:val="24"/>
          <w:szCs w:val="24"/>
          <w:lang w:val="en-US"/>
        </w:rPr>
        <w:t xml:space="preserve"> </w:t>
      </w:r>
      <w:r w:rsidR="00174F61" w:rsidRPr="00D21E88">
        <w:rPr>
          <w:rFonts w:ascii="Times New Roman" w:hAnsi="Times New Roman" w:cs="Times New Roman"/>
          <w:sz w:val="24"/>
          <w:szCs w:val="24"/>
          <w:lang w:val="en-US"/>
        </w:rPr>
        <w:t>show</w:t>
      </w:r>
      <w:r w:rsidR="001F3896">
        <w:rPr>
          <w:rFonts w:ascii="Times New Roman" w:hAnsi="Times New Roman" w:cs="Times New Roman"/>
          <w:sz w:val="24"/>
          <w:szCs w:val="24"/>
          <w:lang w:val="en-US"/>
        </w:rPr>
        <w:t>s</w:t>
      </w:r>
      <w:r w:rsidR="004537F1" w:rsidRPr="00D21E88">
        <w:rPr>
          <w:rFonts w:ascii="Times New Roman" w:hAnsi="Times New Roman" w:cs="Times New Roman"/>
          <w:sz w:val="24"/>
          <w:szCs w:val="24"/>
          <w:lang w:val="en-US"/>
        </w:rPr>
        <w:t xml:space="preserve"> that </w:t>
      </w:r>
      <w:r w:rsidR="00916640" w:rsidRPr="00D21E88">
        <w:rPr>
          <w:rFonts w:ascii="Times New Roman" w:hAnsi="Times New Roman" w:cs="Times New Roman"/>
          <w:sz w:val="24"/>
          <w:szCs w:val="24"/>
          <w:lang w:val="en-US"/>
        </w:rPr>
        <w:t xml:space="preserve">risk </w:t>
      </w:r>
      <w:r w:rsidR="004537F1" w:rsidRPr="00D21E88">
        <w:rPr>
          <w:rFonts w:ascii="Times New Roman" w:hAnsi="Times New Roman" w:cs="Times New Roman"/>
          <w:sz w:val="24"/>
          <w:szCs w:val="24"/>
          <w:lang w:val="en-US"/>
        </w:rPr>
        <w:t>taking equity incentives</w:t>
      </w:r>
      <w:r w:rsidR="008A4725" w:rsidRPr="00D21E88">
        <w:rPr>
          <w:rFonts w:ascii="Times New Roman" w:hAnsi="Times New Roman" w:cs="Times New Roman"/>
          <w:sz w:val="24"/>
          <w:szCs w:val="24"/>
          <w:lang w:val="en-US"/>
        </w:rPr>
        <w:t xml:space="preserve"> provided by </w:t>
      </w:r>
      <w:r w:rsidR="0053654A">
        <w:rPr>
          <w:rFonts w:ascii="Times New Roman" w:hAnsi="Times New Roman" w:cs="Times New Roman"/>
          <w:sz w:val="24"/>
          <w:szCs w:val="24"/>
          <w:lang w:val="en-US"/>
        </w:rPr>
        <w:t xml:space="preserve">stock </w:t>
      </w:r>
      <w:r w:rsidR="008A4725" w:rsidRPr="00D21E88">
        <w:rPr>
          <w:rFonts w:ascii="Times New Roman" w:hAnsi="Times New Roman" w:cs="Times New Roman"/>
          <w:sz w:val="24"/>
          <w:szCs w:val="24"/>
          <w:lang w:val="en-US"/>
        </w:rPr>
        <w:t>option compensation</w:t>
      </w:r>
      <w:r w:rsidR="00343F87" w:rsidRPr="00D21E88">
        <w:rPr>
          <w:rFonts w:ascii="Times New Roman" w:hAnsi="Times New Roman" w:cs="Times New Roman"/>
          <w:sz w:val="24"/>
          <w:szCs w:val="24"/>
          <w:lang w:val="en-US"/>
        </w:rPr>
        <w:t xml:space="preserve"> significantly affect </w:t>
      </w:r>
      <w:r w:rsidR="004537F1" w:rsidRPr="00D21E88">
        <w:rPr>
          <w:rFonts w:ascii="Times New Roman" w:hAnsi="Times New Roman" w:cs="Times New Roman"/>
          <w:sz w:val="24"/>
          <w:szCs w:val="24"/>
          <w:lang w:val="en-US"/>
        </w:rPr>
        <w:t xml:space="preserve">corporate policies. </w:t>
      </w:r>
      <w:r w:rsidR="00911C81" w:rsidRPr="00D21E88">
        <w:rPr>
          <w:rFonts w:ascii="Times New Roman" w:hAnsi="Times New Roman" w:cs="Times New Roman"/>
          <w:sz w:val="24"/>
          <w:szCs w:val="24"/>
          <w:lang w:val="en-US"/>
        </w:rPr>
        <w:t xml:space="preserve">Guay (1999) shows a positive relation between </w:t>
      </w:r>
      <w:r w:rsidR="00C301BC" w:rsidRPr="00D21E88">
        <w:rPr>
          <w:rFonts w:ascii="Times New Roman" w:hAnsi="Times New Roman" w:cs="Times New Roman"/>
          <w:sz w:val="24"/>
          <w:szCs w:val="24"/>
          <w:lang w:val="en-US"/>
        </w:rPr>
        <w:t>risk taking</w:t>
      </w:r>
      <w:r w:rsidR="00911C81" w:rsidRPr="00D21E88">
        <w:rPr>
          <w:rFonts w:ascii="Times New Roman" w:hAnsi="Times New Roman" w:cs="Times New Roman"/>
          <w:sz w:val="24"/>
          <w:szCs w:val="24"/>
          <w:lang w:val="en-US"/>
        </w:rPr>
        <w:t xml:space="preserve"> equity incentives and riskier investm</w:t>
      </w:r>
      <w:r w:rsidR="0058214D" w:rsidRPr="00D21E88">
        <w:rPr>
          <w:rFonts w:ascii="Times New Roman" w:hAnsi="Times New Roman" w:cs="Times New Roman"/>
          <w:sz w:val="24"/>
          <w:szCs w:val="24"/>
          <w:lang w:val="en-US"/>
        </w:rPr>
        <w:t xml:space="preserve">ent policies proxied by </w:t>
      </w:r>
      <w:r w:rsidR="00911C81" w:rsidRPr="00D21E88">
        <w:rPr>
          <w:rFonts w:ascii="Times New Roman" w:hAnsi="Times New Roman" w:cs="Times New Roman"/>
          <w:sz w:val="24"/>
          <w:szCs w:val="24"/>
          <w:lang w:val="en-US"/>
        </w:rPr>
        <w:t>growth options</w:t>
      </w:r>
      <w:r w:rsidR="002602E5" w:rsidRPr="00D21E88">
        <w:rPr>
          <w:rFonts w:ascii="Times New Roman" w:hAnsi="Times New Roman" w:cs="Times New Roman"/>
          <w:sz w:val="24"/>
          <w:szCs w:val="24"/>
          <w:lang w:val="en-US"/>
        </w:rPr>
        <w:t xml:space="preserve"> and </w:t>
      </w:r>
      <w:r w:rsidR="00343F87" w:rsidRPr="00D21E88">
        <w:rPr>
          <w:rFonts w:ascii="Times New Roman" w:hAnsi="Times New Roman" w:cs="Times New Roman"/>
          <w:sz w:val="24"/>
          <w:szCs w:val="24"/>
          <w:lang w:val="en-US"/>
        </w:rPr>
        <w:t>research and development (</w:t>
      </w:r>
      <w:r w:rsidR="00911C81" w:rsidRPr="00D21E88">
        <w:rPr>
          <w:rFonts w:ascii="Times New Roman" w:hAnsi="Times New Roman" w:cs="Times New Roman"/>
          <w:sz w:val="24"/>
          <w:szCs w:val="24"/>
          <w:lang w:val="en-US"/>
        </w:rPr>
        <w:t>R&amp;D</w:t>
      </w:r>
      <w:r w:rsidR="00343F87" w:rsidRPr="00D21E88">
        <w:rPr>
          <w:rFonts w:ascii="Times New Roman" w:hAnsi="Times New Roman" w:cs="Times New Roman"/>
          <w:sz w:val="24"/>
          <w:szCs w:val="24"/>
          <w:lang w:val="en-US"/>
        </w:rPr>
        <w:t>)</w:t>
      </w:r>
      <w:r w:rsidR="00911C81" w:rsidRPr="00D21E88">
        <w:rPr>
          <w:rFonts w:ascii="Times New Roman" w:hAnsi="Times New Roman" w:cs="Times New Roman"/>
          <w:sz w:val="24"/>
          <w:szCs w:val="24"/>
          <w:lang w:val="en-US"/>
        </w:rPr>
        <w:t xml:space="preserve"> </w:t>
      </w:r>
      <w:r w:rsidR="0058214D" w:rsidRPr="00D21E88">
        <w:rPr>
          <w:rFonts w:ascii="Times New Roman" w:hAnsi="Times New Roman" w:cs="Times New Roman"/>
          <w:sz w:val="24"/>
          <w:szCs w:val="24"/>
          <w:lang w:val="en-US"/>
        </w:rPr>
        <w:t>expenditures</w:t>
      </w:r>
      <w:r w:rsidR="00911C81" w:rsidRPr="00D21E88">
        <w:rPr>
          <w:rFonts w:ascii="Times New Roman" w:hAnsi="Times New Roman" w:cs="Times New Roman"/>
          <w:sz w:val="24"/>
          <w:szCs w:val="24"/>
          <w:lang w:val="en-US"/>
        </w:rPr>
        <w:t xml:space="preserve">. </w:t>
      </w:r>
      <w:r w:rsidR="008345A5" w:rsidRPr="00D21E88">
        <w:rPr>
          <w:rFonts w:ascii="Times New Roman" w:hAnsi="Times New Roman" w:cs="Times New Roman"/>
          <w:sz w:val="24"/>
          <w:szCs w:val="24"/>
          <w:lang w:val="en-US"/>
        </w:rPr>
        <w:t xml:space="preserve">Further </w:t>
      </w:r>
      <w:r w:rsidR="00911C81" w:rsidRPr="00D21E88">
        <w:rPr>
          <w:rFonts w:ascii="Times New Roman" w:hAnsi="Times New Roman" w:cs="Times New Roman"/>
          <w:sz w:val="24"/>
          <w:szCs w:val="24"/>
          <w:lang w:val="en-US"/>
        </w:rPr>
        <w:t>Coles, Daniel and Naveen (2006)</w:t>
      </w:r>
      <w:r w:rsidR="0058214D" w:rsidRPr="00D21E88">
        <w:rPr>
          <w:rFonts w:ascii="Times New Roman" w:hAnsi="Times New Roman" w:cs="Times New Roman"/>
          <w:sz w:val="24"/>
          <w:szCs w:val="24"/>
          <w:lang w:val="en-US"/>
        </w:rPr>
        <w:t xml:space="preserve"> demonstrate</w:t>
      </w:r>
      <w:r w:rsidR="002602E5" w:rsidRPr="00D21E88">
        <w:rPr>
          <w:rFonts w:ascii="Times New Roman" w:hAnsi="Times New Roman" w:cs="Times New Roman"/>
          <w:sz w:val="24"/>
          <w:szCs w:val="24"/>
          <w:lang w:val="en-US"/>
        </w:rPr>
        <w:t xml:space="preserve"> that</w:t>
      </w:r>
      <w:r w:rsidR="0058214D" w:rsidRPr="00D21E88">
        <w:rPr>
          <w:rFonts w:ascii="Times New Roman" w:hAnsi="Times New Roman" w:cs="Times New Roman"/>
          <w:sz w:val="24"/>
          <w:szCs w:val="24"/>
          <w:lang w:val="en-US"/>
        </w:rPr>
        <w:t xml:space="preserve"> higher CEO wealth sensitivity to risk results in higher investment in R&amp;D and higher leverage. </w:t>
      </w:r>
      <w:r w:rsidR="00C12B9D" w:rsidRPr="00D21E88">
        <w:rPr>
          <w:rFonts w:ascii="Times New Roman" w:hAnsi="Times New Roman" w:cs="Times New Roman"/>
          <w:sz w:val="24"/>
          <w:szCs w:val="24"/>
          <w:lang w:val="en-US"/>
        </w:rPr>
        <w:t xml:space="preserve">Several studies use </w:t>
      </w:r>
      <w:r w:rsidR="00BC18F4" w:rsidRPr="00D21E88">
        <w:rPr>
          <w:rFonts w:ascii="Times New Roman" w:hAnsi="Times New Roman" w:cs="Times New Roman"/>
          <w:sz w:val="24"/>
          <w:szCs w:val="24"/>
          <w:lang w:val="en-US"/>
        </w:rPr>
        <w:t xml:space="preserve">the </w:t>
      </w:r>
      <w:r w:rsidR="00BC18F4" w:rsidRPr="00D21E88">
        <w:rPr>
          <w:rFonts w:ascii="Times New Roman" w:hAnsi="Times New Roman" w:cs="Times New Roman"/>
          <w:sz w:val="24"/>
          <w:szCs w:val="24"/>
          <w:lang w:val="en-US"/>
        </w:rPr>
        <w:lastRenderedPageBreak/>
        <w:t>implementation of S</w:t>
      </w:r>
      <w:r w:rsidR="00C12B9D" w:rsidRPr="00D21E88">
        <w:rPr>
          <w:rFonts w:ascii="Times New Roman" w:hAnsi="Times New Roman" w:cs="Times New Roman"/>
          <w:sz w:val="24"/>
          <w:szCs w:val="24"/>
          <w:lang w:val="en-US"/>
        </w:rPr>
        <w:t xml:space="preserve">FAS 123R as an exogenous shock to establish causality between </w:t>
      </w:r>
      <w:r w:rsidR="00C301BC" w:rsidRPr="00D21E88">
        <w:rPr>
          <w:rFonts w:ascii="Times New Roman" w:hAnsi="Times New Roman" w:cs="Times New Roman"/>
          <w:sz w:val="24"/>
          <w:szCs w:val="24"/>
          <w:lang w:val="en-US"/>
        </w:rPr>
        <w:t>risk taking</w:t>
      </w:r>
      <w:r w:rsidR="00C12B9D" w:rsidRPr="00D21E88">
        <w:rPr>
          <w:rFonts w:ascii="Times New Roman" w:hAnsi="Times New Roman" w:cs="Times New Roman"/>
          <w:sz w:val="24"/>
          <w:szCs w:val="24"/>
          <w:lang w:val="en-US"/>
        </w:rPr>
        <w:t xml:space="preserve"> equity incentives and corporate policies</w:t>
      </w:r>
      <w:r w:rsidR="008F70A7" w:rsidRPr="00D21E88">
        <w:rPr>
          <w:rFonts w:ascii="Times New Roman" w:hAnsi="Times New Roman" w:cs="Times New Roman"/>
          <w:sz w:val="24"/>
          <w:szCs w:val="24"/>
          <w:lang w:val="en-US"/>
        </w:rPr>
        <w:t>, yet in</w:t>
      </w:r>
      <w:r w:rsidR="00C12B9D" w:rsidRPr="00D21E88">
        <w:rPr>
          <w:rFonts w:ascii="Times New Roman" w:hAnsi="Times New Roman" w:cs="Times New Roman"/>
          <w:sz w:val="24"/>
          <w:szCs w:val="24"/>
          <w:lang w:val="en-US"/>
        </w:rPr>
        <w:t xml:space="preserve"> general</w:t>
      </w:r>
      <w:r w:rsidR="00646AF8" w:rsidRPr="00D21E88">
        <w:rPr>
          <w:rFonts w:ascii="Times New Roman" w:hAnsi="Times New Roman" w:cs="Times New Roman"/>
          <w:sz w:val="24"/>
          <w:szCs w:val="24"/>
          <w:lang w:val="en-US"/>
        </w:rPr>
        <w:t>,</w:t>
      </w:r>
      <w:r w:rsidR="00C12B9D" w:rsidRPr="00D21E88">
        <w:rPr>
          <w:rFonts w:ascii="Times New Roman" w:hAnsi="Times New Roman" w:cs="Times New Roman"/>
          <w:sz w:val="24"/>
          <w:szCs w:val="24"/>
          <w:lang w:val="en-US"/>
        </w:rPr>
        <w:t xml:space="preserve"> </w:t>
      </w:r>
      <w:r w:rsidR="008F70A7" w:rsidRPr="00D21E88">
        <w:rPr>
          <w:rFonts w:ascii="Times New Roman" w:hAnsi="Times New Roman" w:cs="Times New Roman"/>
          <w:sz w:val="24"/>
          <w:szCs w:val="24"/>
          <w:lang w:val="en-US"/>
        </w:rPr>
        <w:t xml:space="preserve">the </w:t>
      </w:r>
      <w:r w:rsidR="00C12B9D" w:rsidRPr="00D21E88">
        <w:rPr>
          <w:rFonts w:ascii="Times New Roman" w:hAnsi="Times New Roman" w:cs="Times New Roman"/>
          <w:sz w:val="24"/>
          <w:szCs w:val="24"/>
          <w:lang w:val="en-US"/>
        </w:rPr>
        <w:t>results are mixed</w:t>
      </w:r>
      <w:r w:rsidR="00366371" w:rsidRPr="00D21E88">
        <w:rPr>
          <w:rFonts w:ascii="Times New Roman" w:hAnsi="Times New Roman" w:cs="Times New Roman"/>
          <w:sz w:val="24"/>
          <w:szCs w:val="24"/>
          <w:lang w:val="en-US"/>
        </w:rPr>
        <w:t xml:space="preserve"> (Hayes</w:t>
      </w:r>
      <w:r w:rsidR="00044213">
        <w:rPr>
          <w:rFonts w:ascii="Times New Roman" w:hAnsi="Times New Roman" w:cs="Times New Roman"/>
          <w:sz w:val="24"/>
          <w:szCs w:val="24"/>
          <w:lang w:val="en-US"/>
        </w:rPr>
        <w:t xml:space="preserve"> et al. </w:t>
      </w:r>
      <w:r w:rsidR="00366371" w:rsidRPr="00D21E88" w:rsidDel="001F6E4D">
        <w:rPr>
          <w:rFonts w:ascii="Times New Roman" w:hAnsi="Times New Roman" w:cs="Times New Roman"/>
          <w:sz w:val="24"/>
          <w:szCs w:val="24"/>
          <w:lang w:val="en-US"/>
        </w:rPr>
        <w:t xml:space="preserve"> </w:t>
      </w:r>
      <w:r w:rsidR="00366371" w:rsidRPr="00D21E88">
        <w:rPr>
          <w:rFonts w:ascii="Times New Roman" w:hAnsi="Times New Roman" w:cs="Times New Roman"/>
          <w:sz w:val="24"/>
          <w:szCs w:val="24"/>
          <w:lang w:val="en-US"/>
        </w:rPr>
        <w:t>2012; Bakke</w:t>
      </w:r>
      <w:r w:rsidR="00BC3337">
        <w:rPr>
          <w:rFonts w:ascii="Times New Roman" w:hAnsi="Times New Roman" w:cs="Times New Roman"/>
          <w:sz w:val="24"/>
          <w:szCs w:val="24"/>
          <w:lang w:val="en-US"/>
        </w:rPr>
        <w:t xml:space="preserve"> et al. </w:t>
      </w:r>
      <w:r w:rsidR="00366371" w:rsidRPr="00D21E88">
        <w:rPr>
          <w:rFonts w:ascii="Times New Roman" w:hAnsi="Times New Roman" w:cs="Times New Roman"/>
          <w:sz w:val="24"/>
          <w:szCs w:val="24"/>
          <w:lang w:val="en-US"/>
        </w:rPr>
        <w:t xml:space="preserve"> 2016; Aboody, Levi and Weiss 2018; Hong 2019</w:t>
      </w:r>
      <w:r w:rsidR="00055FE5" w:rsidRPr="00D21E88">
        <w:rPr>
          <w:rFonts w:ascii="Times New Roman" w:hAnsi="Times New Roman" w:cs="Times New Roman"/>
          <w:sz w:val="24"/>
          <w:szCs w:val="24"/>
          <w:lang w:val="en-US"/>
        </w:rPr>
        <w:t>)</w:t>
      </w:r>
      <w:r w:rsidR="00C12B9D" w:rsidRPr="00D21E88">
        <w:rPr>
          <w:rFonts w:ascii="Times New Roman" w:hAnsi="Times New Roman" w:cs="Times New Roman"/>
          <w:sz w:val="24"/>
          <w:szCs w:val="24"/>
          <w:lang w:val="en-US"/>
        </w:rPr>
        <w:t xml:space="preserve">. </w:t>
      </w:r>
      <w:r w:rsidR="00A16EE0" w:rsidRPr="00D21E88">
        <w:rPr>
          <w:rFonts w:ascii="Times New Roman" w:hAnsi="Times New Roman" w:cs="Times New Roman"/>
          <w:sz w:val="24"/>
          <w:szCs w:val="24"/>
          <w:lang w:val="en-US"/>
        </w:rPr>
        <w:t xml:space="preserve">We add to this literature by showing that equity incentives </w:t>
      </w:r>
      <w:r w:rsidR="00337001" w:rsidRPr="00D21E88">
        <w:rPr>
          <w:rFonts w:ascii="Times New Roman" w:hAnsi="Times New Roman" w:cs="Times New Roman"/>
          <w:sz w:val="24"/>
          <w:szCs w:val="24"/>
          <w:lang w:val="en-US"/>
        </w:rPr>
        <w:t>influence firm</w:t>
      </w:r>
      <w:r w:rsidR="001D66AD">
        <w:rPr>
          <w:rFonts w:ascii="Times New Roman" w:hAnsi="Times New Roman" w:cs="Times New Roman"/>
          <w:sz w:val="24"/>
          <w:szCs w:val="24"/>
          <w:lang w:val="en-US"/>
        </w:rPr>
        <w:t>’s</w:t>
      </w:r>
      <w:r w:rsidR="00337001" w:rsidRPr="00D21E88">
        <w:rPr>
          <w:rFonts w:ascii="Times New Roman" w:hAnsi="Times New Roman" w:cs="Times New Roman"/>
          <w:sz w:val="24"/>
          <w:szCs w:val="24"/>
          <w:lang w:val="en-US"/>
        </w:rPr>
        <w:t xml:space="preserve"> employee</w:t>
      </w:r>
      <w:r w:rsidR="001D66AD">
        <w:rPr>
          <w:rFonts w:ascii="Times New Roman" w:hAnsi="Times New Roman" w:cs="Times New Roman"/>
          <w:sz w:val="24"/>
          <w:szCs w:val="24"/>
          <w:lang w:val="en-US"/>
        </w:rPr>
        <w:t>s</w:t>
      </w:r>
      <w:r w:rsidR="00A16EE0" w:rsidRPr="00D21E88">
        <w:rPr>
          <w:rFonts w:ascii="Times New Roman" w:hAnsi="Times New Roman" w:cs="Times New Roman"/>
          <w:sz w:val="24"/>
          <w:szCs w:val="24"/>
          <w:lang w:val="en-US"/>
        </w:rPr>
        <w:t xml:space="preserve">. </w:t>
      </w:r>
    </w:p>
    <w:p w14:paraId="13D02BE1" w14:textId="5C49F694" w:rsidR="009575FD" w:rsidRPr="00024071" w:rsidRDefault="00A63EF5" w:rsidP="00AD0ACE">
      <w:pPr>
        <w:autoSpaceDE w:val="0"/>
        <w:autoSpaceDN w:val="0"/>
        <w:adjustRightInd w:val="0"/>
        <w:spacing w:after="0" w:line="480" w:lineRule="auto"/>
        <w:jc w:val="center"/>
        <w:rPr>
          <w:rFonts w:ascii="Times New Roman" w:hAnsi="Times New Roman" w:cs="Times New Roman"/>
          <w:b/>
          <w:caps/>
          <w:sz w:val="24"/>
          <w:szCs w:val="24"/>
          <w:lang w:val="en-US"/>
        </w:rPr>
      </w:pPr>
      <w:bookmarkStart w:id="5" w:name="_Hlk89165139"/>
      <w:bookmarkEnd w:id="2"/>
      <w:r w:rsidRPr="00024071">
        <w:rPr>
          <w:rFonts w:ascii="Times New Roman" w:hAnsi="Times New Roman" w:cs="Times New Roman"/>
          <w:b/>
          <w:caps/>
          <w:sz w:val="24"/>
          <w:szCs w:val="24"/>
          <w:lang w:val="en-US"/>
        </w:rPr>
        <w:t>II.</w:t>
      </w:r>
      <w:r w:rsidR="009575FD" w:rsidRPr="00024071">
        <w:rPr>
          <w:rFonts w:ascii="Times New Roman" w:hAnsi="Times New Roman" w:cs="Times New Roman"/>
          <w:b/>
          <w:caps/>
          <w:sz w:val="24"/>
          <w:szCs w:val="24"/>
          <w:lang w:val="en-US"/>
        </w:rPr>
        <w:t xml:space="preserve"> Literature Review</w:t>
      </w:r>
      <w:r w:rsidR="00DC30C3" w:rsidRPr="00024071">
        <w:rPr>
          <w:rFonts w:ascii="Times New Roman" w:hAnsi="Times New Roman" w:cs="Times New Roman"/>
          <w:b/>
          <w:caps/>
          <w:sz w:val="24"/>
          <w:szCs w:val="24"/>
          <w:lang w:val="en-US"/>
        </w:rPr>
        <w:t xml:space="preserve"> and Hypothesis Development</w:t>
      </w:r>
    </w:p>
    <w:p w14:paraId="34300592" w14:textId="52A927B0" w:rsidR="009575FD" w:rsidRPr="00366EF6" w:rsidRDefault="009575FD" w:rsidP="009575FD">
      <w:pPr>
        <w:autoSpaceDE w:val="0"/>
        <w:autoSpaceDN w:val="0"/>
        <w:adjustRightInd w:val="0"/>
        <w:spacing w:after="0" w:line="480" w:lineRule="auto"/>
        <w:jc w:val="both"/>
        <w:rPr>
          <w:rFonts w:ascii="Times New Roman" w:hAnsi="Times New Roman" w:cs="Times New Roman"/>
          <w:i/>
          <w:sz w:val="24"/>
          <w:szCs w:val="24"/>
          <w:lang w:val="en-US"/>
        </w:rPr>
      </w:pPr>
      <w:r w:rsidRPr="00366EF6">
        <w:rPr>
          <w:rFonts w:ascii="Times New Roman" w:hAnsi="Times New Roman" w:cs="Times New Roman"/>
          <w:i/>
          <w:sz w:val="24"/>
          <w:szCs w:val="24"/>
          <w:lang w:val="en-US"/>
        </w:rPr>
        <w:t xml:space="preserve">2.1. Equity incentives and </w:t>
      </w:r>
      <w:r w:rsidR="00154773" w:rsidRPr="00366EF6">
        <w:rPr>
          <w:rFonts w:ascii="Times New Roman" w:hAnsi="Times New Roman" w:cs="Times New Roman"/>
          <w:i/>
          <w:sz w:val="24"/>
          <w:szCs w:val="24"/>
          <w:lang w:val="en-US"/>
        </w:rPr>
        <w:t>corporate policies</w:t>
      </w:r>
    </w:p>
    <w:p w14:paraId="315279AC" w14:textId="00021796" w:rsidR="009575FD" w:rsidRPr="00366EF6" w:rsidRDefault="00B57D47" w:rsidP="00343F87">
      <w:pPr>
        <w:autoSpaceDE w:val="0"/>
        <w:autoSpaceDN w:val="0"/>
        <w:adjustRightInd w:val="0"/>
        <w:spacing w:after="0" w:line="480" w:lineRule="auto"/>
        <w:ind w:firstLine="720"/>
        <w:jc w:val="both"/>
        <w:rPr>
          <w:rFonts w:ascii="Times New Roman" w:hAnsi="Times New Roman" w:cs="Times New Roman"/>
          <w:sz w:val="24"/>
          <w:szCs w:val="24"/>
          <w:lang w:val="en-US"/>
        </w:rPr>
      </w:pPr>
      <w:r w:rsidRPr="00366EF6">
        <w:rPr>
          <w:rFonts w:ascii="Times New Roman" w:hAnsi="Times New Roman" w:cs="Times New Roman"/>
          <w:sz w:val="24"/>
          <w:szCs w:val="24"/>
          <w:lang w:val="en-US"/>
        </w:rPr>
        <w:t>The use of stock options in executive compensation contracts</w:t>
      </w:r>
      <w:r w:rsidR="009575FD" w:rsidRPr="00366EF6">
        <w:rPr>
          <w:rFonts w:ascii="Times New Roman" w:hAnsi="Times New Roman" w:cs="Times New Roman"/>
          <w:sz w:val="24"/>
          <w:szCs w:val="24"/>
          <w:lang w:val="en-US"/>
        </w:rPr>
        <w:t xml:space="preserve"> encourage</w:t>
      </w:r>
      <w:r w:rsidR="00916640" w:rsidRPr="00366EF6">
        <w:rPr>
          <w:rFonts w:ascii="Times New Roman" w:hAnsi="Times New Roman" w:cs="Times New Roman"/>
          <w:sz w:val="24"/>
          <w:szCs w:val="24"/>
          <w:lang w:val="en-US"/>
        </w:rPr>
        <w:t>s</w:t>
      </w:r>
      <w:r w:rsidR="009575FD" w:rsidRPr="00366EF6">
        <w:rPr>
          <w:rFonts w:ascii="Times New Roman" w:hAnsi="Times New Roman" w:cs="Times New Roman"/>
          <w:sz w:val="24"/>
          <w:szCs w:val="24"/>
          <w:lang w:val="en-US"/>
        </w:rPr>
        <w:t xml:space="preserve"> the </w:t>
      </w:r>
      <w:proofErr w:type="spellStart"/>
      <w:r w:rsidR="009575FD" w:rsidRPr="00366EF6">
        <w:rPr>
          <w:rFonts w:ascii="Times New Roman" w:hAnsi="Times New Roman" w:cs="Times New Roman"/>
          <w:sz w:val="24"/>
          <w:szCs w:val="24"/>
          <w:lang w:val="en-US"/>
        </w:rPr>
        <w:t>underdiversified</w:t>
      </w:r>
      <w:proofErr w:type="spellEnd"/>
      <w:r w:rsidR="009575FD" w:rsidRPr="00366EF6">
        <w:rPr>
          <w:rFonts w:ascii="Times New Roman" w:hAnsi="Times New Roman" w:cs="Times New Roman"/>
          <w:sz w:val="24"/>
          <w:szCs w:val="24"/>
          <w:lang w:val="en-US"/>
        </w:rPr>
        <w:t xml:space="preserve"> manager to undertake risky and value increasing projects (</w:t>
      </w:r>
      <w:r w:rsidR="00E515ED" w:rsidRPr="00366EF6">
        <w:rPr>
          <w:rFonts w:ascii="Times New Roman" w:hAnsi="Times New Roman" w:cs="Times New Roman"/>
          <w:sz w:val="24"/>
          <w:szCs w:val="24"/>
          <w:lang w:val="en-US"/>
        </w:rPr>
        <w:t>Jensen and Meckling</w:t>
      </w:r>
      <w:r w:rsidR="009575FD" w:rsidRPr="00366EF6">
        <w:rPr>
          <w:rFonts w:ascii="Times New Roman" w:hAnsi="Times New Roman" w:cs="Times New Roman"/>
          <w:sz w:val="24"/>
          <w:szCs w:val="24"/>
          <w:lang w:val="en-US"/>
        </w:rPr>
        <w:t xml:space="preserve"> 1976). Smith and Stulz (1985) </w:t>
      </w:r>
      <w:r w:rsidR="00FE5F8B" w:rsidRPr="00366EF6">
        <w:rPr>
          <w:rFonts w:ascii="Times New Roman" w:hAnsi="Times New Roman" w:cs="Times New Roman"/>
          <w:sz w:val="24"/>
          <w:szCs w:val="24"/>
          <w:lang w:val="en-US"/>
        </w:rPr>
        <w:t xml:space="preserve">conclude </w:t>
      </w:r>
      <w:r w:rsidR="009575FD" w:rsidRPr="00366EF6">
        <w:rPr>
          <w:rFonts w:ascii="Times New Roman" w:hAnsi="Times New Roman" w:cs="Times New Roman"/>
          <w:sz w:val="24"/>
          <w:szCs w:val="24"/>
          <w:lang w:val="en-US"/>
        </w:rPr>
        <w:t>that managerial compensation should be a convex function of firm value</w:t>
      </w:r>
      <w:r w:rsidR="00FE5F8B" w:rsidRPr="00366EF6">
        <w:rPr>
          <w:rFonts w:ascii="Times New Roman" w:hAnsi="Times New Roman" w:cs="Times New Roman"/>
          <w:sz w:val="24"/>
          <w:szCs w:val="24"/>
          <w:lang w:val="en-US"/>
        </w:rPr>
        <w:t>. This can be done</w:t>
      </w:r>
      <w:r w:rsidR="009575FD" w:rsidRPr="00366EF6">
        <w:rPr>
          <w:rFonts w:ascii="Times New Roman" w:hAnsi="Times New Roman" w:cs="Times New Roman"/>
          <w:sz w:val="24"/>
          <w:szCs w:val="24"/>
          <w:lang w:val="en-US"/>
        </w:rPr>
        <w:t xml:space="preserve"> by including stock options</w:t>
      </w:r>
      <w:r w:rsidR="00FE5F8B" w:rsidRPr="00366EF6">
        <w:rPr>
          <w:rFonts w:ascii="Times New Roman" w:hAnsi="Times New Roman" w:cs="Times New Roman"/>
          <w:sz w:val="24"/>
          <w:szCs w:val="24"/>
          <w:lang w:val="en-US"/>
        </w:rPr>
        <w:t xml:space="preserve"> in executive compensation where increased </w:t>
      </w:r>
      <w:r w:rsidR="004721F4" w:rsidRPr="00366EF6">
        <w:rPr>
          <w:rFonts w:ascii="Times New Roman" w:hAnsi="Times New Roman" w:cs="Times New Roman"/>
          <w:sz w:val="24"/>
          <w:szCs w:val="24"/>
          <w:lang w:val="en-US"/>
        </w:rPr>
        <w:t>risk</w:t>
      </w:r>
      <w:r w:rsidR="00A35028">
        <w:rPr>
          <w:rFonts w:ascii="Times New Roman" w:hAnsi="Times New Roman" w:cs="Times New Roman"/>
          <w:sz w:val="24"/>
          <w:szCs w:val="24"/>
          <w:lang w:val="en-US"/>
        </w:rPr>
        <w:t xml:space="preserve"> </w:t>
      </w:r>
      <w:r w:rsidR="004721F4" w:rsidRPr="00366EF6">
        <w:rPr>
          <w:rFonts w:ascii="Times New Roman" w:hAnsi="Times New Roman" w:cs="Times New Roman"/>
          <w:sz w:val="24"/>
          <w:szCs w:val="24"/>
          <w:lang w:val="en-US"/>
        </w:rPr>
        <w:t>taking</w:t>
      </w:r>
      <w:r w:rsidR="00FE5F8B" w:rsidRPr="00366EF6">
        <w:rPr>
          <w:rFonts w:ascii="Times New Roman" w:hAnsi="Times New Roman" w:cs="Times New Roman"/>
          <w:sz w:val="24"/>
          <w:szCs w:val="24"/>
          <w:lang w:val="en-US"/>
        </w:rPr>
        <w:t xml:space="preserve"> increases stock price</w:t>
      </w:r>
      <w:r w:rsidR="009575FD" w:rsidRPr="00366EF6">
        <w:rPr>
          <w:rFonts w:ascii="Times New Roman" w:hAnsi="Times New Roman" w:cs="Times New Roman"/>
          <w:sz w:val="24"/>
          <w:szCs w:val="24"/>
          <w:lang w:val="en-US"/>
        </w:rPr>
        <w:t xml:space="preserve"> volatility </w:t>
      </w:r>
      <w:r w:rsidR="00FE5F8B" w:rsidRPr="00366EF6">
        <w:rPr>
          <w:rFonts w:ascii="Times New Roman" w:hAnsi="Times New Roman" w:cs="Times New Roman"/>
          <w:sz w:val="24"/>
          <w:szCs w:val="24"/>
          <w:lang w:val="en-US"/>
        </w:rPr>
        <w:t>hence making</w:t>
      </w:r>
      <w:r w:rsidR="009575FD" w:rsidRPr="00366EF6">
        <w:rPr>
          <w:rFonts w:ascii="Times New Roman" w:hAnsi="Times New Roman" w:cs="Times New Roman"/>
          <w:sz w:val="24"/>
          <w:szCs w:val="24"/>
          <w:lang w:val="en-US"/>
        </w:rPr>
        <w:t xml:space="preserve"> </w:t>
      </w:r>
      <w:r w:rsidR="00FE5F8B" w:rsidRPr="00366EF6">
        <w:rPr>
          <w:rFonts w:ascii="Times New Roman" w:hAnsi="Times New Roman" w:cs="Times New Roman"/>
          <w:sz w:val="24"/>
          <w:szCs w:val="24"/>
          <w:lang w:val="en-US"/>
        </w:rPr>
        <w:t xml:space="preserve">stock </w:t>
      </w:r>
      <w:r w:rsidR="009575FD" w:rsidRPr="00366EF6">
        <w:rPr>
          <w:rFonts w:ascii="Times New Roman" w:hAnsi="Times New Roman" w:cs="Times New Roman"/>
          <w:sz w:val="24"/>
          <w:szCs w:val="24"/>
          <w:lang w:val="en-US"/>
        </w:rPr>
        <w:t>option</w:t>
      </w:r>
      <w:r w:rsidR="00FE5F8B" w:rsidRPr="00366EF6">
        <w:rPr>
          <w:rFonts w:ascii="Times New Roman" w:hAnsi="Times New Roman" w:cs="Times New Roman"/>
          <w:sz w:val="24"/>
          <w:szCs w:val="24"/>
          <w:lang w:val="en-US"/>
        </w:rPr>
        <w:t>s</w:t>
      </w:r>
      <w:r w:rsidR="009575FD" w:rsidRPr="00366EF6">
        <w:rPr>
          <w:rFonts w:ascii="Times New Roman" w:hAnsi="Times New Roman" w:cs="Times New Roman"/>
          <w:sz w:val="24"/>
          <w:szCs w:val="24"/>
          <w:lang w:val="en-US"/>
        </w:rPr>
        <w:t xml:space="preserve"> more valuable. </w:t>
      </w:r>
      <w:r w:rsidR="00704D53">
        <w:rPr>
          <w:rFonts w:ascii="Times New Roman" w:hAnsi="Times New Roman" w:cs="Times New Roman"/>
          <w:sz w:val="24"/>
          <w:szCs w:val="24"/>
          <w:lang w:val="en-US"/>
        </w:rPr>
        <w:t>Subsequent</w:t>
      </w:r>
      <w:r w:rsidR="009575FD" w:rsidRPr="00366EF6">
        <w:rPr>
          <w:rFonts w:ascii="Times New Roman" w:hAnsi="Times New Roman" w:cs="Times New Roman"/>
          <w:sz w:val="24"/>
          <w:szCs w:val="24"/>
          <w:lang w:val="en-US"/>
        </w:rPr>
        <w:t xml:space="preserve"> theoretical studies show that stock options might have an ambiguous effect</w:t>
      </w:r>
      <w:r w:rsidR="00FE5F8B" w:rsidRPr="00366EF6">
        <w:rPr>
          <w:rFonts w:ascii="Times New Roman" w:hAnsi="Times New Roman" w:cs="Times New Roman"/>
          <w:sz w:val="24"/>
          <w:szCs w:val="24"/>
          <w:lang w:val="en-US"/>
        </w:rPr>
        <w:t xml:space="preserve"> on</w:t>
      </w:r>
      <w:r w:rsidR="009575FD" w:rsidRPr="00366EF6">
        <w:rPr>
          <w:rFonts w:ascii="Times New Roman" w:hAnsi="Times New Roman" w:cs="Times New Roman"/>
          <w:sz w:val="24"/>
          <w:szCs w:val="24"/>
          <w:lang w:val="en-US"/>
        </w:rPr>
        <w:t xml:space="preserve"> risk taking incentives (</w:t>
      </w:r>
      <w:r w:rsidR="00E515ED" w:rsidRPr="00366EF6">
        <w:rPr>
          <w:rFonts w:ascii="Times New Roman" w:hAnsi="Times New Roman" w:cs="Times New Roman"/>
          <w:sz w:val="24"/>
          <w:szCs w:val="24"/>
          <w:lang w:val="en-US"/>
        </w:rPr>
        <w:t>Lambert, Larcker and Verrecchia</w:t>
      </w:r>
      <w:r w:rsidR="009575FD" w:rsidRPr="00366EF6">
        <w:rPr>
          <w:rFonts w:ascii="Times New Roman" w:hAnsi="Times New Roman" w:cs="Times New Roman"/>
          <w:sz w:val="24"/>
          <w:szCs w:val="24"/>
          <w:lang w:val="en-US"/>
        </w:rPr>
        <w:t xml:space="preserve"> 19</w:t>
      </w:r>
      <w:r w:rsidR="00366371" w:rsidRPr="00366EF6">
        <w:rPr>
          <w:rFonts w:ascii="Times New Roman" w:hAnsi="Times New Roman" w:cs="Times New Roman"/>
          <w:sz w:val="24"/>
          <w:szCs w:val="24"/>
          <w:lang w:val="en-US"/>
        </w:rPr>
        <w:t xml:space="preserve">91; Carpenter </w:t>
      </w:r>
      <w:r w:rsidR="005C749C" w:rsidRPr="00366EF6">
        <w:rPr>
          <w:rFonts w:ascii="Times New Roman" w:hAnsi="Times New Roman" w:cs="Times New Roman"/>
          <w:sz w:val="24"/>
          <w:szCs w:val="24"/>
          <w:lang w:val="en-US"/>
        </w:rPr>
        <w:t>200</w:t>
      </w:r>
      <w:r w:rsidR="005C749C">
        <w:rPr>
          <w:rFonts w:ascii="Times New Roman" w:hAnsi="Times New Roman" w:cs="Times New Roman"/>
          <w:sz w:val="24"/>
          <w:szCs w:val="24"/>
          <w:lang w:val="en-US"/>
        </w:rPr>
        <w:t>2</w:t>
      </w:r>
      <w:r w:rsidR="00366371" w:rsidRPr="00366EF6">
        <w:rPr>
          <w:rFonts w:ascii="Times New Roman" w:hAnsi="Times New Roman" w:cs="Times New Roman"/>
          <w:sz w:val="24"/>
          <w:szCs w:val="24"/>
          <w:lang w:val="en-US"/>
        </w:rPr>
        <w:t xml:space="preserve">; Ross </w:t>
      </w:r>
      <w:r w:rsidR="009575FD" w:rsidRPr="00366EF6">
        <w:rPr>
          <w:rFonts w:ascii="Times New Roman" w:hAnsi="Times New Roman" w:cs="Times New Roman"/>
          <w:sz w:val="24"/>
          <w:szCs w:val="24"/>
          <w:lang w:val="en-US"/>
        </w:rPr>
        <w:t xml:space="preserve">2004; </w:t>
      </w:r>
      <w:r w:rsidR="00E515ED" w:rsidRPr="00366EF6">
        <w:rPr>
          <w:rFonts w:ascii="Times New Roman" w:hAnsi="Times New Roman" w:cs="Times New Roman"/>
          <w:sz w:val="24"/>
          <w:szCs w:val="24"/>
          <w:lang w:val="en-US"/>
        </w:rPr>
        <w:t>Lewellen</w:t>
      </w:r>
      <w:r w:rsidR="009575FD" w:rsidRPr="00366EF6">
        <w:rPr>
          <w:rFonts w:ascii="Times New Roman" w:hAnsi="Times New Roman" w:cs="Times New Roman"/>
          <w:sz w:val="24"/>
          <w:szCs w:val="24"/>
          <w:lang w:val="en-US"/>
        </w:rPr>
        <w:t xml:space="preserve"> 2006). Armstrong and Vashishtha (2012) note that the convexity effect that increases </w:t>
      </w:r>
      <w:r w:rsidR="00E515ED" w:rsidRPr="00366EF6">
        <w:rPr>
          <w:rFonts w:ascii="Times New Roman" w:hAnsi="Times New Roman" w:cs="Times New Roman"/>
          <w:sz w:val="24"/>
          <w:szCs w:val="24"/>
          <w:lang w:val="en-US"/>
        </w:rPr>
        <w:t xml:space="preserve">the </w:t>
      </w:r>
      <w:r w:rsidR="009575FD" w:rsidRPr="00366EF6">
        <w:rPr>
          <w:rFonts w:ascii="Times New Roman" w:hAnsi="Times New Roman" w:cs="Times New Roman"/>
          <w:sz w:val="24"/>
          <w:szCs w:val="24"/>
          <w:lang w:val="en-US"/>
        </w:rPr>
        <w:t>sensitivity of CEO wealth to risk (</w:t>
      </w:r>
      <w:proofErr w:type="spellStart"/>
      <w:r w:rsidR="009575FD" w:rsidRPr="00366EF6">
        <w:rPr>
          <w:rFonts w:ascii="Times New Roman" w:hAnsi="Times New Roman" w:cs="Times New Roman"/>
          <w:sz w:val="24"/>
          <w:szCs w:val="24"/>
          <w:lang w:val="en-US"/>
        </w:rPr>
        <w:t>vega</w:t>
      </w:r>
      <w:proofErr w:type="spellEnd"/>
      <w:r w:rsidR="009575FD" w:rsidRPr="00366EF6">
        <w:rPr>
          <w:rFonts w:ascii="Times New Roman" w:hAnsi="Times New Roman" w:cs="Times New Roman"/>
          <w:sz w:val="24"/>
          <w:szCs w:val="24"/>
          <w:lang w:val="en-US"/>
        </w:rPr>
        <w:t>) can be offset by the increase in CEO wealth sensitivity to stock price (delta).</w:t>
      </w:r>
      <w:r w:rsidR="00BD5CE8">
        <w:rPr>
          <w:rFonts w:ascii="Times New Roman" w:hAnsi="Times New Roman" w:cs="Times New Roman"/>
          <w:sz w:val="24"/>
          <w:szCs w:val="24"/>
          <w:lang w:val="en-US"/>
        </w:rPr>
        <w:t xml:space="preserve"> </w:t>
      </w:r>
      <w:r w:rsidR="008D2BDD" w:rsidRPr="00366EF6">
        <w:rPr>
          <w:rFonts w:ascii="Times New Roman" w:hAnsi="Times New Roman" w:cs="Times New Roman"/>
          <w:sz w:val="24"/>
          <w:szCs w:val="24"/>
          <w:lang w:val="en-US"/>
        </w:rPr>
        <w:t>T</w:t>
      </w:r>
      <w:r w:rsidR="00F21C3E" w:rsidRPr="00366EF6">
        <w:rPr>
          <w:rFonts w:ascii="Times New Roman" w:hAnsi="Times New Roman" w:cs="Times New Roman"/>
          <w:sz w:val="24"/>
          <w:szCs w:val="24"/>
          <w:lang w:val="en-US"/>
        </w:rPr>
        <w:t>heoretically</w:t>
      </w:r>
      <w:r w:rsidR="00366EF6">
        <w:rPr>
          <w:rFonts w:ascii="Times New Roman" w:hAnsi="Times New Roman" w:cs="Times New Roman"/>
          <w:sz w:val="24"/>
          <w:szCs w:val="24"/>
          <w:lang w:val="en-US"/>
        </w:rPr>
        <w:t>,</w:t>
      </w:r>
      <w:r w:rsidR="00F21C3E" w:rsidRPr="00366EF6">
        <w:rPr>
          <w:rFonts w:ascii="Times New Roman" w:hAnsi="Times New Roman" w:cs="Times New Roman"/>
          <w:sz w:val="24"/>
          <w:szCs w:val="24"/>
          <w:lang w:val="en-US"/>
        </w:rPr>
        <w:t xml:space="preserve"> </w:t>
      </w:r>
      <w:r w:rsidR="009575FD" w:rsidRPr="00366EF6">
        <w:rPr>
          <w:rFonts w:ascii="Times New Roman" w:hAnsi="Times New Roman" w:cs="Times New Roman"/>
          <w:sz w:val="24"/>
          <w:szCs w:val="24"/>
          <w:lang w:val="en-US"/>
        </w:rPr>
        <w:t xml:space="preserve">the overall net effect of stock option compensation on risk taking incentives </w:t>
      </w:r>
      <w:r w:rsidR="001016FE" w:rsidRPr="00366EF6">
        <w:rPr>
          <w:rFonts w:ascii="Times New Roman" w:hAnsi="Times New Roman" w:cs="Times New Roman"/>
          <w:sz w:val="24"/>
          <w:szCs w:val="24"/>
          <w:lang w:val="en-US"/>
        </w:rPr>
        <w:t xml:space="preserve">and thus corporate policies </w:t>
      </w:r>
      <w:r w:rsidR="009575FD" w:rsidRPr="00366EF6">
        <w:rPr>
          <w:rFonts w:ascii="Times New Roman" w:hAnsi="Times New Roman" w:cs="Times New Roman"/>
          <w:sz w:val="24"/>
          <w:szCs w:val="24"/>
          <w:lang w:val="en-US"/>
        </w:rPr>
        <w:t xml:space="preserve">is unclear. </w:t>
      </w:r>
    </w:p>
    <w:p w14:paraId="4822F513" w14:textId="27B0CC27" w:rsidR="00DC0A21" w:rsidRPr="00366EF6" w:rsidRDefault="00D279C1" w:rsidP="00366EF6">
      <w:pPr>
        <w:autoSpaceDE w:val="0"/>
        <w:autoSpaceDN w:val="0"/>
        <w:adjustRightInd w:val="0"/>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While e</w:t>
      </w:r>
      <w:r w:rsidR="009575FD" w:rsidRPr="00366EF6">
        <w:rPr>
          <w:rFonts w:ascii="Times New Roman" w:hAnsi="Times New Roman" w:cs="Times New Roman"/>
          <w:sz w:val="24"/>
          <w:szCs w:val="24"/>
          <w:lang w:val="en-US"/>
        </w:rPr>
        <w:t xml:space="preserve">arly empirical studies find a positive relation between </w:t>
      </w:r>
      <w:r w:rsidR="00442A34" w:rsidRPr="00366EF6">
        <w:rPr>
          <w:rFonts w:ascii="Times New Roman" w:hAnsi="Times New Roman" w:cs="Times New Roman"/>
          <w:sz w:val="24"/>
          <w:szCs w:val="24"/>
          <w:lang w:val="en-US"/>
        </w:rPr>
        <w:t>the use of stock options in executive compensation contracts</w:t>
      </w:r>
      <w:r w:rsidR="009575FD" w:rsidRPr="00366EF6">
        <w:rPr>
          <w:rFonts w:ascii="Times New Roman" w:hAnsi="Times New Roman" w:cs="Times New Roman"/>
          <w:sz w:val="24"/>
          <w:szCs w:val="24"/>
          <w:lang w:val="en-US"/>
        </w:rPr>
        <w:t xml:space="preserve"> and risk </w:t>
      </w:r>
      <w:r w:rsidR="00442A34" w:rsidRPr="00366EF6">
        <w:rPr>
          <w:rFonts w:ascii="Times New Roman" w:hAnsi="Times New Roman" w:cs="Times New Roman"/>
          <w:sz w:val="24"/>
          <w:szCs w:val="24"/>
          <w:lang w:val="en-US"/>
        </w:rPr>
        <w:t xml:space="preserve">taking </w:t>
      </w:r>
      <w:r w:rsidR="009575FD" w:rsidRPr="00366EF6">
        <w:rPr>
          <w:rFonts w:ascii="Times New Roman" w:hAnsi="Times New Roman" w:cs="Times New Roman"/>
          <w:sz w:val="24"/>
          <w:szCs w:val="24"/>
          <w:lang w:val="en-US"/>
        </w:rPr>
        <w:t>(Agrawal and</w:t>
      </w:r>
      <w:r w:rsidR="00E515ED" w:rsidRPr="00366EF6">
        <w:rPr>
          <w:rFonts w:ascii="Times New Roman" w:hAnsi="Times New Roman" w:cs="Times New Roman"/>
          <w:sz w:val="24"/>
          <w:szCs w:val="24"/>
          <w:lang w:val="en-US"/>
        </w:rPr>
        <w:t xml:space="preserve"> Mandelker</w:t>
      </w:r>
      <w:r w:rsidR="009575FD" w:rsidRPr="00366EF6">
        <w:rPr>
          <w:rFonts w:ascii="Times New Roman" w:hAnsi="Times New Roman" w:cs="Times New Roman"/>
          <w:sz w:val="24"/>
          <w:szCs w:val="24"/>
          <w:lang w:val="en-US"/>
        </w:rPr>
        <w:t xml:space="preserve"> 1987</w:t>
      </w:r>
      <w:r w:rsidR="00E515ED" w:rsidRPr="00366EF6">
        <w:rPr>
          <w:rFonts w:ascii="Times New Roman" w:hAnsi="Times New Roman" w:cs="Times New Roman"/>
          <w:sz w:val="24"/>
          <w:szCs w:val="24"/>
          <w:lang w:val="en-US"/>
        </w:rPr>
        <w:t>; Guay</w:t>
      </w:r>
      <w:r w:rsidR="009575FD" w:rsidRPr="00366EF6">
        <w:rPr>
          <w:rFonts w:ascii="Times New Roman" w:hAnsi="Times New Roman" w:cs="Times New Roman"/>
          <w:sz w:val="24"/>
          <w:szCs w:val="24"/>
          <w:lang w:val="en-US"/>
        </w:rPr>
        <w:t xml:space="preserve"> 1999; </w:t>
      </w:r>
      <w:proofErr w:type="spellStart"/>
      <w:r w:rsidR="009575FD" w:rsidRPr="00366EF6">
        <w:rPr>
          <w:rFonts w:ascii="Times New Roman" w:hAnsi="Times New Roman" w:cs="Times New Roman"/>
          <w:sz w:val="24"/>
          <w:szCs w:val="24"/>
          <w:lang w:val="en-US"/>
        </w:rPr>
        <w:t>Rajgopal</w:t>
      </w:r>
      <w:proofErr w:type="spellEnd"/>
      <w:r w:rsidR="009575FD" w:rsidRPr="00366EF6">
        <w:rPr>
          <w:rFonts w:ascii="Times New Roman" w:hAnsi="Times New Roman" w:cs="Times New Roman"/>
          <w:sz w:val="24"/>
          <w:szCs w:val="24"/>
          <w:lang w:val="en-US"/>
        </w:rPr>
        <w:t xml:space="preserve"> and Shevlin 2002)</w:t>
      </w:r>
      <w:r w:rsidR="00CB37C9">
        <w:rPr>
          <w:rStyle w:val="FootnoteReference"/>
          <w:rFonts w:ascii="Times New Roman" w:hAnsi="Times New Roman" w:cs="Times New Roman"/>
          <w:sz w:val="24"/>
          <w:szCs w:val="24"/>
          <w:lang w:val="en-US"/>
        </w:rPr>
        <w:footnoteReference w:id="4"/>
      </w:r>
      <w:r w:rsidR="00704D53">
        <w:rPr>
          <w:rFonts w:ascii="Times New Roman" w:hAnsi="Times New Roman" w:cs="Times New Roman"/>
          <w:sz w:val="24"/>
          <w:szCs w:val="24"/>
          <w:lang w:val="en-US"/>
        </w:rPr>
        <w:t xml:space="preserve">, results </w:t>
      </w:r>
      <w:r w:rsidR="00A92B05">
        <w:rPr>
          <w:rFonts w:ascii="Times New Roman" w:hAnsi="Times New Roman" w:cs="Times New Roman"/>
          <w:sz w:val="24"/>
          <w:szCs w:val="24"/>
          <w:lang w:val="en-US"/>
        </w:rPr>
        <w:t>of</w:t>
      </w:r>
      <w:r w:rsidR="00704D53">
        <w:rPr>
          <w:rFonts w:ascii="Times New Roman" w:hAnsi="Times New Roman" w:cs="Times New Roman"/>
          <w:sz w:val="24"/>
          <w:szCs w:val="24"/>
          <w:lang w:val="en-US"/>
        </w:rPr>
        <w:t xml:space="preserve"> studies examining</w:t>
      </w:r>
      <w:r>
        <w:rPr>
          <w:rFonts w:ascii="Times New Roman" w:hAnsi="Times New Roman" w:cs="Times New Roman"/>
          <w:sz w:val="24"/>
          <w:szCs w:val="24"/>
          <w:lang w:val="en-US"/>
        </w:rPr>
        <w:t xml:space="preserve"> </w:t>
      </w:r>
      <w:r w:rsidR="00F21C3E" w:rsidRPr="00366EF6">
        <w:rPr>
          <w:rFonts w:ascii="Times New Roman" w:hAnsi="Times New Roman" w:cs="Times New Roman"/>
          <w:sz w:val="24"/>
          <w:szCs w:val="24"/>
          <w:lang w:val="en-US"/>
        </w:rPr>
        <w:t xml:space="preserve">the effects of </w:t>
      </w:r>
      <w:r w:rsidR="002668F7" w:rsidRPr="00366EF6">
        <w:rPr>
          <w:rFonts w:ascii="Times New Roman" w:hAnsi="Times New Roman" w:cs="Times New Roman"/>
          <w:sz w:val="24"/>
          <w:szCs w:val="24"/>
          <w:lang w:val="en-US"/>
        </w:rPr>
        <w:t>equity incentives</w:t>
      </w:r>
      <w:r w:rsidR="00F21C3E" w:rsidRPr="00366EF6">
        <w:rPr>
          <w:rFonts w:ascii="Times New Roman" w:hAnsi="Times New Roman" w:cs="Times New Roman"/>
          <w:sz w:val="24"/>
          <w:szCs w:val="24"/>
          <w:lang w:val="en-US"/>
        </w:rPr>
        <w:t xml:space="preserve"> on financial misconduct</w:t>
      </w:r>
      <w:r w:rsidR="00704D53">
        <w:rPr>
          <w:rFonts w:ascii="Times New Roman" w:hAnsi="Times New Roman" w:cs="Times New Roman"/>
          <w:sz w:val="24"/>
          <w:szCs w:val="24"/>
          <w:lang w:val="en-US"/>
        </w:rPr>
        <w:t xml:space="preserve"> are</w:t>
      </w:r>
      <w:r>
        <w:rPr>
          <w:rFonts w:ascii="Times New Roman" w:hAnsi="Times New Roman" w:cs="Times New Roman"/>
          <w:sz w:val="24"/>
          <w:szCs w:val="24"/>
          <w:lang w:val="en-US"/>
        </w:rPr>
        <w:t xml:space="preserve"> mixed</w:t>
      </w:r>
      <w:r w:rsidR="00F21C3E" w:rsidRPr="00366EF6">
        <w:rPr>
          <w:rFonts w:ascii="Times New Roman" w:hAnsi="Times New Roman" w:cs="Times New Roman"/>
          <w:sz w:val="24"/>
          <w:szCs w:val="24"/>
          <w:lang w:val="en-US"/>
        </w:rPr>
        <w:t xml:space="preserve"> </w:t>
      </w:r>
      <w:proofErr w:type="gramStart"/>
      <w:r w:rsidR="00F21C3E" w:rsidRPr="00366EF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F21C3E" w:rsidRPr="00366EF6">
        <w:rPr>
          <w:rFonts w:ascii="Times New Roman" w:hAnsi="Times New Roman" w:cs="Times New Roman"/>
          <w:sz w:val="24"/>
          <w:szCs w:val="24"/>
          <w:lang w:val="en-US"/>
        </w:rPr>
        <w:t>Cheng</w:t>
      </w:r>
      <w:proofErr w:type="gramEnd"/>
      <w:r w:rsidR="00F21C3E" w:rsidRPr="00366EF6">
        <w:rPr>
          <w:rFonts w:ascii="Times New Roman" w:hAnsi="Times New Roman" w:cs="Times New Roman"/>
          <w:sz w:val="24"/>
          <w:szCs w:val="24"/>
          <w:lang w:val="en-US"/>
        </w:rPr>
        <w:t xml:space="preserve"> and Warfield 2005; Bergstresser and Philippon 2006;</w:t>
      </w:r>
      <w:r w:rsidR="00F643DB">
        <w:rPr>
          <w:rFonts w:ascii="Times New Roman" w:hAnsi="Times New Roman" w:cs="Times New Roman"/>
          <w:sz w:val="24"/>
          <w:szCs w:val="24"/>
          <w:lang w:val="en-US"/>
        </w:rPr>
        <w:t xml:space="preserve"> </w:t>
      </w:r>
      <w:r w:rsidR="00F21C3E" w:rsidRPr="00366EF6">
        <w:rPr>
          <w:rFonts w:ascii="Times New Roman" w:hAnsi="Times New Roman" w:cs="Times New Roman"/>
          <w:sz w:val="24"/>
          <w:szCs w:val="24"/>
          <w:lang w:val="en-US"/>
        </w:rPr>
        <w:lastRenderedPageBreak/>
        <w:t>Burns and Kedia 2006; Erickson</w:t>
      </w:r>
      <w:r w:rsidR="00094BA9">
        <w:rPr>
          <w:rFonts w:ascii="Times New Roman" w:hAnsi="Times New Roman" w:cs="Times New Roman"/>
          <w:sz w:val="24"/>
          <w:szCs w:val="24"/>
          <w:lang w:val="en-US"/>
        </w:rPr>
        <w:t xml:space="preserve"> et al.</w:t>
      </w:r>
      <w:r w:rsidR="00F21C3E" w:rsidRPr="00366EF6">
        <w:rPr>
          <w:rFonts w:ascii="Times New Roman" w:hAnsi="Times New Roman" w:cs="Times New Roman"/>
          <w:sz w:val="24"/>
          <w:szCs w:val="24"/>
          <w:lang w:val="en-US"/>
        </w:rPr>
        <w:t>2006; Armstrong</w:t>
      </w:r>
      <w:r w:rsidR="00094BA9">
        <w:rPr>
          <w:rFonts w:ascii="Times New Roman" w:hAnsi="Times New Roman" w:cs="Times New Roman"/>
          <w:sz w:val="24"/>
          <w:szCs w:val="24"/>
          <w:lang w:val="en-US"/>
        </w:rPr>
        <w:t xml:space="preserve"> et al.</w:t>
      </w:r>
      <w:r w:rsidR="00F21C3E" w:rsidRPr="00366EF6">
        <w:rPr>
          <w:rFonts w:ascii="Times New Roman" w:hAnsi="Times New Roman" w:cs="Times New Roman"/>
          <w:sz w:val="24"/>
          <w:szCs w:val="24"/>
          <w:lang w:val="en-US"/>
        </w:rPr>
        <w:t xml:space="preserve"> 2010). </w:t>
      </w:r>
      <w:r w:rsidR="00485771" w:rsidRPr="00366EF6">
        <w:rPr>
          <w:rFonts w:ascii="Times New Roman" w:hAnsi="Times New Roman" w:cs="Times New Roman"/>
          <w:sz w:val="24"/>
          <w:szCs w:val="24"/>
          <w:lang w:val="en-US"/>
        </w:rPr>
        <w:t>Armstrong</w:t>
      </w:r>
      <w:r w:rsidR="00094BA9">
        <w:rPr>
          <w:rFonts w:ascii="Times New Roman" w:hAnsi="Times New Roman" w:cs="Times New Roman"/>
          <w:sz w:val="24"/>
          <w:szCs w:val="24"/>
          <w:lang w:val="en-US"/>
        </w:rPr>
        <w:t xml:space="preserve"> et al. </w:t>
      </w:r>
      <w:r w:rsidR="00485771" w:rsidRPr="00366EF6">
        <w:rPr>
          <w:rFonts w:ascii="Times New Roman" w:hAnsi="Times New Roman" w:cs="Times New Roman"/>
          <w:sz w:val="24"/>
          <w:szCs w:val="24"/>
          <w:lang w:val="en-US"/>
        </w:rPr>
        <w:t xml:space="preserve"> (2013) separately examine the effects of CEO delta and CEO </w:t>
      </w:r>
      <w:proofErr w:type="spellStart"/>
      <w:r w:rsidR="00485771" w:rsidRPr="00366EF6">
        <w:rPr>
          <w:rFonts w:ascii="Times New Roman" w:hAnsi="Times New Roman" w:cs="Times New Roman"/>
          <w:sz w:val="24"/>
          <w:szCs w:val="24"/>
          <w:lang w:val="en-US"/>
        </w:rPr>
        <w:t>vega</w:t>
      </w:r>
      <w:proofErr w:type="spellEnd"/>
      <w:r w:rsidR="00485771" w:rsidRPr="00366EF6">
        <w:rPr>
          <w:rFonts w:ascii="Times New Roman" w:hAnsi="Times New Roman" w:cs="Times New Roman"/>
          <w:sz w:val="24"/>
          <w:szCs w:val="24"/>
          <w:lang w:val="en-US"/>
        </w:rPr>
        <w:t xml:space="preserve"> on financial misreporting</w:t>
      </w:r>
      <w:r w:rsidR="00704D53">
        <w:rPr>
          <w:rFonts w:ascii="Times New Roman" w:hAnsi="Times New Roman" w:cs="Times New Roman"/>
          <w:sz w:val="24"/>
          <w:szCs w:val="24"/>
          <w:lang w:val="en-US"/>
        </w:rPr>
        <w:t xml:space="preserve"> and</w:t>
      </w:r>
      <w:r w:rsidR="00485771" w:rsidRPr="00366EF6">
        <w:rPr>
          <w:rFonts w:ascii="Times New Roman" w:hAnsi="Times New Roman" w:cs="Times New Roman"/>
          <w:sz w:val="24"/>
          <w:szCs w:val="24"/>
          <w:lang w:val="en-US"/>
        </w:rPr>
        <w:t xml:space="preserve"> find that </w:t>
      </w:r>
      <w:r w:rsidR="00704D53">
        <w:rPr>
          <w:rFonts w:ascii="Times New Roman" w:hAnsi="Times New Roman" w:cs="Times New Roman"/>
          <w:sz w:val="24"/>
          <w:szCs w:val="24"/>
          <w:lang w:val="en-US"/>
        </w:rPr>
        <w:t>the</w:t>
      </w:r>
      <w:r w:rsidR="00485771" w:rsidRPr="00366EF6">
        <w:rPr>
          <w:rFonts w:ascii="Times New Roman" w:hAnsi="Times New Roman" w:cs="Times New Roman"/>
          <w:sz w:val="24"/>
          <w:szCs w:val="24"/>
          <w:lang w:val="en-US"/>
        </w:rPr>
        <w:t xml:space="preserve"> positive effect of CEO </w:t>
      </w:r>
      <w:proofErr w:type="spellStart"/>
      <w:r w:rsidR="00485771" w:rsidRPr="00366EF6">
        <w:rPr>
          <w:rFonts w:ascii="Times New Roman" w:hAnsi="Times New Roman" w:cs="Times New Roman"/>
          <w:sz w:val="24"/>
          <w:szCs w:val="24"/>
          <w:lang w:val="en-US"/>
        </w:rPr>
        <w:t>vega</w:t>
      </w:r>
      <w:proofErr w:type="spellEnd"/>
      <w:r w:rsidR="00485771" w:rsidRPr="00366EF6">
        <w:rPr>
          <w:rFonts w:ascii="Times New Roman" w:hAnsi="Times New Roman" w:cs="Times New Roman"/>
          <w:sz w:val="24"/>
          <w:szCs w:val="24"/>
          <w:lang w:val="en-US"/>
        </w:rPr>
        <w:t xml:space="preserve"> on financial misreporting </w:t>
      </w:r>
      <w:r w:rsidR="00704D53">
        <w:rPr>
          <w:rFonts w:ascii="Times New Roman" w:hAnsi="Times New Roman" w:cs="Times New Roman"/>
          <w:sz w:val="24"/>
          <w:szCs w:val="24"/>
          <w:lang w:val="en-US"/>
        </w:rPr>
        <w:t>dominates</w:t>
      </w:r>
      <w:r w:rsidR="00485771" w:rsidRPr="00366EF6">
        <w:rPr>
          <w:rFonts w:ascii="Times New Roman" w:hAnsi="Times New Roman" w:cs="Times New Roman"/>
          <w:sz w:val="24"/>
          <w:szCs w:val="24"/>
          <w:lang w:val="en-US"/>
        </w:rPr>
        <w:t xml:space="preserve"> </w:t>
      </w:r>
      <w:r w:rsidR="00EF727E">
        <w:rPr>
          <w:rFonts w:ascii="Times New Roman" w:hAnsi="Times New Roman" w:cs="Times New Roman"/>
          <w:sz w:val="24"/>
          <w:szCs w:val="24"/>
          <w:lang w:val="en-US"/>
        </w:rPr>
        <w:t>the</w:t>
      </w:r>
      <w:r w:rsidR="00EF727E" w:rsidRPr="00366EF6">
        <w:rPr>
          <w:rFonts w:ascii="Times New Roman" w:hAnsi="Times New Roman" w:cs="Times New Roman"/>
          <w:sz w:val="24"/>
          <w:szCs w:val="24"/>
          <w:lang w:val="en-US"/>
        </w:rPr>
        <w:t xml:space="preserve"> </w:t>
      </w:r>
      <w:r w:rsidR="00485771" w:rsidRPr="00366EF6">
        <w:rPr>
          <w:rFonts w:ascii="Times New Roman" w:hAnsi="Times New Roman" w:cs="Times New Roman"/>
          <w:sz w:val="24"/>
          <w:szCs w:val="24"/>
          <w:lang w:val="en-US"/>
        </w:rPr>
        <w:t xml:space="preserve">incentives arising from CEO delta. </w:t>
      </w:r>
    </w:p>
    <w:p w14:paraId="15F1FA1B" w14:textId="64559C9F" w:rsidR="009575FD" w:rsidRDefault="009575FD" w:rsidP="00916640">
      <w:pPr>
        <w:autoSpaceDE w:val="0"/>
        <w:autoSpaceDN w:val="0"/>
        <w:adjustRightInd w:val="0"/>
        <w:spacing w:after="0" w:line="480" w:lineRule="auto"/>
        <w:ind w:firstLine="720"/>
        <w:jc w:val="both"/>
        <w:rPr>
          <w:rFonts w:ascii="Times New Roman" w:hAnsi="Times New Roman" w:cs="Times New Roman"/>
          <w:sz w:val="24"/>
          <w:szCs w:val="24"/>
          <w:lang w:val="en-US"/>
        </w:rPr>
      </w:pPr>
      <w:r w:rsidRPr="00366EF6">
        <w:rPr>
          <w:rFonts w:ascii="Times New Roman" w:hAnsi="Times New Roman" w:cs="Times New Roman"/>
          <w:sz w:val="24"/>
          <w:szCs w:val="24"/>
          <w:lang w:val="en-US"/>
        </w:rPr>
        <w:t xml:space="preserve">Several studies use </w:t>
      </w:r>
      <w:r w:rsidR="0074703A" w:rsidRPr="00366EF6">
        <w:rPr>
          <w:rFonts w:ascii="Times New Roman" w:hAnsi="Times New Roman" w:cs="Times New Roman"/>
          <w:sz w:val="24"/>
          <w:szCs w:val="24"/>
          <w:lang w:val="en-US"/>
        </w:rPr>
        <w:t xml:space="preserve">the implementation of SFAS 123R in 2005 as </w:t>
      </w:r>
      <w:r w:rsidRPr="00366EF6">
        <w:rPr>
          <w:rFonts w:ascii="Times New Roman" w:hAnsi="Times New Roman" w:cs="Times New Roman"/>
          <w:sz w:val="24"/>
          <w:szCs w:val="24"/>
          <w:lang w:val="en-US"/>
        </w:rPr>
        <w:t>a quasi-natural experiment</w:t>
      </w:r>
      <w:r w:rsidR="00C533D4" w:rsidRPr="00366EF6">
        <w:rPr>
          <w:rFonts w:ascii="Times New Roman" w:hAnsi="Times New Roman" w:cs="Times New Roman"/>
          <w:sz w:val="24"/>
          <w:szCs w:val="24"/>
          <w:lang w:val="en-US"/>
        </w:rPr>
        <w:t xml:space="preserve"> that</w:t>
      </w:r>
      <w:r w:rsidR="00ED1A6B" w:rsidRPr="00366EF6">
        <w:rPr>
          <w:rFonts w:ascii="Times New Roman" w:hAnsi="Times New Roman" w:cs="Times New Roman"/>
          <w:sz w:val="24"/>
          <w:szCs w:val="24"/>
          <w:lang w:val="en-US"/>
        </w:rPr>
        <w:t xml:space="preserve"> resulted in a reduction in the use of stock options and</w:t>
      </w:r>
      <w:r w:rsidRPr="00366EF6">
        <w:rPr>
          <w:rFonts w:ascii="Times New Roman" w:hAnsi="Times New Roman" w:cs="Times New Roman"/>
          <w:sz w:val="24"/>
          <w:szCs w:val="24"/>
          <w:lang w:val="en-US"/>
        </w:rPr>
        <w:t xml:space="preserve"> </w:t>
      </w:r>
      <w:r w:rsidR="00ED1A6B" w:rsidRPr="00366EF6">
        <w:rPr>
          <w:rFonts w:ascii="Times New Roman" w:hAnsi="Times New Roman" w:cs="Times New Roman"/>
          <w:sz w:val="24"/>
          <w:szCs w:val="24"/>
          <w:lang w:val="en-US"/>
        </w:rPr>
        <w:t xml:space="preserve">an </w:t>
      </w:r>
      <w:r w:rsidR="0074703A" w:rsidRPr="00366EF6">
        <w:rPr>
          <w:rFonts w:ascii="Times New Roman" w:hAnsi="Times New Roman" w:cs="Times New Roman"/>
          <w:sz w:val="24"/>
          <w:szCs w:val="24"/>
          <w:lang w:val="en-US"/>
        </w:rPr>
        <w:t>increase</w:t>
      </w:r>
      <w:r w:rsidR="00ED1A6B" w:rsidRPr="00366EF6">
        <w:rPr>
          <w:rFonts w:ascii="Times New Roman" w:hAnsi="Times New Roman" w:cs="Times New Roman"/>
          <w:sz w:val="24"/>
          <w:szCs w:val="24"/>
          <w:lang w:val="en-US"/>
        </w:rPr>
        <w:t xml:space="preserve"> in</w:t>
      </w:r>
      <w:r w:rsidR="0074703A" w:rsidRPr="00366EF6">
        <w:rPr>
          <w:rFonts w:ascii="Times New Roman" w:hAnsi="Times New Roman" w:cs="Times New Roman"/>
          <w:sz w:val="24"/>
          <w:szCs w:val="24"/>
          <w:lang w:val="en-US"/>
        </w:rPr>
        <w:t xml:space="preserve"> manager</w:t>
      </w:r>
      <w:r w:rsidR="00A92B05">
        <w:rPr>
          <w:rFonts w:ascii="Times New Roman" w:hAnsi="Times New Roman" w:cs="Times New Roman"/>
          <w:sz w:val="24"/>
          <w:szCs w:val="24"/>
          <w:lang w:val="en-US"/>
        </w:rPr>
        <w:t>ial</w:t>
      </w:r>
      <w:r w:rsidR="0074703A" w:rsidRPr="00366EF6">
        <w:rPr>
          <w:rFonts w:ascii="Times New Roman" w:hAnsi="Times New Roman" w:cs="Times New Roman"/>
          <w:sz w:val="24"/>
          <w:szCs w:val="24"/>
          <w:lang w:val="en-US"/>
        </w:rPr>
        <w:t xml:space="preserve"> risk aversion</w:t>
      </w:r>
      <w:r w:rsidRPr="00366EF6">
        <w:rPr>
          <w:rFonts w:ascii="Times New Roman" w:hAnsi="Times New Roman" w:cs="Times New Roman"/>
          <w:sz w:val="24"/>
          <w:szCs w:val="24"/>
          <w:lang w:val="en-US"/>
        </w:rPr>
        <w:t xml:space="preserve">. </w:t>
      </w:r>
      <w:r w:rsidR="001F6E4D" w:rsidRPr="00366EF6">
        <w:rPr>
          <w:rFonts w:ascii="Times New Roman" w:hAnsi="Times New Roman" w:cs="Times New Roman"/>
          <w:sz w:val="24"/>
          <w:szCs w:val="24"/>
          <w:lang w:val="en-US"/>
        </w:rPr>
        <w:t>Hayes</w:t>
      </w:r>
      <w:r w:rsidR="00024071">
        <w:rPr>
          <w:rFonts w:ascii="Times New Roman" w:hAnsi="Times New Roman" w:cs="Times New Roman"/>
          <w:sz w:val="24"/>
          <w:szCs w:val="24"/>
          <w:lang w:val="en-US"/>
        </w:rPr>
        <w:t xml:space="preserve"> et al. </w:t>
      </w:r>
      <w:r w:rsidRPr="00366EF6">
        <w:rPr>
          <w:rFonts w:ascii="Times New Roman" w:hAnsi="Times New Roman" w:cs="Times New Roman"/>
          <w:sz w:val="24"/>
          <w:szCs w:val="24"/>
          <w:lang w:val="en-US"/>
        </w:rPr>
        <w:t xml:space="preserve">(2012) show that there is little evidence that the decline in </w:t>
      </w:r>
      <w:r w:rsidR="00D87FC6" w:rsidRPr="00366EF6">
        <w:rPr>
          <w:rFonts w:ascii="Times New Roman" w:hAnsi="Times New Roman" w:cs="Times New Roman"/>
          <w:sz w:val="24"/>
          <w:szCs w:val="24"/>
          <w:lang w:val="en-US"/>
        </w:rPr>
        <w:t>the use of</w:t>
      </w:r>
      <w:r w:rsidR="00C533D4" w:rsidRPr="00366EF6">
        <w:rPr>
          <w:rFonts w:ascii="Times New Roman" w:hAnsi="Times New Roman" w:cs="Times New Roman"/>
          <w:sz w:val="24"/>
          <w:szCs w:val="24"/>
          <w:lang w:val="en-US"/>
        </w:rPr>
        <w:t xml:space="preserve"> stock</w:t>
      </w:r>
      <w:r w:rsidR="00D87FC6" w:rsidRPr="00366EF6">
        <w:rPr>
          <w:rFonts w:ascii="Times New Roman" w:hAnsi="Times New Roman" w:cs="Times New Roman"/>
          <w:sz w:val="24"/>
          <w:szCs w:val="24"/>
          <w:lang w:val="en-US"/>
        </w:rPr>
        <w:t xml:space="preserve"> </w:t>
      </w:r>
      <w:r w:rsidRPr="00366EF6">
        <w:rPr>
          <w:rFonts w:ascii="Times New Roman" w:hAnsi="Times New Roman" w:cs="Times New Roman"/>
          <w:sz w:val="24"/>
          <w:szCs w:val="24"/>
          <w:lang w:val="en-US"/>
        </w:rPr>
        <w:t>option</w:t>
      </w:r>
      <w:r w:rsidR="00D87FC6" w:rsidRPr="00366EF6">
        <w:rPr>
          <w:rFonts w:ascii="Times New Roman" w:hAnsi="Times New Roman" w:cs="Times New Roman"/>
          <w:sz w:val="24"/>
          <w:szCs w:val="24"/>
          <w:lang w:val="en-US"/>
        </w:rPr>
        <w:t xml:space="preserve">s </w:t>
      </w:r>
      <w:r w:rsidRPr="00366EF6">
        <w:rPr>
          <w:rFonts w:ascii="Times New Roman" w:hAnsi="Times New Roman" w:cs="Times New Roman"/>
          <w:sz w:val="24"/>
          <w:szCs w:val="24"/>
          <w:lang w:val="en-US"/>
        </w:rPr>
        <w:t xml:space="preserve">resulted in less risky investment and financing policies. However, other studies do find that the reduction in </w:t>
      </w:r>
      <w:r w:rsidR="001F6E4D" w:rsidRPr="00366EF6">
        <w:rPr>
          <w:rFonts w:ascii="Times New Roman" w:hAnsi="Times New Roman" w:cs="Times New Roman"/>
          <w:sz w:val="24"/>
          <w:szCs w:val="24"/>
          <w:lang w:val="en-US"/>
        </w:rPr>
        <w:t>the use of stock options</w:t>
      </w:r>
      <w:r w:rsidRPr="00366EF6">
        <w:rPr>
          <w:rFonts w:ascii="Times New Roman" w:hAnsi="Times New Roman" w:cs="Times New Roman"/>
          <w:sz w:val="24"/>
          <w:szCs w:val="24"/>
          <w:lang w:val="en-US"/>
        </w:rPr>
        <w:t xml:space="preserve"> resulted in significant changes </w:t>
      </w:r>
      <w:r w:rsidR="00D87FC6" w:rsidRPr="00366EF6">
        <w:rPr>
          <w:rFonts w:ascii="Times New Roman" w:hAnsi="Times New Roman" w:cs="Times New Roman"/>
          <w:sz w:val="24"/>
          <w:szCs w:val="24"/>
          <w:lang w:val="en-US"/>
        </w:rPr>
        <w:t>in</w:t>
      </w:r>
      <w:r w:rsidRPr="00366EF6">
        <w:rPr>
          <w:rFonts w:ascii="Times New Roman" w:hAnsi="Times New Roman" w:cs="Times New Roman"/>
          <w:sz w:val="24"/>
          <w:szCs w:val="24"/>
          <w:lang w:val="en-US"/>
        </w:rPr>
        <w:t xml:space="preserve"> corporate policies. </w:t>
      </w:r>
      <w:r w:rsidR="001F6E4D" w:rsidRPr="00366EF6">
        <w:rPr>
          <w:rFonts w:ascii="Times New Roman" w:hAnsi="Times New Roman" w:cs="Times New Roman"/>
          <w:sz w:val="24"/>
          <w:szCs w:val="24"/>
          <w:lang w:val="en-US"/>
        </w:rPr>
        <w:t>Bakke</w:t>
      </w:r>
      <w:r w:rsidR="00BC3337">
        <w:rPr>
          <w:rFonts w:ascii="Times New Roman" w:hAnsi="Times New Roman" w:cs="Times New Roman"/>
          <w:sz w:val="24"/>
          <w:szCs w:val="24"/>
          <w:lang w:val="en-US"/>
        </w:rPr>
        <w:t xml:space="preserve"> et al.</w:t>
      </w:r>
      <w:r w:rsidR="001F6E4D" w:rsidRPr="00366EF6">
        <w:rPr>
          <w:rFonts w:ascii="Times New Roman" w:hAnsi="Times New Roman" w:cs="Times New Roman"/>
          <w:sz w:val="24"/>
          <w:szCs w:val="24"/>
          <w:lang w:val="en-US"/>
        </w:rPr>
        <w:t xml:space="preserve"> </w:t>
      </w:r>
      <w:r w:rsidRPr="00366EF6">
        <w:rPr>
          <w:rFonts w:ascii="Times New Roman" w:hAnsi="Times New Roman" w:cs="Times New Roman"/>
          <w:sz w:val="24"/>
          <w:szCs w:val="24"/>
          <w:lang w:val="en-US"/>
        </w:rPr>
        <w:t>(2016)</w:t>
      </w:r>
      <w:r w:rsidR="00CA54CD" w:rsidRPr="00366EF6">
        <w:rPr>
          <w:rFonts w:ascii="Times New Roman" w:hAnsi="Times New Roman" w:cs="Times New Roman"/>
          <w:sz w:val="24"/>
          <w:szCs w:val="24"/>
          <w:lang w:val="en-US"/>
        </w:rPr>
        <w:t xml:space="preserve"> </w:t>
      </w:r>
      <w:r w:rsidR="00137311">
        <w:rPr>
          <w:rFonts w:ascii="Times New Roman" w:hAnsi="Times New Roman" w:cs="Times New Roman"/>
          <w:sz w:val="24"/>
          <w:szCs w:val="24"/>
          <w:lang w:val="en-US"/>
        </w:rPr>
        <w:t>claim</w:t>
      </w:r>
      <w:r w:rsidR="00CA54CD" w:rsidRPr="00366EF6">
        <w:rPr>
          <w:rFonts w:ascii="Times New Roman" w:hAnsi="Times New Roman" w:cs="Times New Roman"/>
          <w:sz w:val="24"/>
          <w:szCs w:val="24"/>
          <w:lang w:val="en-US"/>
        </w:rPr>
        <w:t xml:space="preserve"> that the reduction in stock options resulting from the implementation of SFAS 123R increased hedging intensity in the oil and gas industry.</w:t>
      </w:r>
      <w:r w:rsidRPr="00366EF6">
        <w:rPr>
          <w:rFonts w:ascii="Times New Roman" w:hAnsi="Times New Roman" w:cs="Times New Roman"/>
          <w:sz w:val="24"/>
          <w:szCs w:val="24"/>
          <w:lang w:val="en-US"/>
        </w:rPr>
        <w:t xml:space="preserve"> Hong (2019) provides evidence that the reduction in </w:t>
      </w:r>
      <w:r w:rsidR="00CA54CD" w:rsidRPr="00366EF6">
        <w:rPr>
          <w:rFonts w:ascii="Times New Roman" w:hAnsi="Times New Roman" w:cs="Times New Roman"/>
          <w:sz w:val="24"/>
          <w:szCs w:val="24"/>
          <w:lang w:val="en-US"/>
        </w:rPr>
        <w:t xml:space="preserve">CEO </w:t>
      </w:r>
      <w:proofErr w:type="spellStart"/>
      <w:r w:rsidRPr="00366EF6">
        <w:rPr>
          <w:rFonts w:ascii="Times New Roman" w:hAnsi="Times New Roman" w:cs="Times New Roman"/>
          <w:sz w:val="24"/>
          <w:szCs w:val="24"/>
          <w:lang w:val="en-US"/>
        </w:rPr>
        <w:t>vega</w:t>
      </w:r>
      <w:proofErr w:type="spellEnd"/>
      <w:r w:rsidR="002D701D" w:rsidRPr="00366EF6">
        <w:rPr>
          <w:rFonts w:ascii="Times New Roman" w:hAnsi="Times New Roman" w:cs="Times New Roman"/>
          <w:sz w:val="24"/>
          <w:szCs w:val="24"/>
          <w:lang w:val="en-US"/>
        </w:rPr>
        <w:t>,</w:t>
      </w:r>
      <w:r w:rsidR="00CA54CD" w:rsidRPr="00366EF6">
        <w:rPr>
          <w:rFonts w:ascii="Times New Roman" w:hAnsi="Times New Roman" w:cs="Times New Roman"/>
          <w:sz w:val="24"/>
          <w:szCs w:val="24"/>
          <w:lang w:val="en-US"/>
        </w:rPr>
        <w:t xml:space="preserve"> resulting from the reduction in the use of stock options </w:t>
      </w:r>
      <w:r w:rsidR="00B13072">
        <w:rPr>
          <w:rFonts w:ascii="Times New Roman" w:hAnsi="Times New Roman" w:cs="Times New Roman"/>
          <w:sz w:val="24"/>
          <w:szCs w:val="24"/>
          <w:lang w:val="en-US"/>
        </w:rPr>
        <w:t>following</w:t>
      </w:r>
      <w:r w:rsidR="00B13072" w:rsidRPr="00366EF6">
        <w:rPr>
          <w:rFonts w:ascii="Times New Roman" w:hAnsi="Times New Roman" w:cs="Times New Roman"/>
          <w:sz w:val="24"/>
          <w:szCs w:val="24"/>
          <w:lang w:val="en-US"/>
        </w:rPr>
        <w:t xml:space="preserve"> </w:t>
      </w:r>
      <w:r w:rsidR="00CA54CD" w:rsidRPr="00366EF6">
        <w:rPr>
          <w:rFonts w:ascii="Times New Roman" w:hAnsi="Times New Roman" w:cs="Times New Roman"/>
          <w:sz w:val="24"/>
          <w:szCs w:val="24"/>
          <w:lang w:val="en-US"/>
        </w:rPr>
        <w:t>the implementation of SFAS 123R</w:t>
      </w:r>
      <w:r w:rsidR="002D701D" w:rsidRPr="00366EF6">
        <w:rPr>
          <w:rFonts w:ascii="Times New Roman" w:hAnsi="Times New Roman" w:cs="Times New Roman"/>
          <w:sz w:val="24"/>
          <w:szCs w:val="24"/>
          <w:lang w:val="en-US"/>
        </w:rPr>
        <w:t>,</w:t>
      </w:r>
      <w:r w:rsidR="00CA54CD" w:rsidRPr="00366EF6">
        <w:rPr>
          <w:rFonts w:ascii="Times New Roman" w:hAnsi="Times New Roman" w:cs="Times New Roman"/>
          <w:sz w:val="24"/>
          <w:szCs w:val="24"/>
          <w:lang w:val="en-US"/>
        </w:rPr>
        <w:t xml:space="preserve"> caused an </w:t>
      </w:r>
      <w:r w:rsidRPr="00366EF6">
        <w:rPr>
          <w:rFonts w:ascii="Times New Roman" w:hAnsi="Times New Roman" w:cs="Times New Roman"/>
          <w:sz w:val="24"/>
          <w:szCs w:val="24"/>
          <w:lang w:val="en-US"/>
        </w:rPr>
        <w:t xml:space="preserve">increase in debt maturity. </w:t>
      </w:r>
      <w:r w:rsidR="00CA54CD" w:rsidRPr="00366EF6">
        <w:rPr>
          <w:rFonts w:ascii="Times New Roman" w:hAnsi="Times New Roman" w:cs="Times New Roman"/>
          <w:sz w:val="24"/>
          <w:szCs w:val="24"/>
          <w:lang w:val="en-US"/>
        </w:rPr>
        <w:t xml:space="preserve">Using the same setting </w:t>
      </w:r>
      <w:r w:rsidRPr="00366EF6">
        <w:rPr>
          <w:rFonts w:ascii="Times New Roman" w:hAnsi="Times New Roman" w:cs="Times New Roman"/>
          <w:sz w:val="24"/>
          <w:szCs w:val="24"/>
          <w:lang w:val="en-US"/>
        </w:rPr>
        <w:t>Aboody</w:t>
      </w:r>
      <w:r w:rsidR="00024071">
        <w:rPr>
          <w:rFonts w:ascii="Times New Roman" w:hAnsi="Times New Roman" w:cs="Times New Roman"/>
          <w:sz w:val="24"/>
          <w:szCs w:val="24"/>
          <w:lang w:val="en-US"/>
        </w:rPr>
        <w:t xml:space="preserve"> et al. </w:t>
      </w:r>
      <w:r w:rsidRPr="00366EF6">
        <w:rPr>
          <w:rFonts w:ascii="Times New Roman" w:hAnsi="Times New Roman" w:cs="Times New Roman"/>
          <w:sz w:val="24"/>
          <w:szCs w:val="24"/>
          <w:lang w:val="en-US"/>
        </w:rPr>
        <w:t xml:space="preserve"> (2018) show that managers reduce operating leverage (i.e., the fixed-to-variable cost ratio) associated with firm systematic risk</w:t>
      </w:r>
      <w:r w:rsidR="00D87FC6" w:rsidRPr="00366EF6">
        <w:rPr>
          <w:rFonts w:ascii="Times New Roman" w:hAnsi="Times New Roman" w:cs="Times New Roman"/>
          <w:sz w:val="24"/>
          <w:szCs w:val="24"/>
          <w:lang w:val="en-US"/>
        </w:rPr>
        <w:t xml:space="preserve"> </w:t>
      </w:r>
      <w:r w:rsidRPr="00366EF6">
        <w:rPr>
          <w:rFonts w:ascii="Times New Roman" w:hAnsi="Times New Roman" w:cs="Times New Roman"/>
          <w:sz w:val="24"/>
          <w:szCs w:val="24"/>
          <w:lang w:val="en-US"/>
        </w:rPr>
        <w:t xml:space="preserve">in response to reductions in option-based compensation following the issuance of </w:t>
      </w:r>
      <w:r w:rsidR="00A63D6B" w:rsidRPr="00366EF6">
        <w:rPr>
          <w:rFonts w:ascii="Times New Roman" w:hAnsi="Times New Roman" w:cs="Times New Roman"/>
          <w:sz w:val="24"/>
          <w:szCs w:val="24"/>
          <w:lang w:val="en-US"/>
        </w:rPr>
        <w:t>S</w:t>
      </w:r>
      <w:r w:rsidRPr="00366EF6">
        <w:rPr>
          <w:rFonts w:ascii="Times New Roman" w:hAnsi="Times New Roman" w:cs="Times New Roman"/>
          <w:sz w:val="24"/>
          <w:szCs w:val="24"/>
          <w:lang w:val="en-US"/>
        </w:rPr>
        <w:t xml:space="preserve">FAS 123R. Overall, this literature shows that risk taking incentives have important effects on corporate policies. </w:t>
      </w:r>
    </w:p>
    <w:p w14:paraId="5905740E" w14:textId="22A1E6C7" w:rsidR="009575FD" w:rsidRPr="00366EF6" w:rsidRDefault="009575FD" w:rsidP="009575FD">
      <w:pPr>
        <w:autoSpaceDE w:val="0"/>
        <w:autoSpaceDN w:val="0"/>
        <w:adjustRightInd w:val="0"/>
        <w:spacing w:after="0" w:line="480" w:lineRule="auto"/>
        <w:jc w:val="both"/>
        <w:rPr>
          <w:rFonts w:ascii="Times New Roman" w:hAnsi="Times New Roman" w:cs="Times New Roman"/>
          <w:i/>
          <w:sz w:val="24"/>
          <w:szCs w:val="24"/>
          <w:lang w:val="en-US"/>
        </w:rPr>
      </w:pPr>
      <w:r w:rsidRPr="00366EF6">
        <w:rPr>
          <w:rFonts w:ascii="Times New Roman" w:hAnsi="Times New Roman" w:cs="Times New Roman"/>
          <w:i/>
          <w:sz w:val="24"/>
          <w:szCs w:val="24"/>
          <w:lang w:val="en-US"/>
        </w:rPr>
        <w:t>2.</w:t>
      </w:r>
      <w:r w:rsidR="002C1476" w:rsidRPr="00366EF6">
        <w:rPr>
          <w:rFonts w:ascii="Times New Roman" w:hAnsi="Times New Roman" w:cs="Times New Roman"/>
          <w:i/>
          <w:sz w:val="24"/>
          <w:szCs w:val="24"/>
          <w:lang w:val="en-US"/>
        </w:rPr>
        <w:t>2</w:t>
      </w:r>
      <w:r w:rsidRPr="00366EF6">
        <w:rPr>
          <w:rFonts w:ascii="Times New Roman" w:hAnsi="Times New Roman" w:cs="Times New Roman"/>
          <w:i/>
          <w:sz w:val="24"/>
          <w:szCs w:val="24"/>
          <w:lang w:val="en-US"/>
        </w:rPr>
        <w:t>. Equity incentives and workplace misconduct</w:t>
      </w:r>
    </w:p>
    <w:p w14:paraId="35BEC9E7" w14:textId="2487A3AD" w:rsidR="00BA21B7" w:rsidRPr="00100CF9" w:rsidRDefault="008F06B7" w:rsidP="00343F87">
      <w:pPr>
        <w:autoSpaceDE w:val="0"/>
        <w:autoSpaceDN w:val="0"/>
        <w:adjustRightInd w:val="0"/>
        <w:spacing w:after="0" w:line="480" w:lineRule="auto"/>
        <w:ind w:firstLine="720"/>
        <w:jc w:val="both"/>
        <w:rPr>
          <w:rFonts w:ascii="Times New Roman" w:hAnsi="Times New Roman" w:cs="Times New Roman"/>
          <w:iCs/>
          <w:sz w:val="24"/>
          <w:szCs w:val="24"/>
          <w:lang w:val="en-US"/>
        </w:rPr>
      </w:pPr>
      <w:r w:rsidRPr="00366EF6">
        <w:rPr>
          <w:rFonts w:ascii="Times New Roman" w:hAnsi="Times New Roman" w:cs="Times New Roman"/>
          <w:sz w:val="24"/>
          <w:szCs w:val="24"/>
          <w:lang w:val="en-US"/>
        </w:rPr>
        <w:t xml:space="preserve">Serious workplace </w:t>
      </w:r>
      <w:r w:rsidR="00FC2056" w:rsidRPr="00366EF6">
        <w:rPr>
          <w:rFonts w:ascii="Times New Roman" w:hAnsi="Times New Roman" w:cs="Times New Roman"/>
          <w:sz w:val="24"/>
          <w:szCs w:val="24"/>
          <w:lang w:val="en-US"/>
        </w:rPr>
        <w:t>misconduct</w:t>
      </w:r>
      <w:r w:rsidRPr="00366EF6">
        <w:rPr>
          <w:rFonts w:ascii="Times New Roman" w:hAnsi="Times New Roman" w:cs="Times New Roman"/>
          <w:sz w:val="24"/>
          <w:szCs w:val="24"/>
          <w:lang w:val="en-US"/>
        </w:rPr>
        <w:t xml:space="preserve"> </w:t>
      </w:r>
      <w:r w:rsidR="003B69BB">
        <w:rPr>
          <w:rFonts w:ascii="Times New Roman" w:hAnsi="Times New Roman" w:cs="Times New Roman"/>
          <w:sz w:val="24"/>
          <w:szCs w:val="24"/>
          <w:lang w:val="en-US"/>
        </w:rPr>
        <w:t>includes</w:t>
      </w:r>
      <w:r w:rsidR="003B69BB" w:rsidRPr="00366EF6">
        <w:rPr>
          <w:rFonts w:ascii="Times New Roman" w:hAnsi="Times New Roman" w:cs="Times New Roman"/>
          <w:sz w:val="24"/>
          <w:szCs w:val="24"/>
          <w:lang w:val="en-US"/>
        </w:rPr>
        <w:t xml:space="preserve"> </w:t>
      </w:r>
      <w:r w:rsidRPr="00366EF6">
        <w:rPr>
          <w:rFonts w:ascii="Times New Roman" w:hAnsi="Times New Roman" w:cs="Times New Roman"/>
          <w:sz w:val="24"/>
          <w:szCs w:val="24"/>
          <w:lang w:val="en-US"/>
        </w:rPr>
        <w:t>the violation of health and safet</w:t>
      </w:r>
      <w:r w:rsidR="00FC2056" w:rsidRPr="00366EF6">
        <w:rPr>
          <w:rFonts w:ascii="Times New Roman" w:hAnsi="Times New Roman" w:cs="Times New Roman"/>
          <w:sz w:val="24"/>
          <w:szCs w:val="24"/>
          <w:lang w:val="en-US"/>
        </w:rPr>
        <w:t xml:space="preserve">y regulations, </w:t>
      </w:r>
      <w:r w:rsidR="00BA21B7" w:rsidRPr="00366EF6">
        <w:rPr>
          <w:rFonts w:ascii="Times New Roman" w:hAnsi="Times New Roman" w:cs="Times New Roman"/>
          <w:iCs/>
          <w:sz w:val="24"/>
          <w:szCs w:val="24"/>
          <w:lang w:val="en-US"/>
        </w:rPr>
        <w:t xml:space="preserve">non-compliance with </w:t>
      </w:r>
      <w:r w:rsidR="006753AD" w:rsidRPr="00366EF6">
        <w:rPr>
          <w:rFonts w:ascii="Times New Roman" w:hAnsi="Times New Roman" w:cs="Times New Roman"/>
          <w:iCs/>
          <w:sz w:val="24"/>
          <w:szCs w:val="24"/>
          <w:lang w:val="en-US"/>
        </w:rPr>
        <w:t>labor</w:t>
      </w:r>
      <w:r w:rsidR="00BA21B7" w:rsidRPr="00366EF6">
        <w:rPr>
          <w:rFonts w:ascii="Times New Roman" w:hAnsi="Times New Roman" w:cs="Times New Roman"/>
          <w:iCs/>
          <w:sz w:val="24"/>
          <w:szCs w:val="24"/>
          <w:lang w:val="en-US"/>
        </w:rPr>
        <w:t xml:space="preserve"> laws, </w:t>
      </w:r>
      <w:r w:rsidR="00101C60">
        <w:rPr>
          <w:rFonts w:ascii="Times New Roman" w:hAnsi="Times New Roman" w:cs="Times New Roman"/>
          <w:iCs/>
          <w:sz w:val="24"/>
          <w:szCs w:val="24"/>
          <w:lang w:val="en-US"/>
        </w:rPr>
        <w:t>and</w:t>
      </w:r>
      <w:r w:rsidR="00BA21B7" w:rsidRPr="00366EF6">
        <w:rPr>
          <w:rFonts w:ascii="Times New Roman" w:hAnsi="Times New Roman" w:cs="Times New Roman"/>
          <w:iCs/>
          <w:sz w:val="24"/>
          <w:szCs w:val="24"/>
          <w:lang w:val="en-US"/>
        </w:rPr>
        <w:t xml:space="preserve"> other violations broadly related to </w:t>
      </w:r>
      <w:r w:rsidR="006753AD" w:rsidRPr="00366EF6">
        <w:rPr>
          <w:rFonts w:ascii="Times New Roman" w:hAnsi="Times New Roman" w:cs="Times New Roman"/>
          <w:iCs/>
          <w:sz w:val="24"/>
          <w:szCs w:val="24"/>
          <w:lang w:val="en-US"/>
        </w:rPr>
        <w:t>labor</w:t>
      </w:r>
      <w:r w:rsidR="00BA21B7" w:rsidRPr="00366EF6">
        <w:rPr>
          <w:rFonts w:ascii="Times New Roman" w:hAnsi="Times New Roman" w:cs="Times New Roman"/>
          <w:iCs/>
          <w:sz w:val="24"/>
          <w:szCs w:val="24"/>
          <w:lang w:val="en-US"/>
        </w:rPr>
        <w:t xml:space="preserve"> exploitation. </w:t>
      </w:r>
      <w:r w:rsidR="00D87FC6" w:rsidRPr="00366EF6">
        <w:rPr>
          <w:rFonts w:ascii="Times New Roman" w:hAnsi="Times New Roman" w:cs="Times New Roman"/>
          <w:iCs/>
          <w:sz w:val="24"/>
          <w:szCs w:val="24"/>
          <w:lang w:val="en-US"/>
        </w:rPr>
        <w:t xml:space="preserve">Even though </w:t>
      </w:r>
      <w:r w:rsidR="00FC2056" w:rsidRPr="00366EF6">
        <w:rPr>
          <w:rFonts w:ascii="Times New Roman" w:hAnsi="Times New Roman" w:cs="Times New Roman"/>
          <w:iCs/>
          <w:sz w:val="24"/>
          <w:szCs w:val="24"/>
          <w:lang w:val="en-US"/>
        </w:rPr>
        <w:t>labor violations are associated with significant economic costs for the firm</w:t>
      </w:r>
      <w:r w:rsidR="00790F6A" w:rsidRPr="00366EF6">
        <w:rPr>
          <w:rFonts w:ascii="Times New Roman" w:hAnsi="Times New Roman" w:cs="Times New Roman"/>
          <w:iCs/>
          <w:sz w:val="24"/>
          <w:szCs w:val="24"/>
          <w:lang w:val="en-US"/>
        </w:rPr>
        <w:t xml:space="preserve">, </w:t>
      </w:r>
      <w:r w:rsidR="00FC2056" w:rsidRPr="00366EF6">
        <w:rPr>
          <w:rFonts w:ascii="Times New Roman" w:hAnsi="Times New Roman" w:cs="Times New Roman"/>
          <w:iCs/>
          <w:sz w:val="24"/>
          <w:szCs w:val="24"/>
          <w:lang w:val="en-US"/>
        </w:rPr>
        <w:t>employees</w:t>
      </w:r>
      <w:r w:rsidR="00790F6A" w:rsidRPr="00366EF6">
        <w:rPr>
          <w:rFonts w:ascii="Times New Roman" w:hAnsi="Times New Roman" w:cs="Times New Roman"/>
          <w:iCs/>
          <w:sz w:val="24"/>
          <w:szCs w:val="24"/>
          <w:lang w:val="en-US"/>
        </w:rPr>
        <w:t>, and society in general</w:t>
      </w:r>
      <w:r w:rsidR="00FC2056" w:rsidRPr="00366EF6">
        <w:rPr>
          <w:rFonts w:ascii="Times New Roman" w:hAnsi="Times New Roman" w:cs="Times New Roman"/>
          <w:iCs/>
          <w:sz w:val="24"/>
          <w:szCs w:val="24"/>
          <w:lang w:val="en-US"/>
        </w:rPr>
        <w:t xml:space="preserve">, workplace misconduct </w:t>
      </w:r>
      <w:r w:rsidR="000E2FF0">
        <w:rPr>
          <w:rFonts w:ascii="Times New Roman" w:hAnsi="Times New Roman" w:cs="Times New Roman"/>
          <w:iCs/>
          <w:sz w:val="24"/>
          <w:szCs w:val="24"/>
          <w:lang w:val="en-US"/>
        </w:rPr>
        <w:t xml:space="preserve">might generate benefits. </w:t>
      </w:r>
      <w:proofErr w:type="gramStart"/>
      <w:r w:rsidR="000E2FF0" w:rsidRPr="00A4726C">
        <w:rPr>
          <w:rFonts w:ascii="Times New Roman" w:hAnsi="Times New Roman" w:cs="Times New Roman"/>
          <w:sz w:val="24"/>
          <w:szCs w:val="24"/>
          <w:lang w:val="en-US"/>
        </w:rPr>
        <w:t>Similar to</w:t>
      </w:r>
      <w:proofErr w:type="gramEnd"/>
      <w:r w:rsidR="000E2FF0" w:rsidRPr="00A4726C">
        <w:rPr>
          <w:rFonts w:ascii="Times New Roman" w:hAnsi="Times New Roman" w:cs="Times New Roman"/>
          <w:sz w:val="24"/>
          <w:szCs w:val="24"/>
          <w:lang w:val="en-US"/>
        </w:rPr>
        <w:t xml:space="preserve"> financial misconduct, </w:t>
      </w:r>
      <w:r w:rsidR="00AC0290">
        <w:rPr>
          <w:rFonts w:ascii="Times New Roman" w:hAnsi="Times New Roman" w:cs="Times New Roman"/>
          <w:sz w:val="24"/>
          <w:szCs w:val="24"/>
          <w:lang w:val="en-US"/>
        </w:rPr>
        <w:lastRenderedPageBreak/>
        <w:t>w</w:t>
      </w:r>
      <w:r w:rsidR="000E2FF0" w:rsidRPr="00A4726C">
        <w:rPr>
          <w:rFonts w:ascii="Times New Roman" w:hAnsi="Times New Roman" w:cs="Times New Roman"/>
          <w:sz w:val="24"/>
          <w:szCs w:val="24"/>
          <w:lang w:val="en-US"/>
        </w:rPr>
        <w:t>orkplace misconduct can also be perceived as a type of risky project where CEO strategic workplace decisions increase firm value at the expense of employee welfare</w:t>
      </w:r>
      <w:r w:rsidR="000E2FF0" w:rsidRPr="00366EF6">
        <w:rPr>
          <w:rFonts w:ascii="Times New Roman" w:hAnsi="Times New Roman" w:cs="Times New Roman"/>
          <w:sz w:val="24"/>
          <w:szCs w:val="24"/>
          <w:lang w:val="en-US"/>
        </w:rPr>
        <w:t>.</w:t>
      </w:r>
      <w:r w:rsidR="000E2FF0" w:rsidRPr="00366EF6">
        <w:rPr>
          <w:rStyle w:val="FootnoteReference"/>
          <w:rFonts w:ascii="Times New Roman" w:hAnsi="Times New Roman" w:cs="Times New Roman"/>
          <w:sz w:val="24"/>
          <w:szCs w:val="24"/>
          <w:lang w:val="en-US"/>
        </w:rPr>
        <w:footnoteReference w:id="5"/>
      </w:r>
    </w:p>
    <w:p w14:paraId="10CABCC1" w14:textId="29BCDA1B" w:rsidR="005B7612" w:rsidRPr="0094521B" w:rsidDel="00D76432" w:rsidRDefault="00B13072" w:rsidP="00343F87">
      <w:pPr>
        <w:autoSpaceDE w:val="0"/>
        <w:autoSpaceDN w:val="0"/>
        <w:adjustRightInd w:val="0"/>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Prior</w:t>
      </w:r>
      <w:r w:rsidRPr="0097033A">
        <w:rPr>
          <w:rFonts w:ascii="Times New Roman" w:hAnsi="Times New Roman" w:cs="Times New Roman"/>
          <w:sz w:val="24"/>
          <w:szCs w:val="24"/>
          <w:lang w:val="en-US"/>
        </w:rPr>
        <w:t xml:space="preserve"> </w:t>
      </w:r>
      <w:r w:rsidR="0097033A" w:rsidRPr="0097033A">
        <w:rPr>
          <w:rFonts w:ascii="Times New Roman" w:hAnsi="Times New Roman" w:cs="Times New Roman"/>
          <w:sz w:val="24"/>
          <w:szCs w:val="24"/>
          <w:lang w:val="en-US"/>
        </w:rPr>
        <w:t xml:space="preserve">literature shows that </w:t>
      </w:r>
      <w:r>
        <w:rPr>
          <w:rFonts w:ascii="Times New Roman" w:hAnsi="Times New Roman" w:cs="Times New Roman"/>
          <w:sz w:val="24"/>
          <w:szCs w:val="24"/>
          <w:lang w:val="en-US"/>
        </w:rPr>
        <w:t>in specific situations firms treat employees poorly</w:t>
      </w:r>
      <w:r w:rsidR="0097033A" w:rsidRPr="0097033A">
        <w:rPr>
          <w:rFonts w:ascii="Times New Roman" w:hAnsi="Times New Roman" w:cs="Times New Roman"/>
          <w:sz w:val="24"/>
          <w:szCs w:val="24"/>
          <w:lang w:val="en-US"/>
        </w:rPr>
        <w:t>.</w:t>
      </w:r>
      <w:r w:rsidR="0097033A">
        <w:rPr>
          <w:rFonts w:ascii="Times New Roman" w:hAnsi="Times New Roman" w:cs="Times New Roman"/>
          <w:sz w:val="24"/>
          <w:szCs w:val="24"/>
          <w:lang w:val="en-US"/>
        </w:rPr>
        <w:t xml:space="preserve"> </w:t>
      </w:r>
      <w:r w:rsidR="009C6303">
        <w:rPr>
          <w:rFonts w:ascii="Times New Roman" w:hAnsi="Times New Roman" w:cs="Times New Roman"/>
          <w:sz w:val="24"/>
          <w:szCs w:val="24"/>
          <w:lang w:val="en-US"/>
        </w:rPr>
        <w:t xml:space="preserve">For example, </w:t>
      </w:r>
      <w:r w:rsidR="009575FD" w:rsidRPr="00100CF9" w:rsidDel="00D76432">
        <w:rPr>
          <w:rFonts w:ascii="Times New Roman" w:hAnsi="Times New Roman" w:cs="Times New Roman"/>
          <w:sz w:val="24"/>
          <w:szCs w:val="24"/>
          <w:lang w:val="en-US"/>
        </w:rPr>
        <w:t>Caskey and Ozel (2017) show that firms that just meet or beat analysts’ forecasts have higher injury rates than those miss</w:t>
      </w:r>
      <w:r w:rsidR="005317FE" w:rsidRPr="00100CF9">
        <w:rPr>
          <w:rFonts w:ascii="Times New Roman" w:hAnsi="Times New Roman" w:cs="Times New Roman"/>
          <w:sz w:val="24"/>
          <w:szCs w:val="24"/>
          <w:lang w:val="en-US"/>
        </w:rPr>
        <w:t>ing</w:t>
      </w:r>
      <w:r w:rsidR="009575FD" w:rsidRPr="00100CF9" w:rsidDel="00D76432">
        <w:rPr>
          <w:rFonts w:ascii="Times New Roman" w:hAnsi="Times New Roman" w:cs="Times New Roman"/>
          <w:sz w:val="24"/>
          <w:szCs w:val="24"/>
          <w:lang w:val="en-US"/>
        </w:rPr>
        <w:t xml:space="preserve"> or comfortably beat</w:t>
      </w:r>
      <w:r w:rsidR="005317FE" w:rsidRPr="00100CF9">
        <w:rPr>
          <w:rFonts w:ascii="Times New Roman" w:hAnsi="Times New Roman" w:cs="Times New Roman"/>
          <w:sz w:val="24"/>
          <w:szCs w:val="24"/>
          <w:lang w:val="en-US"/>
        </w:rPr>
        <w:t xml:space="preserve">ing </w:t>
      </w:r>
      <w:r w:rsidR="009575FD" w:rsidRPr="00100CF9">
        <w:rPr>
          <w:rFonts w:ascii="Times New Roman" w:hAnsi="Times New Roman" w:cs="Times New Roman"/>
          <w:sz w:val="24"/>
          <w:szCs w:val="24"/>
          <w:lang w:val="en-US"/>
        </w:rPr>
        <w:t xml:space="preserve">analyst </w:t>
      </w:r>
      <w:r w:rsidR="009575FD" w:rsidRPr="00100CF9" w:rsidDel="00D76432">
        <w:rPr>
          <w:rFonts w:ascii="Times New Roman" w:hAnsi="Times New Roman" w:cs="Times New Roman"/>
          <w:sz w:val="24"/>
          <w:szCs w:val="24"/>
          <w:lang w:val="en-US"/>
        </w:rPr>
        <w:t xml:space="preserve">forecasts. </w:t>
      </w:r>
      <w:r w:rsidR="00B009B1" w:rsidRPr="00100CF9" w:rsidDel="00D76432">
        <w:rPr>
          <w:rFonts w:ascii="Times New Roman" w:hAnsi="Times New Roman" w:cs="Times New Roman"/>
          <w:sz w:val="24"/>
          <w:szCs w:val="24"/>
          <w:lang w:val="en-US"/>
        </w:rPr>
        <w:t>Similarly,</w:t>
      </w:r>
      <w:r w:rsidR="009575FD" w:rsidRPr="00100CF9" w:rsidDel="00D76432">
        <w:rPr>
          <w:rFonts w:ascii="Times New Roman" w:hAnsi="Times New Roman" w:cs="Times New Roman"/>
          <w:sz w:val="24"/>
          <w:szCs w:val="24"/>
          <w:lang w:val="en-US"/>
        </w:rPr>
        <w:t xml:space="preserve"> </w:t>
      </w:r>
      <w:r w:rsidR="00D03CD9" w:rsidRPr="00100CF9" w:rsidDel="00D76432">
        <w:rPr>
          <w:rFonts w:ascii="Times New Roman" w:hAnsi="Times New Roman" w:cs="Times New Roman"/>
          <w:sz w:val="24"/>
          <w:szCs w:val="24"/>
          <w:lang w:val="en-US"/>
        </w:rPr>
        <w:t>Leone and Rock</w:t>
      </w:r>
      <w:r w:rsidR="00B009B1" w:rsidRPr="00100CF9" w:rsidDel="00D76432">
        <w:rPr>
          <w:rFonts w:ascii="Times New Roman" w:hAnsi="Times New Roman" w:cs="Times New Roman"/>
          <w:sz w:val="24"/>
          <w:szCs w:val="24"/>
          <w:lang w:val="en-US"/>
        </w:rPr>
        <w:t xml:space="preserve"> (</w:t>
      </w:r>
      <w:r w:rsidR="00D03CD9" w:rsidRPr="00100CF9" w:rsidDel="00D76432">
        <w:rPr>
          <w:rFonts w:ascii="Times New Roman" w:hAnsi="Times New Roman" w:cs="Times New Roman"/>
          <w:sz w:val="24"/>
          <w:szCs w:val="24"/>
          <w:lang w:val="en-US"/>
        </w:rPr>
        <w:t>2002</w:t>
      </w:r>
      <w:r w:rsidR="00B009B1" w:rsidRPr="00100CF9" w:rsidDel="00D76432">
        <w:rPr>
          <w:rFonts w:ascii="Times New Roman" w:hAnsi="Times New Roman" w:cs="Times New Roman"/>
          <w:sz w:val="24"/>
          <w:szCs w:val="24"/>
          <w:lang w:val="en-US"/>
        </w:rPr>
        <w:t xml:space="preserve">) </w:t>
      </w:r>
      <w:r w:rsidR="00B009B1" w:rsidRPr="00100CF9">
        <w:rPr>
          <w:rFonts w:ascii="Times New Roman" w:hAnsi="Times New Roman" w:cs="Times New Roman"/>
          <w:sz w:val="24"/>
          <w:szCs w:val="24"/>
          <w:lang w:val="en-US"/>
        </w:rPr>
        <w:t xml:space="preserve">show </w:t>
      </w:r>
      <w:r w:rsidR="00B009B1" w:rsidRPr="00100CF9" w:rsidDel="00D76432">
        <w:rPr>
          <w:rFonts w:ascii="Times New Roman" w:hAnsi="Times New Roman" w:cs="Times New Roman"/>
          <w:sz w:val="24"/>
          <w:szCs w:val="24"/>
          <w:lang w:val="en-US"/>
        </w:rPr>
        <w:t xml:space="preserve">that local managers violate rules and regulations </w:t>
      </w:r>
      <w:r w:rsidR="00BF3215" w:rsidRPr="00100CF9" w:rsidDel="00D76432">
        <w:rPr>
          <w:rFonts w:ascii="Times New Roman" w:hAnsi="Times New Roman" w:cs="Times New Roman"/>
          <w:sz w:val="24"/>
          <w:szCs w:val="24"/>
          <w:lang w:val="en-US"/>
        </w:rPr>
        <w:t xml:space="preserve">when </w:t>
      </w:r>
      <w:r w:rsidR="00B009B1" w:rsidRPr="00100CF9">
        <w:rPr>
          <w:rFonts w:ascii="Times New Roman" w:hAnsi="Times New Roman" w:cs="Times New Roman"/>
          <w:sz w:val="24"/>
          <w:szCs w:val="24"/>
          <w:lang w:val="en-US"/>
        </w:rPr>
        <w:t>under</w:t>
      </w:r>
      <w:r w:rsidR="00B009B1" w:rsidRPr="00100CF9" w:rsidDel="00D76432">
        <w:rPr>
          <w:rFonts w:ascii="Times New Roman" w:hAnsi="Times New Roman" w:cs="Times New Roman"/>
          <w:sz w:val="24"/>
          <w:szCs w:val="24"/>
          <w:lang w:val="en-US"/>
        </w:rPr>
        <w:t xml:space="preserve"> pressure.</w:t>
      </w:r>
      <w:r w:rsidR="00184390" w:rsidRPr="00100CF9" w:rsidDel="00D76432">
        <w:rPr>
          <w:rFonts w:ascii="Times New Roman" w:hAnsi="Times New Roman" w:cs="Times New Roman"/>
          <w:sz w:val="24"/>
          <w:szCs w:val="24"/>
          <w:lang w:val="en-US"/>
        </w:rPr>
        <w:t xml:space="preserve"> </w:t>
      </w:r>
      <w:r w:rsidR="005317FE" w:rsidRPr="00100CF9">
        <w:rPr>
          <w:rFonts w:ascii="Times New Roman" w:hAnsi="Times New Roman" w:cs="Times New Roman"/>
          <w:sz w:val="24"/>
          <w:szCs w:val="24"/>
          <w:lang w:val="en-US"/>
        </w:rPr>
        <w:t xml:space="preserve">Further, </w:t>
      </w:r>
      <w:r w:rsidR="00184390" w:rsidRPr="00100CF9" w:rsidDel="00D76432">
        <w:rPr>
          <w:rFonts w:ascii="Times New Roman" w:hAnsi="Times New Roman" w:cs="Times New Roman"/>
          <w:sz w:val="24"/>
          <w:szCs w:val="24"/>
          <w:lang w:val="en-US"/>
        </w:rPr>
        <w:t>Heese and Pérez-</w:t>
      </w:r>
      <w:r w:rsidR="009575FD" w:rsidRPr="00100CF9" w:rsidDel="00D76432">
        <w:rPr>
          <w:rFonts w:ascii="Times New Roman" w:hAnsi="Times New Roman" w:cs="Times New Roman"/>
          <w:sz w:val="24"/>
          <w:szCs w:val="24"/>
          <w:lang w:val="en-US"/>
        </w:rPr>
        <w:t>Cavazos (20</w:t>
      </w:r>
      <w:r w:rsidR="00E21317" w:rsidRPr="00100CF9" w:rsidDel="00D76432">
        <w:rPr>
          <w:rFonts w:ascii="Times New Roman" w:hAnsi="Times New Roman" w:cs="Times New Roman"/>
          <w:sz w:val="24"/>
          <w:szCs w:val="24"/>
          <w:lang w:val="en-US"/>
        </w:rPr>
        <w:t>20</w:t>
      </w:r>
      <w:r w:rsidR="009575FD" w:rsidRPr="00100CF9" w:rsidDel="00D76432">
        <w:rPr>
          <w:rFonts w:ascii="Times New Roman" w:hAnsi="Times New Roman" w:cs="Times New Roman"/>
          <w:sz w:val="24"/>
          <w:szCs w:val="24"/>
          <w:lang w:val="en-US"/>
        </w:rPr>
        <w:t>) show that while onsite visits by man</w:t>
      </w:r>
      <w:r w:rsidR="001D29C5" w:rsidRPr="00100CF9" w:rsidDel="00D76432">
        <w:rPr>
          <w:rFonts w:ascii="Times New Roman" w:hAnsi="Times New Roman" w:cs="Times New Roman"/>
          <w:sz w:val="24"/>
          <w:szCs w:val="24"/>
          <w:lang w:val="en-US"/>
        </w:rPr>
        <w:t>a</w:t>
      </w:r>
      <w:r w:rsidR="009575FD" w:rsidRPr="00100CF9" w:rsidDel="00D76432">
        <w:rPr>
          <w:rFonts w:ascii="Times New Roman" w:hAnsi="Times New Roman" w:cs="Times New Roman"/>
          <w:sz w:val="24"/>
          <w:szCs w:val="24"/>
          <w:lang w:val="en-US"/>
        </w:rPr>
        <w:t xml:space="preserve">gers </w:t>
      </w:r>
      <w:r w:rsidR="005317FE" w:rsidRPr="00100CF9">
        <w:rPr>
          <w:rFonts w:ascii="Times New Roman" w:hAnsi="Times New Roman" w:cs="Times New Roman"/>
          <w:sz w:val="24"/>
          <w:szCs w:val="24"/>
          <w:lang w:val="en-US"/>
        </w:rPr>
        <w:t xml:space="preserve">generally </w:t>
      </w:r>
      <w:r w:rsidR="009575FD" w:rsidRPr="00100CF9" w:rsidDel="00D76432">
        <w:rPr>
          <w:rFonts w:ascii="Times New Roman" w:hAnsi="Times New Roman" w:cs="Times New Roman"/>
          <w:sz w:val="24"/>
          <w:szCs w:val="24"/>
          <w:lang w:val="en-US"/>
        </w:rPr>
        <w:t xml:space="preserve">reduce misconduct, </w:t>
      </w:r>
      <w:r w:rsidR="005317FE" w:rsidRPr="00100CF9">
        <w:rPr>
          <w:rFonts w:ascii="Times New Roman" w:hAnsi="Times New Roman" w:cs="Times New Roman"/>
          <w:sz w:val="24"/>
          <w:szCs w:val="24"/>
          <w:lang w:val="en-US"/>
        </w:rPr>
        <w:t>when</w:t>
      </w:r>
      <w:r w:rsidR="009575FD" w:rsidRPr="00100CF9" w:rsidDel="00D76432">
        <w:rPr>
          <w:rFonts w:ascii="Times New Roman" w:hAnsi="Times New Roman" w:cs="Times New Roman"/>
          <w:sz w:val="24"/>
          <w:szCs w:val="24"/>
          <w:lang w:val="en-US"/>
        </w:rPr>
        <w:t xml:space="preserve"> firms are under pressure</w:t>
      </w:r>
      <w:r w:rsidR="005317FE" w:rsidRPr="00100CF9">
        <w:rPr>
          <w:rFonts w:ascii="Times New Roman" w:hAnsi="Times New Roman" w:cs="Times New Roman"/>
          <w:sz w:val="24"/>
          <w:szCs w:val="24"/>
          <w:lang w:val="en-US"/>
        </w:rPr>
        <w:t>,</w:t>
      </w:r>
      <w:r w:rsidR="009575FD" w:rsidRPr="00100CF9" w:rsidDel="00D76432">
        <w:rPr>
          <w:rFonts w:ascii="Times New Roman" w:hAnsi="Times New Roman" w:cs="Times New Roman"/>
          <w:sz w:val="24"/>
          <w:szCs w:val="24"/>
          <w:lang w:val="en-US"/>
        </w:rPr>
        <w:t xml:space="preserve"> there is an increase in misconduct.</w:t>
      </w:r>
      <w:r w:rsidR="009575FD" w:rsidRPr="0094521B" w:rsidDel="00D76432">
        <w:rPr>
          <w:rFonts w:ascii="Times New Roman" w:hAnsi="Times New Roman" w:cs="Times New Roman"/>
          <w:sz w:val="24"/>
          <w:szCs w:val="24"/>
          <w:lang w:val="en-US"/>
        </w:rPr>
        <w:t xml:space="preserve"> </w:t>
      </w:r>
    </w:p>
    <w:p w14:paraId="6D95E891" w14:textId="488B1A7D" w:rsidR="009575FD" w:rsidRDefault="00FC38D7" w:rsidP="00343F87">
      <w:pPr>
        <w:autoSpaceDE w:val="0"/>
        <w:autoSpaceDN w:val="0"/>
        <w:adjustRightInd w:val="0"/>
        <w:spacing w:after="0" w:line="480" w:lineRule="auto"/>
        <w:ind w:firstLine="720"/>
        <w:jc w:val="both"/>
        <w:rPr>
          <w:rFonts w:ascii="Times New Roman" w:hAnsi="Times New Roman" w:cs="Times New Roman"/>
          <w:sz w:val="24"/>
          <w:szCs w:val="24"/>
          <w:lang w:val="en-US"/>
        </w:rPr>
      </w:pPr>
      <w:r w:rsidRPr="00366EF6">
        <w:rPr>
          <w:rFonts w:ascii="Times New Roman" w:hAnsi="Times New Roman" w:cs="Times New Roman"/>
          <w:sz w:val="24"/>
          <w:szCs w:val="24"/>
          <w:lang w:val="en-US"/>
        </w:rPr>
        <w:t>Armstron</w:t>
      </w:r>
      <w:r w:rsidR="00094BA9">
        <w:rPr>
          <w:rFonts w:ascii="Times New Roman" w:hAnsi="Times New Roman" w:cs="Times New Roman"/>
          <w:sz w:val="24"/>
          <w:szCs w:val="24"/>
          <w:lang w:val="en-US"/>
        </w:rPr>
        <w:t xml:space="preserve">g et al. </w:t>
      </w:r>
      <w:r w:rsidR="006B4BDA">
        <w:rPr>
          <w:rFonts w:ascii="Times New Roman" w:hAnsi="Times New Roman" w:cs="Times New Roman"/>
          <w:sz w:val="24"/>
          <w:szCs w:val="24"/>
          <w:lang w:val="en-US"/>
        </w:rPr>
        <w:t>(</w:t>
      </w:r>
      <w:r w:rsidRPr="00366EF6">
        <w:rPr>
          <w:rFonts w:ascii="Times New Roman" w:hAnsi="Times New Roman" w:cs="Times New Roman"/>
          <w:sz w:val="24"/>
          <w:szCs w:val="24"/>
          <w:lang w:val="en-US"/>
        </w:rPr>
        <w:t>2013)</w:t>
      </w:r>
      <w:r>
        <w:rPr>
          <w:rFonts w:ascii="Times New Roman" w:hAnsi="Times New Roman" w:cs="Times New Roman"/>
          <w:sz w:val="24"/>
          <w:szCs w:val="24"/>
          <w:lang w:val="en-US"/>
        </w:rPr>
        <w:t xml:space="preserve"> show that high </w:t>
      </w:r>
      <w:r w:rsidR="006B4BDA">
        <w:rPr>
          <w:rFonts w:ascii="Times New Roman" w:hAnsi="Times New Roman" w:cs="Times New Roman"/>
          <w:sz w:val="24"/>
          <w:szCs w:val="24"/>
          <w:lang w:val="en-US"/>
        </w:rPr>
        <w:t xml:space="preserve">CEO </w:t>
      </w:r>
      <w:r>
        <w:rPr>
          <w:rFonts w:ascii="Times New Roman" w:hAnsi="Times New Roman" w:cs="Times New Roman"/>
          <w:sz w:val="24"/>
          <w:szCs w:val="24"/>
          <w:lang w:val="en-US"/>
        </w:rPr>
        <w:t xml:space="preserve">risk taking incentives lead to </w:t>
      </w:r>
      <w:r w:rsidRPr="00366EF6">
        <w:rPr>
          <w:rFonts w:ascii="Times New Roman" w:hAnsi="Times New Roman" w:cs="Times New Roman"/>
          <w:sz w:val="24"/>
          <w:szCs w:val="24"/>
          <w:lang w:val="en-US"/>
        </w:rPr>
        <w:t>financial misreporting</w:t>
      </w:r>
      <w:r w:rsidR="0004244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E440D" w:rsidRPr="00100CF9">
        <w:rPr>
          <w:rFonts w:ascii="Times New Roman" w:hAnsi="Times New Roman" w:cs="Times New Roman"/>
          <w:iCs/>
          <w:sz w:val="24"/>
          <w:szCs w:val="24"/>
          <w:lang w:val="en-US"/>
        </w:rPr>
        <w:t>CEOs</w:t>
      </w:r>
      <w:r w:rsidR="009575FD" w:rsidRPr="00100CF9">
        <w:rPr>
          <w:rFonts w:ascii="Times New Roman" w:hAnsi="Times New Roman" w:cs="Times New Roman"/>
          <w:iCs/>
          <w:sz w:val="24"/>
          <w:szCs w:val="24"/>
          <w:lang w:val="en-US"/>
        </w:rPr>
        <w:t xml:space="preserve"> </w:t>
      </w:r>
      <w:r w:rsidR="0094521B" w:rsidRPr="00100CF9">
        <w:rPr>
          <w:rFonts w:ascii="Times New Roman" w:hAnsi="Times New Roman" w:cs="Times New Roman"/>
          <w:iCs/>
          <w:sz w:val="24"/>
          <w:szCs w:val="24"/>
          <w:lang w:val="en-US"/>
        </w:rPr>
        <w:t xml:space="preserve">with higher </w:t>
      </w:r>
      <w:r w:rsidR="00101C60" w:rsidRPr="00100CF9">
        <w:rPr>
          <w:rFonts w:ascii="Times New Roman" w:hAnsi="Times New Roman" w:cs="Times New Roman"/>
          <w:iCs/>
          <w:sz w:val="24"/>
          <w:szCs w:val="24"/>
          <w:lang w:val="en-US"/>
        </w:rPr>
        <w:t>risk</w:t>
      </w:r>
      <w:r w:rsidR="00A35028" w:rsidRPr="00100CF9">
        <w:rPr>
          <w:rFonts w:ascii="Times New Roman" w:hAnsi="Times New Roman" w:cs="Times New Roman"/>
          <w:iCs/>
          <w:sz w:val="24"/>
          <w:szCs w:val="24"/>
          <w:lang w:val="en-US"/>
        </w:rPr>
        <w:t xml:space="preserve"> </w:t>
      </w:r>
      <w:r w:rsidR="00101C60" w:rsidRPr="00100CF9">
        <w:rPr>
          <w:rFonts w:ascii="Times New Roman" w:hAnsi="Times New Roman" w:cs="Times New Roman"/>
          <w:iCs/>
          <w:sz w:val="24"/>
          <w:szCs w:val="24"/>
          <w:lang w:val="en-US"/>
        </w:rPr>
        <w:t>taking</w:t>
      </w:r>
      <w:r w:rsidR="0094521B" w:rsidRPr="00100CF9">
        <w:rPr>
          <w:rFonts w:ascii="Times New Roman" w:hAnsi="Times New Roman" w:cs="Times New Roman"/>
          <w:iCs/>
          <w:sz w:val="24"/>
          <w:szCs w:val="24"/>
          <w:lang w:val="en-US"/>
        </w:rPr>
        <w:t xml:space="preserve"> equity incentives are more likely to</w:t>
      </w:r>
      <w:r w:rsidR="00AD0ACE">
        <w:rPr>
          <w:rFonts w:ascii="Times New Roman" w:hAnsi="Times New Roman" w:cs="Times New Roman"/>
          <w:iCs/>
          <w:sz w:val="24"/>
          <w:szCs w:val="24"/>
          <w:lang w:val="en-US"/>
        </w:rPr>
        <w:t xml:space="preserve"> misbehave and</w:t>
      </w:r>
      <w:r w:rsidR="0094521B" w:rsidRPr="00100CF9">
        <w:rPr>
          <w:rFonts w:ascii="Times New Roman" w:hAnsi="Times New Roman" w:cs="Times New Roman"/>
          <w:iCs/>
          <w:sz w:val="24"/>
          <w:szCs w:val="24"/>
          <w:lang w:val="en-US"/>
        </w:rPr>
        <w:t xml:space="preserve"> </w:t>
      </w:r>
      <w:r w:rsidR="00B60EBC" w:rsidRPr="00100CF9">
        <w:rPr>
          <w:rFonts w:ascii="Times New Roman" w:hAnsi="Times New Roman" w:cs="Times New Roman"/>
          <w:iCs/>
          <w:sz w:val="24"/>
          <w:szCs w:val="24"/>
          <w:lang w:val="en-US"/>
        </w:rPr>
        <w:t xml:space="preserve">take riskier </w:t>
      </w:r>
      <w:r w:rsidR="005B1F44" w:rsidRPr="00100CF9">
        <w:rPr>
          <w:rFonts w:ascii="Times New Roman" w:hAnsi="Times New Roman" w:cs="Times New Roman"/>
          <w:iCs/>
          <w:sz w:val="24"/>
          <w:szCs w:val="24"/>
          <w:lang w:val="en-US"/>
        </w:rPr>
        <w:t>decisions</w:t>
      </w:r>
      <w:r w:rsidR="00CA0016">
        <w:rPr>
          <w:rFonts w:ascii="Times New Roman" w:hAnsi="Times New Roman" w:cs="Times New Roman"/>
          <w:iCs/>
          <w:sz w:val="24"/>
          <w:szCs w:val="24"/>
          <w:lang w:val="en-US"/>
        </w:rPr>
        <w:t xml:space="preserve"> to</w:t>
      </w:r>
      <w:r w:rsidRPr="0094521B">
        <w:rPr>
          <w:rFonts w:ascii="Times New Roman" w:hAnsi="Times New Roman" w:cs="Times New Roman"/>
          <w:sz w:val="24"/>
          <w:szCs w:val="24"/>
          <w:lang w:val="en-US"/>
        </w:rPr>
        <w:t xml:space="preserve"> improve productivity</w:t>
      </w:r>
      <w:r w:rsidR="00FA1B44">
        <w:rPr>
          <w:rFonts w:ascii="Times New Roman" w:hAnsi="Times New Roman" w:cs="Times New Roman"/>
          <w:sz w:val="24"/>
          <w:szCs w:val="24"/>
          <w:lang w:val="en-US"/>
        </w:rPr>
        <w:t xml:space="preserve"> </w:t>
      </w:r>
      <w:r w:rsidRPr="0094521B">
        <w:rPr>
          <w:rFonts w:ascii="Times New Roman" w:hAnsi="Times New Roman" w:cs="Times New Roman"/>
          <w:sz w:val="24"/>
          <w:szCs w:val="24"/>
          <w:lang w:val="en-US"/>
        </w:rPr>
        <w:t xml:space="preserve">and </w:t>
      </w:r>
      <w:proofErr w:type="spellStart"/>
      <w:r w:rsidR="00FA1B44">
        <w:rPr>
          <w:rFonts w:ascii="Times New Roman" w:hAnsi="Times New Roman" w:cs="Times New Roman"/>
          <w:sz w:val="24"/>
          <w:szCs w:val="24"/>
          <w:lang w:val="en-US"/>
        </w:rPr>
        <w:t>perfomance</w:t>
      </w:r>
      <w:proofErr w:type="spellEnd"/>
      <w:r w:rsidRPr="0094521B">
        <w:rPr>
          <w:rFonts w:ascii="Times New Roman" w:hAnsi="Times New Roman" w:cs="Times New Roman"/>
          <w:sz w:val="24"/>
          <w:szCs w:val="24"/>
          <w:lang w:val="en-US"/>
        </w:rPr>
        <w:t xml:space="preserve">. Yet, if these irregularities are detected they will negatively </w:t>
      </w:r>
      <w:r>
        <w:rPr>
          <w:rFonts w:ascii="Times New Roman" w:hAnsi="Times New Roman" w:cs="Times New Roman"/>
          <w:sz w:val="24"/>
          <w:szCs w:val="24"/>
          <w:lang w:val="en-US"/>
        </w:rPr>
        <w:t>a</w:t>
      </w:r>
      <w:r w:rsidRPr="0094521B">
        <w:rPr>
          <w:rFonts w:ascii="Times New Roman" w:hAnsi="Times New Roman" w:cs="Times New Roman"/>
          <w:sz w:val="24"/>
          <w:szCs w:val="24"/>
          <w:lang w:val="en-US"/>
        </w:rPr>
        <w:t>ffect the company’s stock price.</w:t>
      </w:r>
      <w:r>
        <w:rPr>
          <w:rFonts w:ascii="Times New Roman" w:hAnsi="Times New Roman" w:cs="Times New Roman"/>
          <w:sz w:val="24"/>
          <w:szCs w:val="24"/>
          <w:lang w:val="en-US"/>
        </w:rPr>
        <w:t xml:space="preserve"> </w:t>
      </w:r>
      <w:r w:rsidR="00FA1B44">
        <w:rPr>
          <w:rFonts w:ascii="Times New Roman" w:hAnsi="Times New Roman" w:cs="Times New Roman"/>
          <w:sz w:val="24"/>
          <w:szCs w:val="24"/>
          <w:lang w:val="en-US"/>
        </w:rPr>
        <w:t>Nevertheless</w:t>
      </w:r>
      <w:r>
        <w:rPr>
          <w:rFonts w:ascii="Times New Roman" w:hAnsi="Times New Roman" w:cs="Times New Roman"/>
          <w:sz w:val="24"/>
          <w:szCs w:val="24"/>
          <w:lang w:val="en-US"/>
        </w:rPr>
        <w:t xml:space="preserve">, if the </w:t>
      </w:r>
      <w:r w:rsidR="00FA1B44">
        <w:rPr>
          <w:rFonts w:ascii="Times New Roman" w:hAnsi="Times New Roman" w:cs="Times New Roman"/>
          <w:sz w:val="24"/>
          <w:szCs w:val="24"/>
          <w:lang w:val="en-US"/>
        </w:rPr>
        <w:t>probability</w:t>
      </w:r>
      <w:r>
        <w:rPr>
          <w:rFonts w:ascii="Times New Roman" w:hAnsi="Times New Roman" w:cs="Times New Roman"/>
          <w:sz w:val="24"/>
          <w:szCs w:val="24"/>
          <w:lang w:val="en-US"/>
        </w:rPr>
        <w:t xml:space="preserve"> of detection is low the potential </w:t>
      </w:r>
      <w:r w:rsidR="00FA1B44">
        <w:rPr>
          <w:rFonts w:ascii="Times New Roman" w:hAnsi="Times New Roman" w:cs="Times New Roman"/>
          <w:sz w:val="24"/>
          <w:szCs w:val="24"/>
          <w:lang w:val="en-US"/>
        </w:rPr>
        <w:t>benefits</w:t>
      </w:r>
      <w:r>
        <w:rPr>
          <w:rFonts w:ascii="Times New Roman" w:hAnsi="Times New Roman" w:cs="Times New Roman"/>
          <w:sz w:val="24"/>
          <w:szCs w:val="24"/>
          <w:lang w:val="en-US"/>
        </w:rPr>
        <w:t xml:space="preserve"> might offset any potential costs. </w:t>
      </w:r>
      <w:r>
        <w:rPr>
          <w:rFonts w:ascii="Times New Roman" w:hAnsi="Times New Roman" w:cs="Times New Roman"/>
          <w:iCs/>
          <w:sz w:val="24"/>
          <w:szCs w:val="24"/>
          <w:lang w:val="en-US"/>
        </w:rPr>
        <w:t>For example, in the context of employees</w:t>
      </w:r>
      <w:r w:rsidR="006B4BDA">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CEOs might cut health and safety expenses or increase employee workloads. These decisions</w:t>
      </w:r>
      <w:r w:rsidR="00A67FBF">
        <w:rPr>
          <w:rFonts w:ascii="Times New Roman" w:hAnsi="Times New Roman" w:cs="Times New Roman"/>
          <w:iCs/>
          <w:sz w:val="24"/>
          <w:szCs w:val="24"/>
          <w:lang w:val="en-US"/>
        </w:rPr>
        <w:t>, while potentially advantageous for shareholders,</w:t>
      </w:r>
      <w:r w:rsidRPr="0094521B">
        <w:rPr>
          <w:rFonts w:ascii="Times New Roman" w:hAnsi="Times New Roman" w:cs="Times New Roman"/>
          <w:iCs/>
          <w:sz w:val="24"/>
          <w:szCs w:val="24"/>
          <w:lang w:val="en-US"/>
        </w:rPr>
        <w:t xml:space="preserve"> </w:t>
      </w:r>
      <w:r w:rsidRPr="00FC38D7">
        <w:rPr>
          <w:rFonts w:ascii="Times New Roman" w:hAnsi="Times New Roman" w:cs="Times New Roman"/>
          <w:iCs/>
          <w:sz w:val="24"/>
          <w:szCs w:val="24"/>
          <w:lang w:val="en-US"/>
        </w:rPr>
        <w:t>might have negative consequences for employees</w:t>
      </w:r>
      <w:r>
        <w:rPr>
          <w:rFonts w:ascii="Times New Roman" w:hAnsi="Times New Roman" w:cs="Times New Roman"/>
          <w:iCs/>
          <w:sz w:val="24"/>
          <w:szCs w:val="24"/>
          <w:lang w:val="en-US"/>
        </w:rPr>
        <w:t xml:space="preserve"> and</w:t>
      </w:r>
      <w:r w:rsidRPr="00FC38D7" w:rsidDel="00FC38D7">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 xml:space="preserve">result in </w:t>
      </w:r>
      <w:r w:rsidRPr="0094521B">
        <w:rPr>
          <w:rFonts w:ascii="Times New Roman" w:hAnsi="Times New Roman" w:cs="Times New Roman"/>
          <w:sz w:val="24"/>
          <w:szCs w:val="24"/>
          <w:lang w:val="en-US"/>
        </w:rPr>
        <w:t>labor law, and health and safety violations.</w:t>
      </w:r>
      <w:r w:rsidRPr="0094521B">
        <w:rPr>
          <w:rStyle w:val="FootnoteReference"/>
          <w:rFonts w:ascii="Times New Roman" w:hAnsi="Times New Roman" w:cs="Times New Roman"/>
          <w:sz w:val="24"/>
          <w:szCs w:val="24"/>
          <w:lang w:val="en-US"/>
        </w:rPr>
        <w:footnoteReference w:id="6"/>
      </w:r>
      <w:r w:rsidR="00B60EBC">
        <w:rPr>
          <w:rFonts w:ascii="Times New Roman" w:hAnsi="Times New Roman" w:cs="Times New Roman"/>
          <w:iCs/>
          <w:sz w:val="24"/>
          <w:szCs w:val="24"/>
          <w:lang w:val="en-US"/>
        </w:rPr>
        <w:t xml:space="preserve"> </w:t>
      </w:r>
      <w:r w:rsidR="009575FD" w:rsidRPr="0094521B">
        <w:rPr>
          <w:rFonts w:ascii="Times New Roman" w:hAnsi="Times New Roman" w:cs="Times New Roman"/>
          <w:sz w:val="24"/>
          <w:szCs w:val="24"/>
          <w:lang w:val="en-US"/>
        </w:rPr>
        <w:t xml:space="preserve">We </w:t>
      </w:r>
      <w:r>
        <w:rPr>
          <w:rFonts w:ascii="Times New Roman" w:hAnsi="Times New Roman" w:cs="Times New Roman"/>
          <w:sz w:val="24"/>
          <w:szCs w:val="24"/>
          <w:lang w:val="en-US"/>
        </w:rPr>
        <w:t xml:space="preserve">therefore </w:t>
      </w:r>
      <w:r w:rsidR="009575FD" w:rsidRPr="0094521B">
        <w:rPr>
          <w:rFonts w:ascii="Times New Roman" w:hAnsi="Times New Roman" w:cs="Times New Roman"/>
          <w:sz w:val="24"/>
          <w:szCs w:val="24"/>
          <w:lang w:val="en-US"/>
        </w:rPr>
        <w:t>formalize our hypothesis as follows:</w:t>
      </w:r>
    </w:p>
    <w:p w14:paraId="125FBEC4" w14:textId="77777777" w:rsidR="00891D31" w:rsidRDefault="00891D31" w:rsidP="00343F87">
      <w:pPr>
        <w:autoSpaceDE w:val="0"/>
        <w:autoSpaceDN w:val="0"/>
        <w:adjustRightInd w:val="0"/>
        <w:spacing w:after="0" w:line="480" w:lineRule="auto"/>
        <w:ind w:firstLine="720"/>
        <w:jc w:val="both"/>
        <w:rPr>
          <w:rFonts w:ascii="Times New Roman" w:hAnsi="Times New Roman" w:cs="Times New Roman"/>
          <w:sz w:val="24"/>
          <w:szCs w:val="24"/>
          <w:lang w:val="en-US"/>
        </w:rPr>
      </w:pPr>
    </w:p>
    <w:p w14:paraId="2B07EC40" w14:textId="411956F9" w:rsidR="009575FD" w:rsidRPr="0094521B" w:rsidRDefault="004E602B" w:rsidP="008A24E0">
      <w:pPr>
        <w:autoSpaceDE w:val="0"/>
        <w:autoSpaceDN w:val="0"/>
        <w:adjustRightInd w:val="0"/>
        <w:spacing w:after="0" w:line="360" w:lineRule="auto"/>
        <w:jc w:val="both"/>
        <w:rPr>
          <w:rFonts w:ascii="Times New Roman" w:hAnsi="Times New Roman" w:cs="Times New Roman"/>
          <w:b/>
          <w:i/>
          <w:sz w:val="24"/>
          <w:szCs w:val="24"/>
          <w:lang w:val="en-US"/>
        </w:rPr>
      </w:pPr>
      <w:r w:rsidRPr="0094521B">
        <w:rPr>
          <w:rFonts w:ascii="Times New Roman" w:hAnsi="Times New Roman" w:cs="Times New Roman"/>
          <w:b/>
          <w:sz w:val="24"/>
          <w:szCs w:val="24"/>
          <w:lang w:val="en-US"/>
        </w:rPr>
        <w:t xml:space="preserve">H1: </w:t>
      </w:r>
      <w:r w:rsidR="00C301BC" w:rsidRPr="0094521B">
        <w:rPr>
          <w:rFonts w:ascii="Times New Roman" w:hAnsi="Times New Roman" w:cs="Times New Roman"/>
          <w:b/>
          <w:i/>
          <w:sz w:val="24"/>
          <w:szCs w:val="24"/>
          <w:lang w:val="en-US"/>
        </w:rPr>
        <w:t>Risk taking</w:t>
      </w:r>
      <w:r w:rsidR="009575FD" w:rsidRPr="0094521B">
        <w:rPr>
          <w:rFonts w:ascii="Times New Roman" w:hAnsi="Times New Roman" w:cs="Times New Roman"/>
          <w:b/>
          <w:i/>
          <w:sz w:val="24"/>
          <w:szCs w:val="24"/>
          <w:lang w:val="en-US"/>
        </w:rPr>
        <w:t xml:space="preserve"> CEO equity incentives are positively related </w:t>
      </w:r>
      <w:r w:rsidR="00467E1F" w:rsidRPr="0094521B">
        <w:rPr>
          <w:rFonts w:ascii="Times New Roman" w:hAnsi="Times New Roman" w:cs="Times New Roman"/>
          <w:b/>
          <w:i/>
          <w:sz w:val="24"/>
          <w:szCs w:val="24"/>
          <w:lang w:val="en-US"/>
        </w:rPr>
        <w:t>to the incidence and severity of workplace misconduct</w:t>
      </w:r>
      <w:r w:rsidR="009575FD" w:rsidRPr="0094521B">
        <w:rPr>
          <w:rFonts w:ascii="Times New Roman" w:hAnsi="Times New Roman" w:cs="Times New Roman"/>
          <w:b/>
          <w:i/>
          <w:sz w:val="24"/>
          <w:szCs w:val="24"/>
          <w:lang w:val="en-US"/>
        </w:rPr>
        <w:t>.</w:t>
      </w:r>
    </w:p>
    <w:bookmarkEnd w:id="5"/>
    <w:p w14:paraId="46895A24" w14:textId="77777777" w:rsidR="00891D31" w:rsidRDefault="00891D31" w:rsidP="004F0267">
      <w:pPr>
        <w:spacing w:after="0" w:line="480" w:lineRule="auto"/>
        <w:jc w:val="center"/>
        <w:rPr>
          <w:rFonts w:ascii="Times New Roman" w:hAnsi="Times New Roman" w:cs="Times New Roman"/>
          <w:b/>
          <w:caps/>
          <w:sz w:val="24"/>
          <w:szCs w:val="24"/>
          <w:lang w:val="en-US"/>
        </w:rPr>
      </w:pPr>
    </w:p>
    <w:p w14:paraId="63BFF584" w14:textId="77777777" w:rsidR="00891D31" w:rsidRDefault="00891D31" w:rsidP="004F0267">
      <w:pPr>
        <w:spacing w:after="0" w:line="480" w:lineRule="auto"/>
        <w:jc w:val="center"/>
        <w:rPr>
          <w:rFonts w:ascii="Times New Roman" w:hAnsi="Times New Roman" w:cs="Times New Roman"/>
          <w:b/>
          <w:caps/>
          <w:sz w:val="24"/>
          <w:szCs w:val="24"/>
          <w:lang w:val="en-US"/>
        </w:rPr>
      </w:pPr>
    </w:p>
    <w:p w14:paraId="121CDC25" w14:textId="4BE67915" w:rsidR="00E73FB7" w:rsidRPr="00AD0ACE" w:rsidRDefault="00D01710" w:rsidP="004F0267">
      <w:pPr>
        <w:spacing w:after="0" w:line="480" w:lineRule="auto"/>
        <w:jc w:val="center"/>
        <w:rPr>
          <w:rFonts w:ascii="Times New Roman" w:hAnsi="Times New Roman" w:cs="Times New Roman"/>
          <w:b/>
          <w:caps/>
          <w:sz w:val="24"/>
          <w:szCs w:val="24"/>
          <w:lang w:val="en-US"/>
        </w:rPr>
      </w:pPr>
      <w:r>
        <w:rPr>
          <w:rFonts w:ascii="Times New Roman" w:hAnsi="Times New Roman" w:cs="Times New Roman"/>
          <w:b/>
          <w:caps/>
          <w:sz w:val="24"/>
          <w:szCs w:val="24"/>
          <w:lang w:val="en-US"/>
        </w:rPr>
        <w:lastRenderedPageBreak/>
        <w:t>III</w:t>
      </w:r>
      <w:r w:rsidR="00AE5F1E" w:rsidRPr="00AD0ACE">
        <w:rPr>
          <w:rFonts w:ascii="Times New Roman" w:hAnsi="Times New Roman" w:cs="Times New Roman"/>
          <w:b/>
          <w:caps/>
          <w:sz w:val="24"/>
          <w:szCs w:val="24"/>
          <w:lang w:val="en-US"/>
        </w:rPr>
        <w:t xml:space="preserve">. </w:t>
      </w:r>
      <w:r w:rsidR="00D47CE9" w:rsidRPr="00AD0ACE">
        <w:rPr>
          <w:rFonts w:ascii="Times New Roman" w:hAnsi="Times New Roman" w:cs="Times New Roman"/>
          <w:b/>
          <w:caps/>
          <w:sz w:val="24"/>
          <w:szCs w:val="24"/>
          <w:lang w:val="en-US"/>
        </w:rPr>
        <w:t>Sample and Variable Measurement</w:t>
      </w:r>
    </w:p>
    <w:p w14:paraId="7836394D" w14:textId="77777777" w:rsidR="00D47CE9" w:rsidRPr="0094521B" w:rsidRDefault="00D47CE9" w:rsidP="00EB7A61">
      <w:pPr>
        <w:spacing w:after="0" w:line="480" w:lineRule="auto"/>
        <w:rPr>
          <w:rFonts w:ascii="Times New Roman" w:hAnsi="Times New Roman" w:cs="Times New Roman"/>
          <w:i/>
          <w:sz w:val="24"/>
          <w:szCs w:val="24"/>
          <w:lang w:val="en-US"/>
        </w:rPr>
      </w:pPr>
      <w:r w:rsidRPr="0094521B">
        <w:rPr>
          <w:rFonts w:ascii="Times New Roman" w:hAnsi="Times New Roman" w:cs="Times New Roman"/>
          <w:i/>
          <w:sz w:val="24"/>
          <w:szCs w:val="24"/>
          <w:lang w:val="en-US"/>
        </w:rPr>
        <w:t>3.1. Sample construction</w:t>
      </w:r>
    </w:p>
    <w:p w14:paraId="73E85744" w14:textId="3C222350" w:rsidR="00F46141" w:rsidRPr="0094521B" w:rsidRDefault="00AE3B52">
      <w:pPr>
        <w:spacing w:after="0" w:line="480" w:lineRule="auto"/>
        <w:ind w:firstLine="720"/>
        <w:jc w:val="both"/>
        <w:rPr>
          <w:rFonts w:asciiTheme="majorBidi" w:hAnsiTheme="majorBidi" w:cstheme="majorBidi"/>
          <w:sz w:val="24"/>
          <w:szCs w:val="24"/>
          <w:lang w:val="en-US"/>
        </w:rPr>
      </w:pPr>
      <w:bookmarkStart w:id="6" w:name="_Hlk92573807"/>
      <w:bookmarkStart w:id="7" w:name="_Hlk92709040"/>
      <w:r w:rsidRPr="0094521B">
        <w:rPr>
          <w:rFonts w:asciiTheme="majorBidi" w:hAnsiTheme="majorBidi" w:cstheme="majorBidi"/>
          <w:sz w:val="24"/>
          <w:szCs w:val="24"/>
          <w:lang w:val="en-US"/>
        </w:rPr>
        <w:t xml:space="preserve">Our sample consists of observations at the intersection of </w:t>
      </w:r>
      <w:proofErr w:type="spellStart"/>
      <w:r w:rsidRPr="0094521B">
        <w:rPr>
          <w:rFonts w:asciiTheme="majorBidi" w:hAnsiTheme="majorBidi" w:cstheme="majorBidi"/>
          <w:sz w:val="24"/>
          <w:szCs w:val="24"/>
          <w:lang w:val="en-US"/>
        </w:rPr>
        <w:t>Compustat</w:t>
      </w:r>
      <w:proofErr w:type="spellEnd"/>
      <w:r w:rsidRPr="0094521B">
        <w:rPr>
          <w:rFonts w:asciiTheme="majorBidi" w:hAnsiTheme="majorBidi" w:cstheme="majorBidi"/>
          <w:sz w:val="24"/>
          <w:szCs w:val="24"/>
          <w:lang w:val="en-US"/>
        </w:rPr>
        <w:t xml:space="preserve">, </w:t>
      </w:r>
      <w:proofErr w:type="spellStart"/>
      <w:r w:rsidRPr="0094521B">
        <w:rPr>
          <w:rFonts w:asciiTheme="majorBidi" w:hAnsiTheme="majorBidi" w:cstheme="majorBidi"/>
          <w:sz w:val="24"/>
          <w:szCs w:val="24"/>
          <w:lang w:val="en-US"/>
        </w:rPr>
        <w:t>ExecuComp</w:t>
      </w:r>
      <w:proofErr w:type="spellEnd"/>
      <w:r w:rsidRPr="0094521B">
        <w:rPr>
          <w:rFonts w:asciiTheme="majorBidi" w:hAnsiTheme="majorBidi" w:cstheme="majorBidi"/>
          <w:sz w:val="24"/>
          <w:szCs w:val="24"/>
          <w:lang w:val="en-US"/>
        </w:rPr>
        <w:t xml:space="preserve"> and the Centre for Research in Security Prices (CRSP) database. </w:t>
      </w:r>
      <w:r w:rsidR="000774FD" w:rsidRPr="0094521B">
        <w:rPr>
          <w:rFonts w:asciiTheme="majorBidi" w:hAnsiTheme="majorBidi" w:cstheme="majorBidi"/>
          <w:sz w:val="24"/>
          <w:szCs w:val="24"/>
          <w:lang w:val="en-US"/>
        </w:rPr>
        <w:t>W</w:t>
      </w:r>
      <w:r w:rsidR="004765B2" w:rsidRPr="0094521B">
        <w:rPr>
          <w:rFonts w:asciiTheme="majorBidi" w:hAnsiTheme="majorBidi" w:cstheme="majorBidi"/>
          <w:sz w:val="24"/>
          <w:szCs w:val="24"/>
          <w:lang w:val="en-US"/>
        </w:rPr>
        <w:t xml:space="preserve">e begin </w:t>
      </w:r>
      <w:r w:rsidR="002A0DEC" w:rsidRPr="0094521B">
        <w:rPr>
          <w:rFonts w:asciiTheme="majorBidi" w:hAnsiTheme="majorBidi" w:cstheme="majorBidi"/>
          <w:sz w:val="24"/>
          <w:szCs w:val="24"/>
          <w:lang w:val="en-US"/>
        </w:rPr>
        <w:t xml:space="preserve">by collecting </w:t>
      </w:r>
      <w:r w:rsidR="00C70758" w:rsidRPr="0094521B">
        <w:rPr>
          <w:rFonts w:asciiTheme="majorBidi" w:hAnsiTheme="majorBidi" w:cstheme="majorBidi"/>
          <w:sz w:val="24"/>
          <w:szCs w:val="24"/>
          <w:lang w:val="en-US"/>
        </w:rPr>
        <w:t>financial data</w:t>
      </w:r>
      <w:r w:rsidR="00C33A0A" w:rsidRPr="0094521B">
        <w:rPr>
          <w:rFonts w:asciiTheme="majorBidi" w:hAnsiTheme="majorBidi" w:cstheme="majorBidi"/>
          <w:sz w:val="24"/>
          <w:szCs w:val="24"/>
          <w:lang w:val="en-US"/>
        </w:rPr>
        <w:t xml:space="preserve"> </w:t>
      </w:r>
      <w:r w:rsidR="002A0DEC" w:rsidRPr="0094521B">
        <w:rPr>
          <w:rFonts w:asciiTheme="majorBidi" w:hAnsiTheme="majorBidi" w:cstheme="majorBidi"/>
          <w:sz w:val="24"/>
          <w:szCs w:val="24"/>
          <w:lang w:val="en-US"/>
        </w:rPr>
        <w:t xml:space="preserve">from </w:t>
      </w:r>
      <w:proofErr w:type="spellStart"/>
      <w:r w:rsidR="002A0DEC" w:rsidRPr="0094521B">
        <w:rPr>
          <w:rFonts w:asciiTheme="majorBidi" w:hAnsiTheme="majorBidi" w:cstheme="majorBidi"/>
          <w:sz w:val="24"/>
          <w:szCs w:val="24"/>
          <w:lang w:val="en-US"/>
        </w:rPr>
        <w:t>Compustat</w:t>
      </w:r>
      <w:proofErr w:type="spellEnd"/>
      <w:r w:rsidR="004765B2" w:rsidRPr="0094521B">
        <w:rPr>
          <w:rFonts w:asciiTheme="majorBidi" w:hAnsiTheme="majorBidi" w:cstheme="majorBidi"/>
          <w:sz w:val="24"/>
          <w:szCs w:val="24"/>
          <w:lang w:val="en-US"/>
        </w:rPr>
        <w:t xml:space="preserve"> </w:t>
      </w:r>
      <w:r w:rsidR="00871E01" w:rsidRPr="0094521B">
        <w:rPr>
          <w:rFonts w:asciiTheme="majorBidi" w:hAnsiTheme="majorBidi" w:cstheme="majorBidi"/>
          <w:sz w:val="24"/>
          <w:szCs w:val="24"/>
          <w:lang w:val="en-US"/>
        </w:rPr>
        <w:t>for the period</w:t>
      </w:r>
      <w:r w:rsidR="004765B2" w:rsidRPr="0094521B">
        <w:rPr>
          <w:rFonts w:asciiTheme="majorBidi" w:hAnsiTheme="majorBidi" w:cstheme="majorBidi"/>
          <w:sz w:val="24"/>
          <w:szCs w:val="24"/>
          <w:lang w:val="en-US"/>
        </w:rPr>
        <w:t xml:space="preserve"> 1999</w:t>
      </w:r>
      <w:r w:rsidR="00871E01" w:rsidRPr="0094521B">
        <w:rPr>
          <w:rFonts w:asciiTheme="majorBidi" w:hAnsiTheme="majorBidi" w:cstheme="majorBidi"/>
          <w:sz w:val="24"/>
          <w:szCs w:val="24"/>
          <w:lang w:val="en-US"/>
        </w:rPr>
        <w:t xml:space="preserve"> to </w:t>
      </w:r>
      <w:r w:rsidR="004765B2" w:rsidRPr="0094521B">
        <w:rPr>
          <w:rFonts w:asciiTheme="majorBidi" w:hAnsiTheme="majorBidi" w:cstheme="majorBidi"/>
          <w:sz w:val="24"/>
          <w:szCs w:val="24"/>
          <w:lang w:val="en-US"/>
        </w:rPr>
        <w:t>2018</w:t>
      </w:r>
      <w:r w:rsidR="00871E01" w:rsidRPr="0094521B">
        <w:rPr>
          <w:rFonts w:asciiTheme="majorBidi" w:hAnsiTheme="majorBidi" w:cstheme="majorBidi"/>
          <w:sz w:val="24"/>
          <w:szCs w:val="24"/>
          <w:lang w:val="en-US"/>
        </w:rPr>
        <w:t xml:space="preserve">. We start in 1999 to have one year of data before the start of our workplace misconduct data which starts in 2000. This is the first year for which </w:t>
      </w:r>
      <w:r w:rsidR="00CA7648" w:rsidRPr="0094521B">
        <w:rPr>
          <w:rFonts w:asciiTheme="majorBidi" w:hAnsiTheme="majorBidi" w:cstheme="majorBidi"/>
          <w:sz w:val="24"/>
          <w:szCs w:val="24"/>
          <w:lang w:val="en-US"/>
        </w:rPr>
        <w:t>Violation</w:t>
      </w:r>
      <w:r w:rsidR="00871E01" w:rsidRPr="0094521B">
        <w:rPr>
          <w:rFonts w:asciiTheme="majorBidi" w:hAnsiTheme="majorBidi" w:cstheme="majorBidi"/>
          <w:sz w:val="24"/>
          <w:szCs w:val="24"/>
          <w:lang w:val="en-US"/>
        </w:rPr>
        <w:t xml:space="preserve"> Tracker </w:t>
      </w:r>
      <w:r w:rsidR="00C70758" w:rsidRPr="0094521B">
        <w:rPr>
          <w:rFonts w:asciiTheme="majorBidi" w:hAnsiTheme="majorBidi" w:cstheme="majorBidi"/>
          <w:sz w:val="24"/>
          <w:szCs w:val="24"/>
          <w:lang w:val="en-US"/>
        </w:rPr>
        <w:t>collected</w:t>
      </w:r>
      <w:r w:rsidR="00871E01" w:rsidRPr="0094521B">
        <w:rPr>
          <w:rFonts w:asciiTheme="majorBidi" w:hAnsiTheme="majorBidi" w:cstheme="majorBidi"/>
          <w:sz w:val="24"/>
          <w:szCs w:val="24"/>
          <w:lang w:val="en-US"/>
        </w:rPr>
        <w:t xml:space="preserve"> data on violations </w:t>
      </w:r>
      <w:r w:rsidR="00C70758" w:rsidRPr="0094521B">
        <w:rPr>
          <w:rFonts w:asciiTheme="majorBidi" w:hAnsiTheme="majorBidi" w:cstheme="majorBidi"/>
          <w:sz w:val="24"/>
          <w:szCs w:val="24"/>
          <w:lang w:val="en-US"/>
        </w:rPr>
        <w:t xml:space="preserve">of </w:t>
      </w:r>
      <w:r w:rsidR="00871E01" w:rsidRPr="0094521B">
        <w:rPr>
          <w:rFonts w:asciiTheme="majorBidi" w:hAnsiTheme="majorBidi" w:cstheme="majorBidi"/>
          <w:sz w:val="24"/>
          <w:szCs w:val="24"/>
          <w:lang w:val="en-US"/>
        </w:rPr>
        <w:t xml:space="preserve">U.S. public firms. Having </w:t>
      </w:r>
      <w:r w:rsidR="0094521B">
        <w:rPr>
          <w:rFonts w:asciiTheme="majorBidi" w:hAnsiTheme="majorBidi" w:cstheme="majorBidi"/>
          <w:sz w:val="24"/>
          <w:szCs w:val="24"/>
          <w:lang w:val="en-US"/>
        </w:rPr>
        <w:t>firm level</w:t>
      </w:r>
      <w:r w:rsidR="0094521B" w:rsidRPr="0094521B">
        <w:rPr>
          <w:rFonts w:asciiTheme="majorBidi" w:hAnsiTheme="majorBidi" w:cstheme="majorBidi"/>
          <w:sz w:val="24"/>
          <w:szCs w:val="24"/>
          <w:lang w:val="en-US"/>
        </w:rPr>
        <w:t xml:space="preserve"> </w:t>
      </w:r>
      <w:r w:rsidR="00871E01" w:rsidRPr="0094521B">
        <w:rPr>
          <w:rFonts w:asciiTheme="majorBidi" w:hAnsiTheme="majorBidi" w:cstheme="majorBidi"/>
          <w:sz w:val="24"/>
          <w:szCs w:val="24"/>
          <w:lang w:val="en-US"/>
        </w:rPr>
        <w:t xml:space="preserve">data for one year before the </w:t>
      </w:r>
      <w:r w:rsidR="00D872C6">
        <w:rPr>
          <w:rFonts w:asciiTheme="majorBidi" w:hAnsiTheme="majorBidi" w:cstheme="majorBidi"/>
          <w:sz w:val="24"/>
          <w:szCs w:val="24"/>
          <w:lang w:val="en-US"/>
        </w:rPr>
        <w:t xml:space="preserve">start of the </w:t>
      </w:r>
      <w:r w:rsidR="00871E01" w:rsidRPr="0094521B">
        <w:rPr>
          <w:rFonts w:asciiTheme="majorBidi" w:hAnsiTheme="majorBidi" w:cstheme="majorBidi"/>
          <w:sz w:val="24"/>
          <w:szCs w:val="24"/>
          <w:lang w:val="en-US"/>
        </w:rPr>
        <w:t xml:space="preserve">violations data allows us to calculate </w:t>
      </w:r>
      <w:r w:rsidR="00CA7648" w:rsidRPr="0094521B">
        <w:rPr>
          <w:rFonts w:asciiTheme="majorBidi" w:hAnsiTheme="majorBidi" w:cstheme="majorBidi"/>
          <w:sz w:val="24"/>
          <w:szCs w:val="24"/>
          <w:lang w:val="en-US"/>
        </w:rPr>
        <w:t>control</w:t>
      </w:r>
      <w:r w:rsidR="0094521B">
        <w:rPr>
          <w:rFonts w:asciiTheme="majorBidi" w:hAnsiTheme="majorBidi" w:cstheme="majorBidi"/>
          <w:sz w:val="24"/>
          <w:szCs w:val="24"/>
          <w:lang w:val="en-US"/>
        </w:rPr>
        <w:t xml:space="preserve"> variables</w:t>
      </w:r>
      <w:r w:rsidR="00871E01" w:rsidRPr="0094521B">
        <w:rPr>
          <w:rFonts w:asciiTheme="majorBidi" w:hAnsiTheme="majorBidi" w:cstheme="majorBidi"/>
          <w:sz w:val="24"/>
          <w:szCs w:val="24"/>
          <w:lang w:val="en-US"/>
        </w:rPr>
        <w:t xml:space="preserve"> with a </w:t>
      </w:r>
      <w:r w:rsidR="004765B2" w:rsidRPr="0094521B">
        <w:rPr>
          <w:rFonts w:asciiTheme="majorBidi" w:hAnsiTheme="majorBidi" w:cstheme="majorBidi"/>
          <w:sz w:val="24"/>
          <w:szCs w:val="24"/>
          <w:lang w:val="en-US"/>
        </w:rPr>
        <w:t xml:space="preserve">one-year </w:t>
      </w:r>
      <w:r w:rsidR="00800CBE" w:rsidRPr="0094521B">
        <w:rPr>
          <w:rFonts w:asciiTheme="majorBidi" w:hAnsiTheme="majorBidi" w:cstheme="majorBidi"/>
          <w:sz w:val="24"/>
          <w:szCs w:val="24"/>
          <w:lang w:val="en-US"/>
        </w:rPr>
        <w:t>time lag</w:t>
      </w:r>
      <w:r w:rsidR="004765B2" w:rsidRPr="0094521B">
        <w:rPr>
          <w:rFonts w:asciiTheme="majorBidi" w:hAnsiTheme="majorBidi" w:cstheme="majorBidi"/>
          <w:sz w:val="24"/>
          <w:szCs w:val="24"/>
          <w:lang w:val="en-US"/>
        </w:rPr>
        <w:t xml:space="preserve">. </w:t>
      </w:r>
    </w:p>
    <w:p w14:paraId="6900B0D5" w14:textId="67C0368F" w:rsidR="004765B2" w:rsidRDefault="004765B2" w:rsidP="00FE3858">
      <w:pPr>
        <w:spacing w:after="0" w:line="480" w:lineRule="auto"/>
        <w:ind w:firstLine="720"/>
        <w:jc w:val="both"/>
        <w:rPr>
          <w:rFonts w:asciiTheme="majorBidi" w:hAnsiTheme="majorBidi" w:cstheme="majorBidi"/>
          <w:sz w:val="24"/>
          <w:szCs w:val="24"/>
          <w:lang w:val="en-US"/>
        </w:rPr>
      </w:pPr>
      <w:r w:rsidRPr="0094521B">
        <w:rPr>
          <w:rFonts w:asciiTheme="majorBidi" w:hAnsiTheme="majorBidi" w:cstheme="majorBidi"/>
          <w:sz w:val="24"/>
          <w:szCs w:val="24"/>
          <w:lang w:val="en-US"/>
        </w:rPr>
        <w:t xml:space="preserve">Following prior literature on executive compensation </w:t>
      </w:r>
      <w:r w:rsidR="00723539" w:rsidRPr="0094521B">
        <w:rPr>
          <w:rFonts w:asciiTheme="majorBidi" w:hAnsiTheme="majorBidi" w:cstheme="majorBidi"/>
          <w:sz w:val="24"/>
          <w:szCs w:val="24"/>
          <w:lang w:val="en-US"/>
        </w:rPr>
        <w:t>(</w:t>
      </w:r>
      <w:r w:rsidRPr="0094521B">
        <w:rPr>
          <w:rFonts w:asciiTheme="majorBidi" w:hAnsiTheme="majorBidi" w:cstheme="majorBidi"/>
          <w:sz w:val="24"/>
          <w:szCs w:val="24"/>
          <w:lang w:val="en-US"/>
        </w:rPr>
        <w:t xml:space="preserve">e.g., Hong </w:t>
      </w:r>
      <w:r w:rsidR="00800CBE" w:rsidRPr="0094521B">
        <w:rPr>
          <w:rFonts w:asciiTheme="majorBidi" w:hAnsiTheme="majorBidi" w:cstheme="majorBidi"/>
          <w:sz w:val="24"/>
          <w:szCs w:val="24"/>
          <w:lang w:val="en-US"/>
        </w:rPr>
        <w:t>2019, Caskey and Ozel 2017</w:t>
      </w:r>
      <w:r w:rsidR="00723539" w:rsidRPr="0094521B">
        <w:rPr>
          <w:rFonts w:asciiTheme="majorBidi" w:hAnsiTheme="majorBidi" w:cstheme="majorBidi"/>
          <w:sz w:val="24"/>
          <w:szCs w:val="24"/>
          <w:lang w:val="en-US"/>
        </w:rPr>
        <w:t>)</w:t>
      </w:r>
      <w:r w:rsidR="000774FD" w:rsidRPr="0094521B">
        <w:rPr>
          <w:rFonts w:asciiTheme="majorBidi" w:hAnsiTheme="majorBidi" w:cstheme="majorBidi"/>
          <w:sz w:val="24"/>
          <w:szCs w:val="24"/>
          <w:lang w:val="en-US"/>
        </w:rPr>
        <w:t xml:space="preserve"> </w:t>
      </w:r>
      <w:r w:rsidRPr="0094521B">
        <w:rPr>
          <w:rFonts w:asciiTheme="majorBidi" w:hAnsiTheme="majorBidi" w:cstheme="majorBidi"/>
          <w:sz w:val="24"/>
          <w:szCs w:val="24"/>
          <w:lang w:val="en-US"/>
        </w:rPr>
        <w:t xml:space="preserve">we exclude firms with industry classification codes (SIC) lower than 2000, between 4900 and 4999, and </w:t>
      </w:r>
      <w:r w:rsidR="00A758E8" w:rsidRPr="0094521B">
        <w:rPr>
          <w:rFonts w:ascii="Times New Roman" w:eastAsia="Times New Roman" w:hAnsi="Times New Roman" w:cs="Times New Roman"/>
          <w:color w:val="000000"/>
          <w:sz w:val="24"/>
          <w:szCs w:val="24"/>
          <w:lang w:val="en-US" w:eastAsia="en-GB"/>
        </w:rPr>
        <w:t>between 6000 and 6999</w:t>
      </w:r>
      <w:r w:rsidR="00C70758" w:rsidRPr="0094521B">
        <w:rPr>
          <w:rFonts w:ascii="Times New Roman" w:eastAsia="Times New Roman" w:hAnsi="Times New Roman" w:cs="Times New Roman"/>
          <w:color w:val="000000"/>
          <w:sz w:val="24"/>
          <w:szCs w:val="24"/>
          <w:lang w:val="en-US" w:eastAsia="en-GB"/>
        </w:rPr>
        <w:t>.</w:t>
      </w:r>
      <w:r w:rsidR="00142877">
        <w:rPr>
          <w:rStyle w:val="FootnoteReference"/>
          <w:rFonts w:ascii="Times New Roman" w:eastAsia="Times New Roman" w:hAnsi="Times New Roman" w:cs="Times New Roman"/>
          <w:color w:val="000000"/>
          <w:sz w:val="24"/>
          <w:szCs w:val="24"/>
          <w:lang w:val="en-US" w:eastAsia="en-GB"/>
        </w:rPr>
        <w:footnoteReference w:id="7"/>
      </w:r>
      <w:r w:rsidR="00C70758" w:rsidRPr="0094521B">
        <w:rPr>
          <w:rFonts w:ascii="Times New Roman" w:eastAsia="Times New Roman" w:hAnsi="Times New Roman" w:cs="Times New Roman"/>
          <w:color w:val="000000"/>
          <w:sz w:val="24"/>
          <w:szCs w:val="24"/>
          <w:lang w:val="en-US" w:eastAsia="en-GB"/>
        </w:rPr>
        <w:t xml:space="preserve"> </w:t>
      </w:r>
      <w:r w:rsidRPr="0094521B">
        <w:rPr>
          <w:rFonts w:asciiTheme="majorBidi" w:hAnsiTheme="majorBidi" w:cstheme="majorBidi"/>
          <w:sz w:val="24"/>
          <w:szCs w:val="24"/>
          <w:lang w:val="en-US"/>
        </w:rPr>
        <w:t xml:space="preserve">Next, we add the data on Chief Executive Officers (CEOs) compensation from </w:t>
      </w:r>
      <w:proofErr w:type="spellStart"/>
      <w:r w:rsidRPr="0094521B">
        <w:rPr>
          <w:rFonts w:asciiTheme="majorBidi" w:hAnsiTheme="majorBidi" w:cstheme="majorBidi"/>
          <w:sz w:val="24"/>
          <w:szCs w:val="24"/>
          <w:lang w:val="en-US"/>
        </w:rPr>
        <w:t>Execucomp</w:t>
      </w:r>
      <w:proofErr w:type="spellEnd"/>
      <w:r w:rsidRPr="0094521B">
        <w:rPr>
          <w:rFonts w:asciiTheme="majorBidi" w:hAnsiTheme="majorBidi" w:cstheme="majorBidi"/>
          <w:sz w:val="24"/>
          <w:szCs w:val="24"/>
          <w:lang w:val="en-US"/>
        </w:rPr>
        <w:t xml:space="preserve"> and generate measures of sensitivity to risk (</w:t>
      </w:r>
      <w:r w:rsidRPr="0094521B">
        <w:rPr>
          <w:rFonts w:asciiTheme="majorBidi" w:hAnsiTheme="majorBidi" w:cstheme="majorBidi"/>
          <w:i/>
          <w:iCs/>
          <w:sz w:val="24"/>
          <w:szCs w:val="24"/>
          <w:lang w:val="en-US"/>
        </w:rPr>
        <w:t>Vega</w:t>
      </w:r>
      <w:r w:rsidRPr="0094521B">
        <w:rPr>
          <w:rFonts w:asciiTheme="majorBidi" w:hAnsiTheme="majorBidi" w:cstheme="majorBidi"/>
          <w:sz w:val="24"/>
          <w:szCs w:val="24"/>
          <w:lang w:val="en-US"/>
        </w:rPr>
        <w:t>) and stock prices (</w:t>
      </w:r>
      <w:r w:rsidRPr="0094521B">
        <w:rPr>
          <w:rFonts w:asciiTheme="majorBidi" w:hAnsiTheme="majorBidi" w:cstheme="majorBidi"/>
          <w:i/>
          <w:iCs/>
          <w:sz w:val="24"/>
          <w:szCs w:val="24"/>
          <w:lang w:val="en-US"/>
        </w:rPr>
        <w:t>Delta</w:t>
      </w:r>
      <w:r w:rsidRPr="0094521B">
        <w:rPr>
          <w:rFonts w:asciiTheme="majorBidi" w:hAnsiTheme="majorBidi" w:cstheme="majorBidi"/>
          <w:sz w:val="24"/>
          <w:szCs w:val="24"/>
          <w:lang w:val="en-US"/>
        </w:rPr>
        <w:t xml:space="preserve">) </w:t>
      </w:r>
      <w:r w:rsidR="00476A9E">
        <w:rPr>
          <w:rFonts w:asciiTheme="majorBidi" w:hAnsiTheme="majorBidi" w:cstheme="majorBidi"/>
          <w:sz w:val="24"/>
          <w:szCs w:val="24"/>
          <w:lang w:val="en-US"/>
        </w:rPr>
        <w:t>similar to</w:t>
      </w:r>
      <w:r w:rsidRPr="0094521B">
        <w:rPr>
          <w:rFonts w:asciiTheme="majorBidi" w:hAnsiTheme="majorBidi" w:cstheme="majorBidi"/>
          <w:sz w:val="24"/>
          <w:szCs w:val="24"/>
          <w:lang w:val="en-US"/>
        </w:rPr>
        <w:t xml:space="preserve"> Coles</w:t>
      </w:r>
      <w:r w:rsidR="00B423E1" w:rsidRPr="0094521B">
        <w:rPr>
          <w:rFonts w:asciiTheme="majorBidi" w:hAnsiTheme="majorBidi" w:cstheme="majorBidi"/>
          <w:sz w:val="24"/>
          <w:szCs w:val="24"/>
          <w:lang w:val="en-US"/>
        </w:rPr>
        <w:t xml:space="preserve">, </w:t>
      </w:r>
      <w:r w:rsidR="00B423E1" w:rsidRPr="0094521B">
        <w:rPr>
          <w:rFonts w:ascii="Times New Roman" w:hAnsi="Times New Roman" w:cs="Times New Roman"/>
          <w:sz w:val="24"/>
          <w:szCs w:val="24"/>
          <w:shd w:val="clear" w:color="auto" w:fill="FFFFFF"/>
          <w:lang w:val="en-US"/>
        </w:rPr>
        <w:t xml:space="preserve">Daniel, and Naveen </w:t>
      </w:r>
      <w:r w:rsidRPr="0094521B">
        <w:rPr>
          <w:rFonts w:asciiTheme="majorBidi" w:hAnsiTheme="majorBidi" w:cstheme="majorBidi"/>
          <w:sz w:val="24"/>
          <w:szCs w:val="24"/>
          <w:lang w:val="en-US"/>
        </w:rPr>
        <w:t>(2013)</w:t>
      </w:r>
      <w:r w:rsidR="00CA7648" w:rsidRPr="0094521B">
        <w:rPr>
          <w:rFonts w:asciiTheme="majorBidi" w:hAnsiTheme="majorBidi" w:cstheme="majorBidi"/>
          <w:sz w:val="24"/>
          <w:szCs w:val="24"/>
          <w:lang w:val="en-US"/>
        </w:rPr>
        <w:t>. These measures require</w:t>
      </w:r>
      <w:r w:rsidRPr="0094521B">
        <w:rPr>
          <w:rFonts w:asciiTheme="majorBidi" w:hAnsiTheme="majorBidi" w:cstheme="majorBidi"/>
          <w:sz w:val="24"/>
          <w:szCs w:val="24"/>
          <w:lang w:val="en-US"/>
        </w:rPr>
        <w:t xml:space="preserve"> data on stock market returns from</w:t>
      </w:r>
      <w:r w:rsidR="00F46141" w:rsidRPr="0094521B">
        <w:rPr>
          <w:rFonts w:asciiTheme="majorBidi" w:hAnsiTheme="majorBidi" w:cstheme="majorBidi"/>
          <w:sz w:val="24"/>
          <w:szCs w:val="24"/>
          <w:lang w:val="en-US"/>
        </w:rPr>
        <w:t xml:space="preserve"> the</w:t>
      </w:r>
      <w:r w:rsidRPr="0094521B">
        <w:rPr>
          <w:rFonts w:asciiTheme="majorBidi" w:hAnsiTheme="majorBidi" w:cstheme="majorBidi"/>
          <w:sz w:val="24"/>
          <w:szCs w:val="24"/>
          <w:lang w:val="en-US"/>
        </w:rPr>
        <w:t xml:space="preserve"> Center for Research in Security Prices (CRSP). </w:t>
      </w:r>
      <w:r w:rsidR="00671158" w:rsidRPr="0094521B">
        <w:rPr>
          <w:rFonts w:asciiTheme="majorBidi" w:hAnsiTheme="majorBidi" w:cstheme="majorBidi"/>
          <w:sz w:val="24"/>
          <w:szCs w:val="24"/>
          <w:lang w:val="en-US"/>
        </w:rPr>
        <w:t xml:space="preserve">After </w:t>
      </w:r>
      <w:r w:rsidR="00C403AF">
        <w:rPr>
          <w:rFonts w:asciiTheme="majorBidi" w:hAnsiTheme="majorBidi" w:cstheme="majorBidi"/>
          <w:sz w:val="24"/>
          <w:szCs w:val="24"/>
          <w:lang w:val="en-US"/>
        </w:rPr>
        <w:t>preparing</w:t>
      </w:r>
      <w:r w:rsidR="00C403AF" w:rsidRPr="0094521B">
        <w:rPr>
          <w:rFonts w:asciiTheme="majorBidi" w:hAnsiTheme="majorBidi" w:cstheme="majorBidi"/>
          <w:sz w:val="24"/>
          <w:szCs w:val="24"/>
          <w:lang w:val="en-US"/>
        </w:rPr>
        <w:t xml:space="preserve"> </w:t>
      </w:r>
      <w:r w:rsidR="00671158" w:rsidRPr="0094521B">
        <w:rPr>
          <w:rFonts w:asciiTheme="majorBidi" w:hAnsiTheme="majorBidi" w:cstheme="majorBidi"/>
          <w:sz w:val="24"/>
          <w:szCs w:val="24"/>
          <w:lang w:val="en-US"/>
        </w:rPr>
        <w:t xml:space="preserve">other control variables </w:t>
      </w:r>
      <w:r w:rsidR="00C403AF">
        <w:rPr>
          <w:rFonts w:asciiTheme="majorBidi" w:hAnsiTheme="majorBidi" w:cstheme="majorBidi"/>
          <w:sz w:val="24"/>
          <w:szCs w:val="24"/>
          <w:lang w:val="en-US"/>
        </w:rPr>
        <w:t>for</w:t>
      </w:r>
      <w:r w:rsidR="00671158" w:rsidRPr="0094521B">
        <w:rPr>
          <w:rFonts w:asciiTheme="majorBidi" w:hAnsiTheme="majorBidi" w:cstheme="majorBidi"/>
          <w:sz w:val="24"/>
          <w:szCs w:val="24"/>
          <w:lang w:val="en-US"/>
        </w:rPr>
        <w:t xml:space="preserve"> our baseline regression</w:t>
      </w:r>
      <w:r w:rsidR="00C403AF">
        <w:rPr>
          <w:rFonts w:asciiTheme="majorBidi" w:hAnsiTheme="majorBidi" w:cstheme="majorBidi"/>
          <w:sz w:val="24"/>
          <w:szCs w:val="24"/>
          <w:lang w:val="en-US"/>
        </w:rPr>
        <w:t xml:space="preserve"> and eliminating missing observations</w:t>
      </w:r>
      <w:r w:rsidR="00671158" w:rsidRPr="0094521B">
        <w:rPr>
          <w:rFonts w:asciiTheme="majorBidi" w:hAnsiTheme="majorBidi" w:cstheme="majorBidi"/>
          <w:sz w:val="24"/>
          <w:szCs w:val="24"/>
          <w:lang w:val="en-US"/>
        </w:rPr>
        <w:t>, our final sample consists</w:t>
      </w:r>
      <w:r w:rsidR="00646F0E" w:rsidRPr="0094521B">
        <w:rPr>
          <w:rFonts w:asciiTheme="majorBidi" w:hAnsiTheme="majorBidi" w:cstheme="majorBidi"/>
          <w:sz w:val="24"/>
          <w:szCs w:val="24"/>
          <w:lang w:val="en-US"/>
        </w:rPr>
        <w:t xml:space="preserve"> of</w:t>
      </w:r>
      <w:r w:rsidRPr="0094521B">
        <w:rPr>
          <w:rFonts w:asciiTheme="majorBidi" w:hAnsiTheme="majorBidi" w:cstheme="majorBidi"/>
          <w:sz w:val="24"/>
          <w:szCs w:val="24"/>
          <w:lang w:val="en-US"/>
        </w:rPr>
        <w:t xml:space="preserve"> 1</w:t>
      </w:r>
      <w:r w:rsidR="00A758E8" w:rsidRPr="0094521B">
        <w:rPr>
          <w:rFonts w:asciiTheme="majorBidi" w:hAnsiTheme="majorBidi" w:cstheme="majorBidi"/>
          <w:sz w:val="24"/>
          <w:szCs w:val="24"/>
          <w:lang w:val="en-US"/>
        </w:rPr>
        <w:t>7</w:t>
      </w:r>
      <w:r w:rsidRPr="0094521B">
        <w:rPr>
          <w:rFonts w:asciiTheme="majorBidi" w:hAnsiTheme="majorBidi" w:cstheme="majorBidi"/>
          <w:sz w:val="24"/>
          <w:szCs w:val="24"/>
          <w:lang w:val="en-US"/>
        </w:rPr>
        <w:t>,8</w:t>
      </w:r>
      <w:r w:rsidR="00A758E8" w:rsidRPr="0094521B">
        <w:rPr>
          <w:rFonts w:asciiTheme="majorBidi" w:hAnsiTheme="majorBidi" w:cstheme="majorBidi"/>
          <w:sz w:val="24"/>
          <w:szCs w:val="24"/>
          <w:lang w:val="en-US"/>
        </w:rPr>
        <w:t>31</w:t>
      </w:r>
      <w:r w:rsidRPr="0094521B">
        <w:rPr>
          <w:rFonts w:asciiTheme="majorBidi" w:hAnsiTheme="majorBidi" w:cstheme="majorBidi"/>
          <w:sz w:val="24"/>
          <w:szCs w:val="24"/>
          <w:lang w:val="en-US"/>
        </w:rPr>
        <w:t xml:space="preserve"> observations </w:t>
      </w:r>
      <w:r w:rsidR="00F46141" w:rsidRPr="0094521B">
        <w:rPr>
          <w:rFonts w:asciiTheme="majorBidi" w:hAnsiTheme="majorBidi" w:cstheme="majorBidi"/>
          <w:sz w:val="24"/>
          <w:szCs w:val="24"/>
          <w:lang w:val="en-US"/>
        </w:rPr>
        <w:t xml:space="preserve">for </w:t>
      </w:r>
      <w:r w:rsidRPr="0094521B">
        <w:rPr>
          <w:rFonts w:asciiTheme="majorBidi" w:hAnsiTheme="majorBidi" w:cstheme="majorBidi"/>
          <w:sz w:val="24"/>
          <w:szCs w:val="24"/>
          <w:lang w:val="en-US"/>
        </w:rPr>
        <w:t>1,</w:t>
      </w:r>
      <w:r w:rsidR="007F78D0">
        <w:rPr>
          <w:rFonts w:asciiTheme="majorBidi" w:hAnsiTheme="majorBidi" w:cstheme="majorBidi"/>
          <w:sz w:val="24"/>
          <w:szCs w:val="24"/>
          <w:lang w:val="en-US"/>
        </w:rPr>
        <w:t>916</w:t>
      </w:r>
      <w:r w:rsidRPr="0094521B">
        <w:rPr>
          <w:rFonts w:asciiTheme="majorBidi" w:hAnsiTheme="majorBidi" w:cstheme="majorBidi"/>
          <w:sz w:val="24"/>
          <w:szCs w:val="24"/>
          <w:lang w:val="en-US"/>
        </w:rPr>
        <w:t xml:space="preserve"> </w:t>
      </w:r>
      <w:r w:rsidRPr="00CE5B45">
        <w:rPr>
          <w:rFonts w:asciiTheme="majorBidi" w:hAnsiTheme="majorBidi" w:cstheme="majorBidi"/>
          <w:sz w:val="24"/>
          <w:szCs w:val="24"/>
          <w:lang w:val="en-US"/>
        </w:rPr>
        <w:t xml:space="preserve">unique </w:t>
      </w:r>
      <w:r w:rsidR="00800CBE" w:rsidRPr="00CE5B45">
        <w:rPr>
          <w:rFonts w:asciiTheme="majorBidi" w:hAnsiTheme="majorBidi" w:cstheme="majorBidi"/>
          <w:sz w:val="24"/>
          <w:szCs w:val="24"/>
          <w:lang w:val="en-US"/>
        </w:rPr>
        <w:t>firms, which</w:t>
      </w:r>
      <w:r w:rsidRPr="00CE5B45">
        <w:rPr>
          <w:rFonts w:asciiTheme="majorBidi" w:hAnsiTheme="majorBidi" w:cstheme="majorBidi"/>
          <w:sz w:val="24"/>
          <w:szCs w:val="24"/>
          <w:lang w:val="en-US"/>
        </w:rPr>
        <w:t xml:space="preserve"> we </w:t>
      </w:r>
      <w:r w:rsidR="00F46141" w:rsidRPr="00CE5B45">
        <w:rPr>
          <w:rFonts w:asciiTheme="majorBidi" w:hAnsiTheme="majorBidi" w:cstheme="majorBidi"/>
          <w:sz w:val="24"/>
          <w:szCs w:val="24"/>
          <w:lang w:val="en-US"/>
        </w:rPr>
        <w:t xml:space="preserve">merge </w:t>
      </w:r>
      <w:r w:rsidRPr="00CE5B45">
        <w:rPr>
          <w:rFonts w:asciiTheme="majorBidi" w:hAnsiTheme="majorBidi" w:cstheme="majorBidi"/>
          <w:sz w:val="24"/>
          <w:szCs w:val="24"/>
          <w:lang w:val="en-US"/>
        </w:rPr>
        <w:t xml:space="preserve">with data on </w:t>
      </w:r>
      <w:r w:rsidR="000774FD" w:rsidRPr="00CE5B45">
        <w:rPr>
          <w:rFonts w:asciiTheme="majorBidi" w:hAnsiTheme="majorBidi" w:cstheme="majorBidi"/>
          <w:sz w:val="24"/>
          <w:szCs w:val="24"/>
          <w:lang w:val="en-US"/>
        </w:rPr>
        <w:t>workplace</w:t>
      </w:r>
      <w:r w:rsidRPr="00CE5B45">
        <w:rPr>
          <w:rFonts w:asciiTheme="majorBidi" w:hAnsiTheme="majorBidi" w:cstheme="majorBidi"/>
          <w:sz w:val="24"/>
          <w:szCs w:val="24"/>
          <w:lang w:val="en-US"/>
        </w:rPr>
        <w:t xml:space="preserve"> misconduct from Violation</w:t>
      </w:r>
      <w:r w:rsidR="000774FD" w:rsidRPr="00CE5B45">
        <w:rPr>
          <w:rFonts w:asciiTheme="majorBidi" w:hAnsiTheme="majorBidi" w:cstheme="majorBidi"/>
          <w:sz w:val="24"/>
          <w:szCs w:val="24"/>
          <w:lang w:val="en-US"/>
        </w:rPr>
        <w:t xml:space="preserve"> Tracker</w:t>
      </w:r>
      <w:r w:rsidRPr="00CE5B45">
        <w:rPr>
          <w:rFonts w:asciiTheme="majorBidi" w:hAnsiTheme="majorBidi" w:cstheme="majorBidi"/>
          <w:sz w:val="24"/>
          <w:szCs w:val="24"/>
          <w:lang w:val="en-US"/>
        </w:rPr>
        <w:t xml:space="preserve">. </w:t>
      </w:r>
      <w:bookmarkEnd w:id="6"/>
      <w:r w:rsidR="003B7378" w:rsidRPr="00CE5B45">
        <w:rPr>
          <w:rFonts w:asciiTheme="majorBidi" w:hAnsiTheme="majorBidi" w:cstheme="majorBidi"/>
          <w:sz w:val="24"/>
          <w:szCs w:val="24"/>
          <w:lang w:val="en-US"/>
        </w:rPr>
        <w:t>The</w:t>
      </w:r>
      <w:r w:rsidRPr="00CE5B45">
        <w:rPr>
          <w:rFonts w:asciiTheme="majorBidi" w:hAnsiTheme="majorBidi" w:cstheme="majorBidi"/>
          <w:sz w:val="24"/>
          <w:szCs w:val="24"/>
          <w:lang w:val="en-US"/>
        </w:rPr>
        <w:t xml:space="preserve"> sample selection process </w:t>
      </w:r>
      <w:r w:rsidR="003B7378" w:rsidRPr="00CE5B45">
        <w:rPr>
          <w:rFonts w:asciiTheme="majorBidi" w:hAnsiTheme="majorBidi" w:cstheme="majorBidi"/>
          <w:sz w:val="24"/>
          <w:szCs w:val="24"/>
          <w:lang w:val="en-US"/>
        </w:rPr>
        <w:t xml:space="preserve">is </w:t>
      </w:r>
      <w:r w:rsidR="00D05223" w:rsidRPr="00CE5B45">
        <w:rPr>
          <w:rFonts w:asciiTheme="majorBidi" w:hAnsiTheme="majorBidi" w:cstheme="majorBidi"/>
          <w:sz w:val="24"/>
          <w:szCs w:val="24"/>
          <w:lang w:val="en-US"/>
        </w:rPr>
        <w:t>described in detail in</w:t>
      </w:r>
      <w:r w:rsidR="006B635B">
        <w:rPr>
          <w:rFonts w:asciiTheme="majorBidi" w:hAnsiTheme="majorBidi" w:cstheme="majorBidi"/>
          <w:sz w:val="24"/>
          <w:szCs w:val="24"/>
          <w:lang w:val="en-US"/>
        </w:rPr>
        <w:t xml:space="preserve"> Online</w:t>
      </w:r>
      <w:r w:rsidRPr="00CE5B45">
        <w:rPr>
          <w:rFonts w:asciiTheme="majorBidi" w:hAnsiTheme="majorBidi" w:cstheme="majorBidi"/>
          <w:sz w:val="24"/>
          <w:szCs w:val="24"/>
          <w:lang w:val="en-US"/>
        </w:rPr>
        <w:t xml:space="preserve"> Appendix </w:t>
      </w:r>
      <w:r w:rsidR="006B635B">
        <w:rPr>
          <w:rFonts w:asciiTheme="majorBidi" w:hAnsiTheme="majorBidi" w:cstheme="majorBidi"/>
          <w:sz w:val="24"/>
          <w:szCs w:val="24"/>
          <w:lang w:val="en-US"/>
        </w:rPr>
        <w:t>A</w:t>
      </w:r>
      <w:r w:rsidRPr="00CE5B45">
        <w:rPr>
          <w:rFonts w:asciiTheme="majorBidi" w:hAnsiTheme="majorBidi" w:cstheme="majorBidi"/>
          <w:sz w:val="24"/>
          <w:szCs w:val="24"/>
          <w:lang w:val="en-US"/>
        </w:rPr>
        <w:t>.</w:t>
      </w:r>
    </w:p>
    <w:p w14:paraId="2469E190" w14:textId="77777777" w:rsidR="00891D31" w:rsidRDefault="00891D31" w:rsidP="00FE3858">
      <w:pPr>
        <w:spacing w:after="0" w:line="480" w:lineRule="auto"/>
        <w:ind w:firstLine="720"/>
        <w:jc w:val="both"/>
        <w:rPr>
          <w:rFonts w:asciiTheme="majorBidi" w:hAnsiTheme="majorBidi" w:cstheme="majorBidi"/>
          <w:sz w:val="24"/>
          <w:szCs w:val="24"/>
          <w:lang w:val="en-US"/>
        </w:rPr>
      </w:pPr>
    </w:p>
    <w:p w14:paraId="71F660B6" w14:textId="77777777" w:rsidR="00891D31" w:rsidRDefault="00891D31" w:rsidP="00FE3858">
      <w:pPr>
        <w:spacing w:after="0" w:line="480" w:lineRule="auto"/>
        <w:ind w:firstLine="720"/>
        <w:jc w:val="both"/>
        <w:rPr>
          <w:rFonts w:asciiTheme="majorBidi" w:hAnsiTheme="majorBidi" w:cstheme="majorBidi"/>
          <w:sz w:val="24"/>
          <w:szCs w:val="24"/>
          <w:lang w:val="en-US"/>
        </w:rPr>
      </w:pPr>
    </w:p>
    <w:p w14:paraId="015BC10C" w14:textId="77777777" w:rsidR="00891D31" w:rsidRDefault="00891D31" w:rsidP="00FE3858">
      <w:pPr>
        <w:spacing w:after="0" w:line="480" w:lineRule="auto"/>
        <w:ind w:firstLine="720"/>
        <w:jc w:val="both"/>
        <w:rPr>
          <w:rFonts w:asciiTheme="majorBidi" w:hAnsiTheme="majorBidi" w:cstheme="majorBidi"/>
          <w:sz w:val="24"/>
          <w:szCs w:val="24"/>
          <w:lang w:val="en-US"/>
        </w:rPr>
      </w:pPr>
    </w:p>
    <w:bookmarkEnd w:id="7"/>
    <w:p w14:paraId="5A8CD73C" w14:textId="77777777" w:rsidR="004765B2" w:rsidRPr="00CE5B45" w:rsidRDefault="004765B2" w:rsidP="004765B2">
      <w:pPr>
        <w:spacing w:after="0" w:line="480" w:lineRule="auto"/>
        <w:jc w:val="both"/>
        <w:rPr>
          <w:rFonts w:asciiTheme="majorBidi" w:hAnsiTheme="majorBidi" w:cstheme="majorBidi"/>
          <w:sz w:val="24"/>
          <w:szCs w:val="24"/>
          <w:lang w:val="en-US"/>
        </w:rPr>
      </w:pPr>
      <w:r w:rsidRPr="00CE5B45">
        <w:rPr>
          <w:rFonts w:asciiTheme="majorBidi" w:hAnsiTheme="majorBidi" w:cstheme="majorBidi"/>
          <w:i/>
          <w:sz w:val="24"/>
          <w:szCs w:val="24"/>
          <w:lang w:val="en-US"/>
        </w:rPr>
        <w:lastRenderedPageBreak/>
        <w:t>3.2.</w:t>
      </w:r>
      <w:r w:rsidRPr="00CE5B45">
        <w:rPr>
          <w:rFonts w:asciiTheme="majorBidi" w:hAnsiTheme="majorBidi" w:cstheme="majorBidi"/>
          <w:sz w:val="24"/>
          <w:szCs w:val="24"/>
          <w:lang w:val="en-US"/>
        </w:rPr>
        <w:t xml:space="preserve"> </w:t>
      </w:r>
      <w:r w:rsidRPr="00CE5B45">
        <w:rPr>
          <w:rFonts w:asciiTheme="majorBidi" w:hAnsiTheme="majorBidi" w:cstheme="majorBidi"/>
          <w:i/>
          <w:iCs/>
          <w:sz w:val="24"/>
          <w:szCs w:val="24"/>
          <w:lang w:val="en-US"/>
        </w:rPr>
        <w:t>Variable measurement</w:t>
      </w:r>
    </w:p>
    <w:p w14:paraId="2DC0F835" w14:textId="77777777" w:rsidR="004765B2" w:rsidRPr="00CE5B45" w:rsidRDefault="004765B2" w:rsidP="004765B2">
      <w:pPr>
        <w:spacing w:after="0" w:line="480" w:lineRule="auto"/>
        <w:jc w:val="both"/>
        <w:rPr>
          <w:rFonts w:asciiTheme="majorBidi" w:hAnsiTheme="majorBidi" w:cstheme="majorBidi"/>
          <w:sz w:val="24"/>
          <w:szCs w:val="24"/>
          <w:lang w:val="en-US"/>
        </w:rPr>
      </w:pPr>
      <w:r w:rsidRPr="00670BD9">
        <w:rPr>
          <w:rFonts w:asciiTheme="majorBidi" w:hAnsiTheme="majorBidi" w:cstheme="majorBidi"/>
          <w:sz w:val="24"/>
          <w:szCs w:val="24"/>
          <w:lang w:val="en-US"/>
        </w:rPr>
        <w:t xml:space="preserve">3.2.1. </w:t>
      </w:r>
      <w:r w:rsidRPr="006F2B7B">
        <w:rPr>
          <w:rFonts w:asciiTheme="majorBidi" w:hAnsiTheme="majorBidi" w:cstheme="majorBidi"/>
          <w:iCs/>
          <w:sz w:val="24"/>
          <w:szCs w:val="24"/>
          <w:lang w:val="en-US"/>
        </w:rPr>
        <w:t>Measures of workplace misconduct</w:t>
      </w:r>
    </w:p>
    <w:p w14:paraId="0ED5DEE3" w14:textId="3934E4A9" w:rsidR="003022EE" w:rsidRPr="00CE5B45" w:rsidRDefault="00D872C6" w:rsidP="00927E7A">
      <w:pPr>
        <w:spacing w:after="0" w:line="48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We construct m</w:t>
      </w:r>
      <w:r w:rsidR="007056E0" w:rsidRPr="00CE5B45">
        <w:rPr>
          <w:rFonts w:asciiTheme="majorBidi" w:hAnsiTheme="majorBidi" w:cstheme="majorBidi"/>
          <w:sz w:val="24"/>
          <w:szCs w:val="24"/>
          <w:lang w:val="en-US"/>
        </w:rPr>
        <w:t>easures of the incidence and severity of workplace</w:t>
      </w:r>
      <w:r w:rsidR="004765B2" w:rsidRPr="00CE5B45">
        <w:rPr>
          <w:rFonts w:asciiTheme="majorBidi" w:hAnsiTheme="majorBidi" w:cstheme="majorBidi"/>
          <w:sz w:val="24"/>
          <w:szCs w:val="24"/>
          <w:lang w:val="en-US"/>
        </w:rPr>
        <w:t xml:space="preserve"> misconduct </w:t>
      </w:r>
      <w:r w:rsidR="00041FEE" w:rsidRPr="00CE5B45">
        <w:rPr>
          <w:rFonts w:asciiTheme="majorBidi" w:hAnsiTheme="majorBidi" w:cstheme="majorBidi"/>
          <w:sz w:val="24"/>
          <w:szCs w:val="24"/>
          <w:lang w:val="en-US"/>
        </w:rPr>
        <w:t>using data from Violation Tracker</w:t>
      </w:r>
      <w:r w:rsidR="007056E0" w:rsidRPr="00CE5B45">
        <w:rPr>
          <w:rFonts w:asciiTheme="majorBidi" w:hAnsiTheme="majorBidi" w:cstheme="majorBidi"/>
          <w:sz w:val="24"/>
          <w:szCs w:val="24"/>
          <w:lang w:val="en-US"/>
        </w:rPr>
        <w:t>.</w:t>
      </w:r>
      <w:r w:rsidR="007E3BDE">
        <w:rPr>
          <w:rStyle w:val="FootnoteReference"/>
          <w:rFonts w:asciiTheme="majorBidi" w:hAnsiTheme="majorBidi" w:cstheme="majorBidi"/>
          <w:sz w:val="24"/>
          <w:szCs w:val="24"/>
          <w:lang w:val="en-US"/>
        </w:rPr>
        <w:footnoteReference w:id="8"/>
      </w:r>
      <w:r w:rsidR="007056E0" w:rsidRPr="00CE5B45">
        <w:rPr>
          <w:rFonts w:asciiTheme="majorBidi" w:hAnsiTheme="majorBidi" w:cstheme="majorBidi"/>
          <w:sz w:val="24"/>
          <w:szCs w:val="24"/>
          <w:lang w:val="en-US"/>
        </w:rPr>
        <w:t xml:space="preserve"> </w:t>
      </w:r>
      <w:bookmarkStart w:id="9" w:name="_Hlk89165584"/>
      <w:r w:rsidR="003022EE" w:rsidRPr="00CE5B45">
        <w:rPr>
          <w:rFonts w:asciiTheme="majorBidi" w:hAnsiTheme="majorBidi" w:cstheme="majorBidi"/>
          <w:sz w:val="24"/>
          <w:szCs w:val="24"/>
          <w:lang w:val="en-US"/>
        </w:rPr>
        <w:t>Violation Tracker</w:t>
      </w:r>
      <w:r w:rsidR="00467E1F" w:rsidRPr="00CE5B45">
        <w:rPr>
          <w:rFonts w:asciiTheme="majorBidi" w:hAnsiTheme="majorBidi" w:cstheme="majorBidi"/>
          <w:sz w:val="24"/>
          <w:szCs w:val="24"/>
          <w:lang w:val="en-US"/>
        </w:rPr>
        <w:t>, developed by the Corporate Research Project of Good Jobs First,</w:t>
      </w:r>
      <w:r w:rsidR="003022EE" w:rsidRPr="00CE5B45">
        <w:rPr>
          <w:rFonts w:asciiTheme="majorBidi" w:hAnsiTheme="majorBidi" w:cstheme="majorBidi"/>
          <w:sz w:val="24"/>
          <w:szCs w:val="24"/>
          <w:lang w:val="en-US"/>
        </w:rPr>
        <w:t xml:space="preserve"> contains records of several types of </w:t>
      </w:r>
      <w:r w:rsidR="0063721F" w:rsidRPr="00CE5B45">
        <w:rPr>
          <w:rFonts w:asciiTheme="majorBidi" w:hAnsiTheme="majorBidi" w:cstheme="majorBidi"/>
          <w:sz w:val="24"/>
          <w:szCs w:val="24"/>
          <w:lang w:val="en-US"/>
        </w:rPr>
        <w:t xml:space="preserve">violations </w:t>
      </w:r>
      <w:r w:rsidR="003022EE" w:rsidRPr="00CE5B45">
        <w:rPr>
          <w:rFonts w:asciiTheme="majorBidi" w:hAnsiTheme="majorBidi" w:cstheme="majorBidi"/>
          <w:sz w:val="24"/>
          <w:szCs w:val="24"/>
          <w:lang w:val="en-US"/>
        </w:rPr>
        <w:t xml:space="preserve">broadly defined as environmental, product, and workplace </w:t>
      </w:r>
      <w:r w:rsidR="0063721F" w:rsidRPr="00CE5B45">
        <w:rPr>
          <w:rFonts w:asciiTheme="majorBidi" w:hAnsiTheme="majorBidi" w:cstheme="majorBidi"/>
          <w:sz w:val="24"/>
          <w:szCs w:val="24"/>
          <w:lang w:val="en-US"/>
        </w:rPr>
        <w:t>violations</w:t>
      </w:r>
      <w:r w:rsidR="003022EE" w:rsidRPr="00CE5B45">
        <w:rPr>
          <w:rFonts w:asciiTheme="majorBidi" w:hAnsiTheme="majorBidi" w:cstheme="majorBidi"/>
          <w:sz w:val="24"/>
          <w:szCs w:val="24"/>
          <w:lang w:val="en-US"/>
        </w:rPr>
        <w:t xml:space="preserve">. </w:t>
      </w:r>
      <w:r w:rsidR="00732D99" w:rsidRPr="00CE5B45">
        <w:rPr>
          <w:rFonts w:asciiTheme="majorBidi" w:hAnsiTheme="majorBidi" w:cstheme="majorBidi"/>
          <w:sz w:val="24"/>
          <w:szCs w:val="24"/>
          <w:lang w:val="en-US"/>
        </w:rPr>
        <w:t xml:space="preserve">We </w:t>
      </w:r>
      <w:r w:rsidR="007056E0" w:rsidRPr="00CE5B45">
        <w:rPr>
          <w:rFonts w:asciiTheme="majorBidi" w:hAnsiTheme="majorBidi" w:cstheme="majorBidi"/>
          <w:sz w:val="24"/>
          <w:szCs w:val="24"/>
          <w:lang w:val="en-US"/>
        </w:rPr>
        <w:t xml:space="preserve">capture the incidence of </w:t>
      </w:r>
      <w:r w:rsidR="0063721F" w:rsidRPr="00CE5B45">
        <w:rPr>
          <w:rFonts w:asciiTheme="majorBidi" w:hAnsiTheme="majorBidi" w:cstheme="majorBidi"/>
          <w:sz w:val="24"/>
          <w:szCs w:val="24"/>
          <w:lang w:val="en-US"/>
        </w:rPr>
        <w:t xml:space="preserve">workplace misconduct using </w:t>
      </w:r>
      <w:r w:rsidR="007056E0" w:rsidRPr="00CE5B45">
        <w:rPr>
          <w:rFonts w:asciiTheme="majorBidi" w:hAnsiTheme="majorBidi" w:cstheme="majorBidi"/>
          <w:sz w:val="24"/>
          <w:szCs w:val="24"/>
          <w:lang w:val="en-US"/>
        </w:rPr>
        <w:t>the number of</w:t>
      </w:r>
      <w:r w:rsidR="0063721F" w:rsidRPr="00CE5B45">
        <w:rPr>
          <w:rFonts w:asciiTheme="majorBidi" w:hAnsiTheme="majorBidi" w:cstheme="majorBidi"/>
          <w:sz w:val="24"/>
          <w:szCs w:val="24"/>
          <w:lang w:val="en-US"/>
        </w:rPr>
        <w:t xml:space="preserve"> violations</w:t>
      </w:r>
      <w:r w:rsidR="007056E0" w:rsidRPr="00CE5B45">
        <w:rPr>
          <w:rFonts w:asciiTheme="majorBidi" w:hAnsiTheme="majorBidi" w:cstheme="majorBidi"/>
          <w:sz w:val="24"/>
          <w:szCs w:val="24"/>
          <w:lang w:val="en-US"/>
        </w:rPr>
        <w:t xml:space="preserve"> and the severity of workplace misconduct using the value of penalties mandated for identified violations</w:t>
      </w:r>
      <w:r w:rsidR="0063721F" w:rsidRPr="00CE5B45">
        <w:rPr>
          <w:rFonts w:asciiTheme="majorBidi" w:hAnsiTheme="majorBidi" w:cstheme="majorBidi"/>
          <w:sz w:val="24"/>
          <w:szCs w:val="24"/>
          <w:lang w:val="en-US"/>
        </w:rPr>
        <w:t xml:space="preserve">. A violation is classified as a workplace violation if it is identified </w:t>
      </w:r>
      <w:r w:rsidR="00807AF0">
        <w:rPr>
          <w:rFonts w:asciiTheme="majorBidi" w:hAnsiTheme="majorBidi" w:cstheme="majorBidi"/>
          <w:sz w:val="24"/>
          <w:szCs w:val="24"/>
          <w:lang w:val="en-US"/>
        </w:rPr>
        <w:t>as such by regulatory agencies including</w:t>
      </w:r>
      <w:r w:rsidR="006370E7" w:rsidRPr="00CE5B45">
        <w:rPr>
          <w:rFonts w:asciiTheme="majorBidi" w:hAnsiTheme="majorBidi" w:cstheme="majorBidi"/>
          <w:sz w:val="24"/>
          <w:szCs w:val="24"/>
          <w:lang w:val="en-US"/>
        </w:rPr>
        <w:t xml:space="preserve"> </w:t>
      </w:r>
      <w:r w:rsidR="0031024A" w:rsidRPr="00CE5B45">
        <w:rPr>
          <w:rFonts w:asciiTheme="majorBidi" w:hAnsiTheme="majorBidi" w:cstheme="majorBidi"/>
          <w:sz w:val="24"/>
          <w:szCs w:val="24"/>
          <w:lang w:val="en-US"/>
        </w:rPr>
        <w:t>t</w:t>
      </w:r>
      <w:r w:rsidR="0063721F" w:rsidRPr="00CE5B45">
        <w:rPr>
          <w:rFonts w:asciiTheme="majorBidi" w:hAnsiTheme="majorBidi" w:cstheme="majorBidi"/>
          <w:sz w:val="24"/>
          <w:szCs w:val="24"/>
          <w:lang w:val="en-US"/>
        </w:rPr>
        <w:t xml:space="preserve">he </w:t>
      </w:r>
      <w:r w:rsidR="0063721F" w:rsidRPr="00CE5B45">
        <w:rPr>
          <w:rFonts w:ascii="Times New Roman" w:hAnsi="Times New Roman" w:cs="Times New Roman"/>
          <w:sz w:val="24"/>
          <w:szCs w:val="24"/>
          <w:lang w:val="en-US"/>
        </w:rPr>
        <w:t>Employee Benefits Security Administration, Equal Employment Opportunity Commission, Labor Department Wage and Hour Division</w:t>
      </w:r>
      <w:r w:rsidR="00155940">
        <w:rPr>
          <w:rFonts w:ascii="Times New Roman" w:hAnsi="Times New Roman" w:cs="Times New Roman"/>
          <w:sz w:val="24"/>
          <w:szCs w:val="24"/>
          <w:lang w:val="en-US"/>
        </w:rPr>
        <w:t>,</w:t>
      </w:r>
      <w:r w:rsidR="0063721F" w:rsidRPr="00CE5B45">
        <w:rPr>
          <w:rFonts w:ascii="Times New Roman" w:hAnsi="Times New Roman" w:cs="Times New Roman"/>
          <w:sz w:val="24"/>
          <w:szCs w:val="24"/>
          <w:lang w:val="en-US"/>
        </w:rPr>
        <w:t xml:space="preserve"> and Occupational Safety and Health Administration. </w:t>
      </w:r>
      <w:bookmarkEnd w:id="9"/>
      <w:r w:rsidR="004765B2" w:rsidRPr="00CE5B45">
        <w:rPr>
          <w:rFonts w:asciiTheme="majorBidi" w:hAnsiTheme="majorBidi" w:cstheme="majorBidi"/>
          <w:sz w:val="24"/>
          <w:szCs w:val="24"/>
          <w:lang w:val="en-US"/>
        </w:rPr>
        <w:t>In total</w:t>
      </w:r>
      <w:r w:rsidR="003B7378" w:rsidRPr="00CE5B45">
        <w:rPr>
          <w:rFonts w:asciiTheme="majorBidi" w:hAnsiTheme="majorBidi" w:cstheme="majorBidi"/>
          <w:sz w:val="24"/>
          <w:szCs w:val="24"/>
          <w:lang w:val="en-US"/>
        </w:rPr>
        <w:t>,</w:t>
      </w:r>
      <w:r w:rsidR="004765B2" w:rsidRPr="00CE5B45">
        <w:rPr>
          <w:rFonts w:asciiTheme="majorBidi" w:hAnsiTheme="majorBidi" w:cstheme="majorBidi"/>
          <w:sz w:val="24"/>
          <w:szCs w:val="24"/>
          <w:lang w:val="en-US"/>
        </w:rPr>
        <w:t xml:space="preserve"> </w:t>
      </w:r>
      <w:r w:rsidR="00C458A3" w:rsidRPr="00CE5B45">
        <w:rPr>
          <w:rFonts w:asciiTheme="majorBidi" w:hAnsiTheme="majorBidi" w:cstheme="majorBidi"/>
          <w:sz w:val="24"/>
          <w:szCs w:val="24"/>
          <w:lang w:val="en-US"/>
        </w:rPr>
        <w:t>we identify</w:t>
      </w:r>
      <w:r w:rsidR="0063721F" w:rsidRPr="00CE5B45">
        <w:rPr>
          <w:rFonts w:asciiTheme="majorBidi" w:hAnsiTheme="majorBidi" w:cstheme="majorBidi"/>
          <w:sz w:val="24"/>
          <w:szCs w:val="24"/>
          <w:lang w:val="en-US"/>
        </w:rPr>
        <w:t xml:space="preserve"> </w:t>
      </w:r>
      <w:r w:rsidR="004765B2" w:rsidRPr="00CE5B45">
        <w:rPr>
          <w:rFonts w:asciiTheme="majorBidi" w:hAnsiTheme="majorBidi" w:cstheme="majorBidi"/>
          <w:sz w:val="24"/>
          <w:szCs w:val="24"/>
          <w:lang w:val="en-US"/>
        </w:rPr>
        <w:t xml:space="preserve">7,039 </w:t>
      </w:r>
      <w:r w:rsidR="0031024A" w:rsidRPr="00CE5B45">
        <w:rPr>
          <w:rFonts w:asciiTheme="majorBidi" w:hAnsiTheme="majorBidi" w:cstheme="majorBidi"/>
          <w:sz w:val="24"/>
          <w:szCs w:val="24"/>
          <w:lang w:val="en-US"/>
        </w:rPr>
        <w:t xml:space="preserve">workplace </w:t>
      </w:r>
      <w:r w:rsidR="004765B2" w:rsidRPr="00CE5B45">
        <w:rPr>
          <w:rFonts w:asciiTheme="majorBidi" w:hAnsiTheme="majorBidi" w:cstheme="majorBidi"/>
          <w:sz w:val="24"/>
          <w:szCs w:val="24"/>
          <w:lang w:val="en-US"/>
        </w:rPr>
        <w:t xml:space="preserve">violations </w:t>
      </w:r>
      <w:r w:rsidR="0063721F" w:rsidRPr="00CE5B45">
        <w:rPr>
          <w:rFonts w:asciiTheme="majorBidi" w:hAnsiTheme="majorBidi" w:cstheme="majorBidi"/>
          <w:sz w:val="24"/>
          <w:szCs w:val="24"/>
          <w:lang w:val="en-US"/>
        </w:rPr>
        <w:t xml:space="preserve">in Violation Tracker. These violations account for </w:t>
      </w:r>
      <w:r w:rsidR="004765B2" w:rsidRPr="00CE5B45">
        <w:rPr>
          <w:rFonts w:asciiTheme="majorBidi" w:hAnsiTheme="majorBidi" w:cstheme="majorBidi"/>
          <w:sz w:val="24"/>
          <w:szCs w:val="24"/>
          <w:lang w:val="en-US"/>
        </w:rPr>
        <w:t>$7,980 million w</w:t>
      </w:r>
      <w:r w:rsidR="00800CBE" w:rsidRPr="00CE5B45">
        <w:rPr>
          <w:rFonts w:asciiTheme="majorBidi" w:hAnsiTheme="majorBidi" w:cstheme="majorBidi"/>
          <w:sz w:val="24"/>
          <w:szCs w:val="24"/>
          <w:lang w:val="en-US"/>
        </w:rPr>
        <w:t>orth of penalties</w:t>
      </w:r>
      <w:r w:rsidR="003B7378" w:rsidRPr="00CE5B45">
        <w:rPr>
          <w:rFonts w:asciiTheme="majorBidi" w:hAnsiTheme="majorBidi" w:cstheme="majorBidi"/>
          <w:sz w:val="24"/>
          <w:szCs w:val="24"/>
          <w:lang w:val="en-US"/>
        </w:rPr>
        <w:t xml:space="preserve">. </w:t>
      </w:r>
    </w:p>
    <w:p w14:paraId="5EFEC1C0" w14:textId="3692154E" w:rsidR="004765B2" w:rsidRPr="00CE5B45" w:rsidRDefault="00041FEE" w:rsidP="001E440D">
      <w:pPr>
        <w:spacing w:after="0" w:line="480" w:lineRule="auto"/>
        <w:ind w:firstLine="720"/>
        <w:jc w:val="both"/>
        <w:rPr>
          <w:rFonts w:asciiTheme="majorBidi" w:hAnsiTheme="majorBidi" w:cstheme="majorBidi"/>
          <w:sz w:val="24"/>
          <w:szCs w:val="24"/>
          <w:lang w:val="en-US"/>
        </w:rPr>
      </w:pPr>
      <w:r w:rsidRPr="00CE5B45">
        <w:rPr>
          <w:rFonts w:asciiTheme="majorBidi" w:hAnsiTheme="majorBidi" w:cstheme="majorBidi"/>
          <w:sz w:val="24"/>
          <w:szCs w:val="24"/>
          <w:lang w:val="en-US"/>
        </w:rPr>
        <w:t>Violation T</w:t>
      </w:r>
      <w:r w:rsidR="00FB5812" w:rsidRPr="00CE5B45">
        <w:rPr>
          <w:rFonts w:asciiTheme="majorBidi" w:hAnsiTheme="majorBidi" w:cstheme="majorBidi"/>
          <w:sz w:val="24"/>
          <w:szCs w:val="24"/>
          <w:lang w:val="en-US"/>
        </w:rPr>
        <w:t>r</w:t>
      </w:r>
      <w:r w:rsidRPr="00CE5B45">
        <w:rPr>
          <w:rFonts w:asciiTheme="majorBidi" w:hAnsiTheme="majorBidi" w:cstheme="majorBidi"/>
          <w:sz w:val="24"/>
          <w:szCs w:val="24"/>
          <w:lang w:val="en-US"/>
        </w:rPr>
        <w:t xml:space="preserve">acker </w:t>
      </w:r>
      <w:r w:rsidR="002D33B0" w:rsidRPr="00CE5B45">
        <w:rPr>
          <w:rFonts w:asciiTheme="majorBidi" w:hAnsiTheme="majorBidi" w:cstheme="majorBidi"/>
          <w:sz w:val="24"/>
          <w:szCs w:val="24"/>
          <w:lang w:val="en-US"/>
        </w:rPr>
        <w:t>records</w:t>
      </w:r>
      <w:r w:rsidRPr="00CE5B45">
        <w:rPr>
          <w:rFonts w:asciiTheme="majorBidi" w:hAnsiTheme="majorBidi" w:cstheme="majorBidi"/>
          <w:sz w:val="24"/>
          <w:szCs w:val="24"/>
          <w:lang w:val="en-US"/>
        </w:rPr>
        <w:t xml:space="preserve"> </w:t>
      </w:r>
      <w:r w:rsidR="0031024A" w:rsidRPr="00CE5B45">
        <w:rPr>
          <w:rFonts w:asciiTheme="majorBidi" w:hAnsiTheme="majorBidi" w:cstheme="majorBidi"/>
          <w:sz w:val="24"/>
          <w:szCs w:val="24"/>
          <w:lang w:val="en-US"/>
        </w:rPr>
        <w:t>violations that result in</w:t>
      </w:r>
      <w:r w:rsidRPr="00CE5B45">
        <w:rPr>
          <w:rFonts w:asciiTheme="majorBidi" w:hAnsiTheme="majorBidi" w:cstheme="majorBidi"/>
          <w:sz w:val="24"/>
          <w:szCs w:val="24"/>
          <w:lang w:val="en-US"/>
        </w:rPr>
        <w:t xml:space="preserve"> penalties </w:t>
      </w:r>
      <w:r w:rsidR="002D33B0" w:rsidRPr="00CE5B45">
        <w:rPr>
          <w:rFonts w:asciiTheme="majorBidi" w:hAnsiTheme="majorBidi" w:cstheme="majorBidi"/>
          <w:sz w:val="24"/>
          <w:szCs w:val="24"/>
          <w:lang w:val="en-US"/>
        </w:rPr>
        <w:t>greater than</w:t>
      </w:r>
      <w:r w:rsidRPr="00CE5B45">
        <w:rPr>
          <w:rFonts w:asciiTheme="majorBidi" w:hAnsiTheme="majorBidi" w:cstheme="majorBidi"/>
          <w:sz w:val="24"/>
          <w:szCs w:val="24"/>
          <w:lang w:val="en-US"/>
        </w:rPr>
        <w:t xml:space="preserve"> $5,000. The reporting of violations is done at the establishment level, which we aggregate to </w:t>
      </w:r>
      <w:r w:rsidR="00B138D0" w:rsidRPr="00CE5B45">
        <w:rPr>
          <w:rFonts w:asciiTheme="majorBidi" w:hAnsiTheme="majorBidi" w:cstheme="majorBidi"/>
          <w:sz w:val="24"/>
          <w:szCs w:val="24"/>
          <w:lang w:val="en-US"/>
        </w:rPr>
        <w:t xml:space="preserve">the firm </w:t>
      </w:r>
      <w:r w:rsidRPr="00CE5B45">
        <w:rPr>
          <w:rFonts w:asciiTheme="majorBidi" w:hAnsiTheme="majorBidi" w:cstheme="majorBidi"/>
          <w:sz w:val="24"/>
          <w:szCs w:val="24"/>
          <w:lang w:val="en-US"/>
        </w:rPr>
        <w:t xml:space="preserve">level. </w:t>
      </w:r>
      <w:r w:rsidR="00B138D0" w:rsidRPr="00CE5B45">
        <w:rPr>
          <w:rFonts w:asciiTheme="majorBidi" w:hAnsiTheme="majorBidi" w:cstheme="majorBidi"/>
          <w:sz w:val="24"/>
          <w:szCs w:val="24"/>
          <w:lang w:val="en-US"/>
        </w:rPr>
        <w:t>Aggregating the number of violations and the value of penalties to the firm level</w:t>
      </w:r>
      <w:r w:rsidRPr="00CE5B45">
        <w:rPr>
          <w:rFonts w:asciiTheme="majorBidi" w:hAnsiTheme="majorBidi" w:cstheme="majorBidi"/>
          <w:sz w:val="24"/>
          <w:szCs w:val="24"/>
          <w:lang w:val="en-US"/>
        </w:rPr>
        <w:t xml:space="preserve"> is essential for us to link the degree of </w:t>
      </w:r>
      <w:r w:rsidR="00D54952" w:rsidRPr="00CE5B45">
        <w:rPr>
          <w:rFonts w:asciiTheme="majorBidi" w:hAnsiTheme="majorBidi" w:cstheme="majorBidi"/>
          <w:sz w:val="24"/>
          <w:szCs w:val="24"/>
          <w:lang w:val="en-US"/>
        </w:rPr>
        <w:t xml:space="preserve">workplace </w:t>
      </w:r>
      <w:r w:rsidRPr="00CE5B45">
        <w:rPr>
          <w:rFonts w:asciiTheme="majorBidi" w:hAnsiTheme="majorBidi" w:cstheme="majorBidi"/>
          <w:sz w:val="24"/>
          <w:szCs w:val="24"/>
          <w:lang w:val="en-US"/>
        </w:rPr>
        <w:t xml:space="preserve">misconduct </w:t>
      </w:r>
      <w:r w:rsidR="00D54952" w:rsidRPr="00CE5B45">
        <w:rPr>
          <w:rFonts w:asciiTheme="majorBidi" w:hAnsiTheme="majorBidi" w:cstheme="majorBidi"/>
          <w:sz w:val="24"/>
          <w:szCs w:val="24"/>
          <w:lang w:val="en-US"/>
        </w:rPr>
        <w:t xml:space="preserve">to </w:t>
      </w:r>
      <w:r w:rsidRPr="00CE5B45">
        <w:rPr>
          <w:rFonts w:asciiTheme="majorBidi" w:hAnsiTheme="majorBidi" w:cstheme="majorBidi"/>
          <w:sz w:val="24"/>
          <w:szCs w:val="24"/>
          <w:lang w:val="en-US"/>
        </w:rPr>
        <w:t xml:space="preserve">CEO’s sensitivity to risk. </w:t>
      </w:r>
      <w:r w:rsidR="00854A9A">
        <w:rPr>
          <w:rFonts w:asciiTheme="majorBidi" w:hAnsiTheme="majorBidi" w:cstheme="majorBidi"/>
          <w:sz w:val="24"/>
          <w:szCs w:val="24"/>
          <w:lang w:val="en-US"/>
        </w:rPr>
        <w:t>We present t</w:t>
      </w:r>
      <w:r w:rsidR="000774FD" w:rsidRPr="00CE5B45">
        <w:rPr>
          <w:rFonts w:asciiTheme="majorBidi" w:hAnsiTheme="majorBidi" w:cstheme="majorBidi"/>
          <w:sz w:val="24"/>
          <w:szCs w:val="24"/>
          <w:lang w:val="en-US"/>
        </w:rPr>
        <w:t xml:space="preserve">he </w:t>
      </w:r>
      <w:r w:rsidR="000A15D3" w:rsidRPr="00CE5B45">
        <w:rPr>
          <w:rFonts w:asciiTheme="majorBidi" w:hAnsiTheme="majorBidi" w:cstheme="majorBidi"/>
          <w:sz w:val="24"/>
          <w:szCs w:val="24"/>
          <w:lang w:val="en-US"/>
        </w:rPr>
        <w:t>distribution of workplace violations by year and industry</w:t>
      </w:r>
      <w:r w:rsidR="000774FD" w:rsidRPr="00CE5B45">
        <w:rPr>
          <w:rFonts w:asciiTheme="majorBidi" w:hAnsiTheme="majorBidi" w:cstheme="majorBidi"/>
          <w:sz w:val="24"/>
          <w:szCs w:val="24"/>
          <w:lang w:val="en-US"/>
        </w:rPr>
        <w:t xml:space="preserve"> in </w:t>
      </w:r>
      <w:r w:rsidR="006B635B">
        <w:rPr>
          <w:rFonts w:asciiTheme="majorBidi" w:hAnsiTheme="majorBidi" w:cstheme="majorBidi"/>
          <w:sz w:val="24"/>
          <w:szCs w:val="24"/>
          <w:lang w:val="en-US"/>
        </w:rPr>
        <w:t xml:space="preserve">Online </w:t>
      </w:r>
      <w:r w:rsidR="000774FD" w:rsidRPr="00CE5B45">
        <w:rPr>
          <w:rFonts w:asciiTheme="majorBidi" w:hAnsiTheme="majorBidi" w:cstheme="majorBidi"/>
          <w:sz w:val="24"/>
          <w:szCs w:val="24"/>
          <w:lang w:val="en-US"/>
        </w:rPr>
        <w:t xml:space="preserve">Appendix </w:t>
      </w:r>
      <w:r w:rsidR="006B635B">
        <w:rPr>
          <w:rFonts w:asciiTheme="majorBidi" w:hAnsiTheme="majorBidi" w:cstheme="majorBidi"/>
          <w:sz w:val="24"/>
          <w:szCs w:val="24"/>
          <w:lang w:val="en-US"/>
        </w:rPr>
        <w:t>B</w:t>
      </w:r>
      <w:r w:rsidR="000774FD" w:rsidRPr="00CE5B45">
        <w:rPr>
          <w:rFonts w:asciiTheme="majorBidi" w:hAnsiTheme="majorBidi" w:cstheme="majorBidi"/>
          <w:sz w:val="24"/>
          <w:szCs w:val="24"/>
          <w:lang w:val="en-US"/>
        </w:rPr>
        <w:t>.</w:t>
      </w:r>
    </w:p>
    <w:p w14:paraId="501F815F" w14:textId="4C789FD6" w:rsidR="004765B2" w:rsidRPr="00CE5B45" w:rsidRDefault="004765B2" w:rsidP="003E726F">
      <w:pPr>
        <w:spacing w:after="0" w:line="480" w:lineRule="auto"/>
        <w:jc w:val="both"/>
        <w:rPr>
          <w:rFonts w:asciiTheme="majorBidi" w:hAnsiTheme="majorBidi" w:cstheme="majorBidi"/>
          <w:iCs/>
          <w:sz w:val="24"/>
          <w:szCs w:val="24"/>
          <w:lang w:val="en-US"/>
        </w:rPr>
      </w:pPr>
      <w:r w:rsidRPr="00CE5B45">
        <w:rPr>
          <w:rFonts w:asciiTheme="majorBidi" w:hAnsiTheme="majorBidi" w:cstheme="majorBidi"/>
          <w:sz w:val="24"/>
          <w:szCs w:val="24"/>
          <w:lang w:val="en-US"/>
        </w:rPr>
        <w:t>3.2.2</w:t>
      </w:r>
      <w:r w:rsidRPr="006F2B7B">
        <w:rPr>
          <w:rFonts w:asciiTheme="majorBidi" w:hAnsiTheme="majorBidi" w:cstheme="majorBidi"/>
          <w:sz w:val="24"/>
          <w:szCs w:val="24"/>
          <w:lang w:val="en-US"/>
        </w:rPr>
        <w:t xml:space="preserve">. </w:t>
      </w:r>
      <w:r w:rsidRPr="006F2B7B">
        <w:rPr>
          <w:rFonts w:asciiTheme="majorBidi" w:hAnsiTheme="majorBidi" w:cstheme="majorBidi"/>
          <w:iCs/>
          <w:sz w:val="24"/>
          <w:szCs w:val="24"/>
          <w:lang w:val="en-US"/>
        </w:rPr>
        <w:t>Measures of</w:t>
      </w:r>
      <w:r w:rsidR="00B065AB">
        <w:rPr>
          <w:rFonts w:asciiTheme="majorBidi" w:hAnsiTheme="majorBidi" w:cstheme="majorBidi"/>
          <w:iCs/>
          <w:sz w:val="24"/>
          <w:szCs w:val="24"/>
          <w:lang w:val="en-US"/>
        </w:rPr>
        <w:t xml:space="preserve"> CEO</w:t>
      </w:r>
      <w:r w:rsidRPr="006F2B7B">
        <w:rPr>
          <w:rFonts w:asciiTheme="majorBidi" w:hAnsiTheme="majorBidi" w:cstheme="majorBidi"/>
          <w:iCs/>
          <w:sz w:val="24"/>
          <w:szCs w:val="24"/>
          <w:lang w:val="en-US"/>
        </w:rPr>
        <w:t xml:space="preserve"> incentives</w:t>
      </w:r>
      <w:r w:rsidR="003E726F" w:rsidRPr="00CE5B45">
        <w:rPr>
          <w:rFonts w:asciiTheme="majorBidi" w:hAnsiTheme="majorBidi" w:cstheme="majorBidi"/>
          <w:iCs/>
          <w:sz w:val="24"/>
          <w:szCs w:val="24"/>
          <w:lang w:val="en-US"/>
        </w:rPr>
        <w:t xml:space="preserve"> </w:t>
      </w:r>
    </w:p>
    <w:p w14:paraId="63B300D6" w14:textId="49F42F18" w:rsidR="004765B2" w:rsidRDefault="004C49D8" w:rsidP="00FE3858">
      <w:pPr>
        <w:spacing w:after="0" w:line="480" w:lineRule="auto"/>
        <w:ind w:firstLine="720"/>
        <w:jc w:val="both"/>
        <w:rPr>
          <w:rFonts w:asciiTheme="majorBidi" w:hAnsiTheme="majorBidi" w:cstheme="majorBidi"/>
          <w:sz w:val="24"/>
          <w:szCs w:val="24"/>
          <w:lang w:val="en-US"/>
        </w:rPr>
      </w:pPr>
      <w:r w:rsidRPr="00CE5B45">
        <w:rPr>
          <w:rFonts w:asciiTheme="majorBidi" w:hAnsiTheme="majorBidi" w:cstheme="majorBidi"/>
          <w:sz w:val="24"/>
          <w:szCs w:val="24"/>
          <w:lang w:val="en-US"/>
        </w:rPr>
        <w:t xml:space="preserve">In measuring CEO </w:t>
      </w:r>
      <w:r w:rsidR="008C2A0C" w:rsidRPr="00CE5B45">
        <w:rPr>
          <w:rFonts w:asciiTheme="majorBidi" w:hAnsiTheme="majorBidi" w:cstheme="majorBidi"/>
          <w:sz w:val="24"/>
          <w:szCs w:val="24"/>
          <w:lang w:val="en-US"/>
        </w:rPr>
        <w:t>incentives,</w:t>
      </w:r>
      <w:r w:rsidR="003E726F" w:rsidRPr="00CE5B45">
        <w:rPr>
          <w:rFonts w:asciiTheme="majorBidi" w:hAnsiTheme="majorBidi" w:cstheme="majorBidi"/>
          <w:sz w:val="24"/>
          <w:szCs w:val="24"/>
          <w:lang w:val="en-US"/>
        </w:rPr>
        <w:t xml:space="preserve"> we concentrate on incentives originating from executive compensation in general, and </w:t>
      </w:r>
      <w:r w:rsidR="00E56578" w:rsidRPr="00CE5B45">
        <w:rPr>
          <w:rFonts w:asciiTheme="majorBidi" w:hAnsiTheme="majorBidi" w:cstheme="majorBidi"/>
          <w:sz w:val="24"/>
          <w:szCs w:val="24"/>
          <w:lang w:val="en-US"/>
        </w:rPr>
        <w:t xml:space="preserve">equity </w:t>
      </w:r>
      <w:r w:rsidR="003E726F" w:rsidRPr="00CE5B45">
        <w:rPr>
          <w:rFonts w:asciiTheme="majorBidi" w:hAnsiTheme="majorBidi" w:cstheme="majorBidi"/>
          <w:sz w:val="24"/>
          <w:szCs w:val="24"/>
          <w:lang w:val="en-US"/>
        </w:rPr>
        <w:t>stock options in particular. While equity incentives encourage risk</w:t>
      </w:r>
      <w:r w:rsidR="00500013">
        <w:rPr>
          <w:rFonts w:asciiTheme="majorBidi" w:hAnsiTheme="majorBidi" w:cstheme="majorBidi"/>
          <w:sz w:val="24"/>
          <w:szCs w:val="24"/>
          <w:lang w:val="en-US"/>
        </w:rPr>
        <w:t xml:space="preserve"> </w:t>
      </w:r>
      <w:r w:rsidR="003E726F" w:rsidRPr="00CE5B45">
        <w:rPr>
          <w:rFonts w:asciiTheme="majorBidi" w:hAnsiTheme="majorBidi" w:cstheme="majorBidi"/>
          <w:sz w:val="24"/>
          <w:szCs w:val="24"/>
          <w:lang w:val="en-US"/>
        </w:rPr>
        <w:t>averse managers to take risks to increase the performance of the firm,</w:t>
      </w:r>
      <w:r w:rsidR="002D33B0" w:rsidRPr="00CE5B45">
        <w:rPr>
          <w:rFonts w:asciiTheme="majorBidi" w:hAnsiTheme="majorBidi" w:cstheme="majorBidi"/>
          <w:sz w:val="24"/>
          <w:szCs w:val="24"/>
          <w:lang w:val="en-US"/>
        </w:rPr>
        <w:t xml:space="preserve"> and consequently stock prices</w:t>
      </w:r>
      <w:r w:rsidR="00927E7A" w:rsidRPr="00CE5B45">
        <w:rPr>
          <w:rFonts w:asciiTheme="majorBidi" w:hAnsiTheme="majorBidi" w:cstheme="majorBidi"/>
          <w:sz w:val="24"/>
          <w:szCs w:val="24"/>
          <w:lang w:val="en-US"/>
        </w:rPr>
        <w:t>,</w:t>
      </w:r>
      <w:r w:rsidR="003E726F" w:rsidRPr="00CE5B45">
        <w:rPr>
          <w:rFonts w:asciiTheme="majorBidi" w:hAnsiTheme="majorBidi" w:cstheme="majorBidi"/>
          <w:sz w:val="24"/>
          <w:szCs w:val="24"/>
          <w:lang w:val="en-US"/>
        </w:rPr>
        <w:t xml:space="preserve"> </w:t>
      </w:r>
      <w:r w:rsidR="008C72BF" w:rsidRPr="00CE5B45">
        <w:rPr>
          <w:rFonts w:asciiTheme="majorBidi" w:hAnsiTheme="majorBidi" w:cstheme="majorBidi"/>
          <w:sz w:val="24"/>
          <w:szCs w:val="24"/>
          <w:lang w:val="en-US"/>
        </w:rPr>
        <w:t xml:space="preserve">they also </w:t>
      </w:r>
      <w:r w:rsidR="00BF2BB7">
        <w:rPr>
          <w:rFonts w:asciiTheme="majorBidi" w:hAnsiTheme="majorBidi" w:cstheme="majorBidi"/>
          <w:sz w:val="24"/>
          <w:szCs w:val="24"/>
          <w:lang w:val="en-US"/>
        </w:rPr>
        <w:t>encourage managers</w:t>
      </w:r>
      <w:r w:rsidR="003E726F" w:rsidRPr="00CE5B45">
        <w:rPr>
          <w:rFonts w:asciiTheme="majorBidi" w:hAnsiTheme="majorBidi" w:cstheme="majorBidi"/>
          <w:sz w:val="24"/>
          <w:szCs w:val="24"/>
          <w:lang w:val="en-US"/>
        </w:rPr>
        <w:t xml:space="preserve"> to increase the volatility of stock prices.</w:t>
      </w:r>
      <w:r w:rsidR="002B0CB0" w:rsidRPr="00CE5B45">
        <w:rPr>
          <w:rFonts w:asciiTheme="majorBidi" w:hAnsiTheme="majorBidi" w:cstheme="majorBidi"/>
          <w:sz w:val="24"/>
          <w:szCs w:val="24"/>
          <w:lang w:val="en-US"/>
        </w:rPr>
        <w:t xml:space="preserve"> Hence</w:t>
      </w:r>
      <w:r w:rsidR="00927E7A" w:rsidRPr="00CE5B45">
        <w:rPr>
          <w:rFonts w:asciiTheme="majorBidi" w:hAnsiTheme="majorBidi" w:cstheme="majorBidi"/>
          <w:sz w:val="24"/>
          <w:szCs w:val="24"/>
          <w:lang w:val="en-US"/>
        </w:rPr>
        <w:t>,</w:t>
      </w:r>
      <w:r w:rsidR="002B0CB0" w:rsidRPr="00CE5B45">
        <w:rPr>
          <w:rFonts w:asciiTheme="majorBidi" w:hAnsiTheme="majorBidi" w:cstheme="majorBidi"/>
          <w:sz w:val="24"/>
          <w:szCs w:val="24"/>
          <w:lang w:val="en-US"/>
        </w:rPr>
        <w:t xml:space="preserve"> in </w:t>
      </w:r>
      <w:r w:rsidR="00D81460" w:rsidRPr="00CE5B45">
        <w:rPr>
          <w:rFonts w:asciiTheme="majorBidi" w:hAnsiTheme="majorBidi" w:cstheme="majorBidi"/>
          <w:sz w:val="24"/>
          <w:szCs w:val="24"/>
          <w:lang w:val="en-US"/>
        </w:rPr>
        <w:t xml:space="preserve">examining </w:t>
      </w:r>
      <w:r w:rsidR="002B0CB0" w:rsidRPr="00CE5B45">
        <w:rPr>
          <w:rFonts w:asciiTheme="majorBidi" w:hAnsiTheme="majorBidi" w:cstheme="majorBidi"/>
          <w:sz w:val="24"/>
          <w:szCs w:val="24"/>
          <w:lang w:val="en-US"/>
        </w:rPr>
        <w:t xml:space="preserve">the impact of </w:t>
      </w:r>
      <w:r w:rsidR="00E56578" w:rsidRPr="00CE5B45">
        <w:rPr>
          <w:rFonts w:asciiTheme="majorBidi" w:hAnsiTheme="majorBidi" w:cstheme="majorBidi"/>
          <w:sz w:val="24"/>
          <w:szCs w:val="24"/>
          <w:lang w:val="en-US"/>
        </w:rPr>
        <w:t xml:space="preserve">CEO equity </w:t>
      </w:r>
      <w:r w:rsidR="002B0CB0" w:rsidRPr="00CE5B45">
        <w:rPr>
          <w:rFonts w:asciiTheme="majorBidi" w:hAnsiTheme="majorBidi" w:cstheme="majorBidi"/>
          <w:sz w:val="24"/>
          <w:szCs w:val="24"/>
          <w:lang w:val="en-US"/>
        </w:rPr>
        <w:t xml:space="preserve">stock options on workplace misconduct we need to consider </w:t>
      </w:r>
      <w:r w:rsidR="00E56578" w:rsidRPr="00CE5B45">
        <w:rPr>
          <w:rFonts w:asciiTheme="majorBidi" w:hAnsiTheme="majorBidi" w:cstheme="majorBidi"/>
          <w:sz w:val="24"/>
          <w:szCs w:val="24"/>
          <w:lang w:val="en-US"/>
        </w:rPr>
        <w:t xml:space="preserve">the </w:t>
      </w:r>
      <w:r w:rsidR="00D81460" w:rsidRPr="00CE5B45">
        <w:rPr>
          <w:rFonts w:asciiTheme="majorBidi" w:hAnsiTheme="majorBidi" w:cstheme="majorBidi"/>
          <w:sz w:val="24"/>
          <w:szCs w:val="24"/>
          <w:lang w:val="en-US"/>
        </w:rPr>
        <w:lastRenderedPageBreak/>
        <w:t>incentives arising from increased</w:t>
      </w:r>
      <w:r w:rsidR="002B0CB0" w:rsidRPr="00CE5B45">
        <w:rPr>
          <w:rFonts w:asciiTheme="majorBidi" w:hAnsiTheme="majorBidi" w:cstheme="majorBidi"/>
          <w:sz w:val="24"/>
          <w:szCs w:val="24"/>
          <w:lang w:val="en-US"/>
        </w:rPr>
        <w:t xml:space="preserve"> CEO wealth sensitivity to stock prices</w:t>
      </w:r>
      <w:r w:rsidR="00D37352">
        <w:rPr>
          <w:rFonts w:asciiTheme="majorBidi" w:hAnsiTheme="majorBidi" w:cstheme="majorBidi"/>
          <w:sz w:val="24"/>
          <w:szCs w:val="24"/>
          <w:lang w:val="en-US"/>
        </w:rPr>
        <w:t>, delta,</w:t>
      </w:r>
      <w:r w:rsidR="002B0CB0" w:rsidRPr="00CE5B45">
        <w:rPr>
          <w:rFonts w:asciiTheme="majorBidi" w:hAnsiTheme="majorBidi" w:cstheme="majorBidi"/>
          <w:sz w:val="24"/>
          <w:szCs w:val="24"/>
          <w:lang w:val="en-US"/>
        </w:rPr>
        <w:t xml:space="preserve"> </w:t>
      </w:r>
      <w:r w:rsidR="006F2B7B">
        <w:rPr>
          <w:rFonts w:asciiTheme="majorBidi" w:hAnsiTheme="majorBidi" w:cstheme="majorBidi"/>
          <w:sz w:val="24"/>
          <w:szCs w:val="24"/>
          <w:lang w:val="en-US"/>
        </w:rPr>
        <w:t>and</w:t>
      </w:r>
      <w:r w:rsidR="00D81460" w:rsidRPr="00CE5B45">
        <w:rPr>
          <w:rFonts w:asciiTheme="majorBidi" w:hAnsiTheme="majorBidi" w:cstheme="majorBidi"/>
          <w:sz w:val="24"/>
          <w:szCs w:val="24"/>
          <w:lang w:val="en-US"/>
        </w:rPr>
        <w:t xml:space="preserve"> stock price</w:t>
      </w:r>
      <w:r w:rsidR="002B0CB0" w:rsidRPr="00CE5B45">
        <w:rPr>
          <w:rFonts w:asciiTheme="majorBidi" w:hAnsiTheme="majorBidi" w:cstheme="majorBidi"/>
          <w:sz w:val="24"/>
          <w:szCs w:val="24"/>
          <w:lang w:val="en-US"/>
        </w:rPr>
        <w:t xml:space="preserve"> volatility</w:t>
      </w:r>
      <w:r w:rsidR="00D37352">
        <w:rPr>
          <w:rFonts w:asciiTheme="majorBidi" w:hAnsiTheme="majorBidi" w:cstheme="majorBidi"/>
          <w:sz w:val="24"/>
          <w:szCs w:val="24"/>
          <w:lang w:val="en-US"/>
        </w:rPr>
        <w:t xml:space="preserve">, </w:t>
      </w:r>
      <w:proofErr w:type="spellStart"/>
      <w:r w:rsidR="00D37352">
        <w:rPr>
          <w:rFonts w:asciiTheme="majorBidi" w:hAnsiTheme="majorBidi" w:cstheme="majorBidi"/>
          <w:sz w:val="24"/>
          <w:szCs w:val="24"/>
          <w:lang w:val="en-US"/>
        </w:rPr>
        <w:t>vega</w:t>
      </w:r>
      <w:proofErr w:type="spellEnd"/>
      <w:r w:rsidR="002B0CB0" w:rsidRPr="00CE5B45">
        <w:rPr>
          <w:rFonts w:asciiTheme="majorBidi" w:hAnsiTheme="majorBidi" w:cstheme="majorBidi"/>
          <w:sz w:val="24"/>
          <w:szCs w:val="24"/>
          <w:lang w:val="en-US"/>
        </w:rPr>
        <w:t xml:space="preserve">. </w:t>
      </w:r>
      <w:r w:rsidR="00AC745F">
        <w:rPr>
          <w:rFonts w:asciiTheme="majorBidi" w:hAnsiTheme="majorBidi" w:cstheme="majorBidi"/>
          <w:sz w:val="24"/>
          <w:szCs w:val="24"/>
          <w:lang w:val="en-US"/>
        </w:rPr>
        <w:t>A</w:t>
      </w:r>
      <w:r w:rsidR="002D33B0" w:rsidRPr="00CE5B45">
        <w:rPr>
          <w:rFonts w:asciiTheme="majorBidi" w:hAnsiTheme="majorBidi" w:cstheme="majorBidi"/>
          <w:sz w:val="24"/>
          <w:szCs w:val="24"/>
          <w:lang w:val="en-US"/>
        </w:rPr>
        <w:t>s</w:t>
      </w:r>
      <w:r w:rsidR="002B0CB0" w:rsidRPr="00CE5B45">
        <w:rPr>
          <w:rFonts w:asciiTheme="majorBidi" w:hAnsiTheme="majorBidi" w:cstheme="majorBidi"/>
          <w:sz w:val="24"/>
          <w:szCs w:val="24"/>
          <w:lang w:val="en-US"/>
        </w:rPr>
        <w:t xml:space="preserve"> in </w:t>
      </w:r>
      <w:r w:rsidR="00D81460" w:rsidRPr="00CE5B45">
        <w:rPr>
          <w:rFonts w:asciiTheme="majorBidi" w:hAnsiTheme="majorBidi" w:cstheme="majorBidi"/>
          <w:sz w:val="24"/>
          <w:szCs w:val="24"/>
          <w:lang w:val="en-US"/>
        </w:rPr>
        <w:t>prior</w:t>
      </w:r>
      <w:r w:rsidR="002B0CB0" w:rsidRPr="00CE5B45">
        <w:rPr>
          <w:rFonts w:asciiTheme="majorBidi" w:hAnsiTheme="majorBidi" w:cstheme="majorBidi"/>
          <w:sz w:val="24"/>
          <w:szCs w:val="24"/>
          <w:lang w:val="en-US"/>
        </w:rPr>
        <w:t xml:space="preserve"> literature (e.g.</w:t>
      </w:r>
      <w:r w:rsidR="00AD4D7F">
        <w:rPr>
          <w:rFonts w:asciiTheme="majorBidi" w:hAnsiTheme="majorBidi" w:cstheme="majorBidi"/>
          <w:sz w:val="24"/>
          <w:szCs w:val="24"/>
          <w:lang w:val="en-US"/>
        </w:rPr>
        <w:t>,</w:t>
      </w:r>
      <w:r w:rsidR="002B0CB0" w:rsidRPr="00CE5B45">
        <w:rPr>
          <w:rFonts w:asciiTheme="majorBidi" w:hAnsiTheme="majorBidi" w:cstheme="majorBidi"/>
          <w:sz w:val="24"/>
          <w:szCs w:val="24"/>
          <w:lang w:val="en-US"/>
        </w:rPr>
        <w:t xml:space="preserve"> Core and Guay 2002; </w:t>
      </w:r>
      <w:r w:rsidR="00D81460" w:rsidRPr="00CE5B45">
        <w:rPr>
          <w:rFonts w:ascii="Times New Roman" w:hAnsi="Times New Roman" w:cs="Times New Roman"/>
          <w:sz w:val="24"/>
          <w:szCs w:val="24"/>
          <w:shd w:val="clear" w:color="auto" w:fill="FFFFFF"/>
          <w:lang w:val="en-US"/>
        </w:rPr>
        <w:t>Coles</w:t>
      </w:r>
      <w:r w:rsidR="00AD0ACE">
        <w:rPr>
          <w:rFonts w:ascii="Times New Roman" w:hAnsi="Times New Roman" w:cs="Times New Roman"/>
          <w:sz w:val="24"/>
          <w:szCs w:val="24"/>
          <w:shd w:val="clear" w:color="auto" w:fill="FFFFFF"/>
          <w:lang w:val="en-US"/>
        </w:rPr>
        <w:t xml:space="preserve"> et al. </w:t>
      </w:r>
      <w:r w:rsidR="002B0CB0" w:rsidRPr="00CE5B45">
        <w:rPr>
          <w:rFonts w:asciiTheme="majorBidi" w:hAnsiTheme="majorBidi" w:cstheme="majorBidi"/>
          <w:sz w:val="24"/>
          <w:szCs w:val="24"/>
          <w:lang w:val="en-US"/>
        </w:rPr>
        <w:t xml:space="preserve">2006; Armstrong </w:t>
      </w:r>
      <w:r w:rsidR="00D81460" w:rsidRPr="00CE5B45">
        <w:rPr>
          <w:rFonts w:asciiTheme="majorBidi" w:hAnsiTheme="majorBidi" w:cstheme="majorBidi"/>
          <w:sz w:val="24"/>
          <w:szCs w:val="24"/>
          <w:lang w:val="en-US"/>
        </w:rPr>
        <w:t xml:space="preserve">and </w:t>
      </w:r>
      <w:r w:rsidR="00D81460" w:rsidRPr="00CE5B45">
        <w:rPr>
          <w:rFonts w:ascii="Times New Roman" w:hAnsi="Times New Roman" w:cs="Times New Roman"/>
          <w:sz w:val="24"/>
          <w:szCs w:val="24"/>
          <w:lang w:val="en-US"/>
        </w:rPr>
        <w:t>Vashishtha</w:t>
      </w:r>
      <w:r w:rsidR="002B0CB0" w:rsidRPr="00CE5B45">
        <w:rPr>
          <w:rFonts w:asciiTheme="majorBidi" w:hAnsiTheme="majorBidi" w:cstheme="majorBidi"/>
          <w:sz w:val="24"/>
          <w:szCs w:val="24"/>
          <w:lang w:val="en-US"/>
        </w:rPr>
        <w:t xml:space="preserve"> 2012;</w:t>
      </w:r>
      <w:r w:rsidR="00C8787E" w:rsidRPr="00CE5B45">
        <w:rPr>
          <w:rFonts w:asciiTheme="majorBidi" w:hAnsiTheme="majorBidi" w:cstheme="majorBidi"/>
          <w:sz w:val="24"/>
          <w:szCs w:val="24"/>
          <w:lang w:val="en-US"/>
        </w:rPr>
        <w:t xml:space="preserve"> </w:t>
      </w:r>
      <w:r w:rsidR="00C8787E" w:rsidRPr="00CE5B45">
        <w:rPr>
          <w:rFonts w:ascii="Times New Roman" w:hAnsi="Times New Roman" w:cs="Times New Roman"/>
          <w:sz w:val="24"/>
          <w:szCs w:val="24"/>
          <w:lang w:val="en-US"/>
        </w:rPr>
        <w:t>Armstrong</w:t>
      </w:r>
      <w:r w:rsidR="00094BA9">
        <w:rPr>
          <w:rFonts w:ascii="Times New Roman" w:hAnsi="Times New Roman" w:cs="Times New Roman"/>
          <w:sz w:val="24"/>
          <w:szCs w:val="24"/>
          <w:lang w:val="en-US"/>
        </w:rPr>
        <w:t xml:space="preserve"> et al. </w:t>
      </w:r>
      <w:r w:rsidR="00C8787E" w:rsidRPr="00CE5B45">
        <w:rPr>
          <w:rFonts w:ascii="Times New Roman" w:hAnsi="Times New Roman" w:cs="Times New Roman"/>
          <w:sz w:val="24"/>
          <w:szCs w:val="24"/>
          <w:lang w:val="en-US"/>
        </w:rPr>
        <w:t>2013</w:t>
      </w:r>
      <w:r w:rsidR="004830F2" w:rsidRPr="00CE5B45">
        <w:rPr>
          <w:rFonts w:ascii="Times New Roman" w:hAnsi="Times New Roman" w:cs="Times New Roman"/>
          <w:sz w:val="24"/>
          <w:szCs w:val="24"/>
          <w:lang w:val="en-US"/>
        </w:rPr>
        <w:t>)</w:t>
      </w:r>
      <w:r w:rsidR="002D33B0" w:rsidRPr="00CE5B45">
        <w:rPr>
          <w:rFonts w:asciiTheme="majorBidi" w:hAnsiTheme="majorBidi" w:cstheme="majorBidi"/>
          <w:sz w:val="24"/>
          <w:szCs w:val="24"/>
          <w:lang w:val="en-US"/>
        </w:rPr>
        <w:t xml:space="preserve"> we </w:t>
      </w:r>
      <w:r w:rsidR="00D37352">
        <w:rPr>
          <w:rFonts w:asciiTheme="majorBidi" w:hAnsiTheme="majorBidi" w:cstheme="majorBidi"/>
          <w:sz w:val="24"/>
          <w:szCs w:val="24"/>
          <w:lang w:val="en-US"/>
        </w:rPr>
        <w:t xml:space="preserve">define </w:t>
      </w:r>
      <w:r w:rsidR="00E56578" w:rsidRPr="00CE5B45">
        <w:rPr>
          <w:rFonts w:asciiTheme="majorBidi" w:hAnsiTheme="majorBidi" w:cstheme="majorBidi"/>
          <w:i/>
          <w:iCs/>
          <w:sz w:val="24"/>
          <w:szCs w:val="24"/>
          <w:lang w:val="en-US"/>
        </w:rPr>
        <w:t xml:space="preserve">Delta </w:t>
      </w:r>
      <w:r w:rsidR="00D37352">
        <w:rPr>
          <w:rFonts w:asciiTheme="majorBidi" w:hAnsiTheme="majorBidi" w:cstheme="majorBidi"/>
          <w:sz w:val="24"/>
          <w:szCs w:val="24"/>
          <w:lang w:val="en-US"/>
        </w:rPr>
        <w:t>as</w:t>
      </w:r>
      <w:r w:rsidR="007C1522" w:rsidRPr="00CE5B45">
        <w:rPr>
          <w:rFonts w:asciiTheme="majorBidi" w:hAnsiTheme="majorBidi" w:cstheme="majorBidi"/>
          <w:sz w:val="24"/>
          <w:szCs w:val="24"/>
          <w:lang w:val="en-US"/>
        </w:rPr>
        <w:t xml:space="preserve"> the natural log of</w:t>
      </w:r>
      <w:r w:rsidR="00E56578" w:rsidRPr="00CE5B45">
        <w:rPr>
          <w:rFonts w:asciiTheme="majorBidi" w:hAnsiTheme="majorBidi" w:cstheme="majorBidi"/>
          <w:i/>
          <w:iCs/>
          <w:sz w:val="24"/>
          <w:szCs w:val="24"/>
          <w:lang w:val="en-US"/>
        </w:rPr>
        <w:t xml:space="preserve"> </w:t>
      </w:r>
      <w:r w:rsidR="00E56578" w:rsidRPr="00CE5B45">
        <w:rPr>
          <w:rFonts w:asciiTheme="majorBidi" w:hAnsiTheme="majorBidi" w:cstheme="majorBidi"/>
          <w:sz w:val="24"/>
          <w:szCs w:val="24"/>
          <w:lang w:val="en-US"/>
        </w:rPr>
        <w:t>the sensitivity of CEO’s wealth to changes in stock price</w:t>
      </w:r>
      <w:r w:rsidR="00D37352">
        <w:rPr>
          <w:rFonts w:asciiTheme="majorBidi" w:hAnsiTheme="majorBidi" w:cstheme="majorBidi"/>
          <w:sz w:val="24"/>
          <w:szCs w:val="24"/>
          <w:lang w:val="en-US"/>
        </w:rPr>
        <w:t xml:space="preserve"> and</w:t>
      </w:r>
      <w:r w:rsidR="00E56578" w:rsidRPr="00CE5B45">
        <w:rPr>
          <w:rFonts w:asciiTheme="majorBidi" w:hAnsiTheme="majorBidi" w:cstheme="majorBidi"/>
          <w:sz w:val="24"/>
          <w:szCs w:val="24"/>
          <w:lang w:val="en-US"/>
        </w:rPr>
        <w:t xml:space="preserve"> </w:t>
      </w:r>
      <w:r w:rsidR="002B0CB0" w:rsidRPr="00CE5B45">
        <w:rPr>
          <w:rFonts w:asciiTheme="majorBidi" w:hAnsiTheme="majorBidi" w:cstheme="majorBidi"/>
          <w:i/>
          <w:iCs/>
          <w:sz w:val="24"/>
          <w:szCs w:val="24"/>
          <w:lang w:val="en-US"/>
        </w:rPr>
        <w:t>Vega</w:t>
      </w:r>
      <w:r w:rsidR="002B0CB0" w:rsidRPr="00CE5B45">
        <w:rPr>
          <w:rFonts w:asciiTheme="majorBidi" w:hAnsiTheme="majorBidi" w:cstheme="majorBidi"/>
          <w:sz w:val="24"/>
          <w:szCs w:val="24"/>
          <w:lang w:val="en-US"/>
        </w:rPr>
        <w:t xml:space="preserve"> </w:t>
      </w:r>
      <w:r w:rsidR="00D37352">
        <w:rPr>
          <w:rFonts w:asciiTheme="majorBidi" w:hAnsiTheme="majorBidi" w:cstheme="majorBidi"/>
          <w:sz w:val="24"/>
          <w:szCs w:val="24"/>
          <w:lang w:val="en-US"/>
        </w:rPr>
        <w:t>a</w:t>
      </w:r>
      <w:r w:rsidR="002B0CB0" w:rsidRPr="00CE5B45">
        <w:rPr>
          <w:rFonts w:asciiTheme="majorBidi" w:hAnsiTheme="majorBidi" w:cstheme="majorBidi"/>
          <w:sz w:val="24"/>
          <w:szCs w:val="24"/>
          <w:lang w:val="en-US"/>
        </w:rPr>
        <w:t>s the</w:t>
      </w:r>
      <w:r w:rsidR="007C1522" w:rsidRPr="00CE5B45">
        <w:rPr>
          <w:rFonts w:asciiTheme="majorBidi" w:hAnsiTheme="majorBidi" w:cstheme="majorBidi"/>
          <w:sz w:val="24"/>
          <w:szCs w:val="24"/>
          <w:lang w:val="en-US"/>
        </w:rPr>
        <w:t xml:space="preserve"> natural log of the</w:t>
      </w:r>
      <w:r w:rsidR="002B0CB0" w:rsidRPr="00CE5B45">
        <w:rPr>
          <w:rFonts w:asciiTheme="majorBidi" w:hAnsiTheme="majorBidi" w:cstheme="majorBidi"/>
          <w:sz w:val="24"/>
          <w:szCs w:val="24"/>
          <w:lang w:val="en-US"/>
        </w:rPr>
        <w:t xml:space="preserve"> sensitivity of CEO’s equity portfolio to changes in </w:t>
      </w:r>
      <w:r w:rsidR="00D81460" w:rsidRPr="00CE5B45">
        <w:rPr>
          <w:rFonts w:asciiTheme="majorBidi" w:hAnsiTheme="majorBidi" w:cstheme="majorBidi"/>
          <w:sz w:val="24"/>
          <w:szCs w:val="24"/>
          <w:lang w:val="en-US"/>
        </w:rPr>
        <w:t xml:space="preserve">stock price </w:t>
      </w:r>
      <w:r w:rsidR="002B0CB0" w:rsidRPr="00CE5B45">
        <w:rPr>
          <w:rFonts w:asciiTheme="majorBidi" w:hAnsiTheme="majorBidi" w:cstheme="majorBidi"/>
          <w:sz w:val="24"/>
          <w:szCs w:val="24"/>
          <w:lang w:val="en-US"/>
        </w:rPr>
        <w:t xml:space="preserve">volatility. </w:t>
      </w:r>
      <w:r w:rsidR="003E726F" w:rsidRPr="00CE5B45">
        <w:rPr>
          <w:rFonts w:asciiTheme="majorBidi" w:hAnsiTheme="majorBidi" w:cstheme="majorBidi"/>
          <w:sz w:val="24"/>
          <w:szCs w:val="24"/>
          <w:lang w:val="en-US"/>
        </w:rPr>
        <w:t xml:space="preserve">While </w:t>
      </w:r>
      <w:r w:rsidR="00D81460" w:rsidRPr="00CE5B45">
        <w:rPr>
          <w:rFonts w:ascii="Times New Roman" w:hAnsi="Times New Roman" w:cs="Times New Roman"/>
          <w:sz w:val="24"/>
          <w:szCs w:val="24"/>
          <w:lang w:val="en-US"/>
        </w:rPr>
        <w:t>Armstrong</w:t>
      </w:r>
      <w:r w:rsidR="00094BA9">
        <w:rPr>
          <w:rFonts w:ascii="Times New Roman" w:hAnsi="Times New Roman" w:cs="Times New Roman"/>
          <w:sz w:val="24"/>
          <w:szCs w:val="24"/>
          <w:lang w:val="en-US"/>
        </w:rPr>
        <w:t xml:space="preserve"> et al. </w:t>
      </w:r>
      <w:r w:rsidR="00D81460" w:rsidRPr="00CE5B45">
        <w:rPr>
          <w:rFonts w:ascii="Times New Roman" w:hAnsi="Times New Roman" w:cs="Times New Roman"/>
          <w:sz w:val="24"/>
          <w:szCs w:val="24"/>
          <w:lang w:val="en-US"/>
        </w:rPr>
        <w:t xml:space="preserve"> (2013) conclude</w:t>
      </w:r>
      <w:r w:rsidR="001845A2">
        <w:rPr>
          <w:rFonts w:ascii="Times New Roman" w:hAnsi="Times New Roman" w:cs="Times New Roman"/>
          <w:sz w:val="24"/>
          <w:szCs w:val="24"/>
          <w:lang w:val="en-US"/>
        </w:rPr>
        <w:t>s</w:t>
      </w:r>
      <w:r w:rsidR="00D81460" w:rsidRPr="00CE5B45">
        <w:rPr>
          <w:rFonts w:ascii="Times New Roman" w:hAnsi="Times New Roman" w:cs="Times New Roman"/>
          <w:sz w:val="24"/>
          <w:szCs w:val="24"/>
          <w:lang w:val="en-US"/>
        </w:rPr>
        <w:t xml:space="preserve"> that </w:t>
      </w:r>
      <w:r w:rsidR="002B0CB0" w:rsidRPr="00CE5B45">
        <w:rPr>
          <w:rFonts w:asciiTheme="majorBidi" w:hAnsiTheme="majorBidi" w:cstheme="majorBidi"/>
          <w:i/>
          <w:iCs/>
          <w:sz w:val="24"/>
          <w:szCs w:val="24"/>
          <w:lang w:val="en-US"/>
        </w:rPr>
        <w:t>Vega</w:t>
      </w:r>
      <w:r w:rsidR="003E726F" w:rsidRPr="00CE5B45">
        <w:rPr>
          <w:rFonts w:asciiTheme="majorBidi" w:hAnsiTheme="majorBidi" w:cstheme="majorBidi"/>
          <w:sz w:val="24"/>
          <w:szCs w:val="24"/>
          <w:lang w:val="en-US"/>
        </w:rPr>
        <w:t xml:space="preserve"> </w:t>
      </w:r>
      <w:r w:rsidR="00D81460" w:rsidRPr="00CE5B45">
        <w:rPr>
          <w:rFonts w:asciiTheme="majorBidi" w:hAnsiTheme="majorBidi" w:cstheme="majorBidi"/>
          <w:sz w:val="24"/>
          <w:szCs w:val="24"/>
          <w:lang w:val="en-US"/>
        </w:rPr>
        <w:t xml:space="preserve">provides </w:t>
      </w:r>
      <w:r w:rsidR="00C301BC" w:rsidRPr="00CE5B45">
        <w:rPr>
          <w:rFonts w:asciiTheme="majorBidi" w:hAnsiTheme="majorBidi" w:cstheme="majorBidi"/>
          <w:sz w:val="24"/>
          <w:szCs w:val="24"/>
          <w:lang w:val="en-US"/>
        </w:rPr>
        <w:t>risk taking</w:t>
      </w:r>
      <w:r w:rsidR="00D81460" w:rsidRPr="00CE5B45">
        <w:rPr>
          <w:rFonts w:asciiTheme="majorBidi" w:hAnsiTheme="majorBidi" w:cstheme="majorBidi"/>
          <w:sz w:val="24"/>
          <w:szCs w:val="24"/>
          <w:lang w:val="en-US"/>
        </w:rPr>
        <w:t xml:space="preserve"> incentives, </w:t>
      </w:r>
      <w:r w:rsidR="00D40CBC" w:rsidRPr="00CE5B45">
        <w:rPr>
          <w:rFonts w:asciiTheme="majorBidi" w:hAnsiTheme="majorBidi" w:cstheme="majorBidi"/>
          <w:i/>
          <w:sz w:val="24"/>
          <w:szCs w:val="24"/>
          <w:lang w:val="en-US"/>
        </w:rPr>
        <w:t>Vega</w:t>
      </w:r>
      <w:r w:rsidR="00D81460" w:rsidRPr="00CE5B45">
        <w:rPr>
          <w:rFonts w:asciiTheme="majorBidi" w:hAnsiTheme="majorBidi" w:cstheme="majorBidi"/>
          <w:sz w:val="24"/>
          <w:szCs w:val="24"/>
          <w:lang w:val="en-US"/>
        </w:rPr>
        <w:t xml:space="preserve"> cannot be examined in isolation from </w:t>
      </w:r>
      <w:r w:rsidR="00D81460" w:rsidRPr="00CE5B45">
        <w:rPr>
          <w:rFonts w:asciiTheme="majorBidi" w:hAnsiTheme="majorBidi" w:cstheme="majorBidi"/>
          <w:i/>
          <w:sz w:val="24"/>
          <w:szCs w:val="24"/>
          <w:lang w:val="en-US"/>
        </w:rPr>
        <w:t xml:space="preserve">Delta </w:t>
      </w:r>
      <w:r w:rsidR="00D81460" w:rsidRPr="00CE5B45">
        <w:rPr>
          <w:rFonts w:asciiTheme="majorBidi" w:hAnsiTheme="majorBidi" w:cstheme="majorBidi"/>
          <w:sz w:val="24"/>
          <w:szCs w:val="24"/>
          <w:lang w:val="en-US"/>
        </w:rPr>
        <w:t xml:space="preserve">since both </w:t>
      </w:r>
      <w:r w:rsidR="00D81460" w:rsidRPr="00CE5B45">
        <w:rPr>
          <w:rFonts w:asciiTheme="majorBidi" w:hAnsiTheme="majorBidi" w:cstheme="majorBidi"/>
          <w:i/>
          <w:sz w:val="24"/>
          <w:szCs w:val="24"/>
          <w:lang w:val="en-US"/>
        </w:rPr>
        <w:t xml:space="preserve">Vega </w:t>
      </w:r>
      <w:r w:rsidR="00D81460" w:rsidRPr="00CE5B45">
        <w:rPr>
          <w:rFonts w:asciiTheme="majorBidi" w:hAnsiTheme="majorBidi" w:cstheme="majorBidi"/>
          <w:sz w:val="24"/>
          <w:szCs w:val="24"/>
          <w:lang w:val="en-US"/>
        </w:rPr>
        <w:t xml:space="preserve">and </w:t>
      </w:r>
      <w:r w:rsidR="00D81460" w:rsidRPr="00CE5B45">
        <w:rPr>
          <w:rFonts w:asciiTheme="majorBidi" w:hAnsiTheme="majorBidi" w:cstheme="majorBidi"/>
          <w:i/>
          <w:sz w:val="24"/>
          <w:szCs w:val="24"/>
          <w:lang w:val="en-US"/>
        </w:rPr>
        <w:t xml:space="preserve">Delta </w:t>
      </w:r>
      <w:r w:rsidR="00D81460" w:rsidRPr="00CE5B45">
        <w:rPr>
          <w:rFonts w:asciiTheme="majorBidi" w:hAnsiTheme="majorBidi" w:cstheme="majorBidi"/>
          <w:sz w:val="24"/>
          <w:szCs w:val="24"/>
          <w:lang w:val="en-US"/>
        </w:rPr>
        <w:t xml:space="preserve">arise from the same stock options. </w:t>
      </w:r>
      <w:r w:rsidR="00D34555" w:rsidRPr="00CE5B45">
        <w:rPr>
          <w:rFonts w:asciiTheme="majorBidi" w:hAnsiTheme="majorBidi" w:cstheme="majorBidi"/>
          <w:sz w:val="24"/>
          <w:szCs w:val="24"/>
          <w:lang w:val="en-US"/>
        </w:rPr>
        <w:t>Thus</w:t>
      </w:r>
      <w:r w:rsidR="00D81460" w:rsidRPr="00CE5B45">
        <w:rPr>
          <w:rFonts w:asciiTheme="majorBidi" w:hAnsiTheme="majorBidi" w:cstheme="majorBidi"/>
          <w:sz w:val="24"/>
          <w:szCs w:val="24"/>
          <w:lang w:val="en-US"/>
        </w:rPr>
        <w:t>, throughout our analysis</w:t>
      </w:r>
      <w:r w:rsidR="001F6772" w:rsidRPr="00CE5B45">
        <w:rPr>
          <w:rFonts w:asciiTheme="majorBidi" w:hAnsiTheme="majorBidi" w:cstheme="majorBidi"/>
          <w:sz w:val="24"/>
          <w:szCs w:val="24"/>
          <w:lang w:val="en-US"/>
        </w:rPr>
        <w:t>,</w:t>
      </w:r>
      <w:r w:rsidR="00D81460" w:rsidRPr="00CE5B45">
        <w:rPr>
          <w:rFonts w:asciiTheme="majorBidi" w:hAnsiTheme="majorBidi" w:cstheme="majorBidi"/>
          <w:sz w:val="24"/>
          <w:szCs w:val="24"/>
          <w:lang w:val="en-US"/>
        </w:rPr>
        <w:t xml:space="preserve"> we examine the relation between </w:t>
      </w:r>
      <w:r w:rsidR="00D81460" w:rsidRPr="00CE5B45">
        <w:rPr>
          <w:rFonts w:asciiTheme="majorBidi" w:hAnsiTheme="majorBidi" w:cstheme="majorBidi"/>
          <w:i/>
          <w:sz w:val="24"/>
          <w:szCs w:val="24"/>
          <w:lang w:val="en-US"/>
        </w:rPr>
        <w:t xml:space="preserve">Vega </w:t>
      </w:r>
      <w:r w:rsidR="00D81460" w:rsidRPr="00CE5B45">
        <w:rPr>
          <w:rFonts w:asciiTheme="majorBidi" w:hAnsiTheme="majorBidi" w:cstheme="majorBidi"/>
          <w:sz w:val="24"/>
          <w:szCs w:val="24"/>
          <w:lang w:val="en-US"/>
        </w:rPr>
        <w:t xml:space="preserve">and workplace misconduct while controlling for </w:t>
      </w:r>
      <w:r w:rsidR="00D81460" w:rsidRPr="00CE5B45">
        <w:rPr>
          <w:rFonts w:asciiTheme="majorBidi" w:hAnsiTheme="majorBidi" w:cstheme="majorBidi"/>
          <w:i/>
          <w:sz w:val="24"/>
          <w:szCs w:val="24"/>
          <w:lang w:val="en-US"/>
        </w:rPr>
        <w:t>Delta.</w:t>
      </w:r>
      <w:r w:rsidR="002B0CB0" w:rsidRPr="00CE5B45">
        <w:rPr>
          <w:rFonts w:asciiTheme="majorBidi" w:hAnsiTheme="majorBidi" w:cstheme="majorBidi"/>
          <w:sz w:val="24"/>
          <w:szCs w:val="24"/>
          <w:lang w:val="en-US"/>
        </w:rPr>
        <w:t xml:space="preserve"> </w:t>
      </w:r>
      <w:r w:rsidR="00854A9A">
        <w:rPr>
          <w:rFonts w:asciiTheme="majorBidi" w:hAnsiTheme="majorBidi" w:cstheme="majorBidi"/>
          <w:sz w:val="24"/>
          <w:szCs w:val="24"/>
          <w:lang w:val="en-US"/>
        </w:rPr>
        <w:t>We also</w:t>
      </w:r>
      <w:r w:rsidR="00A833C0" w:rsidRPr="00CE5B45">
        <w:rPr>
          <w:rFonts w:asciiTheme="majorBidi" w:hAnsiTheme="majorBidi" w:cstheme="majorBidi"/>
          <w:sz w:val="24"/>
          <w:szCs w:val="24"/>
          <w:lang w:val="en-US"/>
        </w:rPr>
        <w:t xml:space="preserve"> control for incentives </w:t>
      </w:r>
      <w:r w:rsidR="008C2A0C">
        <w:rPr>
          <w:rFonts w:asciiTheme="majorBidi" w:hAnsiTheme="majorBidi" w:cstheme="majorBidi"/>
          <w:sz w:val="24"/>
          <w:szCs w:val="24"/>
          <w:lang w:val="en-US"/>
        </w:rPr>
        <w:t>arising</w:t>
      </w:r>
      <w:r w:rsidR="00A833C0" w:rsidRPr="00CE5B45">
        <w:rPr>
          <w:rFonts w:asciiTheme="majorBidi" w:hAnsiTheme="majorBidi" w:cstheme="majorBidi"/>
          <w:sz w:val="24"/>
          <w:szCs w:val="24"/>
          <w:lang w:val="en-US"/>
        </w:rPr>
        <w:t xml:space="preserve"> from cash compensation</w:t>
      </w:r>
      <w:r w:rsidR="003148D0" w:rsidRPr="00CE5B45">
        <w:rPr>
          <w:rFonts w:asciiTheme="majorBidi" w:hAnsiTheme="majorBidi" w:cstheme="majorBidi"/>
          <w:sz w:val="24"/>
          <w:szCs w:val="24"/>
          <w:lang w:val="en-US"/>
        </w:rPr>
        <w:t xml:space="preserve"> by including a variable capturing</w:t>
      </w:r>
      <w:r w:rsidR="00A833C0" w:rsidRPr="00CE5B45">
        <w:rPr>
          <w:rFonts w:asciiTheme="majorBidi" w:hAnsiTheme="majorBidi" w:cstheme="majorBidi"/>
          <w:sz w:val="24"/>
          <w:szCs w:val="24"/>
          <w:lang w:val="en-US"/>
        </w:rPr>
        <w:t xml:space="preserve"> </w:t>
      </w:r>
      <w:r w:rsidR="004765B2" w:rsidRPr="00CE5B45">
        <w:rPr>
          <w:rFonts w:asciiTheme="majorBidi" w:hAnsiTheme="majorBidi" w:cstheme="majorBidi"/>
          <w:sz w:val="24"/>
          <w:szCs w:val="24"/>
          <w:lang w:val="en-US"/>
        </w:rPr>
        <w:t>CEO cash compensation</w:t>
      </w:r>
      <w:r w:rsidR="003148D0" w:rsidRPr="00CE5B45">
        <w:rPr>
          <w:rFonts w:asciiTheme="majorBidi" w:hAnsiTheme="majorBidi" w:cstheme="majorBidi"/>
          <w:sz w:val="24"/>
          <w:szCs w:val="24"/>
          <w:lang w:val="en-US"/>
        </w:rPr>
        <w:t xml:space="preserve"> in our empirical analysis</w:t>
      </w:r>
      <w:r w:rsidR="004765B2" w:rsidRPr="00CE5B45">
        <w:rPr>
          <w:rFonts w:asciiTheme="majorBidi" w:hAnsiTheme="majorBidi" w:cstheme="majorBidi"/>
          <w:sz w:val="24"/>
          <w:szCs w:val="24"/>
          <w:lang w:val="en-US"/>
        </w:rPr>
        <w:t>. We measure CEO cash compensation (</w:t>
      </w:r>
      <w:proofErr w:type="spellStart"/>
      <w:r w:rsidR="004765B2" w:rsidRPr="00CE5B45">
        <w:rPr>
          <w:rFonts w:asciiTheme="majorBidi" w:hAnsiTheme="majorBidi" w:cstheme="majorBidi"/>
          <w:i/>
          <w:iCs/>
          <w:sz w:val="24"/>
          <w:szCs w:val="24"/>
          <w:lang w:val="en-US"/>
        </w:rPr>
        <w:t>CashComp</w:t>
      </w:r>
      <w:proofErr w:type="spellEnd"/>
      <w:r w:rsidR="004765B2" w:rsidRPr="00CE5B45">
        <w:rPr>
          <w:rFonts w:asciiTheme="majorBidi" w:hAnsiTheme="majorBidi" w:cstheme="majorBidi"/>
          <w:sz w:val="24"/>
          <w:szCs w:val="24"/>
          <w:lang w:val="en-US"/>
        </w:rPr>
        <w:t xml:space="preserve">), as </w:t>
      </w:r>
      <w:r w:rsidR="00A833C0" w:rsidRPr="00CE5B45">
        <w:rPr>
          <w:rFonts w:asciiTheme="majorBidi" w:hAnsiTheme="majorBidi" w:cstheme="majorBidi"/>
          <w:sz w:val="24"/>
          <w:szCs w:val="24"/>
          <w:lang w:val="en-US"/>
        </w:rPr>
        <w:t xml:space="preserve">the </w:t>
      </w:r>
      <w:r w:rsidR="004765B2" w:rsidRPr="00CE5B45">
        <w:rPr>
          <w:rFonts w:asciiTheme="majorBidi" w:hAnsiTheme="majorBidi" w:cstheme="majorBidi"/>
          <w:sz w:val="24"/>
          <w:szCs w:val="24"/>
          <w:lang w:val="en-US"/>
        </w:rPr>
        <w:t>natural logarithm of total cash compensation</w:t>
      </w:r>
      <w:r w:rsidR="00A833C0" w:rsidRPr="00CE5B45">
        <w:rPr>
          <w:rFonts w:asciiTheme="majorBidi" w:hAnsiTheme="majorBidi" w:cstheme="majorBidi"/>
          <w:sz w:val="24"/>
          <w:szCs w:val="24"/>
          <w:lang w:val="en-US"/>
        </w:rPr>
        <w:t xml:space="preserve"> (including bonuses)</w:t>
      </w:r>
      <w:r w:rsidR="004765B2" w:rsidRPr="00CE5B45">
        <w:rPr>
          <w:rFonts w:asciiTheme="majorBidi" w:hAnsiTheme="majorBidi" w:cstheme="majorBidi"/>
          <w:sz w:val="24"/>
          <w:szCs w:val="24"/>
          <w:lang w:val="en-US"/>
        </w:rPr>
        <w:t xml:space="preserve"> the CEO received during a year.</w:t>
      </w:r>
    </w:p>
    <w:p w14:paraId="6323A12A" w14:textId="37142B17" w:rsidR="006C4368" w:rsidRPr="00CE5B45" w:rsidRDefault="006C4368" w:rsidP="006C4368">
      <w:pPr>
        <w:pStyle w:val="Default"/>
        <w:jc w:val="both"/>
        <w:rPr>
          <w:color w:val="auto"/>
          <w:lang w:val="en-US"/>
        </w:rPr>
      </w:pPr>
      <w:r w:rsidRPr="00CE5B45">
        <w:rPr>
          <w:rFonts w:asciiTheme="majorBidi" w:hAnsiTheme="majorBidi" w:cstheme="majorBidi"/>
          <w:color w:val="auto"/>
          <w:lang w:val="en-US"/>
        </w:rPr>
        <w:t>3.2.</w:t>
      </w:r>
      <w:r w:rsidR="0058325C" w:rsidRPr="00CE5B45">
        <w:rPr>
          <w:rFonts w:asciiTheme="majorBidi" w:hAnsiTheme="majorBidi" w:cstheme="majorBidi"/>
          <w:color w:val="auto"/>
          <w:lang w:val="en-US"/>
        </w:rPr>
        <w:t>3</w:t>
      </w:r>
      <w:r w:rsidRPr="00CE5B45">
        <w:rPr>
          <w:rFonts w:asciiTheme="majorBidi" w:hAnsiTheme="majorBidi" w:cstheme="majorBidi"/>
          <w:iCs/>
          <w:color w:val="auto"/>
          <w:lang w:val="en-US"/>
        </w:rPr>
        <w:t xml:space="preserve">. </w:t>
      </w:r>
      <w:r w:rsidR="004E46A7" w:rsidRPr="00CE5B45">
        <w:rPr>
          <w:iCs/>
          <w:color w:val="auto"/>
          <w:lang w:val="en-US"/>
        </w:rPr>
        <w:t>Controls</w:t>
      </w:r>
      <w:r w:rsidRPr="00CE5B45">
        <w:rPr>
          <w:color w:val="auto"/>
          <w:lang w:val="en-US"/>
        </w:rPr>
        <w:t xml:space="preserve"> </w:t>
      </w:r>
    </w:p>
    <w:p w14:paraId="1F03E1FA" w14:textId="0B6A9BB7" w:rsidR="00A13467" w:rsidRPr="009348FF" w:rsidRDefault="003148D0" w:rsidP="00034B36">
      <w:pPr>
        <w:spacing w:before="240" w:after="0" w:line="480" w:lineRule="auto"/>
        <w:ind w:firstLine="720"/>
        <w:jc w:val="both"/>
        <w:rPr>
          <w:rFonts w:ascii="Times New Roman" w:hAnsi="Times New Roman" w:cs="Times New Roman"/>
          <w:bCs/>
          <w:sz w:val="24"/>
          <w:szCs w:val="24"/>
          <w:lang w:val="en-US"/>
        </w:rPr>
      </w:pPr>
      <w:r w:rsidRPr="00CE5B45">
        <w:rPr>
          <w:rFonts w:ascii="Times New Roman" w:hAnsi="Times New Roman" w:cs="Times New Roman"/>
          <w:bCs/>
          <w:sz w:val="24"/>
          <w:szCs w:val="24"/>
          <w:lang w:val="en-US"/>
        </w:rPr>
        <w:t>Following</w:t>
      </w:r>
      <w:r w:rsidR="004E45DA" w:rsidRPr="00CE5B45">
        <w:rPr>
          <w:rFonts w:ascii="Times New Roman" w:hAnsi="Times New Roman" w:cs="Times New Roman"/>
          <w:bCs/>
          <w:sz w:val="24"/>
          <w:szCs w:val="24"/>
          <w:lang w:val="en-US"/>
        </w:rPr>
        <w:t xml:space="preserve"> </w:t>
      </w:r>
      <w:r w:rsidR="004E45DA" w:rsidRPr="00CE5B45">
        <w:rPr>
          <w:rFonts w:ascii="Times New Roman" w:hAnsi="Times New Roman" w:cs="Times New Roman"/>
          <w:sz w:val="24"/>
          <w:szCs w:val="24"/>
          <w:shd w:val="clear" w:color="auto" w:fill="FFFFFF"/>
          <w:lang w:val="en-US"/>
        </w:rPr>
        <w:t xml:space="preserve">Cohn </w:t>
      </w:r>
      <w:r w:rsidR="00262CDB" w:rsidRPr="00CE5B45">
        <w:rPr>
          <w:rFonts w:ascii="Times New Roman" w:hAnsi="Times New Roman" w:cs="Times New Roman"/>
          <w:sz w:val="24"/>
          <w:szCs w:val="24"/>
          <w:shd w:val="clear" w:color="auto" w:fill="FFFFFF"/>
          <w:lang w:val="en-US"/>
        </w:rPr>
        <w:t>and</w:t>
      </w:r>
      <w:r w:rsidR="004E45DA" w:rsidRPr="00CE5B45">
        <w:rPr>
          <w:rFonts w:ascii="Times New Roman" w:hAnsi="Times New Roman" w:cs="Times New Roman"/>
          <w:sz w:val="24"/>
          <w:szCs w:val="24"/>
          <w:shd w:val="clear" w:color="auto" w:fill="FFFFFF"/>
          <w:lang w:val="en-US"/>
        </w:rPr>
        <w:t xml:space="preserve"> Wardlaw (2016)</w:t>
      </w:r>
      <w:r w:rsidR="0029206C">
        <w:rPr>
          <w:rFonts w:ascii="Times New Roman" w:hAnsi="Times New Roman" w:cs="Times New Roman"/>
          <w:sz w:val="24"/>
          <w:szCs w:val="24"/>
          <w:shd w:val="clear" w:color="auto" w:fill="FFFFFF"/>
          <w:lang w:val="en-US"/>
        </w:rPr>
        <w:t>,</w:t>
      </w:r>
      <w:r w:rsidRPr="00CE5B45">
        <w:rPr>
          <w:rFonts w:ascii="Times New Roman" w:hAnsi="Times New Roman" w:cs="Times New Roman"/>
          <w:sz w:val="24"/>
          <w:szCs w:val="24"/>
          <w:shd w:val="clear" w:color="auto" w:fill="FFFFFF"/>
          <w:lang w:val="en-US"/>
        </w:rPr>
        <w:t xml:space="preserve"> </w:t>
      </w:r>
      <w:r w:rsidR="004363E3" w:rsidRPr="00CE5B45">
        <w:rPr>
          <w:rFonts w:ascii="Times New Roman" w:hAnsi="Times New Roman" w:cs="Times New Roman"/>
          <w:bCs/>
          <w:sz w:val="24"/>
          <w:szCs w:val="24"/>
          <w:lang w:val="en-US"/>
        </w:rPr>
        <w:t xml:space="preserve">we include </w:t>
      </w:r>
      <w:r w:rsidR="00854A9A" w:rsidRPr="00CE5B45">
        <w:rPr>
          <w:rFonts w:ascii="Times New Roman" w:hAnsi="Times New Roman" w:cs="Times New Roman"/>
          <w:sz w:val="24"/>
          <w:szCs w:val="24"/>
          <w:shd w:val="clear" w:color="auto" w:fill="FFFFFF"/>
          <w:lang w:val="en-US"/>
        </w:rPr>
        <w:t>in our analysis</w:t>
      </w:r>
      <w:r w:rsidR="00854A9A" w:rsidRPr="00CE5B45">
        <w:rPr>
          <w:rFonts w:ascii="Times New Roman" w:hAnsi="Times New Roman" w:cs="Times New Roman"/>
          <w:bCs/>
          <w:sz w:val="24"/>
          <w:szCs w:val="24"/>
          <w:lang w:val="en-US"/>
        </w:rPr>
        <w:t xml:space="preserve"> </w:t>
      </w:r>
      <w:r w:rsidR="004363E3" w:rsidRPr="00CE5B45">
        <w:rPr>
          <w:rFonts w:ascii="Times New Roman" w:hAnsi="Times New Roman" w:cs="Times New Roman"/>
          <w:bCs/>
          <w:sz w:val="24"/>
          <w:szCs w:val="24"/>
          <w:lang w:val="en-US"/>
        </w:rPr>
        <w:t>several</w:t>
      </w:r>
      <w:r w:rsidR="004E45DA" w:rsidRPr="00CE5B45">
        <w:rPr>
          <w:rFonts w:ascii="Times New Roman" w:hAnsi="Times New Roman" w:cs="Times New Roman"/>
          <w:bCs/>
          <w:sz w:val="24"/>
          <w:szCs w:val="24"/>
          <w:lang w:val="en-US"/>
        </w:rPr>
        <w:t xml:space="preserve"> </w:t>
      </w:r>
      <w:r w:rsidR="004E45DA" w:rsidRPr="00CE5B45">
        <w:rPr>
          <w:rFonts w:ascii="Times New Roman" w:hAnsi="Times New Roman" w:cs="Times New Roman"/>
          <w:sz w:val="24"/>
          <w:szCs w:val="24"/>
          <w:shd w:val="clear" w:color="auto" w:fill="FFFFFF"/>
          <w:lang w:val="en-US"/>
        </w:rPr>
        <w:t>time-varying</w:t>
      </w:r>
      <w:r w:rsidR="004E45DA" w:rsidRPr="00CE5B45">
        <w:rPr>
          <w:rFonts w:ascii="Times New Roman" w:hAnsi="Times New Roman" w:cs="Times New Roman"/>
          <w:bCs/>
          <w:sz w:val="24"/>
          <w:szCs w:val="24"/>
          <w:lang w:val="en-US"/>
        </w:rPr>
        <w:t xml:space="preserve"> </w:t>
      </w:r>
      <w:r w:rsidR="004363E3" w:rsidRPr="00CE5B45">
        <w:rPr>
          <w:rFonts w:ascii="Times New Roman" w:hAnsi="Times New Roman" w:cs="Times New Roman"/>
          <w:bCs/>
          <w:sz w:val="24"/>
          <w:szCs w:val="24"/>
          <w:lang w:val="en-US"/>
        </w:rPr>
        <w:t>controls</w:t>
      </w:r>
      <w:r w:rsidRPr="00CE5B45">
        <w:rPr>
          <w:rFonts w:ascii="Times New Roman" w:hAnsi="Times New Roman" w:cs="Times New Roman"/>
          <w:bCs/>
          <w:sz w:val="24"/>
          <w:szCs w:val="24"/>
          <w:lang w:val="en-US"/>
        </w:rPr>
        <w:t xml:space="preserve"> </w:t>
      </w:r>
      <w:r w:rsidR="0029206C">
        <w:rPr>
          <w:rFonts w:ascii="Times New Roman" w:hAnsi="Times New Roman" w:cs="Times New Roman"/>
          <w:bCs/>
          <w:sz w:val="24"/>
          <w:szCs w:val="24"/>
          <w:lang w:val="en-US"/>
        </w:rPr>
        <w:t>that</w:t>
      </w:r>
      <w:r w:rsidRPr="00CE5B45">
        <w:rPr>
          <w:rFonts w:ascii="Times New Roman" w:hAnsi="Times New Roman" w:cs="Times New Roman"/>
          <w:bCs/>
          <w:sz w:val="24"/>
          <w:szCs w:val="24"/>
          <w:lang w:val="en-US"/>
        </w:rPr>
        <w:t xml:space="preserve"> have previously been shown to be related to firm misconduct</w:t>
      </w:r>
      <w:r w:rsidR="004363E3" w:rsidRPr="00CE5B45">
        <w:rPr>
          <w:rFonts w:ascii="Times New Roman" w:hAnsi="Times New Roman" w:cs="Times New Roman"/>
          <w:bCs/>
          <w:sz w:val="24"/>
          <w:szCs w:val="24"/>
          <w:lang w:val="en-US"/>
        </w:rPr>
        <w:t xml:space="preserve">. </w:t>
      </w:r>
      <w:r w:rsidR="005317FE">
        <w:rPr>
          <w:rFonts w:ascii="Times New Roman" w:hAnsi="Times New Roman" w:cs="Times New Roman"/>
          <w:bCs/>
          <w:sz w:val="24"/>
          <w:szCs w:val="24"/>
          <w:lang w:val="en-US"/>
        </w:rPr>
        <w:t xml:space="preserve">These include </w:t>
      </w:r>
      <w:r w:rsidR="005317FE" w:rsidRPr="00466286">
        <w:rPr>
          <w:rFonts w:ascii="Times New Roman" w:hAnsi="Times New Roman" w:cs="Times New Roman"/>
          <w:bCs/>
          <w:i/>
          <w:iCs/>
          <w:sz w:val="24"/>
          <w:szCs w:val="24"/>
          <w:lang w:val="en-US"/>
        </w:rPr>
        <w:t xml:space="preserve">Leverage, </w:t>
      </w:r>
      <w:proofErr w:type="spellStart"/>
      <w:r w:rsidR="005317FE" w:rsidRPr="00466286">
        <w:rPr>
          <w:rFonts w:ascii="Times New Roman" w:hAnsi="Times New Roman" w:cs="Times New Roman"/>
          <w:bCs/>
          <w:i/>
          <w:iCs/>
          <w:sz w:val="24"/>
          <w:szCs w:val="24"/>
          <w:lang w:val="en-US"/>
        </w:rPr>
        <w:t>CashFlow</w:t>
      </w:r>
      <w:proofErr w:type="spellEnd"/>
      <w:r w:rsidR="005317FE" w:rsidRPr="00466286">
        <w:rPr>
          <w:rFonts w:ascii="Times New Roman" w:hAnsi="Times New Roman" w:cs="Times New Roman"/>
          <w:bCs/>
          <w:i/>
          <w:iCs/>
          <w:sz w:val="24"/>
          <w:szCs w:val="24"/>
          <w:lang w:val="en-US"/>
        </w:rPr>
        <w:t xml:space="preserve">, </w:t>
      </w:r>
      <w:proofErr w:type="spellStart"/>
      <w:r w:rsidR="005317FE" w:rsidRPr="00466286">
        <w:rPr>
          <w:rFonts w:ascii="Times New Roman" w:hAnsi="Times New Roman" w:cs="Times New Roman"/>
          <w:bCs/>
          <w:i/>
          <w:iCs/>
          <w:sz w:val="24"/>
          <w:szCs w:val="24"/>
          <w:lang w:val="en-US"/>
        </w:rPr>
        <w:t>DividendPayout</w:t>
      </w:r>
      <w:proofErr w:type="spellEnd"/>
      <w:r w:rsidR="005317FE" w:rsidRPr="00466286">
        <w:rPr>
          <w:rFonts w:ascii="Times New Roman" w:hAnsi="Times New Roman" w:cs="Times New Roman"/>
          <w:bCs/>
          <w:i/>
          <w:iCs/>
          <w:sz w:val="24"/>
          <w:szCs w:val="24"/>
          <w:lang w:val="en-US"/>
        </w:rPr>
        <w:t xml:space="preserve">, </w:t>
      </w:r>
      <w:proofErr w:type="spellStart"/>
      <w:r w:rsidR="005317FE" w:rsidRPr="00466286">
        <w:rPr>
          <w:rFonts w:ascii="Times New Roman" w:hAnsi="Times New Roman" w:cs="Times New Roman"/>
          <w:bCs/>
          <w:i/>
          <w:iCs/>
          <w:sz w:val="24"/>
          <w:szCs w:val="24"/>
          <w:lang w:val="en-US"/>
        </w:rPr>
        <w:t>FirmSize</w:t>
      </w:r>
      <w:proofErr w:type="spellEnd"/>
      <w:r w:rsidR="005317FE" w:rsidRPr="00466286">
        <w:rPr>
          <w:rFonts w:ascii="Times New Roman" w:hAnsi="Times New Roman" w:cs="Times New Roman"/>
          <w:bCs/>
          <w:i/>
          <w:iCs/>
          <w:sz w:val="24"/>
          <w:szCs w:val="24"/>
          <w:lang w:val="en-US"/>
        </w:rPr>
        <w:t xml:space="preserve">, Employees, </w:t>
      </w:r>
      <w:proofErr w:type="spellStart"/>
      <w:r w:rsidR="005317FE" w:rsidRPr="00466286">
        <w:rPr>
          <w:rFonts w:ascii="Times New Roman" w:hAnsi="Times New Roman" w:cs="Times New Roman"/>
          <w:bCs/>
          <w:i/>
          <w:iCs/>
          <w:sz w:val="24"/>
          <w:szCs w:val="24"/>
          <w:lang w:val="en-US"/>
        </w:rPr>
        <w:t>AssetTurnover</w:t>
      </w:r>
      <w:proofErr w:type="spellEnd"/>
      <w:r w:rsidR="005317FE" w:rsidRPr="00466286">
        <w:rPr>
          <w:rFonts w:ascii="Times New Roman" w:hAnsi="Times New Roman" w:cs="Times New Roman"/>
          <w:bCs/>
          <w:i/>
          <w:iCs/>
          <w:sz w:val="24"/>
          <w:szCs w:val="24"/>
          <w:lang w:val="en-US"/>
        </w:rPr>
        <w:t xml:space="preserve">, Market-to-book, Tangibility </w:t>
      </w:r>
      <w:r w:rsidR="005317FE" w:rsidRPr="00844E28">
        <w:rPr>
          <w:rFonts w:ascii="Times New Roman" w:hAnsi="Times New Roman" w:cs="Times New Roman"/>
          <w:bCs/>
          <w:sz w:val="24"/>
          <w:szCs w:val="24"/>
          <w:lang w:val="en-US"/>
        </w:rPr>
        <w:t xml:space="preserve">and </w:t>
      </w:r>
      <w:r w:rsidR="005317FE" w:rsidRPr="00466286">
        <w:rPr>
          <w:rFonts w:ascii="Times New Roman" w:hAnsi="Times New Roman" w:cs="Times New Roman"/>
          <w:bCs/>
          <w:i/>
          <w:iCs/>
          <w:sz w:val="24"/>
          <w:szCs w:val="24"/>
          <w:lang w:val="en-US"/>
        </w:rPr>
        <w:t>Capex</w:t>
      </w:r>
      <w:r w:rsidR="005317FE">
        <w:rPr>
          <w:rFonts w:ascii="Times New Roman" w:hAnsi="Times New Roman" w:cs="Times New Roman"/>
          <w:bCs/>
          <w:sz w:val="24"/>
          <w:szCs w:val="24"/>
          <w:lang w:val="en-US"/>
        </w:rPr>
        <w:t xml:space="preserve">. </w:t>
      </w:r>
      <w:r w:rsidR="004363E3" w:rsidRPr="00CE5B45">
        <w:rPr>
          <w:rFonts w:ascii="Times New Roman" w:hAnsi="Times New Roman" w:cs="Times New Roman"/>
          <w:bCs/>
          <w:i/>
          <w:iCs/>
          <w:sz w:val="24"/>
          <w:szCs w:val="24"/>
          <w:lang w:val="en-US"/>
        </w:rPr>
        <w:t xml:space="preserve">Leverage </w:t>
      </w:r>
      <w:r w:rsidR="004363E3" w:rsidRPr="00CE5B45">
        <w:rPr>
          <w:rFonts w:ascii="Times New Roman" w:hAnsi="Times New Roman" w:cs="Times New Roman"/>
          <w:bCs/>
          <w:sz w:val="24"/>
          <w:szCs w:val="24"/>
          <w:lang w:val="en-US"/>
        </w:rPr>
        <w:t>is the ratio of the book value of debt</w:t>
      </w:r>
      <w:r w:rsidR="007C7D42" w:rsidRPr="00CE5B45">
        <w:rPr>
          <w:rFonts w:ascii="Times New Roman" w:hAnsi="Times New Roman" w:cs="Times New Roman"/>
          <w:bCs/>
          <w:sz w:val="24"/>
          <w:szCs w:val="24"/>
          <w:lang w:val="en-US"/>
        </w:rPr>
        <w:t xml:space="preserve"> </w:t>
      </w:r>
      <w:r w:rsidR="00BF4E82" w:rsidRPr="00CE5B45">
        <w:rPr>
          <w:rFonts w:ascii="Times New Roman" w:hAnsi="Times New Roman" w:cs="Times New Roman"/>
          <w:bCs/>
          <w:sz w:val="24"/>
          <w:szCs w:val="24"/>
          <w:lang w:val="en-US"/>
        </w:rPr>
        <w:t>to</w:t>
      </w:r>
      <w:r w:rsidR="004363E3" w:rsidRPr="00CE5B45">
        <w:rPr>
          <w:rFonts w:ascii="Times New Roman" w:hAnsi="Times New Roman" w:cs="Times New Roman"/>
          <w:bCs/>
          <w:sz w:val="24"/>
          <w:szCs w:val="24"/>
          <w:lang w:val="en-US"/>
        </w:rPr>
        <w:t xml:space="preserve"> </w:t>
      </w:r>
      <w:r w:rsidR="00C422B5">
        <w:rPr>
          <w:rFonts w:ascii="Times New Roman" w:hAnsi="Times New Roman" w:cs="Times New Roman"/>
          <w:bCs/>
          <w:sz w:val="24"/>
          <w:szCs w:val="24"/>
          <w:lang w:val="en-US"/>
        </w:rPr>
        <w:t xml:space="preserve">the </w:t>
      </w:r>
      <w:r w:rsidR="004363E3" w:rsidRPr="00CE5B45">
        <w:rPr>
          <w:rFonts w:ascii="Times New Roman" w:hAnsi="Times New Roman" w:cs="Times New Roman"/>
          <w:bCs/>
          <w:sz w:val="24"/>
          <w:szCs w:val="24"/>
          <w:lang w:val="en-US"/>
        </w:rPr>
        <w:t xml:space="preserve">book value of assets. </w:t>
      </w:r>
      <w:proofErr w:type="spellStart"/>
      <w:r w:rsidR="004363E3" w:rsidRPr="00CE5B45">
        <w:rPr>
          <w:rFonts w:ascii="Times New Roman" w:hAnsi="Times New Roman" w:cs="Times New Roman"/>
          <w:bCs/>
          <w:i/>
          <w:iCs/>
          <w:sz w:val="24"/>
          <w:szCs w:val="24"/>
          <w:lang w:val="en-US"/>
        </w:rPr>
        <w:t>CashFlow</w:t>
      </w:r>
      <w:proofErr w:type="spellEnd"/>
      <w:r w:rsidR="004363E3" w:rsidRPr="00CE5B45">
        <w:rPr>
          <w:rFonts w:ascii="Times New Roman" w:hAnsi="Times New Roman" w:cs="Times New Roman"/>
          <w:bCs/>
          <w:i/>
          <w:iCs/>
          <w:sz w:val="24"/>
          <w:szCs w:val="24"/>
          <w:lang w:val="en-US"/>
        </w:rPr>
        <w:t xml:space="preserve"> </w:t>
      </w:r>
      <w:r w:rsidR="004363E3" w:rsidRPr="00CE5B45">
        <w:rPr>
          <w:rFonts w:ascii="Times New Roman" w:hAnsi="Times New Roman" w:cs="Times New Roman"/>
          <w:bCs/>
          <w:sz w:val="24"/>
          <w:szCs w:val="24"/>
          <w:lang w:val="en-US"/>
        </w:rPr>
        <w:t xml:space="preserve">is the ratio of cash flows from operations </w:t>
      </w:r>
      <w:r w:rsidR="00BF4E82" w:rsidRPr="00CE5B45">
        <w:rPr>
          <w:rFonts w:ascii="Times New Roman" w:hAnsi="Times New Roman" w:cs="Times New Roman"/>
          <w:bCs/>
          <w:sz w:val="24"/>
          <w:szCs w:val="24"/>
          <w:lang w:val="en-US"/>
        </w:rPr>
        <w:t>to</w:t>
      </w:r>
      <w:r w:rsidR="00C422B5">
        <w:rPr>
          <w:rFonts w:ascii="Times New Roman" w:hAnsi="Times New Roman" w:cs="Times New Roman"/>
          <w:bCs/>
          <w:sz w:val="24"/>
          <w:szCs w:val="24"/>
          <w:lang w:val="en-US"/>
        </w:rPr>
        <w:t xml:space="preserve"> the</w:t>
      </w:r>
      <w:r w:rsidR="004363E3" w:rsidRPr="00CE5B45">
        <w:rPr>
          <w:rFonts w:ascii="Times New Roman" w:hAnsi="Times New Roman" w:cs="Times New Roman"/>
          <w:bCs/>
          <w:sz w:val="24"/>
          <w:szCs w:val="24"/>
          <w:lang w:val="en-US"/>
        </w:rPr>
        <w:t xml:space="preserve"> book value of assets. </w:t>
      </w:r>
      <w:proofErr w:type="spellStart"/>
      <w:r w:rsidR="004363E3" w:rsidRPr="00CE5B45">
        <w:rPr>
          <w:rFonts w:ascii="Times New Roman" w:hAnsi="Times New Roman" w:cs="Times New Roman"/>
          <w:bCs/>
          <w:i/>
          <w:iCs/>
          <w:sz w:val="24"/>
          <w:szCs w:val="24"/>
          <w:lang w:val="en-US"/>
        </w:rPr>
        <w:t>DividendPayout</w:t>
      </w:r>
      <w:proofErr w:type="spellEnd"/>
      <w:r w:rsidR="004363E3" w:rsidRPr="00CE5B45">
        <w:rPr>
          <w:rFonts w:ascii="Times New Roman" w:hAnsi="Times New Roman" w:cs="Times New Roman"/>
          <w:bCs/>
          <w:i/>
          <w:iCs/>
          <w:sz w:val="24"/>
          <w:szCs w:val="24"/>
          <w:lang w:val="en-US"/>
        </w:rPr>
        <w:t xml:space="preserve"> </w:t>
      </w:r>
      <w:r w:rsidR="004363E3" w:rsidRPr="00CE5B45">
        <w:rPr>
          <w:rFonts w:ascii="Times New Roman" w:hAnsi="Times New Roman" w:cs="Times New Roman"/>
          <w:bCs/>
          <w:sz w:val="24"/>
          <w:szCs w:val="24"/>
          <w:lang w:val="en-US"/>
        </w:rPr>
        <w:t xml:space="preserve">is the ratio of </w:t>
      </w:r>
      <w:r w:rsidR="00490D2F" w:rsidRPr="00CE5B45">
        <w:rPr>
          <w:rFonts w:ascii="Times New Roman" w:hAnsi="Times New Roman" w:cs="Times New Roman"/>
          <w:bCs/>
          <w:sz w:val="24"/>
          <w:szCs w:val="24"/>
          <w:lang w:val="en-US"/>
        </w:rPr>
        <w:t xml:space="preserve">the </w:t>
      </w:r>
      <w:r w:rsidR="004363E3" w:rsidRPr="00CE5B45">
        <w:rPr>
          <w:rFonts w:ascii="Times New Roman" w:hAnsi="Times New Roman" w:cs="Times New Roman"/>
          <w:bCs/>
          <w:sz w:val="24"/>
          <w:szCs w:val="24"/>
          <w:lang w:val="en-US"/>
        </w:rPr>
        <w:t xml:space="preserve">total amount of cash dividends declared to common shareholders </w:t>
      </w:r>
      <w:r w:rsidR="00B27031" w:rsidRPr="00CE5B45">
        <w:rPr>
          <w:rFonts w:ascii="Times New Roman" w:hAnsi="Times New Roman" w:cs="Times New Roman"/>
          <w:bCs/>
          <w:iCs/>
          <w:sz w:val="24"/>
          <w:szCs w:val="24"/>
          <w:lang w:val="en-US"/>
        </w:rPr>
        <w:t>scaled by</w:t>
      </w:r>
      <w:r w:rsidR="004363E3" w:rsidRPr="00CE5B45">
        <w:rPr>
          <w:rFonts w:ascii="Times New Roman" w:hAnsi="Times New Roman" w:cs="Times New Roman"/>
          <w:bCs/>
          <w:sz w:val="24"/>
          <w:szCs w:val="24"/>
          <w:lang w:val="en-US"/>
        </w:rPr>
        <w:t xml:space="preserve"> </w:t>
      </w:r>
      <w:r w:rsidR="00C422B5">
        <w:rPr>
          <w:rFonts w:ascii="Times New Roman" w:hAnsi="Times New Roman" w:cs="Times New Roman"/>
          <w:bCs/>
          <w:sz w:val="24"/>
          <w:szCs w:val="24"/>
          <w:lang w:val="en-US"/>
        </w:rPr>
        <w:t xml:space="preserve">the </w:t>
      </w:r>
      <w:r w:rsidR="004363E3" w:rsidRPr="00CE5B45">
        <w:rPr>
          <w:rFonts w:ascii="Times New Roman" w:hAnsi="Times New Roman" w:cs="Times New Roman"/>
          <w:bCs/>
          <w:sz w:val="24"/>
          <w:szCs w:val="24"/>
          <w:lang w:val="en-US"/>
        </w:rPr>
        <w:t>lagged book value of assets.</w:t>
      </w:r>
      <w:r w:rsidR="004363E3" w:rsidRPr="00CE5B45">
        <w:rPr>
          <w:rFonts w:ascii="Times New Roman" w:hAnsi="Times New Roman" w:cs="Times New Roman"/>
          <w:bCs/>
          <w:i/>
          <w:iCs/>
          <w:sz w:val="24"/>
          <w:szCs w:val="24"/>
          <w:lang w:val="en-US"/>
        </w:rPr>
        <w:t xml:space="preserve"> </w:t>
      </w:r>
      <w:proofErr w:type="spellStart"/>
      <w:r w:rsidR="004363E3" w:rsidRPr="00CE5B45">
        <w:rPr>
          <w:rFonts w:ascii="Times New Roman" w:hAnsi="Times New Roman" w:cs="Times New Roman"/>
          <w:bCs/>
          <w:i/>
          <w:iCs/>
          <w:sz w:val="24"/>
          <w:szCs w:val="24"/>
          <w:lang w:val="en-US"/>
        </w:rPr>
        <w:t>FirmSize</w:t>
      </w:r>
      <w:proofErr w:type="spellEnd"/>
      <w:r w:rsidR="004363E3" w:rsidRPr="00CE5B45">
        <w:rPr>
          <w:rFonts w:ascii="Times New Roman" w:hAnsi="Times New Roman" w:cs="Times New Roman"/>
          <w:bCs/>
          <w:i/>
          <w:iCs/>
          <w:sz w:val="24"/>
          <w:szCs w:val="24"/>
          <w:lang w:val="en-US"/>
        </w:rPr>
        <w:t xml:space="preserve"> </w:t>
      </w:r>
      <w:r w:rsidR="004363E3" w:rsidRPr="00CE5B45">
        <w:rPr>
          <w:rFonts w:ascii="Times New Roman" w:hAnsi="Times New Roman" w:cs="Times New Roman"/>
          <w:bCs/>
          <w:sz w:val="24"/>
          <w:szCs w:val="24"/>
          <w:lang w:val="en-US"/>
        </w:rPr>
        <w:t xml:space="preserve">is </w:t>
      </w:r>
      <w:r w:rsidR="00BF4E82" w:rsidRPr="00CE5B45">
        <w:rPr>
          <w:rFonts w:ascii="Times New Roman" w:hAnsi="Times New Roman" w:cs="Times New Roman"/>
          <w:bCs/>
          <w:sz w:val="24"/>
          <w:szCs w:val="24"/>
          <w:lang w:val="en-US"/>
        </w:rPr>
        <w:t xml:space="preserve">the natural logarithm of the </w:t>
      </w:r>
      <w:r w:rsidR="004363E3" w:rsidRPr="00CE5B45">
        <w:rPr>
          <w:rFonts w:ascii="Times New Roman" w:hAnsi="Times New Roman" w:cs="Times New Roman"/>
          <w:bCs/>
          <w:sz w:val="24"/>
          <w:szCs w:val="24"/>
          <w:lang w:val="en-US"/>
        </w:rPr>
        <w:t xml:space="preserve">market value of </w:t>
      </w:r>
      <w:r w:rsidR="00C422B5">
        <w:rPr>
          <w:rFonts w:ascii="Times New Roman" w:hAnsi="Times New Roman" w:cs="Times New Roman"/>
          <w:bCs/>
          <w:sz w:val="24"/>
          <w:szCs w:val="24"/>
          <w:lang w:val="en-US"/>
        </w:rPr>
        <w:t>the</w:t>
      </w:r>
      <w:r w:rsidR="004363E3" w:rsidRPr="00CE5B45">
        <w:rPr>
          <w:rFonts w:ascii="Times New Roman" w:hAnsi="Times New Roman" w:cs="Times New Roman"/>
          <w:bCs/>
          <w:sz w:val="24"/>
          <w:szCs w:val="24"/>
          <w:lang w:val="en-US"/>
        </w:rPr>
        <w:t xml:space="preserve"> </w:t>
      </w:r>
      <w:r w:rsidR="00C422B5">
        <w:rPr>
          <w:rFonts w:ascii="Times New Roman" w:hAnsi="Times New Roman" w:cs="Times New Roman"/>
          <w:bCs/>
          <w:sz w:val="24"/>
          <w:szCs w:val="24"/>
          <w:lang w:val="en-US"/>
        </w:rPr>
        <w:t>firm</w:t>
      </w:r>
      <w:r w:rsidR="004363E3" w:rsidRPr="00CE5B45">
        <w:rPr>
          <w:rFonts w:ascii="Times New Roman" w:hAnsi="Times New Roman" w:cs="Times New Roman"/>
          <w:bCs/>
          <w:sz w:val="24"/>
          <w:szCs w:val="24"/>
          <w:lang w:val="en-US"/>
        </w:rPr>
        <w:t>.</w:t>
      </w:r>
      <w:r w:rsidR="00336957" w:rsidRPr="00CE5B45">
        <w:rPr>
          <w:rFonts w:ascii="Times New Roman" w:hAnsi="Times New Roman" w:cs="Times New Roman"/>
          <w:bCs/>
          <w:sz w:val="24"/>
          <w:szCs w:val="24"/>
          <w:lang w:val="en-US"/>
        </w:rPr>
        <w:t xml:space="preserve"> </w:t>
      </w:r>
      <w:r w:rsidR="00336957" w:rsidRPr="00CE5B45">
        <w:rPr>
          <w:rFonts w:ascii="Times New Roman" w:hAnsi="Times New Roman" w:cs="Times New Roman"/>
          <w:bCs/>
          <w:i/>
          <w:iCs/>
          <w:sz w:val="24"/>
          <w:szCs w:val="24"/>
          <w:lang w:val="en-US"/>
        </w:rPr>
        <w:t xml:space="preserve">Employees </w:t>
      </w:r>
      <w:r w:rsidR="00336957" w:rsidRPr="00CE5B45">
        <w:rPr>
          <w:rFonts w:ascii="Times New Roman" w:hAnsi="Times New Roman" w:cs="Times New Roman"/>
          <w:bCs/>
          <w:sz w:val="24"/>
          <w:szCs w:val="24"/>
          <w:lang w:val="en-US"/>
        </w:rPr>
        <w:t xml:space="preserve">is </w:t>
      </w:r>
      <w:r w:rsidR="00BF4E82" w:rsidRPr="00CE5B45">
        <w:rPr>
          <w:rFonts w:ascii="Times New Roman" w:hAnsi="Times New Roman" w:cs="Times New Roman"/>
          <w:bCs/>
          <w:sz w:val="24"/>
          <w:szCs w:val="24"/>
          <w:lang w:val="en-US"/>
        </w:rPr>
        <w:t xml:space="preserve">the natural logarithm of the </w:t>
      </w:r>
      <w:r w:rsidR="00336957" w:rsidRPr="00CE5B45">
        <w:rPr>
          <w:rFonts w:ascii="Times New Roman" w:hAnsi="Times New Roman" w:cs="Times New Roman"/>
          <w:bCs/>
          <w:sz w:val="24"/>
          <w:szCs w:val="24"/>
          <w:lang w:val="en-US"/>
        </w:rPr>
        <w:t>number of employees</w:t>
      </w:r>
      <w:r w:rsidR="00BF4E82" w:rsidRPr="00CE5B45">
        <w:rPr>
          <w:rFonts w:ascii="Times New Roman" w:hAnsi="Times New Roman" w:cs="Times New Roman"/>
          <w:bCs/>
          <w:sz w:val="24"/>
          <w:szCs w:val="24"/>
          <w:lang w:val="en-US"/>
        </w:rPr>
        <w:t xml:space="preserve">. </w:t>
      </w:r>
      <w:proofErr w:type="spellStart"/>
      <w:r w:rsidR="00336957" w:rsidRPr="00CE5B45">
        <w:rPr>
          <w:rFonts w:ascii="Times New Roman" w:hAnsi="Times New Roman" w:cs="Times New Roman"/>
          <w:bCs/>
          <w:i/>
          <w:iCs/>
          <w:sz w:val="24"/>
          <w:szCs w:val="24"/>
          <w:lang w:val="en-US"/>
        </w:rPr>
        <w:t>AssetTurnover</w:t>
      </w:r>
      <w:proofErr w:type="spellEnd"/>
      <w:r w:rsidR="00336957" w:rsidRPr="00CE5B45">
        <w:rPr>
          <w:rFonts w:ascii="Times New Roman" w:hAnsi="Times New Roman" w:cs="Times New Roman"/>
          <w:bCs/>
          <w:i/>
          <w:iCs/>
          <w:sz w:val="24"/>
          <w:szCs w:val="24"/>
          <w:lang w:val="en-US"/>
        </w:rPr>
        <w:t xml:space="preserve"> </w:t>
      </w:r>
      <w:r w:rsidR="00336957" w:rsidRPr="00CE5B45">
        <w:rPr>
          <w:rFonts w:ascii="Times New Roman" w:hAnsi="Times New Roman" w:cs="Times New Roman"/>
          <w:bCs/>
          <w:sz w:val="24"/>
          <w:szCs w:val="24"/>
          <w:lang w:val="en-US"/>
        </w:rPr>
        <w:t xml:space="preserve">is the ratio of gross sales to </w:t>
      </w:r>
      <w:r w:rsidR="00C422B5">
        <w:rPr>
          <w:rFonts w:ascii="Times New Roman" w:hAnsi="Times New Roman" w:cs="Times New Roman"/>
          <w:bCs/>
          <w:sz w:val="24"/>
          <w:szCs w:val="24"/>
          <w:lang w:val="en-US"/>
        </w:rPr>
        <w:t xml:space="preserve">the </w:t>
      </w:r>
      <w:r w:rsidR="00336957" w:rsidRPr="00CE5B45">
        <w:rPr>
          <w:rFonts w:ascii="Times New Roman" w:hAnsi="Times New Roman" w:cs="Times New Roman"/>
          <w:bCs/>
          <w:sz w:val="24"/>
          <w:szCs w:val="24"/>
          <w:lang w:val="en-US"/>
        </w:rPr>
        <w:t>book value of</w:t>
      </w:r>
      <w:r w:rsidR="000105C4" w:rsidRPr="00CE5B45">
        <w:rPr>
          <w:rFonts w:ascii="Times New Roman" w:hAnsi="Times New Roman" w:cs="Times New Roman"/>
          <w:bCs/>
          <w:sz w:val="24"/>
          <w:szCs w:val="24"/>
          <w:lang w:val="en-US"/>
        </w:rPr>
        <w:t xml:space="preserve"> </w:t>
      </w:r>
      <w:r w:rsidR="00336957" w:rsidRPr="00CE5B45">
        <w:rPr>
          <w:rFonts w:ascii="Times New Roman" w:hAnsi="Times New Roman" w:cs="Times New Roman"/>
          <w:bCs/>
          <w:sz w:val="24"/>
          <w:szCs w:val="24"/>
          <w:lang w:val="en-US"/>
        </w:rPr>
        <w:t>assets.</w:t>
      </w:r>
      <w:r w:rsidR="00336957" w:rsidRPr="00CE5B45">
        <w:rPr>
          <w:lang w:val="en-US"/>
        </w:rPr>
        <w:t xml:space="preserve"> </w:t>
      </w:r>
      <w:r w:rsidR="00336957" w:rsidRPr="00CE5B45">
        <w:rPr>
          <w:rFonts w:ascii="Times New Roman" w:hAnsi="Times New Roman" w:cs="Times New Roman"/>
          <w:bCs/>
          <w:i/>
          <w:iCs/>
          <w:sz w:val="24"/>
          <w:szCs w:val="24"/>
          <w:lang w:val="en-US"/>
        </w:rPr>
        <w:t xml:space="preserve">Market-to-book </w:t>
      </w:r>
      <w:r w:rsidR="00336957" w:rsidRPr="00CE5B45">
        <w:rPr>
          <w:rFonts w:ascii="Times New Roman" w:hAnsi="Times New Roman" w:cs="Times New Roman"/>
          <w:bCs/>
          <w:sz w:val="24"/>
          <w:szCs w:val="24"/>
          <w:lang w:val="en-US"/>
        </w:rPr>
        <w:t xml:space="preserve">is the ratio of </w:t>
      </w:r>
      <w:r w:rsidR="00490D2F" w:rsidRPr="00CE5B45">
        <w:rPr>
          <w:rFonts w:ascii="Times New Roman" w:hAnsi="Times New Roman" w:cs="Times New Roman"/>
          <w:bCs/>
          <w:sz w:val="24"/>
          <w:szCs w:val="24"/>
          <w:lang w:val="en-US"/>
        </w:rPr>
        <w:t xml:space="preserve">the </w:t>
      </w:r>
      <w:r w:rsidR="00336957" w:rsidRPr="00CE5B45">
        <w:rPr>
          <w:rFonts w:ascii="Times New Roman" w:hAnsi="Times New Roman" w:cs="Times New Roman"/>
          <w:bCs/>
          <w:sz w:val="24"/>
          <w:szCs w:val="24"/>
          <w:lang w:val="en-US"/>
        </w:rPr>
        <w:t xml:space="preserve">market value of assets to </w:t>
      </w:r>
      <w:r w:rsidR="00C422B5">
        <w:rPr>
          <w:rFonts w:ascii="Times New Roman" w:hAnsi="Times New Roman" w:cs="Times New Roman"/>
          <w:bCs/>
          <w:sz w:val="24"/>
          <w:szCs w:val="24"/>
          <w:lang w:val="en-US"/>
        </w:rPr>
        <w:t xml:space="preserve">the </w:t>
      </w:r>
      <w:r w:rsidR="00336957" w:rsidRPr="00CE5B45">
        <w:rPr>
          <w:rFonts w:ascii="Times New Roman" w:hAnsi="Times New Roman" w:cs="Times New Roman"/>
          <w:bCs/>
          <w:sz w:val="24"/>
          <w:szCs w:val="24"/>
          <w:lang w:val="en-US"/>
        </w:rPr>
        <w:t xml:space="preserve">book value of assets. </w:t>
      </w:r>
      <w:r w:rsidR="00336957" w:rsidRPr="00CE5B45">
        <w:rPr>
          <w:rFonts w:ascii="Times New Roman" w:hAnsi="Times New Roman" w:cs="Times New Roman"/>
          <w:bCs/>
          <w:i/>
          <w:iCs/>
          <w:sz w:val="24"/>
          <w:szCs w:val="24"/>
          <w:lang w:val="en-US"/>
        </w:rPr>
        <w:t>Tangibility</w:t>
      </w:r>
      <w:r w:rsidR="00336957" w:rsidRPr="00CE5B45">
        <w:rPr>
          <w:rFonts w:ascii="Times New Roman" w:hAnsi="Times New Roman" w:cs="Times New Roman"/>
          <w:bCs/>
          <w:sz w:val="24"/>
          <w:szCs w:val="24"/>
          <w:lang w:val="en-US"/>
        </w:rPr>
        <w:t xml:space="preserve"> is the ratio of</w:t>
      </w:r>
      <w:r w:rsidR="00BF4E82" w:rsidRPr="00CE5B45">
        <w:rPr>
          <w:rFonts w:ascii="Times New Roman" w:hAnsi="Times New Roman" w:cs="Times New Roman"/>
          <w:bCs/>
          <w:sz w:val="24"/>
          <w:szCs w:val="24"/>
          <w:lang w:val="en-US"/>
        </w:rPr>
        <w:t xml:space="preserve"> the</w:t>
      </w:r>
      <w:r w:rsidR="00336957" w:rsidRPr="00CE5B45">
        <w:rPr>
          <w:rFonts w:ascii="Times New Roman" w:hAnsi="Times New Roman" w:cs="Times New Roman"/>
          <w:bCs/>
          <w:sz w:val="24"/>
          <w:szCs w:val="24"/>
          <w:lang w:val="en-US"/>
        </w:rPr>
        <w:t xml:space="preserve"> value of tangible fixed assets used in </w:t>
      </w:r>
      <w:r w:rsidR="00336957" w:rsidRPr="009C4135">
        <w:rPr>
          <w:rFonts w:ascii="Times New Roman" w:hAnsi="Times New Roman" w:cs="Times New Roman"/>
          <w:bCs/>
          <w:sz w:val="24"/>
          <w:szCs w:val="24"/>
          <w:lang w:val="en-US"/>
        </w:rPr>
        <w:t>the regular business operations of the company</w:t>
      </w:r>
      <w:r w:rsidR="00BF4E82" w:rsidRPr="009C4135">
        <w:rPr>
          <w:rFonts w:ascii="Times New Roman" w:hAnsi="Times New Roman" w:cs="Times New Roman"/>
          <w:bCs/>
          <w:i/>
          <w:iCs/>
          <w:sz w:val="24"/>
          <w:szCs w:val="24"/>
          <w:lang w:val="en-US"/>
        </w:rPr>
        <w:t xml:space="preserve"> </w:t>
      </w:r>
      <w:r w:rsidR="00336957" w:rsidRPr="009C4135">
        <w:rPr>
          <w:rFonts w:ascii="Times New Roman" w:hAnsi="Times New Roman" w:cs="Times New Roman"/>
          <w:bCs/>
          <w:sz w:val="24"/>
          <w:szCs w:val="24"/>
          <w:lang w:val="en-US"/>
        </w:rPr>
        <w:t xml:space="preserve">to </w:t>
      </w:r>
      <w:r w:rsidR="00C422B5">
        <w:rPr>
          <w:rFonts w:ascii="Times New Roman" w:hAnsi="Times New Roman" w:cs="Times New Roman"/>
          <w:bCs/>
          <w:sz w:val="24"/>
          <w:szCs w:val="24"/>
          <w:lang w:val="en-US"/>
        </w:rPr>
        <w:t xml:space="preserve">the </w:t>
      </w:r>
      <w:r w:rsidR="00336957" w:rsidRPr="009C4135">
        <w:rPr>
          <w:rFonts w:ascii="Times New Roman" w:hAnsi="Times New Roman" w:cs="Times New Roman"/>
          <w:bCs/>
          <w:sz w:val="24"/>
          <w:szCs w:val="24"/>
          <w:lang w:val="en-US"/>
        </w:rPr>
        <w:t xml:space="preserve">book value of assets. </w:t>
      </w:r>
      <w:r w:rsidR="00336957" w:rsidRPr="009C4135">
        <w:rPr>
          <w:rFonts w:ascii="Times New Roman" w:hAnsi="Times New Roman" w:cs="Times New Roman"/>
          <w:bCs/>
          <w:i/>
          <w:iCs/>
          <w:sz w:val="24"/>
          <w:szCs w:val="24"/>
          <w:lang w:val="en-US"/>
        </w:rPr>
        <w:t xml:space="preserve">Capex </w:t>
      </w:r>
      <w:r w:rsidR="00336957" w:rsidRPr="009C4135">
        <w:rPr>
          <w:rFonts w:ascii="Times New Roman" w:hAnsi="Times New Roman" w:cs="Times New Roman"/>
          <w:bCs/>
          <w:sz w:val="24"/>
          <w:szCs w:val="24"/>
          <w:lang w:val="en-US"/>
        </w:rPr>
        <w:t xml:space="preserve">is the ratio of funds used for investment in long-term tangible assets, </w:t>
      </w:r>
      <w:r w:rsidR="00BF4E82" w:rsidRPr="009C4135">
        <w:rPr>
          <w:rFonts w:ascii="Times New Roman" w:hAnsi="Times New Roman" w:cs="Times New Roman"/>
          <w:bCs/>
          <w:sz w:val="24"/>
          <w:szCs w:val="24"/>
          <w:lang w:val="en-US"/>
        </w:rPr>
        <w:t>excluding</w:t>
      </w:r>
      <w:r w:rsidR="00336957" w:rsidRPr="009C4135">
        <w:rPr>
          <w:rFonts w:ascii="Times New Roman" w:hAnsi="Times New Roman" w:cs="Times New Roman"/>
          <w:bCs/>
          <w:sz w:val="24"/>
          <w:szCs w:val="24"/>
          <w:lang w:val="en-US"/>
        </w:rPr>
        <w:t xml:space="preserve"> those arising from acquisitions to </w:t>
      </w:r>
      <w:r w:rsidR="00C422B5">
        <w:rPr>
          <w:rFonts w:ascii="Times New Roman" w:hAnsi="Times New Roman" w:cs="Times New Roman"/>
          <w:bCs/>
          <w:sz w:val="24"/>
          <w:szCs w:val="24"/>
          <w:lang w:val="en-US"/>
        </w:rPr>
        <w:t xml:space="preserve">the </w:t>
      </w:r>
      <w:r w:rsidR="00336957" w:rsidRPr="009C4135">
        <w:rPr>
          <w:rFonts w:ascii="Times New Roman" w:hAnsi="Times New Roman" w:cs="Times New Roman"/>
          <w:bCs/>
          <w:sz w:val="24"/>
          <w:szCs w:val="24"/>
          <w:lang w:val="en-US"/>
        </w:rPr>
        <w:t>lagged book value of assets</w:t>
      </w:r>
      <w:r w:rsidR="00BF4E82" w:rsidRPr="009C4135">
        <w:rPr>
          <w:rFonts w:ascii="Times New Roman" w:hAnsi="Times New Roman" w:cs="Times New Roman"/>
          <w:bCs/>
          <w:sz w:val="24"/>
          <w:szCs w:val="24"/>
          <w:lang w:val="en-US"/>
        </w:rPr>
        <w:t xml:space="preserve">. </w:t>
      </w:r>
      <w:r w:rsidR="005317FE" w:rsidRPr="00034B36">
        <w:rPr>
          <w:rFonts w:asciiTheme="majorBidi" w:hAnsiTheme="majorBidi" w:cstheme="majorBidi"/>
          <w:sz w:val="24"/>
          <w:szCs w:val="24"/>
          <w:lang w:val="en-US"/>
        </w:rPr>
        <w:t xml:space="preserve">Additionally, </w:t>
      </w:r>
      <w:r w:rsidR="00C422B5" w:rsidRPr="009C4135">
        <w:rPr>
          <w:rFonts w:ascii="Times New Roman" w:hAnsi="Times New Roman" w:cs="Times New Roman"/>
          <w:bCs/>
          <w:sz w:val="24"/>
          <w:szCs w:val="24"/>
          <w:lang w:val="en-US"/>
        </w:rPr>
        <w:t xml:space="preserve">we control for the annualized buy-and-hold return, </w:t>
      </w:r>
      <w:r w:rsidR="00C422B5" w:rsidRPr="009C4135">
        <w:rPr>
          <w:rFonts w:ascii="Times New Roman" w:hAnsi="Times New Roman" w:cs="Times New Roman"/>
          <w:bCs/>
          <w:i/>
          <w:iCs/>
          <w:sz w:val="24"/>
          <w:szCs w:val="24"/>
          <w:lang w:val="en-US"/>
        </w:rPr>
        <w:t>RET</w:t>
      </w:r>
      <w:r w:rsidR="00C422B5">
        <w:rPr>
          <w:rFonts w:ascii="Times New Roman" w:hAnsi="Times New Roman" w:cs="Times New Roman"/>
          <w:bCs/>
          <w:i/>
          <w:iCs/>
          <w:sz w:val="24"/>
          <w:szCs w:val="24"/>
          <w:lang w:val="en-US"/>
        </w:rPr>
        <w:t>,</w:t>
      </w:r>
      <w:r w:rsidR="00C422B5" w:rsidRPr="00034B36">
        <w:rPr>
          <w:rFonts w:asciiTheme="majorBidi" w:hAnsiTheme="majorBidi" w:cstheme="majorBidi"/>
          <w:sz w:val="24"/>
          <w:szCs w:val="24"/>
          <w:lang w:val="en-US"/>
        </w:rPr>
        <w:t xml:space="preserve"> </w:t>
      </w:r>
      <w:r w:rsidR="00466286" w:rsidRPr="00034B36">
        <w:rPr>
          <w:rFonts w:asciiTheme="majorBidi" w:hAnsiTheme="majorBidi" w:cstheme="majorBidi"/>
          <w:sz w:val="24"/>
          <w:szCs w:val="24"/>
          <w:lang w:val="en-US"/>
        </w:rPr>
        <w:t xml:space="preserve">to </w:t>
      </w:r>
      <w:r w:rsidR="00466286" w:rsidRPr="00034B36">
        <w:rPr>
          <w:rFonts w:asciiTheme="majorBidi" w:hAnsiTheme="majorBidi" w:cstheme="majorBidi"/>
          <w:sz w:val="24"/>
          <w:szCs w:val="24"/>
          <w:lang w:val="en-US"/>
        </w:rPr>
        <w:lastRenderedPageBreak/>
        <w:t xml:space="preserve">ensure that our results are not driven by short-term performance </w:t>
      </w:r>
      <w:r w:rsidR="009C4135" w:rsidRPr="00034B36">
        <w:rPr>
          <w:rFonts w:asciiTheme="majorBidi" w:hAnsiTheme="majorBidi" w:cstheme="majorBidi"/>
          <w:sz w:val="24"/>
          <w:szCs w:val="24"/>
          <w:lang w:val="en-US"/>
        </w:rPr>
        <w:t>pressures</w:t>
      </w:r>
      <w:r w:rsidR="009C4135" w:rsidRPr="009C4135">
        <w:rPr>
          <w:rFonts w:ascii="Times New Roman" w:hAnsi="Times New Roman" w:cs="Times New Roman"/>
          <w:bCs/>
          <w:sz w:val="24"/>
          <w:szCs w:val="24"/>
          <w:lang w:val="en-US"/>
        </w:rPr>
        <w:t xml:space="preserve"> as those examined in </w:t>
      </w:r>
      <w:r w:rsidR="009C4135" w:rsidRPr="009C4135" w:rsidDel="00D76432">
        <w:rPr>
          <w:rFonts w:ascii="Times New Roman" w:hAnsi="Times New Roman" w:cs="Times New Roman"/>
          <w:sz w:val="24"/>
          <w:szCs w:val="24"/>
          <w:lang w:val="en-US"/>
        </w:rPr>
        <w:t>Caskey and Ozel (2017)</w:t>
      </w:r>
      <w:r w:rsidR="00F67F61" w:rsidRPr="009C4135">
        <w:rPr>
          <w:rFonts w:ascii="Times New Roman" w:hAnsi="Times New Roman" w:cs="Times New Roman"/>
          <w:bCs/>
          <w:sz w:val="24"/>
          <w:szCs w:val="24"/>
          <w:lang w:val="en-US"/>
        </w:rPr>
        <w:t>.</w:t>
      </w:r>
      <w:r w:rsidR="00927E7A" w:rsidRPr="009C4135">
        <w:rPr>
          <w:rFonts w:ascii="Times New Roman" w:hAnsi="Times New Roman" w:cs="Times New Roman"/>
          <w:bCs/>
          <w:sz w:val="24"/>
          <w:szCs w:val="24"/>
          <w:lang w:val="en-US"/>
        </w:rPr>
        <w:t xml:space="preserve"> </w:t>
      </w:r>
      <w:r w:rsidR="00A13467" w:rsidRPr="009C4135">
        <w:rPr>
          <w:rFonts w:ascii="Times New Roman" w:hAnsi="Times New Roman" w:cs="Times New Roman"/>
          <w:bCs/>
          <w:sz w:val="24"/>
          <w:szCs w:val="24"/>
          <w:lang w:val="en-US"/>
        </w:rPr>
        <w:t>Further, we include</w:t>
      </w:r>
      <w:r w:rsidR="00A13467" w:rsidRPr="009348FF">
        <w:rPr>
          <w:rFonts w:ascii="Times New Roman" w:hAnsi="Times New Roman" w:cs="Times New Roman"/>
          <w:bCs/>
          <w:sz w:val="24"/>
          <w:szCs w:val="24"/>
          <w:lang w:val="en-US"/>
        </w:rPr>
        <w:t xml:space="preserve"> </w:t>
      </w:r>
      <w:proofErr w:type="spellStart"/>
      <w:r w:rsidR="00A13467" w:rsidRPr="009348FF">
        <w:rPr>
          <w:rFonts w:ascii="Times New Roman" w:hAnsi="Times New Roman" w:cs="Times New Roman"/>
          <w:bCs/>
          <w:i/>
          <w:iCs/>
          <w:sz w:val="24"/>
          <w:szCs w:val="24"/>
          <w:lang w:val="en-US"/>
        </w:rPr>
        <w:t>CEOage</w:t>
      </w:r>
      <w:proofErr w:type="spellEnd"/>
      <w:r w:rsidR="00A13467" w:rsidRPr="009348FF">
        <w:rPr>
          <w:rFonts w:ascii="Times New Roman" w:hAnsi="Times New Roman" w:cs="Times New Roman"/>
          <w:bCs/>
          <w:sz w:val="24"/>
          <w:szCs w:val="24"/>
          <w:lang w:val="en-US"/>
        </w:rPr>
        <w:t xml:space="preserve"> expressed in years, as well as </w:t>
      </w:r>
      <w:proofErr w:type="spellStart"/>
      <w:r w:rsidR="00A13467" w:rsidRPr="009348FF">
        <w:rPr>
          <w:rFonts w:ascii="Times New Roman" w:hAnsi="Times New Roman" w:cs="Times New Roman"/>
          <w:bCs/>
          <w:i/>
          <w:iCs/>
          <w:sz w:val="24"/>
          <w:szCs w:val="24"/>
          <w:lang w:val="en-US"/>
        </w:rPr>
        <w:t>CEOtenure</w:t>
      </w:r>
      <w:proofErr w:type="spellEnd"/>
      <w:r w:rsidR="00A13467" w:rsidRPr="009348FF">
        <w:rPr>
          <w:rFonts w:ascii="Times New Roman" w:hAnsi="Times New Roman" w:cs="Times New Roman"/>
          <w:bCs/>
          <w:sz w:val="24"/>
          <w:szCs w:val="24"/>
          <w:lang w:val="en-US"/>
        </w:rPr>
        <w:t>, the number of years since the current CEO joined the company</w:t>
      </w:r>
      <w:r w:rsidR="00314032">
        <w:rPr>
          <w:rFonts w:ascii="Times New Roman" w:hAnsi="Times New Roman" w:cs="Times New Roman"/>
          <w:bCs/>
          <w:sz w:val="24"/>
          <w:szCs w:val="24"/>
          <w:lang w:val="en-US"/>
        </w:rPr>
        <w:t>,</w:t>
      </w:r>
      <w:r w:rsidR="009E6289">
        <w:rPr>
          <w:rFonts w:ascii="Times New Roman" w:hAnsi="Times New Roman" w:cs="Times New Roman"/>
          <w:bCs/>
          <w:sz w:val="24"/>
          <w:szCs w:val="24"/>
          <w:lang w:val="en-US"/>
        </w:rPr>
        <w:t xml:space="preserve"> to control for CEO-specific characteristics</w:t>
      </w:r>
      <w:r w:rsidR="00A13467" w:rsidRPr="009348FF">
        <w:rPr>
          <w:rFonts w:ascii="Times New Roman" w:hAnsi="Times New Roman" w:cs="Times New Roman"/>
          <w:bCs/>
          <w:sz w:val="24"/>
          <w:szCs w:val="24"/>
          <w:lang w:val="en-US"/>
        </w:rPr>
        <w:t>.</w:t>
      </w:r>
      <w:r w:rsidR="00F643DB">
        <w:rPr>
          <w:rFonts w:ascii="Times New Roman" w:hAnsi="Times New Roman" w:cs="Times New Roman"/>
          <w:bCs/>
          <w:sz w:val="24"/>
          <w:szCs w:val="24"/>
          <w:lang w:val="en-US"/>
        </w:rPr>
        <w:t xml:space="preserve"> </w:t>
      </w:r>
      <w:r w:rsidR="00C422B5">
        <w:rPr>
          <w:rFonts w:ascii="Times New Roman" w:hAnsi="Times New Roman" w:cs="Times New Roman"/>
          <w:bCs/>
          <w:sz w:val="24"/>
          <w:szCs w:val="24"/>
          <w:lang w:val="en-US"/>
        </w:rPr>
        <w:t xml:space="preserve">We present the </w:t>
      </w:r>
      <w:r w:rsidR="00C422B5">
        <w:rPr>
          <w:rFonts w:asciiTheme="majorBidi" w:hAnsiTheme="majorBidi" w:cstheme="majorBidi"/>
          <w:sz w:val="24"/>
          <w:szCs w:val="24"/>
          <w:lang w:val="en-US"/>
        </w:rPr>
        <w:t>d</w:t>
      </w:r>
      <w:r w:rsidR="00F643DB" w:rsidRPr="009348FF">
        <w:rPr>
          <w:rFonts w:asciiTheme="majorBidi" w:hAnsiTheme="majorBidi" w:cstheme="majorBidi"/>
          <w:sz w:val="24"/>
          <w:szCs w:val="24"/>
          <w:lang w:val="en-US"/>
        </w:rPr>
        <w:t xml:space="preserve">efinitions of the variables used in the analysis in Appendix </w:t>
      </w:r>
      <w:r w:rsidR="006B635B">
        <w:rPr>
          <w:rFonts w:asciiTheme="majorBidi" w:hAnsiTheme="majorBidi" w:cstheme="majorBidi"/>
          <w:sz w:val="24"/>
          <w:szCs w:val="24"/>
          <w:lang w:val="en-US"/>
        </w:rPr>
        <w:t>1</w:t>
      </w:r>
      <w:r w:rsidR="00F643DB" w:rsidRPr="009348FF">
        <w:rPr>
          <w:rFonts w:asciiTheme="majorBidi" w:hAnsiTheme="majorBidi" w:cstheme="majorBidi"/>
          <w:sz w:val="24"/>
          <w:szCs w:val="24"/>
          <w:lang w:val="en-US"/>
        </w:rPr>
        <w:t>.</w:t>
      </w:r>
    </w:p>
    <w:p w14:paraId="43479178" w14:textId="4CAF6B60" w:rsidR="006F6F1F" w:rsidRDefault="00BF4E82" w:rsidP="00490D2F">
      <w:pPr>
        <w:spacing w:after="0" w:line="480" w:lineRule="auto"/>
        <w:ind w:firstLine="720"/>
        <w:jc w:val="both"/>
        <w:rPr>
          <w:rFonts w:asciiTheme="majorBidi" w:hAnsiTheme="majorBidi" w:cstheme="majorBidi"/>
          <w:sz w:val="24"/>
          <w:szCs w:val="24"/>
          <w:lang w:val="en-US"/>
        </w:rPr>
      </w:pPr>
      <w:r w:rsidRPr="00C93A25">
        <w:rPr>
          <w:rFonts w:asciiTheme="majorBidi" w:hAnsiTheme="majorBidi" w:cstheme="majorBidi"/>
          <w:sz w:val="24"/>
          <w:szCs w:val="24"/>
          <w:lang w:val="en-US"/>
        </w:rPr>
        <w:t>We include firm fixed effects</w:t>
      </w:r>
      <w:r w:rsidRPr="009348FF">
        <w:rPr>
          <w:rFonts w:asciiTheme="majorBidi" w:hAnsiTheme="majorBidi" w:cstheme="majorBidi"/>
          <w:sz w:val="24"/>
          <w:szCs w:val="24"/>
          <w:lang w:val="en-US"/>
        </w:rPr>
        <w:t xml:space="preserve"> to control for </w:t>
      </w:r>
      <w:r w:rsidR="00490D2F" w:rsidRPr="009348FF">
        <w:rPr>
          <w:rFonts w:asciiTheme="majorBidi" w:hAnsiTheme="majorBidi" w:cstheme="majorBidi"/>
          <w:sz w:val="24"/>
          <w:szCs w:val="24"/>
          <w:lang w:val="en-US"/>
        </w:rPr>
        <w:t>time-</w:t>
      </w:r>
      <w:r w:rsidRPr="009348FF">
        <w:rPr>
          <w:rFonts w:asciiTheme="majorBidi" w:hAnsiTheme="majorBidi" w:cstheme="majorBidi"/>
          <w:sz w:val="24"/>
          <w:szCs w:val="24"/>
          <w:lang w:val="en-US"/>
        </w:rPr>
        <w:t>invariant</w:t>
      </w:r>
      <w:r w:rsidR="002B2CE0">
        <w:rPr>
          <w:rFonts w:asciiTheme="majorBidi" w:hAnsiTheme="majorBidi" w:cstheme="majorBidi"/>
          <w:sz w:val="24"/>
          <w:szCs w:val="24"/>
          <w:lang w:val="en-US"/>
        </w:rPr>
        <w:t xml:space="preserve"> </w:t>
      </w:r>
      <w:r w:rsidR="00206974">
        <w:rPr>
          <w:rFonts w:asciiTheme="majorBidi" w:hAnsiTheme="majorBidi" w:cstheme="majorBidi"/>
          <w:sz w:val="24"/>
          <w:szCs w:val="24"/>
          <w:lang w:val="en-US"/>
        </w:rPr>
        <w:t>firm</w:t>
      </w:r>
      <w:r w:rsidRPr="009348FF">
        <w:rPr>
          <w:rFonts w:asciiTheme="majorBidi" w:hAnsiTheme="majorBidi" w:cstheme="majorBidi"/>
          <w:sz w:val="24"/>
          <w:szCs w:val="24"/>
          <w:lang w:val="en-US"/>
        </w:rPr>
        <w:t xml:space="preserve"> characteristics and year fixed effects to control for time trends in the number and severity of </w:t>
      </w:r>
      <w:r w:rsidR="00206974">
        <w:rPr>
          <w:rFonts w:asciiTheme="majorBidi" w:hAnsiTheme="majorBidi" w:cstheme="majorBidi"/>
          <w:sz w:val="24"/>
          <w:szCs w:val="24"/>
          <w:lang w:val="en-US"/>
        </w:rPr>
        <w:t>violations</w:t>
      </w:r>
      <w:r w:rsidRPr="009348FF">
        <w:rPr>
          <w:rFonts w:asciiTheme="majorBidi" w:hAnsiTheme="majorBidi" w:cstheme="majorBidi"/>
          <w:sz w:val="24"/>
          <w:szCs w:val="24"/>
          <w:lang w:val="en-US"/>
        </w:rPr>
        <w:t xml:space="preserve">. </w:t>
      </w:r>
      <w:proofErr w:type="gramStart"/>
      <w:r w:rsidRPr="009348FF">
        <w:rPr>
          <w:rFonts w:asciiTheme="majorBidi" w:hAnsiTheme="majorBidi" w:cstheme="majorBidi"/>
          <w:sz w:val="24"/>
          <w:szCs w:val="24"/>
          <w:lang w:val="en-US"/>
        </w:rPr>
        <w:t>Through the use of</w:t>
      </w:r>
      <w:proofErr w:type="gramEnd"/>
      <w:r w:rsidRPr="009348FF">
        <w:rPr>
          <w:rFonts w:asciiTheme="majorBidi" w:hAnsiTheme="majorBidi" w:cstheme="majorBidi"/>
          <w:sz w:val="24"/>
          <w:szCs w:val="24"/>
          <w:lang w:val="en-US"/>
        </w:rPr>
        <w:t xml:space="preserve"> firm fixed effects</w:t>
      </w:r>
      <w:r w:rsidR="00490D2F" w:rsidRPr="009348FF">
        <w:rPr>
          <w:rFonts w:asciiTheme="majorBidi" w:hAnsiTheme="majorBidi" w:cstheme="majorBidi"/>
          <w:sz w:val="24"/>
          <w:szCs w:val="24"/>
          <w:lang w:val="en-US"/>
        </w:rPr>
        <w:t>,</w:t>
      </w:r>
      <w:r w:rsidRPr="009348FF">
        <w:rPr>
          <w:rFonts w:asciiTheme="majorBidi" w:hAnsiTheme="majorBidi" w:cstheme="majorBidi"/>
          <w:sz w:val="24"/>
          <w:szCs w:val="24"/>
          <w:lang w:val="en-US"/>
        </w:rPr>
        <w:t xml:space="preserve"> our analysis is essentially a within-firm analysis </w:t>
      </w:r>
      <w:r w:rsidR="00BC2C71" w:rsidRPr="009348FF">
        <w:rPr>
          <w:rFonts w:asciiTheme="majorBidi" w:hAnsiTheme="majorBidi" w:cstheme="majorBidi"/>
          <w:sz w:val="24"/>
          <w:szCs w:val="24"/>
          <w:lang w:val="en-US"/>
        </w:rPr>
        <w:t xml:space="preserve">where we examine the </w:t>
      </w:r>
      <w:r w:rsidR="00C422B5">
        <w:rPr>
          <w:rFonts w:asciiTheme="majorBidi" w:hAnsiTheme="majorBidi" w:cstheme="majorBidi"/>
          <w:sz w:val="24"/>
          <w:szCs w:val="24"/>
          <w:lang w:val="en-US"/>
        </w:rPr>
        <w:t>relation</w:t>
      </w:r>
      <w:r w:rsidR="00C422B5" w:rsidRPr="009348FF">
        <w:rPr>
          <w:rFonts w:asciiTheme="majorBidi" w:hAnsiTheme="majorBidi" w:cstheme="majorBidi"/>
          <w:sz w:val="24"/>
          <w:szCs w:val="24"/>
          <w:lang w:val="en-US"/>
        </w:rPr>
        <w:t xml:space="preserve"> </w:t>
      </w:r>
      <w:r w:rsidR="00BC2C71" w:rsidRPr="009348FF">
        <w:rPr>
          <w:rFonts w:asciiTheme="majorBidi" w:hAnsiTheme="majorBidi" w:cstheme="majorBidi"/>
          <w:sz w:val="24"/>
          <w:szCs w:val="24"/>
          <w:lang w:val="en-US"/>
        </w:rPr>
        <w:t xml:space="preserve">between CEO </w:t>
      </w:r>
      <w:proofErr w:type="spellStart"/>
      <w:r w:rsidR="00BC2C71" w:rsidRPr="009348FF">
        <w:rPr>
          <w:rFonts w:asciiTheme="majorBidi" w:hAnsiTheme="majorBidi" w:cstheme="majorBidi"/>
          <w:sz w:val="24"/>
          <w:szCs w:val="24"/>
          <w:lang w:val="en-US"/>
        </w:rPr>
        <w:t>vega</w:t>
      </w:r>
      <w:proofErr w:type="spellEnd"/>
      <w:r w:rsidR="00BC2C71" w:rsidRPr="009348FF">
        <w:rPr>
          <w:rFonts w:asciiTheme="majorBidi" w:hAnsiTheme="majorBidi" w:cstheme="majorBidi"/>
          <w:sz w:val="24"/>
          <w:szCs w:val="24"/>
          <w:lang w:val="en-US"/>
        </w:rPr>
        <w:t xml:space="preserve"> and violations for a specific firm. </w:t>
      </w:r>
      <w:r w:rsidR="00074CF0" w:rsidRPr="009348FF">
        <w:rPr>
          <w:rFonts w:asciiTheme="majorBidi" w:hAnsiTheme="majorBidi" w:cstheme="majorBidi"/>
          <w:sz w:val="24"/>
          <w:szCs w:val="24"/>
          <w:lang w:val="en-US"/>
        </w:rPr>
        <w:t>This</w:t>
      </w:r>
      <w:r w:rsidR="00BC2C71" w:rsidRPr="009348FF">
        <w:rPr>
          <w:rFonts w:asciiTheme="majorBidi" w:hAnsiTheme="majorBidi" w:cstheme="majorBidi"/>
          <w:sz w:val="24"/>
          <w:szCs w:val="24"/>
          <w:lang w:val="en-US"/>
        </w:rPr>
        <w:t xml:space="preserve"> fixed effect structure reduces the possibility that our results are driven by </w:t>
      </w:r>
      <w:r w:rsidR="00315332" w:rsidRPr="009348FF">
        <w:rPr>
          <w:rFonts w:asciiTheme="majorBidi" w:hAnsiTheme="majorBidi" w:cstheme="majorBidi"/>
          <w:sz w:val="24"/>
          <w:szCs w:val="24"/>
          <w:lang w:val="en-US"/>
        </w:rPr>
        <w:t>an</w:t>
      </w:r>
      <w:r w:rsidR="00BC2C71" w:rsidRPr="009348FF">
        <w:rPr>
          <w:rFonts w:asciiTheme="majorBidi" w:hAnsiTheme="majorBidi" w:cstheme="majorBidi"/>
          <w:sz w:val="24"/>
          <w:szCs w:val="24"/>
          <w:lang w:val="en-US"/>
        </w:rPr>
        <w:t xml:space="preserve"> omitted correlated variable. </w:t>
      </w:r>
      <w:r w:rsidR="00C422B5">
        <w:rPr>
          <w:rFonts w:asciiTheme="majorBidi" w:hAnsiTheme="majorBidi" w:cstheme="majorBidi"/>
          <w:sz w:val="24"/>
          <w:szCs w:val="24"/>
          <w:lang w:val="en-US"/>
        </w:rPr>
        <w:t>W</w:t>
      </w:r>
      <w:r w:rsidR="00C422B5" w:rsidRPr="009348FF">
        <w:rPr>
          <w:rFonts w:asciiTheme="majorBidi" w:hAnsiTheme="majorBidi" w:cstheme="majorBidi"/>
          <w:sz w:val="24"/>
          <w:szCs w:val="24"/>
          <w:lang w:val="en-US"/>
        </w:rPr>
        <w:t xml:space="preserve">e </w:t>
      </w:r>
      <w:proofErr w:type="spellStart"/>
      <w:r w:rsidR="00C422B5" w:rsidRPr="009348FF">
        <w:rPr>
          <w:rFonts w:asciiTheme="majorBidi" w:hAnsiTheme="majorBidi" w:cstheme="majorBidi"/>
          <w:sz w:val="24"/>
          <w:szCs w:val="24"/>
          <w:lang w:val="en-US"/>
        </w:rPr>
        <w:t>winsorise</w:t>
      </w:r>
      <w:proofErr w:type="spellEnd"/>
      <w:r w:rsidR="00C422B5" w:rsidRPr="009348FF">
        <w:rPr>
          <w:rFonts w:asciiTheme="majorBidi" w:hAnsiTheme="majorBidi" w:cstheme="majorBidi"/>
          <w:sz w:val="24"/>
          <w:szCs w:val="24"/>
          <w:lang w:val="en-US"/>
        </w:rPr>
        <w:t xml:space="preserve"> all continuous variables at</w:t>
      </w:r>
      <w:r w:rsidR="00C422B5">
        <w:rPr>
          <w:rFonts w:asciiTheme="majorBidi" w:hAnsiTheme="majorBidi" w:cstheme="majorBidi"/>
          <w:sz w:val="24"/>
          <w:szCs w:val="24"/>
          <w:lang w:val="en-US"/>
        </w:rPr>
        <w:t xml:space="preserve"> the</w:t>
      </w:r>
      <w:r w:rsidR="00C422B5" w:rsidRPr="009348FF">
        <w:rPr>
          <w:rFonts w:asciiTheme="majorBidi" w:hAnsiTheme="majorBidi" w:cstheme="majorBidi"/>
          <w:sz w:val="24"/>
          <w:szCs w:val="24"/>
          <w:lang w:val="en-US"/>
        </w:rPr>
        <w:t xml:space="preserve"> 1</w:t>
      </w:r>
      <w:r w:rsidR="000E4D74">
        <w:rPr>
          <w:rFonts w:asciiTheme="majorBidi" w:hAnsiTheme="majorBidi" w:cstheme="majorBidi"/>
          <w:sz w:val="24"/>
          <w:szCs w:val="24"/>
          <w:lang w:val="en-US"/>
        </w:rPr>
        <w:t xml:space="preserve"> percent</w:t>
      </w:r>
      <w:r w:rsidR="00C422B5" w:rsidRPr="009348FF">
        <w:rPr>
          <w:rFonts w:asciiTheme="majorBidi" w:hAnsiTheme="majorBidi" w:cstheme="majorBidi"/>
          <w:sz w:val="24"/>
          <w:szCs w:val="24"/>
          <w:lang w:val="en-US"/>
        </w:rPr>
        <w:t xml:space="preserve"> and 99</w:t>
      </w:r>
      <w:r w:rsidR="000E4D74">
        <w:rPr>
          <w:rFonts w:asciiTheme="majorBidi" w:hAnsiTheme="majorBidi" w:cstheme="majorBidi"/>
          <w:sz w:val="24"/>
          <w:szCs w:val="24"/>
          <w:lang w:val="en-US"/>
        </w:rPr>
        <w:t xml:space="preserve"> percent</w:t>
      </w:r>
      <w:r w:rsidR="00C422B5" w:rsidRPr="009348FF">
        <w:rPr>
          <w:rFonts w:asciiTheme="majorBidi" w:hAnsiTheme="majorBidi" w:cstheme="majorBidi"/>
          <w:sz w:val="24"/>
          <w:szCs w:val="24"/>
          <w:lang w:val="en-US"/>
        </w:rPr>
        <w:t xml:space="preserve"> level</w:t>
      </w:r>
      <w:r w:rsidR="00C422B5">
        <w:rPr>
          <w:rFonts w:asciiTheme="majorBidi" w:hAnsiTheme="majorBidi" w:cstheme="majorBidi"/>
          <w:sz w:val="24"/>
          <w:szCs w:val="24"/>
          <w:lang w:val="en-US"/>
        </w:rPr>
        <w:t>s</w:t>
      </w:r>
      <w:r w:rsidR="00C422B5" w:rsidRPr="009348FF">
        <w:rPr>
          <w:rFonts w:asciiTheme="majorBidi" w:hAnsiTheme="majorBidi" w:cstheme="majorBidi"/>
          <w:sz w:val="24"/>
          <w:szCs w:val="24"/>
          <w:lang w:val="en-US"/>
        </w:rPr>
        <w:t xml:space="preserve"> </w:t>
      </w:r>
      <w:r w:rsidR="00C422B5">
        <w:rPr>
          <w:rFonts w:asciiTheme="majorBidi" w:hAnsiTheme="majorBidi" w:cstheme="majorBidi"/>
          <w:sz w:val="24"/>
          <w:szCs w:val="24"/>
          <w:lang w:val="en-US"/>
        </w:rPr>
        <w:t>t</w:t>
      </w:r>
      <w:r w:rsidR="00A50174" w:rsidRPr="009348FF">
        <w:rPr>
          <w:rFonts w:asciiTheme="majorBidi" w:hAnsiTheme="majorBidi" w:cstheme="majorBidi"/>
          <w:sz w:val="24"/>
          <w:szCs w:val="24"/>
          <w:lang w:val="en-US"/>
        </w:rPr>
        <w:t xml:space="preserve">o ensure that outliers do not </w:t>
      </w:r>
      <w:r w:rsidRPr="009348FF">
        <w:rPr>
          <w:rFonts w:asciiTheme="majorBidi" w:hAnsiTheme="majorBidi" w:cstheme="majorBidi"/>
          <w:sz w:val="24"/>
          <w:szCs w:val="24"/>
          <w:lang w:val="en-US"/>
        </w:rPr>
        <w:t xml:space="preserve">bias </w:t>
      </w:r>
      <w:r w:rsidR="00A50174" w:rsidRPr="009348FF">
        <w:rPr>
          <w:rFonts w:asciiTheme="majorBidi" w:hAnsiTheme="majorBidi" w:cstheme="majorBidi"/>
          <w:sz w:val="24"/>
          <w:szCs w:val="24"/>
          <w:lang w:val="en-US"/>
        </w:rPr>
        <w:t xml:space="preserve">our </w:t>
      </w:r>
      <w:proofErr w:type="gramStart"/>
      <w:r w:rsidR="00A50174" w:rsidRPr="009348FF">
        <w:rPr>
          <w:rFonts w:asciiTheme="majorBidi" w:hAnsiTheme="majorBidi" w:cstheme="majorBidi"/>
          <w:sz w:val="24"/>
          <w:szCs w:val="24"/>
          <w:lang w:val="en-US"/>
        </w:rPr>
        <w:t>results,</w:t>
      </w:r>
      <w:r w:rsidR="000774FD" w:rsidRPr="009348FF">
        <w:rPr>
          <w:rFonts w:asciiTheme="majorBidi" w:hAnsiTheme="majorBidi" w:cstheme="majorBidi"/>
          <w:sz w:val="24"/>
          <w:szCs w:val="24"/>
          <w:lang w:val="en-US"/>
        </w:rPr>
        <w:t>.</w:t>
      </w:r>
      <w:proofErr w:type="gramEnd"/>
      <w:r w:rsidR="00041FEE" w:rsidRPr="009348FF">
        <w:rPr>
          <w:rFonts w:asciiTheme="majorBidi" w:hAnsiTheme="majorBidi" w:cstheme="majorBidi"/>
          <w:sz w:val="24"/>
          <w:szCs w:val="24"/>
          <w:lang w:val="en-US"/>
        </w:rPr>
        <w:t xml:space="preserve"> </w:t>
      </w:r>
    </w:p>
    <w:p w14:paraId="13948D17" w14:textId="07BF9285" w:rsidR="00006979" w:rsidRPr="009348FF" w:rsidRDefault="00006979" w:rsidP="00714DE1">
      <w:pPr>
        <w:pStyle w:val="Default"/>
        <w:spacing w:line="480" w:lineRule="auto"/>
        <w:jc w:val="both"/>
        <w:rPr>
          <w:iCs/>
          <w:color w:val="auto"/>
          <w:lang w:val="en-US"/>
        </w:rPr>
      </w:pPr>
      <w:r w:rsidRPr="009348FF">
        <w:rPr>
          <w:rFonts w:asciiTheme="majorBidi" w:hAnsiTheme="majorBidi" w:cstheme="majorBidi"/>
          <w:color w:val="auto"/>
          <w:lang w:val="en-US"/>
        </w:rPr>
        <w:t>3.2.</w:t>
      </w:r>
      <w:r w:rsidR="00D63EB4" w:rsidRPr="009348FF">
        <w:rPr>
          <w:rFonts w:asciiTheme="majorBidi" w:hAnsiTheme="majorBidi" w:cstheme="majorBidi"/>
          <w:color w:val="auto"/>
          <w:lang w:val="en-US"/>
        </w:rPr>
        <w:t>4</w:t>
      </w:r>
      <w:r w:rsidRPr="009348FF">
        <w:rPr>
          <w:rFonts w:asciiTheme="majorBidi" w:hAnsiTheme="majorBidi" w:cstheme="majorBidi"/>
          <w:iCs/>
          <w:color w:val="auto"/>
          <w:lang w:val="en-US"/>
        </w:rPr>
        <w:t xml:space="preserve">. </w:t>
      </w:r>
      <w:r w:rsidR="00A47793" w:rsidRPr="009348FF">
        <w:rPr>
          <w:iCs/>
          <w:color w:val="auto"/>
          <w:lang w:val="en-US"/>
        </w:rPr>
        <w:t>Sample distribution and summary s</w:t>
      </w:r>
      <w:r w:rsidRPr="009348FF">
        <w:rPr>
          <w:iCs/>
          <w:color w:val="auto"/>
          <w:lang w:val="en-US"/>
        </w:rPr>
        <w:t>tatistics</w:t>
      </w:r>
    </w:p>
    <w:p w14:paraId="4DCAB3EC" w14:textId="46384B35" w:rsidR="002B7EC9" w:rsidRPr="00DF76D9" w:rsidRDefault="002B7EC9">
      <w:pPr>
        <w:spacing w:after="0" w:line="480" w:lineRule="auto"/>
        <w:ind w:firstLine="720"/>
        <w:jc w:val="both"/>
        <w:rPr>
          <w:rFonts w:ascii="Times New Roman" w:hAnsi="Times New Roman" w:cs="Times New Roman"/>
          <w:bCs/>
          <w:sz w:val="24"/>
          <w:szCs w:val="24"/>
          <w:lang w:val="en-US"/>
        </w:rPr>
      </w:pPr>
      <w:r w:rsidRPr="009348FF">
        <w:rPr>
          <w:rFonts w:ascii="Times New Roman" w:hAnsi="Times New Roman" w:cs="Times New Roman"/>
          <w:bCs/>
          <w:sz w:val="24"/>
          <w:szCs w:val="24"/>
          <w:lang w:val="en-US"/>
        </w:rPr>
        <w:t>Table 1 reports the number</w:t>
      </w:r>
      <w:r w:rsidR="00490D2F" w:rsidRPr="009348FF">
        <w:rPr>
          <w:rFonts w:ascii="Times New Roman" w:hAnsi="Times New Roman" w:cs="Times New Roman"/>
          <w:bCs/>
          <w:sz w:val="24"/>
          <w:szCs w:val="24"/>
          <w:lang w:val="en-US"/>
        </w:rPr>
        <w:t xml:space="preserve"> </w:t>
      </w:r>
      <w:r w:rsidR="008C2A0C">
        <w:rPr>
          <w:rFonts w:ascii="Times New Roman" w:hAnsi="Times New Roman" w:cs="Times New Roman"/>
          <w:bCs/>
          <w:sz w:val="24"/>
          <w:szCs w:val="24"/>
          <w:lang w:val="en-US"/>
        </w:rPr>
        <w:t>and</w:t>
      </w:r>
      <w:r w:rsidR="00490D2F" w:rsidRPr="009348FF">
        <w:rPr>
          <w:rFonts w:ascii="Times New Roman" w:hAnsi="Times New Roman" w:cs="Times New Roman"/>
          <w:bCs/>
          <w:sz w:val="24"/>
          <w:szCs w:val="24"/>
          <w:lang w:val="en-US"/>
        </w:rPr>
        <w:t xml:space="preserve"> the percentage of </w:t>
      </w:r>
      <w:r w:rsidR="00963363" w:rsidRPr="009348FF">
        <w:rPr>
          <w:rFonts w:ascii="Times New Roman" w:hAnsi="Times New Roman" w:cs="Times New Roman"/>
          <w:bCs/>
          <w:sz w:val="24"/>
          <w:szCs w:val="24"/>
          <w:lang w:val="en-US"/>
        </w:rPr>
        <w:t>observations</w:t>
      </w:r>
      <w:r w:rsidR="00490D2F" w:rsidRPr="009348FF">
        <w:rPr>
          <w:rFonts w:ascii="Times New Roman" w:hAnsi="Times New Roman" w:cs="Times New Roman"/>
          <w:bCs/>
          <w:sz w:val="24"/>
          <w:szCs w:val="24"/>
          <w:lang w:val="en-US"/>
        </w:rPr>
        <w:t xml:space="preserve"> across years (Panel A) and industries (Panel B). The number of </w:t>
      </w:r>
      <w:r w:rsidR="00963363" w:rsidRPr="009348FF">
        <w:rPr>
          <w:rFonts w:ascii="Times New Roman" w:hAnsi="Times New Roman" w:cs="Times New Roman"/>
          <w:bCs/>
          <w:sz w:val="24"/>
          <w:szCs w:val="24"/>
          <w:lang w:val="en-US"/>
        </w:rPr>
        <w:t>observations</w:t>
      </w:r>
      <w:r w:rsidRPr="009348FF">
        <w:rPr>
          <w:rFonts w:ascii="Times New Roman" w:hAnsi="Times New Roman" w:cs="Times New Roman"/>
          <w:bCs/>
          <w:sz w:val="24"/>
          <w:szCs w:val="24"/>
          <w:lang w:val="en-US"/>
        </w:rPr>
        <w:t xml:space="preserve"> i</w:t>
      </w:r>
      <w:r w:rsidR="002059FD" w:rsidRPr="009348FF">
        <w:rPr>
          <w:rFonts w:ascii="Times New Roman" w:hAnsi="Times New Roman" w:cs="Times New Roman"/>
          <w:bCs/>
          <w:sz w:val="24"/>
          <w:szCs w:val="24"/>
          <w:lang w:val="en-US"/>
        </w:rPr>
        <w:t>n each year of our sample is</w:t>
      </w:r>
      <w:r w:rsidRPr="009348FF">
        <w:rPr>
          <w:rFonts w:ascii="Times New Roman" w:hAnsi="Times New Roman" w:cs="Times New Roman"/>
          <w:bCs/>
          <w:sz w:val="24"/>
          <w:szCs w:val="24"/>
          <w:lang w:val="en-US"/>
        </w:rPr>
        <w:t xml:space="preserve"> stable until 20</w:t>
      </w:r>
      <w:r w:rsidR="00A13467" w:rsidRPr="009348FF">
        <w:rPr>
          <w:rFonts w:ascii="Times New Roman" w:hAnsi="Times New Roman" w:cs="Times New Roman"/>
          <w:bCs/>
          <w:sz w:val="24"/>
          <w:szCs w:val="24"/>
          <w:lang w:val="en-US"/>
        </w:rPr>
        <w:t>13</w:t>
      </w:r>
      <w:r w:rsidRPr="009348FF">
        <w:rPr>
          <w:rFonts w:ascii="Times New Roman" w:hAnsi="Times New Roman" w:cs="Times New Roman"/>
          <w:bCs/>
          <w:sz w:val="24"/>
          <w:szCs w:val="24"/>
          <w:lang w:val="en-US"/>
        </w:rPr>
        <w:t>, after which it gradually declines</w:t>
      </w:r>
      <w:r w:rsidRPr="00DF76D9">
        <w:rPr>
          <w:rFonts w:ascii="Times New Roman" w:hAnsi="Times New Roman" w:cs="Times New Roman"/>
          <w:bCs/>
          <w:sz w:val="24"/>
          <w:szCs w:val="24"/>
          <w:lang w:val="en-US"/>
        </w:rPr>
        <w:t xml:space="preserve">. Panel B presents </w:t>
      </w:r>
      <w:r w:rsidR="00490D2F" w:rsidRPr="00DF76D9">
        <w:rPr>
          <w:rFonts w:ascii="Times New Roman" w:hAnsi="Times New Roman" w:cs="Times New Roman"/>
          <w:bCs/>
          <w:sz w:val="24"/>
          <w:szCs w:val="24"/>
          <w:lang w:val="en-US"/>
        </w:rPr>
        <w:t xml:space="preserve">the </w:t>
      </w:r>
      <w:r w:rsidR="002059FD" w:rsidRPr="00DF76D9">
        <w:rPr>
          <w:rFonts w:ascii="Times New Roman" w:hAnsi="Times New Roman" w:cs="Times New Roman"/>
          <w:bCs/>
          <w:sz w:val="24"/>
          <w:szCs w:val="24"/>
          <w:lang w:val="en-US"/>
        </w:rPr>
        <w:t xml:space="preserve">distribution of sampled observations </w:t>
      </w:r>
      <w:r w:rsidRPr="00DF76D9">
        <w:rPr>
          <w:rFonts w:ascii="Times New Roman" w:hAnsi="Times New Roman" w:cs="Times New Roman"/>
          <w:bCs/>
          <w:sz w:val="24"/>
          <w:szCs w:val="24"/>
          <w:lang w:val="en-US"/>
        </w:rPr>
        <w:t xml:space="preserve">across the 48 Fama French Industries. </w:t>
      </w:r>
      <w:r w:rsidR="00D57694" w:rsidRPr="00DF76D9">
        <w:rPr>
          <w:rFonts w:ascii="Times New Roman" w:hAnsi="Times New Roman" w:cs="Times New Roman"/>
          <w:bCs/>
          <w:sz w:val="24"/>
          <w:szCs w:val="24"/>
          <w:lang w:val="en-US"/>
        </w:rPr>
        <w:t xml:space="preserve">The industries with </w:t>
      </w:r>
      <w:r w:rsidR="00A13467" w:rsidRPr="00DF76D9">
        <w:rPr>
          <w:rFonts w:ascii="Times New Roman" w:hAnsi="Times New Roman" w:cs="Times New Roman"/>
          <w:bCs/>
          <w:sz w:val="24"/>
          <w:szCs w:val="24"/>
          <w:lang w:val="en-US"/>
        </w:rPr>
        <w:t xml:space="preserve">the </w:t>
      </w:r>
      <w:r w:rsidR="00D57694" w:rsidRPr="00DF76D9">
        <w:rPr>
          <w:rFonts w:ascii="Times New Roman" w:hAnsi="Times New Roman" w:cs="Times New Roman"/>
          <w:bCs/>
          <w:sz w:val="24"/>
          <w:szCs w:val="24"/>
          <w:lang w:val="en-US"/>
        </w:rPr>
        <w:t xml:space="preserve">most observations in our sample are </w:t>
      </w:r>
      <w:r w:rsidR="00A07BE9" w:rsidRPr="00DF76D9">
        <w:rPr>
          <w:rFonts w:ascii="Times New Roman" w:hAnsi="Times New Roman" w:cs="Times New Roman"/>
          <w:bCs/>
          <w:sz w:val="24"/>
          <w:szCs w:val="24"/>
          <w:lang w:val="en-US"/>
        </w:rPr>
        <w:t>Business Services, Electronic Equipment</w:t>
      </w:r>
      <w:r w:rsidR="00155940">
        <w:rPr>
          <w:rFonts w:ascii="Times New Roman" w:hAnsi="Times New Roman" w:cs="Times New Roman"/>
          <w:bCs/>
          <w:sz w:val="24"/>
          <w:szCs w:val="24"/>
          <w:lang w:val="en-US"/>
        </w:rPr>
        <w:t>,</w:t>
      </w:r>
      <w:r w:rsidR="00A07BE9" w:rsidRPr="00DF76D9">
        <w:rPr>
          <w:rFonts w:ascii="Times New Roman" w:hAnsi="Times New Roman" w:cs="Times New Roman"/>
          <w:bCs/>
          <w:sz w:val="24"/>
          <w:szCs w:val="24"/>
          <w:lang w:val="en-US"/>
        </w:rPr>
        <w:t xml:space="preserve"> and Retail with 13.53</w:t>
      </w:r>
      <w:r w:rsidR="000E4D74">
        <w:rPr>
          <w:rFonts w:ascii="Times New Roman" w:hAnsi="Times New Roman" w:cs="Times New Roman"/>
          <w:bCs/>
          <w:sz w:val="24"/>
          <w:szCs w:val="24"/>
          <w:lang w:val="en-US"/>
        </w:rPr>
        <w:t xml:space="preserve"> percent</w:t>
      </w:r>
      <w:r w:rsidR="00A07BE9" w:rsidRPr="00DF76D9">
        <w:rPr>
          <w:rFonts w:ascii="Times New Roman" w:hAnsi="Times New Roman" w:cs="Times New Roman"/>
          <w:bCs/>
          <w:sz w:val="24"/>
          <w:szCs w:val="24"/>
          <w:lang w:val="en-US"/>
        </w:rPr>
        <w:t>, 8.49</w:t>
      </w:r>
      <w:r w:rsidR="000E4D74">
        <w:rPr>
          <w:rFonts w:ascii="Times New Roman" w:hAnsi="Times New Roman" w:cs="Times New Roman"/>
          <w:bCs/>
          <w:sz w:val="24"/>
          <w:szCs w:val="24"/>
          <w:lang w:val="en-US"/>
        </w:rPr>
        <w:t xml:space="preserve"> percent</w:t>
      </w:r>
      <w:r w:rsidR="000E4D74" w:rsidRPr="00DF76D9">
        <w:rPr>
          <w:rFonts w:ascii="Times New Roman" w:hAnsi="Times New Roman" w:cs="Times New Roman"/>
          <w:bCs/>
          <w:sz w:val="24"/>
          <w:szCs w:val="24"/>
          <w:lang w:val="en-US"/>
        </w:rPr>
        <w:t xml:space="preserve"> </w:t>
      </w:r>
      <w:r w:rsidR="00A07BE9" w:rsidRPr="00DF76D9">
        <w:rPr>
          <w:rFonts w:ascii="Times New Roman" w:hAnsi="Times New Roman" w:cs="Times New Roman"/>
          <w:bCs/>
          <w:sz w:val="24"/>
          <w:szCs w:val="24"/>
          <w:lang w:val="en-US"/>
        </w:rPr>
        <w:t xml:space="preserve">and </w:t>
      </w:r>
      <w:r w:rsidR="008A3331" w:rsidRPr="00DF76D9">
        <w:rPr>
          <w:rFonts w:ascii="Times New Roman" w:hAnsi="Times New Roman" w:cs="Times New Roman"/>
          <w:bCs/>
          <w:sz w:val="24"/>
          <w:szCs w:val="24"/>
          <w:lang w:val="en-US"/>
        </w:rPr>
        <w:t>7.72</w:t>
      </w:r>
      <w:r w:rsidR="000E4D74">
        <w:rPr>
          <w:rFonts w:ascii="Times New Roman" w:hAnsi="Times New Roman" w:cs="Times New Roman"/>
          <w:bCs/>
          <w:sz w:val="24"/>
          <w:szCs w:val="24"/>
          <w:lang w:val="en-US"/>
        </w:rPr>
        <w:t xml:space="preserve"> percent</w:t>
      </w:r>
      <w:r w:rsidR="000E4D74" w:rsidRPr="00DF76D9">
        <w:rPr>
          <w:rFonts w:ascii="Times New Roman" w:hAnsi="Times New Roman" w:cs="Times New Roman"/>
          <w:bCs/>
          <w:sz w:val="24"/>
          <w:szCs w:val="24"/>
          <w:lang w:val="en-US"/>
        </w:rPr>
        <w:t xml:space="preserve"> </w:t>
      </w:r>
      <w:r w:rsidR="00D57694" w:rsidRPr="00DF76D9">
        <w:rPr>
          <w:rFonts w:ascii="Times New Roman" w:hAnsi="Times New Roman" w:cs="Times New Roman"/>
          <w:bCs/>
          <w:sz w:val="24"/>
          <w:szCs w:val="24"/>
          <w:lang w:val="en-US"/>
        </w:rPr>
        <w:t xml:space="preserve">of the </w:t>
      </w:r>
      <w:r w:rsidR="008A3331" w:rsidRPr="00DF76D9">
        <w:rPr>
          <w:rFonts w:ascii="Times New Roman" w:hAnsi="Times New Roman" w:cs="Times New Roman"/>
          <w:bCs/>
          <w:sz w:val="24"/>
          <w:szCs w:val="24"/>
          <w:lang w:val="en-US"/>
        </w:rPr>
        <w:t>observations in the sample</w:t>
      </w:r>
      <w:r w:rsidR="00D57694" w:rsidRPr="00DF76D9">
        <w:rPr>
          <w:rFonts w:ascii="Times New Roman" w:hAnsi="Times New Roman" w:cs="Times New Roman"/>
          <w:bCs/>
          <w:sz w:val="24"/>
          <w:szCs w:val="24"/>
          <w:lang w:val="en-US"/>
        </w:rPr>
        <w:t xml:space="preserve">, respectively. Conversely, the industries least represented in our sample are the </w:t>
      </w:r>
      <w:r w:rsidR="008A3331" w:rsidRPr="00DF76D9">
        <w:rPr>
          <w:rFonts w:ascii="Times New Roman" w:hAnsi="Times New Roman" w:cs="Times New Roman"/>
          <w:bCs/>
          <w:sz w:val="24"/>
          <w:szCs w:val="24"/>
          <w:lang w:val="en-US"/>
        </w:rPr>
        <w:t xml:space="preserve">Shipbuilding, Railroad </w:t>
      </w:r>
      <w:r w:rsidR="00A13467" w:rsidRPr="00DF76D9">
        <w:rPr>
          <w:rFonts w:ascii="Times New Roman" w:hAnsi="Times New Roman" w:cs="Times New Roman"/>
          <w:bCs/>
          <w:sz w:val="24"/>
          <w:szCs w:val="24"/>
          <w:lang w:val="en-US"/>
        </w:rPr>
        <w:t>E</w:t>
      </w:r>
      <w:r w:rsidR="008A3331" w:rsidRPr="00DF76D9">
        <w:rPr>
          <w:rFonts w:ascii="Times New Roman" w:hAnsi="Times New Roman" w:cs="Times New Roman"/>
          <w:bCs/>
          <w:sz w:val="24"/>
          <w:szCs w:val="24"/>
          <w:lang w:val="en-US"/>
        </w:rPr>
        <w:t xml:space="preserve">quipment, </w:t>
      </w:r>
      <w:r w:rsidR="008C2A0C" w:rsidRPr="00DF76D9">
        <w:rPr>
          <w:rFonts w:ascii="Times New Roman" w:hAnsi="Times New Roman" w:cs="Times New Roman"/>
          <w:bCs/>
          <w:sz w:val="24"/>
          <w:szCs w:val="24"/>
          <w:lang w:val="en-US"/>
        </w:rPr>
        <w:t>Tabaco</w:t>
      </w:r>
      <w:r w:rsidR="008A3331" w:rsidRPr="00DF76D9">
        <w:rPr>
          <w:rFonts w:ascii="Times New Roman" w:hAnsi="Times New Roman" w:cs="Times New Roman"/>
          <w:bCs/>
          <w:sz w:val="24"/>
          <w:szCs w:val="24"/>
          <w:lang w:val="en-US"/>
        </w:rPr>
        <w:t xml:space="preserve"> </w:t>
      </w:r>
      <w:r w:rsidR="00A13467" w:rsidRPr="00DF76D9">
        <w:rPr>
          <w:rFonts w:ascii="Times New Roman" w:hAnsi="Times New Roman" w:cs="Times New Roman"/>
          <w:bCs/>
          <w:sz w:val="24"/>
          <w:szCs w:val="24"/>
          <w:lang w:val="en-US"/>
        </w:rPr>
        <w:t>P</w:t>
      </w:r>
      <w:r w:rsidR="008A3331" w:rsidRPr="00DF76D9">
        <w:rPr>
          <w:rFonts w:ascii="Times New Roman" w:hAnsi="Times New Roman" w:cs="Times New Roman"/>
          <w:bCs/>
          <w:sz w:val="24"/>
          <w:szCs w:val="24"/>
          <w:lang w:val="en-US"/>
        </w:rPr>
        <w:t xml:space="preserve">roducts and Fabricated </w:t>
      </w:r>
      <w:r w:rsidR="00A13467" w:rsidRPr="00DF76D9">
        <w:rPr>
          <w:rFonts w:ascii="Times New Roman" w:hAnsi="Times New Roman" w:cs="Times New Roman"/>
          <w:bCs/>
          <w:sz w:val="24"/>
          <w:szCs w:val="24"/>
          <w:lang w:val="en-US"/>
        </w:rPr>
        <w:t>P</w:t>
      </w:r>
      <w:r w:rsidR="008A3331" w:rsidRPr="00DF76D9">
        <w:rPr>
          <w:rFonts w:ascii="Times New Roman" w:hAnsi="Times New Roman" w:cs="Times New Roman"/>
          <w:bCs/>
          <w:sz w:val="24"/>
          <w:szCs w:val="24"/>
          <w:lang w:val="en-US"/>
        </w:rPr>
        <w:t>roducts with 0.19</w:t>
      </w:r>
      <w:r w:rsidR="000E4D74">
        <w:rPr>
          <w:rFonts w:ascii="Times New Roman" w:hAnsi="Times New Roman" w:cs="Times New Roman"/>
          <w:bCs/>
          <w:sz w:val="24"/>
          <w:szCs w:val="24"/>
          <w:lang w:val="en-US"/>
        </w:rPr>
        <w:t xml:space="preserve"> percent</w:t>
      </w:r>
      <w:r w:rsidR="000E4D74" w:rsidRPr="00DF76D9">
        <w:rPr>
          <w:rFonts w:ascii="Times New Roman" w:hAnsi="Times New Roman" w:cs="Times New Roman"/>
          <w:bCs/>
          <w:sz w:val="24"/>
          <w:szCs w:val="24"/>
          <w:lang w:val="en-US"/>
        </w:rPr>
        <w:t xml:space="preserve">, </w:t>
      </w:r>
      <w:r w:rsidR="008A3331" w:rsidRPr="00DF76D9">
        <w:rPr>
          <w:rFonts w:ascii="Times New Roman" w:hAnsi="Times New Roman" w:cs="Times New Roman"/>
          <w:bCs/>
          <w:sz w:val="24"/>
          <w:szCs w:val="24"/>
          <w:lang w:val="en-US"/>
        </w:rPr>
        <w:t>0.17</w:t>
      </w:r>
      <w:r w:rsidR="000E4D74">
        <w:rPr>
          <w:rFonts w:ascii="Times New Roman" w:hAnsi="Times New Roman" w:cs="Times New Roman"/>
          <w:bCs/>
          <w:sz w:val="24"/>
          <w:szCs w:val="24"/>
          <w:lang w:val="en-US"/>
        </w:rPr>
        <w:t xml:space="preserve"> percent</w:t>
      </w:r>
      <w:r w:rsidR="008A3331" w:rsidRPr="00DF76D9">
        <w:rPr>
          <w:rFonts w:ascii="Times New Roman" w:hAnsi="Times New Roman" w:cs="Times New Roman"/>
          <w:bCs/>
          <w:sz w:val="24"/>
          <w:szCs w:val="24"/>
          <w:lang w:val="en-US"/>
        </w:rPr>
        <w:t xml:space="preserve"> and 0.10</w:t>
      </w:r>
      <w:r w:rsidR="000E4D74">
        <w:rPr>
          <w:rFonts w:ascii="Times New Roman" w:hAnsi="Times New Roman" w:cs="Times New Roman"/>
          <w:bCs/>
          <w:sz w:val="24"/>
          <w:szCs w:val="24"/>
          <w:lang w:val="en-US"/>
        </w:rPr>
        <w:t xml:space="preserve"> percent</w:t>
      </w:r>
      <w:r w:rsidR="000E4D74" w:rsidRPr="00DF76D9">
        <w:rPr>
          <w:rFonts w:ascii="Times New Roman" w:hAnsi="Times New Roman" w:cs="Times New Roman"/>
          <w:bCs/>
          <w:sz w:val="24"/>
          <w:szCs w:val="24"/>
          <w:lang w:val="en-US"/>
        </w:rPr>
        <w:t xml:space="preserve"> </w:t>
      </w:r>
      <w:r w:rsidR="008A3331" w:rsidRPr="00DF76D9">
        <w:rPr>
          <w:rFonts w:ascii="Times New Roman" w:hAnsi="Times New Roman" w:cs="Times New Roman"/>
          <w:bCs/>
          <w:sz w:val="24"/>
          <w:szCs w:val="24"/>
          <w:lang w:val="en-US"/>
        </w:rPr>
        <w:t xml:space="preserve">of the observations in the sample. </w:t>
      </w:r>
    </w:p>
    <w:p w14:paraId="6D96C29F" w14:textId="447E15CE" w:rsidR="002B7EC9" w:rsidRPr="00DF76D9" w:rsidRDefault="002B7EC9">
      <w:pPr>
        <w:spacing w:after="0" w:line="480" w:lineRule="auto"/>
        <w:ind w:firstLine="720"/>
        <w:jc w:val="both"/>
        <w:rPr>
          <w:rFonts w:ascii="Times New Roman" w:hAnsi="Times New Roman" w:cs="Times New Roman"/>
          <w:bCs/>
          <w:sz w:val="24"/>
          <w:szCs w:val="24"/>
          <w:lang w:val="en-US"/>
        </w:rPr>
      </w:pPr>
      <w:r w:rsidRPr="00534D37">
        <w:rPr>
          <w:rFonts w:ascii="Times New Roman" w:hAnsi="Times New Roman" w:cs="Times New Roman"/>
          <w:bCs/>
          <w:sz w:val="24"/>
          <w:szCs w:val="24"/>
          <w:lang w:val="en-US"/>
        </w:rPr>
        <w:t>Table 2 presents</w:t>
      </w:r>
      <w:r w:rsidRPr="00DF76D9">
        <w:rPr>
          <w:rFonts w:ascii="Times New Roman" w:hAnsi="Times New Roman" w:cs="Times New Roman"/>
          <w:bCs/>
          <w:sz w:val="24"/>
          <w:szCs w:val="24"/>
          <w:lang w:val="en-US"/>
        </w:rPr>
        <w:t xml:space="preserve"> summary statistics </w:t>
      </w:r>
      <w:r w:rsidR="00D57694" w:rsidRPr="00DF76D9">
        <w:rPr>
          <w:rFonts w:ascii="Times New Roman" w:hAnsi="Times New Roman" w:cs="Times New Roman"/>
          <w:bCs/>
          <w:sz w:val="24"/>
          <w:szCs w:val="24"/>
          <w:lang w:val="en-US"/>
        </w:rPr>
        <w:t>for the variables used in the analysis.</w:t>
      </w:r>
      <w:r w:rsidRPr="00DF76D9">
        <w:rPr>
          <w:rFonts w:ascii="Times New Roman" w:hAnsi="Times New Roman" w:cs="Times New Roman"/>
          <w:bCs/>
          <w:sz w:val="24"/>
          <w:szCs w:val="24"/>
          <w:lang w:val="en-US"/>
        </w:rPr>
        <w:t xml:space="preserve"> The main variables of interest capture the frequency and severity of workplace misconduct. The average firm</w:t>
      </w:r>
      <w:r w:rsidR="005321D0" w:rsidRPr="00DF76D9">
        <w:rPr>
          <w:rFonts w:ascii="Times New Roman" w:hAnsi="Times New Roman" w:cs="Times New Roman"/>
          <w:bCs/>
          <w:sz w:val="24"/>
          <w:szCs w:val="24"/>
          <w:lang w:val="en-US"/>
        </w:rPr>
        <w:t xml:space="preserve"> in our sample</w:t>
      </w:r>
      <w:r w:rsidRPr="00DF76D9">
        <w:rPr>
          <w:rFonts w:ascii="Times New Roman" w:hAnsi="Times New Roman" w:cs="Times New Roman"/>
          <w:bCs/>
          <w:sz w:val="24"/>
          <w:szCs w:val="24"/>
          <w:lang w:val="en-US"/>
        </w:rPr>
        <w:t xml:space="preserve"> has 0.</w:t>
      </w:r>
      <w:r w:rsidR="008A3331" w:rsidRPr="00DF76D9">
        <w:rPr>
          <w:rFonts w:ascii="Times New Roman" w:hAnsi="Times New Roman" w:cs="Times New Roman"/>
          <w:bCs/>
          <w:sz w:val="24"/>
          <w:szCs w:val="24"/>
          <w:lang w:val="en-US"/>
        </w:rPr>
        <w:t xml:space="preserve">406 </w:t>
      </w:r>
      <w:r w:rsidRPr="00DF76D9">
        <w:rPr>
          <w:rFonts w:ascii="Times New Roman" w:hAnsi="Times New Roman" w:cs="Times New Roman"/>
          <w:bCs/>
          <w:sz w:val="24"/>
          <w:szCs w:val="24"/>
          <w:lang w:val="en-US"/>
        </w:rPr>
        <w:t>violations</w:t>
      </w:r>
      <w:r w:rsidR="00F63CA7" w:rsidRPr="00DF76D9">
        <w:rPr>
          <w:rFonts w:ascii="Times New Roman" w:hAnsi="Times New Roman" w:cs="Times New Roman"/>
          <w:bCs/>
          <w:sz w:val="24"/>
          <w:szCs w:val="24"/>
          <w:lang w:val="en-US"/>
        </w:rPr>
        <w:t xml:space="preserve"> </w:t>
      </w:r>
      <w:r w:rsidR="007F320C" w:rsidRPr="00DF76D9">
        <w:rPr>
          <w:rFonts w:ascii="Times New Roman" w:hAnsi="Times New Roman" w:cs="Times New Roman"/>
          <w:bCs/>
          <w:sz w:val="24"/>
          <w:szCs w:val="24"/>
          <w:lang w:val="en-US"/>
        </w:rPr>
        <w:t>per year</w:t>
      </w:r>
      <w:r w:rsidR="00F63CA7" w:rsidRPr="00DF76D9">
        <w:rPr>
          <w:rFonts w:ascii="Times New Roman" w:hAnsi="Times New Roman" w:cs="Times New Roman"/>
          <w:bCs/>
          <w:sz w:val="24"/>
          <w:szCs w:val="24"/>
          <w:lang w:val="en-US"/>
        </w:rPr>
        <w:t xml:space="preserve"> (</w:t>
      </w:r>
      <w:r w:rsidR="00F63CA7" w:rsidRPr="00DF76D9">
        <w:rPr>
          <w:rFonts w:ascii="Times New Roman" w:hAnsi="Times New Roman" w:cs="Times New Roman"/>
          <w:bCs/>
          <w:i/>
          <w:sz w:val="24"/>
          <w:szCs w:val="24"/>
          <w:lang w:val="en-US"/>
        </w:rPr>
        <w:t>Violations</w:t>
      </w:r>
      <w:r w:rsidR="00F63CA7" w:rsidRPr="00DF76D9">
        <w:rPr>
          <w:rFonts w:ascii="Times New Roman" w:hAnsi="Times New Roman" w:cs="Times New Roman"/>
          <w:bCs/>
          <w:sz w:val="24"/>
          <w:szCs w:val="24"/>
          <w:lang w:val="en-US"/>
        </w:rPr>
        <w:t>)</w:t>
      </w:r>
      <w:r w:rsidR="005321D0" w:rsidRPr="00DF76D9">
        <w:rPr>
          <w:rFonts w:ascii="Times New Roman" w:hAnsi="Times New Roman" w:cs="Times New Roman"/>
          <w:bCs/>
          <w:sz w:val="24"/>
          <w:szCs w:val="24"/>
          <w:lang w:val="en-US"/>
        </w:rPr>
        <w:t xml:space="preserve"> and </w:t>
      </w:r>
      <w:r w:rsidR="00A13467" w:rsidRPr="00DF76D9">
        <w:rPr>
          <w:rFonts w:ascii="Times New Roman" w:hAnsi="Times New Roman" w:cs="Times New Roman"/>
          <w:bCs/>
          <w:sz w:val="24"/>
          <w:szCs w:val="24"/>
          <w:lang w:val="en-US"/>
        </w:rPr>
        <w:t>an average of</w:t>
      </w:r>
      <w:r w:rsidRPr="00DF76D9">
        <w:rPr>
          <w:rFonts w:ascii="Times New Roman" w:hAnsi="Times New Roman" w:cs="Times New Roman"/>
          <w:bCs/>
          <w:sz w:val="24"/>
          <w:szCs w:val="24"/>
          <w:lang w:val="en-US"/>
        </w:rPr>
        <w:t xml:space="preserve"> $</w:t>
      </w:r>
      <w:r w:rsidR="008A3331" w:rsidRPr="00DF76D9">
        <w:rPr>
          <w:rFonts w:ascii="Times New Roman" w:hAnsi="Times New Roman" w:cs="Times New Roman"/>
          <w:bCs/>
          <w:sz w:val="24"/>
          <w:szCs w:val="24"/>
          <w:lang w:val="en-US"/>
        </w:rPr>
        <w:t>148</w:t>
      </w:r>
      <w:r w:rsidRPr="00DF76D9">
        <w:rPr>
          <w:rFonts w:ascii="Times New Roman" w:hAnsi="Times New Roman" w:cs="Times New Roman"/>
          <w:bCs/>
          <w:sz w:val="24"/>
          <w:szCs w:val="24"/>
          <w:lang w:val="en-US"/>
        </w:rPr>
        <w:t>,000</w:t>
      </w:r>
      <w:r w:rsidR="00A13467" w:rsidRPr="00DF76D9">
        <w:rPr>
          <w:rFonts w:ascii="Times New Roman" w:hAnsi="Times New Roman" w:cs="Times New Roman"/>
          <w:bCs/>
          <w:sz w:val="24"/>
          <w:szCs w:val="24"/>
          <w:lang w:val="en-US"/>
        </w:rPr>
        <w:t xml:space="preserve"> penalties</w:t>
      </w:r>
      <w:r w:rsidR="007F320C" w:rsidRPr="00DF76D9">
        <w:rPr>
          <w:rFonts w:ascii="Times New Roman" w:hAnsi="Times New Roman" w:cs="Times New Roman"/>
          <w:bCs/>
          <w:sz w:val="24"/>
          <w:szCs w:val="24"/>
          <w:lang w:val="en-US"/>
        </w:rPr>
        <w:t xml:space="preserve"> </w:t>
      </w:r>
      <w:r w:rsidR="00F63CA7" w:rsidRPr="00DF76D9">
        <w:rPr>
          <w:rFonts w:ascii="Times New Roman" w:hAnsi="Times New Roman" w:cs="Times New Roman"/>
          <w:bCs/>
          <w:sz w:val="24"/>
          <w:szCs w:val="24"/>
          <w:lang w:val="en-US"/>
        </w:rPr>
        <w:t>(</w:t>
      </w:r>
      <w:r w:rsidR="00F63CA7" w:rsidRPr="00DF76D9">
        <w:rPr>
          <w:rFonts w:ascii="Times New Roman" w:hAnsi="Times New Roman" w:cs="Times New Roman"/>
          <w:bCs/>
          <w:i/>
          <w:sz w:val="24"/>
          <w:szCs w:val="24"/>
          <w:lang w:val="en-US"/>
        </w:rPr>
        <w:t>Penalt</w:t>
      </w:r>
      <w:r w:rsidR="00A13467" w:rsidRPr="00DF76D9">
        <w:rPr>
          <w:rFonts w:ascii="Times New Roman" w:hAnsi="Times New Roman" w:cs="Times New Roman"/>
          <w:bCs/>
          <w:i/>
          <w:sz w:val="24"/>
          <w:szCs w:val="24"/>
          <w:lang w:val="en-US"/>
        </w:rPr>
        <w:t>ies</w:t>
      </w:r>
      <w:r w:rsidR="00F63CA7" w:rsidRPr="00DF76D9">
        <w:rPr>
          <w:rFonts w:ascii="Times New Roman" w:hAnsi="Times New Roman" w:cs="Times New Roman"/>
          <w:bCs/>
          <w:sz w:val="24"/>
          <w:szCs w:val="24"/>
          <w:lang w:val="en-US"/>
        </w:rPr>
        <w:t>)</w:t>
      </w:r>
      <w:r w:rsidR="009C44E1" w:rsidRPr="00DF76D9">
        <w:rPr>
          <w:rFonts w:ascii="Times New Roman" w:hAnsi="Times New Roman" w:cs="Times New Roman"/>
          <w:bCs/>
          <w:sz w:val="24"/>
          <w:szCs w:val="24"/>
          <w:lang w:val="en-US"/>
        </w:rPr>
        <w:t xml:space="preserve"> per year</w:t>
      </w:r>
      <w:r w:rsidRPr="00DF76D9">
        <w:rPr>
          <w:rFonts w:ascii="Times New Roman" w:hAnsi="Times New Roman" w:cs="Times New Roman"/>
          <w:bCs/>
          <w:sz w:val="24"/>
          <w:szCs w:val="24"/>
          <w:lang w:val="en-US"/>
        </w:rPr>
        <w:t xml:space="preserve">. The distribution of </w:t>
      </w:r>
      <w:r w:rsidR="00965851" w:rsidRPr="00DF76D9">
        <w:rPr>
          <w:rFonts w:ascii="Times New Roman" w:hAnsi="Times New Roman" w:cs="Times New Roman"/>
          <w:bCs/>
          <w:sz w:val="24"/>
          <w:szCs w:val="24"/>
          <w:lang w:val="en-US"/>
        </w:rPr>
        <w:t xml:space="preserve">violations </w:t>
      </w:r>
      <w:r w:rsidRPr="00DF76D9">
        <w:rPr>
          <w:rFonts w:ascii="Times New Roman" w:hAnsi="Times New Roman" w:cs="Times New Roman"/>
          <w:bCs/>
          <w:sz w:val="24"/>
          <w:szCs w:val="24"/>
          <w:lang w:val="en-US"/>
        </w:rPr>
        <w:t xml:space="preserve">is negatively skewed, with </w:t>
      </w:r>
      <w:r w:rsidR="009F2AAE">
        <w:rPr>
          <w:rFonts w:ascii="Times New Roman" w:hAnsi="Times New Roman" w:cs="Times New Roman"/>
          <w:bCs/>
          <w:sz w:val="24"/>
          <w:szCs w:val="24"/>
          <w:lang w:val="en-US"/>
        </w:rPr>
        <w:t>most</w:t>
      </w:r>
      <w:r w:rsidRPr="00DF76D9">
        <w:rPr>
          <w:rFonts w:ascii="Times New Roman" w:hAnsi="Times New Roman" w:cs="Times New Roman"/>
          <w:bCs/>
          <w:sz w:val="24"/>
          <w:szCs w:val="24"/>
          <w:lang w:val="en-US"/>
        </w:rPr>
        <w:t xml:space="preserve"> offences </w:t>
      </w:r>
      <w:r w:rsidRPr="00DF76D9">
        <w:rPr>
          <w:rFonts w:ascii="Times New Roman" w:hAnsi="Times New Roman" w:cs="Times New Roman"/>
          <w:bCs/>
          <w:sz w:val="24"/>
          <w:szCs w:val="24"/>
          <w:lang w:val="en-US"/>
        </w:rPr>
        <w:lastRenderedPageBreak/>
        <w:t>distributed in the top two deciles of the sample. The maximum number of</w:t>
      </w:r>
      <w:r w:rsidR="002F2806">
        <w:rPr>
          <w:rFonts w:ascii="Times New Roman" w:hAnsi="Times New Roman" w:cs="Times New Roman"/>
          <w:bCs/>
          <w:sz w:val="24"/>
          <w:szCs w:val="24"/>
          <w:lang w:val="en-US"/>
        </w:rPr>
        <w:t xml:space="preserve"> violations</w:t>
      </w:r>
      <w:r w:rsidRPr="00DF76D9">
        <w:rPr>
          <w:rFonts w:ascii="Times New Roman" w:hAnsi="Times New Roman" w:cs="Times New Roman"/>
          <w:bCs/>
          <w:sz w:val="24"/>
          <w:szCs w:val="24"/>
          <w:lang w:val="en-US"/>
        </w:rPr>
        <w:t xml:space="preserve"> per year after </w:t>
      </w:r>
      <w:proofErr w:type="spellStart"/>
      <w:r w:rsidRPr="00DF76D9">
        <w:rPr>
          <w:rFonts w:ascii="Times New Roman" w:hAnsi="Times New Roman" w:cs="Times New Roman"/>
          <w:bCs/>
          <w:sz w:val="24"/>
          <w:szCs w:val="24"/>
          <w:lang w:val="en-US"/>
        </w:rPr>
        <w:t>winsorising</w:t>
      </w:r>
      <w:proofErr w:type="spellEnd"/>
      <w:r w:rsidRPr="00DF76D9">
        <w:rPr>
          <w:rFonts w:ascii="Times New Roman" w:hAnsi="Times New Roman" w:cs="Times New Roman"/>
          <w:bCs/>
          <w:sz w:val="24"/>
          <w:szCs w:val="24"/>
          <w:lang w:val="en-US"/>
        </w:rPr>
        <w:t xml:space="preserve"> is </w:t>
      </w:r>
      <w:r w:rsidR="00E15401" w:rsidRPr="00DF76D9">
        <w:rPr>
          <w:rFonts w:ascii="Times New Roman" w:hAnsi="Times New Roman" w:cs="Times New Roman"/>
          <w:bCs/>
          <w:sz w:val="24"/>
          <w:szCs w:val="24"/>
          <w:lang w:val="en-US"/>
        </w:rPr>
        <w:t>19</w:t>
      </w:r>
      <w:r w:rsidRPr="00DF76D9">
        <w:rPr>
          <w:rFonts w:ascii="Times New Roman" w:hAnsi="Times New Roman" w:cs="Times New Roman"/>
          <w:bCs/>
          <w:sz w:val="24"/>
          <w:szCs w:val="24"/>
          <w:lang w:val="en-US"/>
        </w:rPr>
        <w:t xml:space="preserve"> and the largest </w:t>
      </w:r>
      <w:r w:rsidR="00F0260B">
        <w:rPr>
          <w:rFonts w:ascii="Times New Roman" w:hAnsi="Times New Roman" w:cs="Times New Roman"/>
          <w:bCs/>
          <w:sz w:val="24"/>
          <w:szCs w:val="24"/>
          <w:lang w:val="en-US"/>
        </w:rPr>
        <w:t>penalty</w:t>
      </w:r>
      <w:r w:rsidR="00A13467" w:rsidRPr="00DF76D9">
        <w:rPr>
          <w:rFonts w:ascii="Times New Roman" w:hAnsi="Times New Roman" w:cs="Times New Roman"/>
          <w:bCs/>
          <w:sz w:val="24"/>
          <w:szCs w:val="24"/>
          <w:lang w:val="en-US"/>
        </w:rPr>
        <w:t xml:space="preserve"> </w:t>
      </w:r>
      <w:r w:rsidR="00F45EB6">
        <w:rPr>
          <w:rFonts w:ascii="Times New Roman" w:hAnsi="Times New Roman" w:cs="Times New Roman"/>
          <w:bCs/>
          <w:sz w:val="24"/>
          <w:szCs w:val="24"/>
          <w:lang w:val="en-US"/>
        </w:rPr>
        <w:t>is</w:t>
      </w:r>
      <w:r w:rsidRPr="00DF76D9">
        <w:rPr>
          <w:rFonts w:ascii="Times New Roman" w:hAnsi="Times New Roman" w:cs="Times New Roman"/>
          <w:bCs/>
          <w:sz w:val="24"/>
          <w:szCs w:val="24"/>
          <w:lang w:val="en-US"/>
        </w:rPr>
        <w:t xml:space="preserve"> $</w:t>
      </w:r>
      <w:r w:rsidR="00E15401" w:rsidRPr="00DF76D9">
        <w:rPr>
          <w:rFonts w:ascii="Times New Roman" w:hAnsi="Times New Roman" w:cs="Times New Roman"/>
          <w:bCs/>
          <w:sz w:val="24"/>
          <w:szCs w:val="24"/>
          <w:lang w:val="en-US"/>
        </w:rPr>
        <w:t>20.6</w:t>
      </w:r>
      <w:r w:rsidRPr="00DF76D9">
        <w:rPr>
          <w:rFonts w:ascii="Times New Roman" w:hAnsi="Times New Roman" w:cs="Times New Roman"/>
          <w:bCs/>
          <w:sz w:val="24"/>
          <w:szCs w:val="24"/>
          <w:lang w:val="en-US"/>
        </w:rPr>
        <w:t xml:space="preserve"> million</w:t>
      </w:r>
      <w:r w:rsidR="00773759" w:rsidRPr="00DF76D9">
        <w:rPr>
          <w:rFonts w:ascii="Times New Roman" w:hAnsi="Times New Roman" w:cs="Times New Roman"/>
          <w:bCs/>
          <w:sz w:val="24"/>
          <w:szCs w:val="24"/>
          <w:lang w:val="en-US"/>
        </w:rPr>
        <w:t xml:space="preserve">. </w:t>
      </w:r>
    </w:p>
    <w:p w14:paraId="6152FEBF" w14:textId="34174DB0" w:rsidR="000E1E25" w:rsidRPr="00924C2B" w:rsidRDefault="002B7EC9">
      <w:pPr>
        <w:spacing w:after="0" w:line="480" w:lineRule="auto"/>
        <w:ind w:firstLine="720"/>
        <w:jc w:val="both"/>
        <w:rPr>
          <w:rFonts w:asciiTheme="majorBidi" w:eastAsia="Times New Roman" w:hAnsiTheme="majorBidi" w:cstheme="majorBidi"/>
          <w:color w:val="000000"/>
          <w:sz w:val="24"/>
          <w:szCs w:val="24"/>
          <w:lang w:val="en-US"/>
        </w:rPr>
      </w:pPr>
      <w:r w:rsidRPr="00DF76D9">
        <w:rPr>
          <w:rFonts w:ascii="Times New Roman" w:hAnsi="Times New Roman" w:cs="Times New Roman"/>
          <w:bCs/>
          <w:sz w:val="24"/>
          <w:szCs w:val="24"/>
          <w:lang w:val="en-US"/>
        </w:rPr>
        <w:t xml:space="preserve">The mean (median) equity compensation sensitivities, </w:t>
      </w:r>
      <w:r w:rsidRPr="00DF76D9">
        <w:rPr>
          <w:rFonts w:ascii="Times New Roman" w:hAnsi="Times New Roman" w:cs="Times New Roman"/>
          <w:bCs/>
          <w:i/>
          <w:sz w:val="24"/>
          <w:szCs w:val="24"/>
          <w:lang w:val="en-US"/>
        </w:rPr>
        <w:t>Delta</w:t>
      </w:r>
      <w:r w:rsidRPr="00DF76D9">
        <w:rPr>
          <w:rFonts w:ascii="Times New Roman" w:hAnsi="Times New Roman" w:cs="Times New Roman"/>
          <w:bCs/>
          <w:sz w:val="24"/>
          <w:szCs w:val="24"/>
          <w:lang w:val="en-US"/>
        </w:rPr>
        <w:t xml:space="preserve"> and </w:t>
      </w:r>
      <w:r w:rsidRPr="00DF76D9">
        <w:rPr>
          <w:rFonts w:ascii="Times New Roman" w:hAnsi="Times New Roman" w:cs="Times New Roman"/>
          <w:bCs/>
          <w:i/>
          <w:sz w:val="24"/>
          <w:szCs w:val="24"/>
          <w:lang w:val="en-US"/>
        </w:rPr>
        <w:t>Vega</w:t>
      </w:r>
      <w:r w:rsidRPr="00DF76D9">
        <w:rPr>
          <w:rFonts w:ascii="Times New Roman" w:hAnsi="Times New Roman" w:cs="Times New Roman"/>
          <w:bCs/>
          <w:sz w:val="24"/>
          <w:szCs w:val="24"/>
          <w:lang w:val="en-US"/>
        </w:rPr>
        <w:t xml:space="preserve">, are </w:t>
      </w:r>
      <w:r w:rsidR="007C1522" w:rsidRPr="00DF76D9">
        <w:rPr>
          <w:rFonts w:ascii="Times New Roman" w:hAnsi="Times New Roman" w:cs="Times New Roman"/>
          <w:bCs/>
          <w:sz w:val="24"/>
          <w:szCs w:val="24"/>
          <w:lang w:val="en-US"/>
        </w:rPr>
        <w:t>4.</w:t>
      </w:r>
      <w:r w:rsidR="00A76788" w:rsidRPr="00DF76D9">
        <w:rPr>
          <w:rFonts w:ascii="Times New Roman" w:hAnsi="Times New Roman" w:cs="Times New Roman"/>
          <w:bCs/>
          <w:sz w:val="24"/>
          <w:szCs w:val="24"/>
          <w:lang w:val="en-US"/>
        </w:rPr>
        <w:t xml:space="preserve">015 </w:t>
      </w:r>
      <w:r w:rsidRPr="00DF76D9">
        <w:rPr>
          <w:rFonts w:ascii="Times New Roman" w:hAnsi="Times New Roman" w:cs="Times New Roman"/>
          <w:bCs/>
          <w:sz w:val="24"/>
          <w:szCs w:val="24"/>
          <w:lang w:val="en-US"/>
        </w:rPr>
        <w:t>(</w:t>
      </w:r>
      <w:r w:rsidR="007C1522" w:rsidRPr="00DF76D9">
        <w:rPr>
          <w:rFonts w:ascii="Times New Roman" w:hAnsi="Times New Roman" w:cs="Times New Roman"/>
          <w:bCs/>
          <w:sz w:val="24"/>
          <w:szCs w:val="24"/>
          <w:lang w:val="en-US"/>
        </w:rPr>
        <w:t>4.</w:t>
      </w:r>
      <w:r w:rsidR="00A76788" w:rsidRPr="00DF76D9">
        <w:rPr>
          <w:rFonts w:ascii="Times New Roman" w:hAnsi="Times New Roman" w:cs="Times New Roman"/>
          <w:bCs/>
          <w:sz w:val="24"/>
          <w:szCs w:val="24"/>
          <w:lang w:val="en-US"/>
        </w:rPr>
        <w:t>148</w:t>
      </w:r>
      <w:r w:rsidRPr="00DF76D9">
        <w:rPr>
          <w:rFonts w:ascii="Times New Roman" w:hAnsi="Times New Roman" w:cs="Times New Roman"/>
          <w:bCs/>
          <w:sz w:val="24"/>
          <w:szCs w:val="24"/>
          <w:lang w:val="en-US"/>
        </w:rPr>
        <w:t>)</w:t>
      </w:r>
      <w:r w:rsidR="00924C2B">
        <w:rPr>
          <w:rFonts w:ascii="Times New Roman" w:hAnsi="Times New Roman" w:cs="Times New Roman"/>
          <w:bCs/>
          <w:sz w:val="24"/>
          <w:szCs w:val="24"/>
          <w:lang w:val="en-US"/>
        </w:rPr>
        <w:t xml:space="preserve"> </w:t>
      </w:r>
      <w:r w:rsidRPr="00DF76D9">
        <w:rPr>
          <w:rFonts w:ascii="Times New Roman" w:hAnsi="Times New Roman" w:cs="Times New Roman"/>
          <w:bCs/>
          <w:sz w:val="24"/>
          <w:szCs w:val="24"/>
          <w:lang w:val="en-US"/>
        </w:rPr>
        <w:t xml:space="preserve">and </w:t>
      </w:r>
      <w:r w:rsidR="007C1522" w:rsidRPr="00DF76D9">
        <w:rPr>
          <w:rFonts w:ascii="Times New Roman" w:hAnsi="Times New Roman" w:cs="Times New Roman"/>
          <w:bCs/>
          <w:sz w:val="24"/>
          <w:szCs w:val="24"/>
          <w:lang w:val="en-US"/>
        </w:rPr>
        <w:t>5.3</w:t>
      </w:r>
      <w:r w:rsidR="00A76788" w:rsidRPr="00DF76D9">
        <w:rPr>
          <w:rFonts w:ascii="Times New Roman" w:hAnsi="Times New Roman" w:cs="Times New Roman"/>
          <w:bCs/>
          <w:sz w:val="24"/>
          <w:szCs w:val="24"/>
          <w:lang w:val="en-US"/>
        </w:rPr>
        <w:t>86</w:t>
      </w:r>
      <w:r w:rsidRPr="00DF76D9">
        <w:rPr>
          <w:rFonts w:ascii="Times New Roman" w:hAnsi="Times New Roman" w:cs="Times New Roman"/>
          <w:bCs/>
          <w:sz w:val="24"/>
          <w:szCs w:val="24"/>
          <w:lang w:val="en-US"/>
        </w:rPr>
        <w:t xml:space="preserve"> (</w:t>
      </w:r>
      <w:r w:rsidR="007C1522" w:rsidRPr="00DF76D9">
        <w:rPr>
          <w:rFonts w:ascii="Times New Roman" w:hAnsi="Times New Roman" w:cs="Times New Roman"/>
          <w:bCs/>
          <w:sz w:val="24"/>
          <w:szCs w:val="24"/>
          <w:lang w:val="en-US"/>
        </w:rPr>
        <w:t>5.3</w:t>
      </w:r>
      <w:r w:rsidR="00A76788" w:rsidRPr="00DF76D9">
        <w:rPr>
          <w:rFonts w:ascii="Times New Roman" w:hAnsi="Times New Roman" w:cs="Times New Roman"/>
          <w:bCs/>
          <w:sz w:val="24"/>
          <w:szCs w:val="24"/>
          <w:lang w:val="en-US"/>
        </w:rPr>
        <w:t>99</w:t>
      </w:r>
      <w:r w:rsidRPr="00DF76D9">
        <w:rPr>
          <w:rFonts w:ascii="Times New Roman" w:hAnsi="Times New Roman" w:cs="Times New Roman"/>
          <w:bCs/>
          <w:sz w:val="24"/>
          <w:szCs w:val="24"/>
          <w:lang w:val="en-US"/>
        </w:rPr>
        <w:t xml:space="preserve">) respectively. </w:t>
      </w:r>
      <w:r w:rsidR="00D70FBC" w:rsidRPr="00DF76D9">
        <w:rPr>
          <w:rFonts w:ascii="Times New Roman" w:hAnsi="Times New Roman" w:cs="Times New Roman"/>
          <w:bCs/>
          <w:sz w:val="24"/>
          <w:szCs w:val="24"/>
          <w:lang w:val="en-US"/>
        </w:rPr>
        <w:t>These statistics suggest</w:t>
      </w:r>
      <w:r w:rsidRPr="00DF76D9">
        <w:rPr>
          <w:rFonts w:ascii="Times New Roman" w:hAnsi="Times New Roman" w:cs="Times New Roman"/>
          <w:bCs/>
          <w:sz w:val="24"/>
          <w:szCs w:val="24"/>
          <w:lang w:val="en-US"/>
        </w:rPr>
        <w:t xml:space="preserve"> that on average </w:t>
      </w:r>
      <w:r w:rsidR="00D70FBC" w:rsidRPr="00DF76D9">
        <w:rPr>
          <w:rFonts w:asciiTheme="majorBidi" w:eastAsia="Times New Roman" w:hAnsiTheme="majorBidi" w:cstheme="majorBidi"/>
          <w:color w:val="000000"/>
          <w:sz w:val="24"/>
          <w:szCs w:val="24"/>
          <w:lang w:val="en-US"/>
        </w:rPr>
        <w:t>a one percent</w:t>
      </w:r>
      <w:r w:rsidR="007770A8" w:rsidRPr="00DF76D9">
        <w:rPr>
          <w:rFonts w:asciiTheme="majorBidi" w:eastAsia="Times New Roman" w:hAnsiTheme="majorBidi" w:cstheme="majorBidi"/>
          <w:color w:val="000000"/>
          <w:sz w:val="24"/>
          <w:szCs w:val="24"/>
          <w:lang w:val="en-US"/>
        </w:rPr>
        <w:t xml:space="preserve"> change in stock volatility</w:t>
      </w:r>
      <w:r w:rsidRPr="00DF76D9">
        <w:rPr>
          <w:rFonts w:asciiTheme="majorBidi" w:eastAsia="Times New Roman" w:hAnsiTheme="majorBidi" w:cstheme="majorBidi"/>
          <w:color w:val="000000"/>
          <w:sz w:val="24"/>
          <w:szCs w:val="24"/>
          <w:lang w:val="en-US"/>
        </w:rPr>
        <w:t xml:space="preserve"> </w:t>
      </w:r>
      <w:r w:rsidR="007770A8" w:rsidRPr="00DF76D9">
        <w:rPr>
          <w:rFonts w:asciiTheme="majorBidi" w:eastAsia="Times New Roman" w:hAnsiTheme="majorBidi" w:cstheme="majorBidi"/>
          <w:color w:val="000000"/>
          <w:sz w:val="24"/>
          <w:szCs w:val="24"/>
          <w:lang w:val="en-US"/>
        </w:rPr>
        <w:t xml:space="preserve">(prices) </w:t>
      </w:r>
      <w:r w:rsidR="000E1E25" w:rsidRPr="00DF76D9">
        <w:rPr>
          <w:rFonts w:asciiTheme="majorBidi" w:eastAsia="Times New Roman" w:hAnsiTheme="majorBidi" w:cstheme="majorBidi"/>
          <w:color w:val="000000"/>
          <w:sz w:val="24"/>
          <w:szCs w:val="24"/>
          <w:lang w:val="en-US"/>
        </w:rPr>
        <w:t xml:space="preserve">results in </w:t>
      </w:r>
      <w:r w:rsidR="00E43E5F" w:rsidRPr="00DF76D9">
        <w:rPr>
          <w:rFonts w:asciiTheme="majorBidi" w:eastAsia="Times New Roman" w:hAnsiTheme="majorBidi" w:cstheme="majorBidi"/>
          <w:color w:val="000000"/>
          <w:sz w:val="24"/>
          <w:szCs w:val="24"/>
          <w:lang w:val="en-US"/>
        </w:rPr>
        <w:t>$</w:t>
      </w:r>
      <w:r w:rsidR="00A76788" w:rsidRPr="00DF76D9">
        <w:rPr>
          <w:rFonts w:asciiTheme="majorBidi" w:eastAsia="Times New Roman" w:hAnsiTheme="majorBidi" w:cstheme="majorBidi"/>
          <w:color w:val="000000"/>
          <w:sz w:val="24"/>
          <w:szCs w:val="24"/>
          <w:lang w:val="en-US"/>
        </w:rPr>
        <w:t>135.53</w:t>
      </w:r>
      <w:r w:rsidR="007770A8" w:rsidRPr="00DF76D9">
        <w:rPr>
          <w:rFonts w:asciiTheme="majorBidi" w:eastAsia="Times New Roman" w:hAnsiTheme="majorBidi" w:cstheme="majorBidi"/>
          <w:color w:val="000000"/>
          <w:sz w:val="24"/>
          <w:szCs w:val="24"/>
          <w:lang w:val="en-US"/>
        </w:rPr>
        <w:t xml:space="preserve"> ($</w:t>
      </w:r>
      <w:r w:rsidR="00A76788" w:rsidRPr="00DF76D9">
        <w:rPr>
          <w:rFonts w:ascii="Times New Roman" w:hAnsi="Times New Roman" w:cs="Times New Roman"/>
          <w:bCs/>
          <w:sz w:val="24"/>
          <w:szCs w:val="24"/>
          <w:lang w:val="en-US"/>
        </w:rPr>
        <w:t>540.22</w:t>
      </w:r>
      <w:r w:rsidR="007770A8" w:rsidRPr="00DF76D9">
        <w:rPr>
          <w:rFonts w:ascii="Times New Roman" w:hAnsi="Times New Roman" w:cs="Times New Roman"/>
          <w:bCs/>
          <w:sz w:val="24"/>
          <w:szCs w:val="24"/>
          <w:lang w:val="en-US"/>
        </w:rPr>
        <w:t>) increase in</w:t>
      </w:r>
      <w:r w:rsidR="00D70FBC" w:rsidRPr="00DF76D9">
        <w:rPr>
          <w:rFonts w:ascii="Times New Roman" w:hAnsi="Times New Roman" w:cs="Times New Roman"/>
          <w:bCs/>
          <w:sz w:val="24"/>
          <w:szCs w:val="24"/>
          <w:lang w:val="en-US"/>
        </w:rPr>
        <w:t xml:space="preserve"> the</w:t>
      </w:r>
      <w:r w:rsidR="007770A8" w:rsidRPr="00DF76D9">
        <w:rPr>
          <w:rFonts w:ascii="Times New Roman" w:hAnsi="Times New Roman" w:cs="Times New Roman"/>
          <w:bCs/>
          <w:sz w:val="24"/>
          <w:szCs w:val="24"/>
          <w:lang w:val="en-US"/>
        </w:rPr>
        <w:t xml:space="preserve"> value of </w:t>
      </w:r>
      <w:r w:rsidR="00D70FBC" w:rsidRPr="00DF76D9">
        <w:rPr>
          <w:rFonts w:ascii="Times New Roman" w:hAnsi="Times New Roman" w:cs="Times New Roman"/>
          <w:bCs/>
          <w:sz w:val="24"/>
          <w:szCs w:val="24"/>
          <w:lang w:val="en-US"/>
        </w:rPr>
        <w:t>CEO</w:t>
      </w:r>
      <w:r w:rsidR="007770A8" w:rsidRPr="00DF76D9">
        <w:rPr>
          <w:rFonts w:ascii="Times New Roman" w:hAnsi="Times New Roman" w:cs="Times New Roman"/>
          <w:bCs/>
          <w:sz w:val="24"/>
          <w:szCs w:val="24"/>
          <w:lang w:val="en-US"/>
        </w:rPr>
        <w:t xml:space="preserve"> stock options and therefore </w:t>
      </w:r>
      <w:r w:rsidR="00D70FBC" w:rsidRPr="00DF76D9">
        <w:rPr>
          <w:rFonts w:ascii="Times New Roman" w:hAnsi="Times New Roman" w:cs="Times New Roman"/>
          <w:bCs/>
          <w:sz w:val="24"/>
          <w:szCs w:val="24"/>
          <w:lang w:val="en-US"/>
        </w:rPr>
        <w:t xml:space="preserve">CEO </w:t>
      </w:r>
      <w:r w:rsidR="007770A8" w:rsidRPr="00DF76D9">
        <w:rPr>
          <w:rFonts w:ascii="Times New Roman" w:hAnsi="Times New Roman" w:cs="Times New Roman"/>
          <w:bCs/>
          <w:sz w:val="24"/>
          <w:szCs w:val="24"/>
          <w:lang w:val="en-US"/>
        </w:rPr>
        <w:t xml:space="preserve">wealth. </w:t>
      </w:r>
      <w:r w:rsidR="00A76788" w:rsidRPr="00DF76D9">
        <w:rPr>
          <w:rFonts w:ascii="Times New Roman" w:hAnsi="Times New Roman" w:cs="Times New Roman"/>
          <w:bCs/>
          <w:sz w:val="24"/>
          <w:szCs w:val="24"/>
          <w:lang w:val="en-US"/>
        </w:rPr>
        <w:t xml:space="preserve">These descriptives are comparable to </w:t>
      </w:r>
      <w:r w:rsidR="004B3507" w:rsidRPr="00924C2B">
        <w:rPr>
          <w:rFonts w:ascii="Times New Roman" w:hAnsi="Times New Roman" w:cs="Times New Roman"/>
          <w:color w:val="000000" w:themeColor="text1"/>
          <w:sz w:val="24"/>
          <w:szCs w:val="24"/>
          <w:lang w:val="en-US"/>
        </w:rPr>
        <w:t>Dunbar</w:t>
      </w:r>
      <w:r w:rsidR="00024071">
        <w:rPr>
          <w:rFonts w:ascii="Times New Roman" w:hAnsi="Times New Roman" w:cs="Times New Roman"/>
          <w:color w:val="000000" w:themeColor="text1"/>
          <w:sz w:val="24"/>
          <w:szCs w:val="24"/>
          <w:lang w:val="en-US"/>
        </w:rPr>
        <w:t xml:space="preserve"> et al.</w:t>
      </w:r>
      <w:r w:rsidR="004B3507" w:rsidRPr="00924C2B">
        <w:rPr>
          <w:rFonts w:ascii="Times New Roman" w:hAnsi="Times New Roman" w:cs="Times New Roman"/>
          <w:color w:val="000000" w:themeColor="text1"/>
          <w:sz w:val="24"/>
          <w:szCs w:val="24"/>
          <w:lang w:val="en-US"/>
        </w:rPr>
        <w:t xml:space="preserve"> </w:t>
      </w:r>
      <w:r w:rsidR="004B3507" w:rsidRPr="00924C2B">
        <w:rPr>
          <w:rFonts w:ascii="Times New Roman" w:hAnsi="Times New Roman" w:cs="Times New Roman"/>
          <w:sz w:val="24"/>
          <w:szCs w:val="24"/>
          <w:lang w:val="en-US"/>
        </w:rPr>
        <w:t>(2020)</w:t>
      </w:r>
      <w:r w:rsidR="00A76788" w:rsidRPr="00924C2B">
        <w:rPr>
          <w:rFonts w:ascii="Times New Roman" w:hAnsi="Times New Roman" w:cs="Times New Roman"/>
          <w:bCs/>
          <w:sz w:val="24"/>
          <w:szCs w:val="24"/>
          <w:lang w:val="en-US"/>
        </w:rPr>
        <w:t xml:space="preserve"> </w:t>
      </w:r>
      <w:r w:rsidR="00A13467" w:rsidRPr="00924C2B">
        <w:rPr>
          <w:rFonts w:ascii="Times New Roman" w:hAnsi="Times New Roman" w:cs="Times New Roman"/>
          <w:bCs/>
          <w:sz w:val="24"/>
          <w:szCs w:val="24"/>
          <w:lang w:val="en-US"/>
        </w:rPr>
        <w:t>who,</w:t>
      </w:r>
      <w:r w:rsidR="00B7036B" w:rsidRPr="00924C2B">
        <w:rPr>
          <w:rFonts w:ascii="Times New Roman" w:hAnsi="Times New Roman" w:cs="Times New Roman"/>
          <w:bCs/>
          <w:sz w:val="24"/>
          <w:szCs w:val="24"/>
          <w:lang w:val="en-US"/>
        </w:rPr>
        <w:t xml:space="preserve"> for a sample </w:t>
      </w:r>
      <w:r w:rsidR="00D03CD9" w:rsidRPr="00924C2B">
        <w:rPr>
          <w:rFonts w:ascii="Times New Roman" w:hAnsi="Times New Roman" w:cs="Times New Roman"/>
          <w:bCs/>
          <w:sz w:val="24"/>
          <w:szCs w:val="24"/>
          <w:lang w:val="en-US"/>
        </w:rPr>
        <w:t>that</w:t>
      </w:r>
      <w:r w:rsidR="00B7036B" w:rsidRPr="00924C2B">
        <w:rPr>
          <w:rFonts w:ascii="Times New Roman" w:hAnsi="Times New Roman" w:cs="Times New Roman"/>
          <w:bCs/>
          <w:sz w:val="24"/>
          <w:szCs w:val="24"/>
          <w:lang w:val="en-US"/>
        </w:rPr>
        <w:t xml:space="preserve"> partly overlaps ours</w:t>
      </w:r>
      <w:r w:rsidR="00A13467" w:rsidRPr="00924C2B">
        <w:rPr>
          <w:rFonts w:ascii="Times New Roman" w:hAnsi="Times New Roman" w:cs="Times New Roman"/>
          <w:bCs/>
          <w:sz w:val="24"/>
          <w:szCs w:val="24"/>
          <w:lang w:val="en-US"/>
        </w:rPr>
        <w:t>,</w:t>
      </w:r>
      <w:r w:rsidR="00B7036B" w:rsidRPr="00924C2B">
        <w:rPr>
          <w:rFonts w:ascii="Times New Roman" w:hAnsi="Times New Roman" w:cs="Times New Roman"/>
          <w:bCs/>
          <w:sz w:val="24"/>
          <w:szCs w:val="24"/>
          <w:lang w:val="en-US"/>
        </w:rPr>
        <w:t xml:space="preserve"> report </w:t>
      </w:r>
      <w:r w:rsidR="00A13467" w:rsidRPr="00924C2B">
        <w:rPr>
          <w:rFonts w:ascii="Times New Roman" w:hAnsi="Times New Roman" w:cs="Times New Roman"/>
          <w:bCs/>
          <w:sz w:val="24"/>
          <w:szCs w:val="24"/>
          <w:lang w:val="en-US"/>
        </w:rPr>
        <w:t xml:space="preserve">an </w:t>
      </w:r>
      <w:r w:rsidR="00B7036B" w:rsidRPr="00924C2B">
        <w:rPr>
          <w:rFonts w:ascii="Times New Roman" w:hAnsi="Times New Roman" w:cs="Times New Roman"/>
          <w:bCs/>
          <w:sz w:val="24"/>
          <w:szCs w:val="24"/>
          <w:lang w:val="en-US"/>
        </w:rPr>
        <w:t xml:space="preserve">average </w:t>
      </w:r>
      <w:proofErr w:type="spellStart"/>
      <w:r w:rsidR="00B7036B" w:rsidRPr="00924C2B">
        <w:rPr>
          <w:rFonts w:ascii="Times New Roman" w:hAnsi="Times New Roman" w:cs="Times New Roman"/>
          <w:bCs/>
          <w:sz w:val="24"/>
          <w:szCs w:val="24"/>
          <w:lang w:val="en-US"/>
        </w:rPr>
        <w:t>vega</w:t>
      </w:r>
      <w:proofErr w:type="spellEnd"/>
      <w:r w:rsidR="00B7036B" w:rsidRPr="00924C2B">
        <w:rPr>
          <w:rFonts w:ascii="Times New Roman" w:hAnsi="Times New Roman" w:cs="Times New Roman"/>
          <w:bCs/>
          <w:sz w:val="24"/>
          <w:szCs w:val="24"/>
          <w:lang w:val="en-US"/>
        </w:rPr>
        <w:t xml:space="preserve"> of $123. </w:t>
      </w:r>
      <w:r w:rsidR="00D70FBC" w:rsidRPr="00924C2B">
        <w:rPr>
          <w:rFonts w:ascii="Times New Roman" w:hAnsi="Times New Roman" w:cs="Times New Roman"/>
          <w:bCs/>
          <w:sz w:val="24"/>
          <w:szCs w:val="24"/>
          <w:lang w:val="en-US"/>
        </w:rPr>
        <w:t xml:space="preserve">The mean </w:t>
      </w:r>
      <w:proofErr w:type="spellStart"/>
      <w:r w:rsidR="00D70FBC" w:rsidRPr="00924C2B">
        <w:rPr>
          <w:rFonts w:ascii="Times New Roman" w:hAnsi="Times New Roman" w:cs="Times New Roman"/>
          <w:bCs/>
          <w:i/>
          <w:sz w:val="24"/>
          <w:szCs w:val="24"/>
          <w:lang w:val="en-US"/>
        </w:rPr>
        <w:t>CashComp</w:t>
      </w:r>
      <w:proofErr w:type="spellEnd"/>
      <w:r w:rsidR="00D70FBC" w:rsidRPr="00924C2B">
        <w:rPr>
          <w:rFonts w:ascii="Times New Roman" w:hAnsi="Times New Roman" w:cs="Times New Roman"/>
          <w:bCs/>
          <w:i/>
          <w:sz w:val="24"/>
          <w:szCs w:val="24"/>
          <w:lang w:val="en-US"/>
        </w:rPr>
        <w:t xml:space="preserve"> </w:t>
      </w:r>
      <w:r w:rsidR="00D70FBC" w:rsidRPr="00924C2B">
        <w:rPr>
          <w:rFonts w:ascii="Times New Roman" w:hAnsi="Times New Roman" w:cs="Times New Roman"/>
          <w:bCs/>
          <w:sz w:val="24"/>
          <w:szCs w:val="24"/>
          <w:lang w:val="en-US"/>
        </w:rPr>
        <w:t>is 6.</w:t>
      </w:r>
      <w:r w:rsidR="007C1522" w:rsidRPr="00924C2B">
        <w:rPr>
          <w:rFonts w:ascii="Times New Roman" w:hAnsi="Times New Roman" w:cs="Times New Roman"/>
          <w:bCs/>
          <w:sz w:val="24"/>
          <w:szCs w:val="24"/>
          <w:lang w:val="en-US"/>
        </w:rPr>
        <w:t>7</w:t>
      </w:r>
      <w:r w:rsidR="00B7036B" w:rsidRPr="00924C2B">
        <w:rPr>
          <w:rFonts w:ascii="Times New Roman" w:hAnsi="Times New Roman" w:cs="Times New Roman"/>
          <w:bCs/>
          <w:sz w:val="24"/>
          <w:szCs w:val="24"/>
          <w:lang w:val="en-US"/>
        </w:rPr>
        <w:t>6</w:t>
      </w:r>
      <w:r w:rsidR="007C1522" w:rsidRPr="00924C2B">
        <w:rPr>
          <w:rFonts w:ascii="Times New Roman" w:hAnsi="Times New Roman" w:cs="Times New Roman"/>
          <w:bCs/>
          <w:sz w:val="24"/>
          <w:szCs w:val="24"/>
          <w:lang w:val="en-US"/>
        </w:rPr>
        <w:t xml:space="preserve">9 </w:t>
      </w:r>
      <w:r w:rsidR="00D70FBC" w:rsidRPr="00924C2B">
        <w:rPr>
          <w:rFonts w:ascii="Times New Roman" w:hAnsi="Times New Roman" w:cs="Times New Roman"/>
          <w:bCs/>
          <w:sz w:val="24"/>
          <w:szCs w:val="24"/>
          <w:lang w:val="en-US"/>
        </w:rPr>
        <w:t>equivalent to $</w:t>
      </w:r>
      <w:r w:rsidR="00924C2B" w:rsidRPr="00924C2B">
        <w:rPr>
          <w:rFonts w:ascii="Times New Roman" w:hAnsi="Times New Roman" w:cs="Times New Roman"/>
          <w:bCs/>
          <w:sz w:val="24"/>
          <w:szCs w:val="24"/>
          <w:lang w:val="en-US"/>
        </w:rPr>
        <w:t>869,441</w:t>
      </w:r>
      <w:r w:rsidR="00D70FBC" w:rsidRPr="00924C2B">
        <w:rPr>
          <w:rFonts w:ascii="Times New Roman" w:hAnsi="Times New Roman" w:cs="Times New Roman"/>
          <w:bCs/>
          <w:sz w:val="24"/>
          <w:szCs w:val="24"/>
          <w:lang w:val="en-US"/>
        </w:rPr>
        <w:t xml:space="preserve"> while </w:t>
      </w:r>
      <w:r w:rsidR="00D03CD9" w:rsidRPr="00924C2B">
        <w:rPr>
          <w:rFonts w:ascii="Times New Roman" w:hAnsi="Times New Roman" w:cs="Times New Roman"/>
          <w:bCs/>
          <w:sz w:val="24"/>
          <w:szCs w:val="24"/>
          <w:lang w:val="en-US"/>
        </w:rPr>
        <w:t xml:space="preserve">the </w:t>
      </w:r>
      <w:r w:rsidR="00D70FBC" w:rsidRPr="00924C2B">
        <w:rPr>
          <w:rFonts w:ascii="Times New Roman" w:hAnsi="Times New Roman" w:cs="Times New Roman"/>
          <w:bCs/>
          <w:sz w:val="24"/>
          <w:szCs w:val="24"/>
          <w:lang w:val="en-US"/>
        </w:rPr>
        <w:t xml:space="preserve">median </w:t>
      </w:r>
      <w:proofErr w:type="spellStart"/>
      <w:r w:rsidR="00D70FBC" w:rsidRPr="00924C2B">
        <w:rPr>
          <w:rFonts w:ascii="Times New Roman" w:hAnsi="Times New Roman" w:cs="Times New Roman"/>
          <w:bCs/>
          <w:i/>
          <w:sz w:val="24"/>
          <w:szCs w:val="24"/>
          <w:lang w:val="en-US"/>
        </w:rPr>
        <w:t>CashComp</w:t>
      </w:r>
      <w:proofErr w:type="spellEnd"/>
      <w:r w:rsidR="00D70FBC" w:rsidRPr="00924C2B">
        <w:rPr>
          <w:rFonts w:ascii="Times New Roman" w:hAnsi="Times New Roman" w:cs="Times New Roman"/>
          <w:bCs/>
          <w:i/>
          <w:sz w:val="24"/>
          <w:szCs w:val="24"/>
          <w:lang w:val="en-US"/>
        </w:rPr>
        <w:t xml:space="preserve"> </w:t>
      </w:r>
      <w:r w:rsidR="00D70FBC" w:rsidRPr="00924C2B">
        <w:rPr>
          <w:rFonts w:ascii="Times New Roman" w:hAnsi="Times New Roman" w:cs="Times New Roman"/>
          <w:bCs/>
          <w:sz w:val="24"/>
          <w:szCs w:val="24"/>
          <w:lang w:val="en-US"/>
        </w:rPr>
        <w:t>is 6.7</w:t>
      </w:r>
      <w:r w:rsidR="00B7036B" w:rsidRPr="00924C2B">
        <w:rPr>
          <w:rFonts w:ascii="Times New Roman" w:hAnsi="Times New Roman" w:cs="Times New Roman"/>
          <w:bCs/>
          <w:sz w:val="24"/>
          <w:szCs w:val="24"/>
          <w:lang w:val="en-US"/>
        </w:rPr>
        <w:t>73</w:t>
      </w:r>
      <w:r w:rsidR="00E43E5F" w:rsidRPr="00924C2B">
        <w:rPr>
          <w:rFonts w:ascii="Times New Roman" w:hAnsi="Times New Roman" w:cs="Times New Roman"/>
          <w:bCs/>
          <w:sz w:val="24"/>
          <w:szCs w:val="24"/>
          <w:lang w:val="en-US"/>
        </w:rPr>
        <w:t xml:space="preserve"> equivalent to $</w:t>
      </w:r>
      <w:r w:rsidR="00924C2B" w:rsidRPr="00924C2B">
        <w:rPr>
          <w:rFonts w:ascii="Times New Roman" w:hAnsi="Times New Roman" w:cs="Times New Roman"/>
          <w:bCs/>
          <w:sz w:val="24"/>
          <w:szCs w:val="24"/>
          <w:lang w:val="en-US"/>
        </w:rPr>
        <w:t>872,930</w:t>
      </w:r>
      <w:r w:rsidR="00D70FBC" w:rsidRPr="00924C2B">
        <w:rPr>
          <w:rFonts w:ascii="Times New Roman" w:hAnsi="Times New Roman" w:cs="Times New Roman"/>
          <w:bCs/>
          <w:sz w:val="24"/>
          <w:szCs w:val="24"/>
          <w:lang w:val="en-US"/>
        </w:rPr>
        <w:t>.</w:t>
      </w:r>
    </w:p>
    <w:p w14:paraId="01CDF8E6" w14:textId="0EF7F01F" w:rsidR="002B7EC9" w:rsidRPr="00DF76D9" w:rsidRDefault="002B7EC9">
      <w:pPr>
        <w:spacing w:after="0" w:line="480" w:lineRule="auto"/>
        <w:ind w:firstLine="720"/>
        <w:jc w:val="both"/>
        <w:rPr>
          <w:rFonts w:ascii="Times New Roman" w:hAnsi="Times New Roman" w:cs="Times New Roman"/>
          <w:bCs/>
          <w:sz w:val="24"/>
          <w:szCs w:val="24"/>
          <w:lang w:val="en-US"/>
        </w:rPr>
      </w:pPr>
      <w:r w:rsidRPr="00924C2B">
        <w:rPr>
          <w:rFonts w:ascii="Times New Roman" w:hAnsi="Times New Roman" w:cs="Times New Roman"/>
          <w:bCs/>
          <w:sz w:val="24"/>
          <w:szCs w:val="24"/>
          <w:lang w:val="en-US"/>
        </w:rPr>
        <w:t xml:space="preserve">The mean (median) </w:t>
      </w:r>
      <w:r w:rsidR="004B1EF0" w:rsidRPr="00924C2B">
        <w:rPr>
          <w:rFonts w:ascii="Times New Roman" w:hAnsi="Times New Roman" w:cs="Times New Roman"/>
          <w:bCs/>
          <w:i/>
          <w:sz w:val="24"/>
          <w:szCs w:val="24"/>
          <w:lang w:val="en-US"/>
        </w:rPr>
        <w:t xml:space="preserve">Leverage, </w:t>
      </w:r>
      <w:proofErr w:type="spellStart"/>
      <w:r w:rsidR="004B1EF0" w:rsidRPr="00924C2B">
        <w:rPr>
          <w:rFonts w:ascii="Times New Roman" w:hAnsi="Times New Roman" w:cs="Times New Roman"/>
          <w:bCs/>
          <w:i/>
          <w:sz w:val="24"/>
          <w:szCs w:val="24"/>
          <w:lang w:val="en-US"/>
        </w:rPr>
        <w:t>CashFlow</w:t>
      </w:r>
      <w:proofErr w:type="spellEnd"/>
      <w:r w:rsidRPr="00924C2B">
        <w:rPr>
          <w:rFonts w:ascii="Times New Roman" w:hAnsi="Times New Roman" w:cs="Times New Roman"/>
          <w:bCs/>
          <w:sz w:val="24"/>
          <w:szCs w:val="24"/>
          <w:lang w:val="en-US"/>
        </w:rPr>
        <w:t xml:space="preserve"> </w:t>
      </w:r>
      <w:r w:rsidR="004B1EF0" w:rsidRPr="00924C2B">
        <w:rPr>
          <w:rFonts w:ascii="Times New Roman" w:hAnsi="Times New Roman" w:cs="Times New Roman"/>
          <w:bCs/>
          <w:sz w:val="24"/>
          <w:szCs w:val="24"/>
          <w:lang w:val="en-US"/>
        </w:rPr>
        <w:t xml:space="preserve">and </w:t>
      </w:r>
      <w:proofErr w:type="spellStart"/>
      <w:r w:rsidR="004B1EF0" w:rsidRPr="00924C2B">
        <w:rPr>
          <w:rFonts w:ascii="Times New Roman" w:hAnsi="Times New Roman" w:cs="Times New Roman"/>
          <w:bCs/>
          <w:i/>
          <w:sz w:val="24"/>
          <w:szCs w:val="24"/>
          <w:lang w:val="en-US"/>
        </w:rPr>
        <w:t>DividendPayout</w:t>
      </w:r>
      <w:proofErr w:type="spellEnd"/>
      <w:r w:rsidR="004B1EF0" w:rsidRPr="00924C2B">
        <w:rPr>
          <w:rFonts w:ascii="Times New Roman" w:hAnsi="Times New Roman" w:cs="Times New Roman"/>
          <w:bCs/>
          <w:i/>
          <w:sz w:val="24"/>
          <w:szCs w:val="24"/>
          <w:lang w:val="en-US"/>
        </w:rPr>
        <w:t xml:space="preserve"> </w:t>
      </w:r>
      <w:r w:rsidRPr="00924C2B">
        <w:rPr>
          <w:rFonts w:ascii="Times New Roman" w:hAnsi="Times New Roman" w:cs="Times New Roman"/>
          <w:bCs/>
          <w:sz w:val="24"/>
          <w:szCs w:val="24"/>
          <w:lang w:val="en-US"/>
        </w:rPr>
        <w:t>are 0.22</w:t>
      </w:r>
      <w:r w:rsidR="00B7036B" w:rsidRPr="00924C2B">
        <w:rPr>
          <w:rFonts w:ascii="Times New Roman" w:hAnsi="Times New Roman" w:cs="Times New Roman"/>
          <w:bCs/>
          <w:sz w:val="24"/>
          <w:szCs w:val="24"/>
          <w:lang w:val="en-US"/>
        </w:rPr>
        <w:t>0</w:t>
      </w:r>
      <w:r w:rsidRPr="00924C2B">
        <w:rPr>
          <w:rFonts w:ascii="Times New Roman" w:hAnsi="Times New Roman" w:cs="Times New Roman"/>
          <w:bCs/>
          <w:sz w:val="24"/>
          <w:szCs w:val="24"/>
          <w:lang w:val="en-US"/>
        </w:rPr>
        <w:t xml:space="preserve"> (0.</w:t>
      </w:r>
      <w:r w:rsidR="00B7036B" w:rsidRPr="00924C2B">
        <w:rPr>
          <w:rFonts w:ascii="Times New Roman" w:hAnsi="Times New Roman" w:cs="Times New Roman"/>
          <w:bCs/>
          <w:sz w:val="24"/>
          <w:szCs w:val="24"/>
          <w:lang w:val="en-US"/>
        </w:rPr>
        <w:t>197</w:t>
      </w:r>
      <w:r w:rsidRPr="00DF76D9">
        <w:rPr>
          <w:rFonts w:ascii="Times New Roman" w:hAnsi="Times New Roman" w:cs="Times New Roman"/>
          <w:bCs/>
          <w:sz w:val="24"/>
          <w:szCs w:val="24"/>
          <w:lang w:val="en-US"/>
        </w:rPr>
        <w:t>)</w:t>
      </w:r>
      <w:r w:rsidR="004B1EF0" w:rsidRPr="00DF76D9">
        <w:rPr>
          <w:rFonts w:ascii="Times New Roman" w:hAnsi="Times New Roman" w:cs="Times New Roman"/>
          <w:bCs/>
          <w:sz w:val="24"/>
          <w:szCs w:val="24"/>
          <w:lang w:val="en-US"/>
        </w:rPr>
        <w:t xml:space="preserve">, </w:t>
      </w:r>
      <w:r w:rsidRPr="00DF76D9">
        <w:rPr>
          <w:rFonts w:ascii="Times New Roman" w:hAnsi="Times New Roman" w:cs="Times New Roman"/>
          <w:bCs/>
          <w:sz w:val="24"/>
          <w:szCs w:val="24"/>
          <w:lang w:val="en-US"/>
        </w:rPr>
        <w:t>0.07</w:t>
      </w:r>
      <w:r w:rsidR="007C1522" w:rsidRPr="00DF76D9">
        <w:rPr>
          <w:rFonts w:ascii="Times New Roman" w:hAnsi="Times New Roman" w:cs="Times New Roman"/>
          <w:bCs/>
          <w:sz w:val="24"/>
          <w:szCs w:val="24"/>
          <w:lang w:val="en-US"/>
        </w:rPr>
        <w:t>5</w:t>
      </w:r>
      <w:r w:rsidRPr="00DF76D9">
        <w:rPr>
          <w:rFonts w:ascii="Times New Roman" w:hAnsi="Times New Roman" w:cs="Times New Roman"/>
          <w:bCs/>
          <w:sz w:val="24"/>
          <w:szCs w:val="24"/>
          <w:lang w:val="en-US"/>
        </w:rPr>
        <w:t xml:space="preserve"> (0.09</w:t>
      </w:r>
      <w:r w:rsidR="00B7036B" w:rsidRPr="00DF76D9">
        <w:rPr>
          <w:rFonts w:ascii="Times New Roman" w:hAnsi="Times New Roman" w:cs="Times New Roman"/>
          <w:bCs/>
          <w:sz w:val="24"/>
          <w:szCs w:val="24"/>
          <w:lang w:val="en-US"/>
        </w:rPr>
        <w:t>1</w:t>
      </w:r>
      <w:r w:rsidRPr="00DF76D9">
        <w:rPr>
          <w:rFonts w:ascii="Times New Roman" w:hAnsi="Times New Roman" w:cs="Times New Roman"/>
          <w:bCs/>
          <w:sz w:val="24"/>
          <w:szCs w:val="24"/>
          <w:lang w:val="en-US"/>
        </w:rPr>
        <w:t>)</w:t>
      </w:r>
      <w:r w:rsidR="004B1EF0" w:rsidRPr="00DF76D9">
        <w:rPr>
          <w:rFonts w:ascii="Times New Roman" w:hAnsi="Times New Roman" w:cs="Times New Roman"/>
          <w:bCs/>
          <w:sz w:val="24"/>
          <w:szCs w:val="24"/>
          <w:lang w:val="en-US"/>
        </w:rPr>
        <w:t xml:space="preserve"> and 0.01</w:t>
      </w:r>
      <w:r w:rsidR="00B7036B" w:rsidRPr="00DF76D9">
        <w:rPr>
          <w:rFonts w:ascii="Times New Roman" w:hAnsi="Times New Roman" w:cs="Times New Roman"/>
          <w:bCs/>
          <w:sz w:val="24"/>
          <w:szCs w:val="24"/>
          <w:lang w:val="en-US"/>
        </w:rPr>
        <w:t>3</w:t>
      </w:r>
      <w:r w:rsidR="004B1EF0" w:rsidRPr="00DF76D9">
        <w:rPr>
          <w:rFonts w:ascii="Times New Roman" w:hAnsi="Times New Roman" w:cs="Times New Roman"/>
          <w:bCs/>
          <w:sz w:val="24"/>
          <w:szCs w:val="24"/>
          <w:lang w:val="en-US"/>
        </w:rPr>
        <w:t xml:space="preserve"> (0.0</w:t>
      </w:r>
      <w:r w:rsidR="00B7036B" w:rsidRPr="00DF76D9">
        <w:rPr>
          <w:rFonts w:ascii="Times New Roman" w:hAnsi="Times New Roman" w:cs="Times New Roman"/>
          <w:bCs/>
          <w:sz w:val="24"/>
          <w:szCs w:val="24"/>
          <w:lang w:val="en-US"/>
        </w:rPr>
        <w:t>37</w:t>
      </w:r>
      <w:r w:rsidR="004B1EF0" w:rsidRPr="00DF76D9">
        <w:rPr>
          <w:rFonts w:ascii="Times New Roman" w:hAnsi="Times New Roman" w:cs="Times New Roman"/>
          <w:bCs/>
          <w:sz w:val="24"/>
          <w:szCs w:val="24"/>
          <w:lang w:val="en-US"/>
        </w:rPr>
        <w:t>)</w:t>
      </w:r>
      <w:r w:rsidRPr="00DF76D9">
        <w:rPr>
          <w:rFonts w:ascii="Times New Roman" w:hAnsi="Times New Roman" w:cs="Times New Roman"/>
          <w:bCs/>
          <w:sz w:val="24"/>
          <w:szCs w:val="24"/>
          <w:lang w:val="en-US"/>
        </w:rPr>
        <w:t xml:space="preserve">, respectively. </w:t>
      </w:r>
      <w:r w:rsidR="004B1EF0" w:rsidRPr="00DF76D9">
        <w:rPr>
          <w:rFonts w:ascii="Times New Roman" w:hAnsi="Times New Roman" w:cs="Times New Roman"/>
          <w:bCs/>
          <w:sz w:val="24"/>
          <w:szCs w:val="24"/>
          <w:lang w:val="en-US"/>
        </w:rPr>
        <w:t>Mean</w:t>
      </w:r>
      <w:r w:rsidR="00F45EB6">
        <w:rPr>
          <w:rFonts w:ascii="Times New Roman" w:hAnsi="Times New Roman" w:cs="Times New Roman"/>
          <w:bCs/>
          <w:sz w:val="24"/>
          <w:szCs w:val="24"/>
          <w:lang w:val="en-US"/>
        </w:rPr>
        <w:t xml:space="preserve"> (median)</w:t>
      </w:r>
      <w:r w:rsidR="004B1EF0" w:rsidRPr="00DF76D9">
        <w:rPr>
          <w:rFonts w:ascii="Times New Roman" w:hAnsi="Times New Roman" w:cs="Times New Roman"/>
          <w:bCs/>
          <w:sz w:val="24"/>
          <w:szCs w:val="24"/>
          <w:lang w:val="en-US"/>
        </w:rPr>
        <w:t xml:space="preserve"> </w:t>
      </w:r>
      <w:proofErr w:type="spellStart"/>
      <w:r w:rsidR="004B1EF0" w:rsidRPr="00DF76D9">
        <w:rPr>
          <w:rFonts w:ascii="Times New Roman" w:hAnsi="Times New Roman" w:cs="Times New Roman"/>
          <w:bCs/>
          <w:i/>
          <w:sz w:val="24"/>
          <w:szCs w:val="24"/>
          <w:lang w:val="en-US"/>
        </w:rPr>
        <w:t>FirmSize</w:t>
      </w:r>
      <w:proofErr w:type="spellEnd"/>
      <w:r w:rsidR="004B1EF0" w:rsidRPr="00DF76D9">
        <w:rPr>
          <w:rFonts w:ascii="Times New Roman" w:hAnsi="Times New Roman" w:cs="Times New Roman"/>
          <w:bCs/>
          <w:i/>
          <w:sz w:val="24"/>
          <w:szCs w:val="24"/>
          <w:lang w:val="en-US"/>
        </w:rPr>
        <w:t xml:space="preserve"> </w:t>
      </w:r>
      <w:r w:rsidR="004B1EF0" w:rsidRPr="00DF76D9">
        <w:rPr>
          <w:rFonts w:ascii="Times New Roman" w:hAnsi="Times New Roman" w:cs="Times New Roman"/>
          <w:bCs/>
          <w:sz w:val="24"/>
          <w:szCs w:val="24"/>
          <w:lang w:val="en-US"/>
        </w:rPr>
        <w:t xml:space="preserve">is </w:t>
      </w:r>
      <w:r w:rsidR="004C4E90" w:rsidRPr="00DF76D9">
        <w:rPr>
          <w:rFonts w:ascii="Times New Roman" w:hAnsi="Times New Roman" w:cs="Times New Roman"/>
          <w:bCs/>
          <w:sz w:val="24"/>
          <w:szCs w:val="24"/>
          <w:lang w:val="en-US"/>
        </w:rPr>
        <w:t>$</w:t>
      </w:r>
      <w:r w:rsidR="007C1522" w:rsidRPr="00DF76D9">
        <w:rPr>
          <w:rFonts w:ascii="Times New Roman" w:hAnsi="Times New Roman" w:cs="Times New Roman"/>
          <w:bCs/>
          <w:sz w:val="24"/>
          <w:szCs w:val="24"/>
          <w:lang w:val="en-US"/>
        </w:rPr>
        <w:t>6.42</w:t>
      </w:r>
      <w:r w:rsidR="004C4E90" w:rsidRPr="00DF76D9">
        <w:rPr>
          <w:rFonts w:ascii="Times New Roman" w:hAnsi="Times New Roman" w:cs="Times New Roman"/>
          <w:bCs/>
          <w:sz w:val="24"/>
          <w:szCs w:val="24"/>
          <w:lang w:val="en-US"/>
        </w:rPr>
        <w:t xml:space="preserve"> </w:t>
      </w:r>
      <w:r w:rsidR="00F45EB6">
        <w:rPr>
          <w:rFonts w:ascii="Times New Roman" w:hAnsi="Times New Roman" w:cs="Times New Roman"/>
          <w:bCs/>
          <w:sz w:val="24"/>
          <w:szCs w:val="24"/>
          <w:lang w:val="en-US"/>
        </w:rPr>
        <w:t>(</w:t>
      </w:r>
      <w:r w:rsidR="00F45EB6" w:rsidRPr="00DF76D9">
        <w:rPr>
          <w:rFonts w:ascii="Times New Roman" w:hAnsi="Times New Roman" w:cs="Times New Roman"/>
          <w:bCs/>
          <w:sz w:val="24"/>
          <w:szCs w:val="24"/>
          <w:lang w:val="en-US"/>
        </w:rPr>
        <w:t>$1.511</w:t>
      </w:r>
      <w:r w:rsidR="00F45EB6">
        <w:rPr>
          <w:rFonts w:ascii="Times New Roman" w:hAnsi="Times New Roman" w:cs="Times New Roman"/>
          <w:bCs/>
          <w:sz w:val="24"/>
          <w:szCs w:val="24"/>
          <w:lang w:val="en-US"/>
        </w:rPr>
        <w:t>)</w:t>
      </w:r>
      <w:r w:rsidR="00F45EB6" w:rsidRPr="00DF76D9">
        <w:rPr>
          <w:rFonts w:ascii="Times New Roman" w:hAnsi="Times New Roman" w:cs="Times New Roman"/>
          <w:bCs/>
          <w:sz w:val="24"/>
          <w:szCs w:val="24"/>
          <w:lang w:val="en-US"/>
        </w:rPr>
        <w:t xml:space="preserve"> </w:t>
      </w:r>
      <w:r w:rsidR="007C1522" w:rsidRPr="00DF76D9">
        <w:rPr>
          <w:rFonts w:ascii="Times New Roman" w:hAnsi="Times New Roman" w:cs="Times New Roman"/>
          <w:bCs/>
          <w:sz w:val="24"/>
          <w:szCs w:val="24"/>
          <w:lang w:val="en-US"/>
        </w:rPr>
        <w:t>b</w:t>
      </w:r>
      <w:r w:rsidR="004C4E90" w:rsidRPr="00DF76D9">
        <w:rPr>
          <w:rFonts w:ascii="Times New Roman" w:hAnsi="Times New Roman" w:cs="Times New Roman"/>
          <w:bCs/>
          <w:sz w:val="24"/>
          <w:szCs w:val="24"/>
          <w:lang w:val="en-US"/>
        </w:rPr>
        <w:t>illion</w:t>
      </w:r>
      <w:r w:rsidR="00F45EB6">
        <w:rPr>
          <w:rFonts w:ascii="Times New Roman" w:hAnsi="Times New Roman" w:cs="Times New Roman"/>
          <w:bCs/>
          <w:sz w:val="24"/>
          <w:szCs w:val="24"/>
          <w:lang w:val="en-US"/>
        </w:rPr>
        <w:t xml:space="preserve"> and t</w:t>
      </w:r>
      <w:r w:rsidR="00903AFA" w:rsidRPr="00DF76D9">
        <w:rPr>
          <w:rFonts w:ascii="Times New Roman" w:hAnsi="Times New Roman" w:cs="Times New Roman"/>
          <w:bCs/>
          <w:sz w:val="24"/>
          <w:szCs w:val="24"/>
          <w:lang w:val="en-US"/>
        </w:rPr>
        <w:t xml:space="preserve">he </w:t>
      </w:r>
      <w:r w:rsidR="00F45EB6">
        <w:rPr>
          <w:rFonts w:ascii="Times New Roman" w:hAnsi="Times New Roman" w:cs="Times New Roman"/>
          <w:bCs/>
          <w:sz w:val="24"/>
          <w:szCs w:val="24"/>
          <w:lang w:val="en-US"/>
        </w:rPr>
        <w:t>mean</w:t>
      </w:r>
      <w:r w:rsidR="00903AFA" w:rsidRPr="00DF76D9">
        <w:rPr>
          <w:rFonts w:ascii="Times New Roman" w:hAnsi="Times New Roman" w:cs="Times New Roman"/>
          <w:bCs/>
          <w:sz w:val="24"/>
          <w:szCs w:val="24"/>
          <w:lang w:val="en-US"/>
        </w:rPr>
        <w:t xml:space="preserve"> (median) firm in our sample</w:t>
      </w:r>
      <w:r w:rsidR="004C4E90" w:rsidRPr="00DF76D9">
        <w:rPr>
          <w:rFonts w:ascii="Times New Roman" w:hAnsi="Times New Roman" w:cs="Times New Roman"/>
          <w:bCs/>
          <w:sz w:val="24"/>
          <w:szCs w:val="24"/>
          <w:lang w:val="en-US"/>
        </w:rPr>
        <w:t xml:space="preserve"> </w:t>
      </w:r>
      <w:r w:rsidR="00903AFA" w:rsidRPr="00DF76D9">
        <w:rPr>
          <w:rFonts w:ascii="Times New Roman" w:hAnsi="Times New Roman" w:cs="Times New Roman"/>
          <w:bCs/>
          <w:sz w:val="24"/>
          <w:szCs w:val="24"/>
          <w:lang w:val="en-US"/>
        </w:rPr>
        <w:t>employ</w:t>
      </w:r>
      <w:r w:rsidR="007F33F8" w:rsidRPr="00DF76D9">
        <w:rPr>
          <w:rFonts w:ascii="Times New Roman" w:hAnsi="Times New Roman" w:cs="Times New Roman"/>
          <w:bCs/>
          <w:sz w:val="24"/>
          <w:szCs w:val="24"/>
          <w:lang w:val="en-US"/>
        </w:rPr>
        <w:t>s</w:t>
      </w:r>
      <w:r w:rsidR="00903AFA" w:rsidRPr="00DF76D9">
        <w:rPr>
          <w:rFonts w:ascii="Times New Roman" w:hAnsi="Times New Roman" w:cs="Times New Roman"/>
          <w:bCs/>
          <w:sz w:val="24"/>
          <w:szCs w:val="24"/>
          <w:lang w:val="en-US"/>
        </w:rPr>
        <w:t xml:space="preserve"> </w:t>
      </w:r>
      <w:r w:rsidR="007C1522" w:rsidRPr="00DF76D9">
        <w:rPr>
          <w:rFonts w:ascii="Times New Roman" w:hAnsi="Times New Roman" w:cs="Times New Roman"/>
          <w:bCs/>
          <w:sz w:val="24"/>
          <w:szCs w:val="24"/>
          <w:lang w:val="en-US"/>
        </w:rPr>
        <w:t xml:space="preserve">19.5 </w:t>
      </w:r>
      <w:r w:rsidR="00F0260B">
        <w:rPr>
          <w:rFonts w:ascii="Times New Roman" w:hAnsi="Times New Roman" w:cs="Times New Roman"/>
          <w:bCs/>
          <w:sz w:val="24"/>
          <w:szCs w:val="24"/>
          <w:lang w:val="en-US"/>
        </w:rPr>
        <w:t>thousand</w:t>
      </w:r>
      <w:r w:rsidR="007C1522" w:rsidRPr="00DF76D9">
        <w:rPr>
          <w:rFonts w:ascii="Times New Roman" w:hAnsi="Times New Roman" w:cs="Times New Roman"/>
          <w:bCs/>
          <w:sz w:val="24"/>
          <w:szCs w:val="24"/>
          <w:lang w:val="en-US"/>
        </w:rPr>
        <w:t xml:space="preserve"> </w:t>
      </w:r>
      <w:r w:rsidR="00903AFA" w:rsidRPr="00DF76D9">
        <w:rPr>
          <w:rFonts w:ascii="Times New Roman" w:hAnsi="Times New Roman" w:cs="Times New Roman"/>
          <w:bCs/>
          <w:sz w:val="24"/>
          <w:szCs w:val="24"/>
          <w:lang w:val="en-US"/>
        </w:rPr>
        <w:t>(</w:t>
      </w:r>
      <w:r w:rsidR="007C1522" w:rsidRPr="00DF76D9">
        <w:rPr>
          <w:rFonts w:ascii="Times New Roman" w:hAnsi="Times New Roman" w:cs="Times New Roman"/>
          <w:bCs/>
          <w:sz w:val="24"/>
          <w:szCs w:val="24"/>
          <w:lang w:val="en-US"/>
        </w:rPr>
        <w:t xml:space="preserve">6 thousand) </w:t>
      </w:r>
      <w:r w:rsidRPr="00DF76D9">
        <w:rPr>
          <w:rFonts w:ascii="Times New Roman" w:hAnsi="Times New Roman" w:cs="Times New Roman"/>
          <w:bCs/>
          <w:sz w:val="24"/>
          <w:szCs w:val="24"/>
          <w:lang w:val="en-US"/>
        </w:rPr>
        <w:t>employees</w:t>
      </w:r>
      <w:r w:rsidR="007F33F8" w:rsidRPr="00DF76D9">
        <w:rPr>
          <w:rFonts w:ascii="Times New Roman" w:hAnsi="Times New Roman" w:cs="Times New Roman"/>
          <w:bCs/>
          <w:sz w:val="24"/>
          <w:szCs w:val="24"/>
          <w:lang w:val="en-US"/>
        </w:rPr>
        <w:t xml:space="preserve">. </w:t>
      </w:r>
      <w:r w:rsidR="00B27743" w:rsidRPr="00DF76D9">
        <w:rPr>
          <w:rFonts w:ascii="Times New Roman" w:hAnsi="Times New Roman" w:cs="Times New Roman"/>
          <w:bCs/>
          <w:sz w:val="24"/>
          <w:szCs w:val="24"/>
          <w:lang w:val="en-US"/>
        </w:rPr>
        <w:t>T</w:t>
      </w:r>
      <w:r w:rsidR="007F33F8" w:rsidRPr="00DF76D9">
        <w:rPr>
          <w:rFonts w:ascii="Times New Roman" w:hAnsi="Times New Roman" w:cs="Times New Roman"/>
          <w:bCs/>
          <w:sz w:val="24"/>
          <w:szCs w:val="24"/>
          <w:lang w:val="en-US"/>
        </w:rPr>
        <w:t>he mean (median)</w:t>
      </w:r>
      <w:r w:rsidR="007F33F8" w:rsidRPr="00DF76D9">
        <w:rPr>
          <w:rFonts w:ascii="Times New Roman" w:hAnsi="Times New Roman" w:cs="Times New Roman"/>
          <w:bCs/>
          <w:i/>
          <w:sz w:val="24"/>
          <w:szCs w:val="24"/>
          <w:lang w:val="en-US"/>
        </w:rPr>
        <w:t xml:space="preserve"> </w:t>
      </w:r>
      <w:proofErr w:type="spellStart"/>
      <w:r w:rsidR="00903AFA" w:rsidRPr="00DF76D9">
        <w:rPr>
          <w:rFonts w:ascii="Times New Roman" w:hAnsi="Times New Roman" w:cs="Times New Roman"/>
          <w:bCs/>
          <w:i/>
          <w:sz w:val="24"/>
          <w:szCs w:val="24"/>
          <w:lang w:val="en-US"/>
        </w:rPr>
        <w:t>AssetTurnover</w:t>
      </w:r>
      <w:proofErr w:type="spellEnd"/>
      <w:r w:rsidR="00E43E5F" w:rsidRPr="00DF76D9">
        <w:rPr>
          <w:rFonts w:ascii="Times New Roman" w:hAnsi="Times New Roman" w:cs="Times New Roman"/>
          <w:bCs/>
          <w:i/>
          <w:sz w:val="24"/>
          <w:szCs w:val="24"/>
          <w:lang w:val="en-US"/>
        </w:rPr>
        <w:t xml:space="preserve">, Market-to-book, Tangibility, </w:t>
      </w:r>
      <w:r w:rsidR="00903AFA" w:rsidRPr="00DF76D9">
        <w:rPr>
          <w:rFonts w:ascii="Times New Roman" w:hAnsi="Times New Roman" w:cs="Times New Roman"/>
          <w:bCs/>
          <w:i/>
          <w:sz w:val="24"/>
          <w:szCs w:val="24"/>
          <w:lang w:val="en-US"/>
        </w:rPr>
        <w:t>Ca</w:t>
      </w:r>
      <w:r w:rsidR="004D7BCA" w:rsidRPr="00DF76D9">
        <w:rPr>
          <w:rFonts w:ascii="Times New Roman" w:hAnsi="Times New Roman" w:cs="Times New Roman"/>
          <w:bCs/>
          <w:i/>
          <w:sz w:val="24"/>
          <w:szCs w:val="24"/>
          <w:lang w:val="en-US"/>
        </w:rPr>
        <w:t>p</w:t>
      </w:r>
      <w:r w:rsidR="00903AFA" w:rsidRPr="00DF76D9">
        <w:rPr>
          <w:rFonts w:ascii="Times New Roman" w:hAnsi="Times New Roman" w:cs="Times New Roman"/>
          <w:bCs/>
          <w:i/>
          <w:sz w:val="24"/>
          <w:szCs w:val="24"/>
          <w:lang w:val="en-US"/>
        </w:rPr>
        <w:t>ex</w:t>
      </w:r>
      <w:r w:rsidR="00E43E5F" w:rsidRPr="00DF76D9">
        <w:rPr>
          <w:rFonts w:ascii="Times New Roman" w:hAnsi="Times New Roman" w:cs="Times New Roman"/>
          <w:bCs/>
          <w:i/>
          <w:sz w:val="24"/>
          <w:szCs w:val="24"/>
          <w:lang w:val="en-US"/>
        </w:rPr>
        <w:t xml:space="preserve"> and </w:t>
      </w:r>
      <w:r w:rsidR="00B27743" w:rsidRPr="00DF76D9">
        <w:rPr>
          <w:rFonts w:ascii="Times New Roman" w:hAnsi="Times New Roman" w:cs="Times New Roman"/>
          <w:bCs/>
          <w:i/>
          <w:sz w:val="24"/>
          <w:szCs w:val="24"/>
          <w:lang w:val="en-US"/>
        </w:rPr>
        <w:t xml:space="preserve">RET </w:t>
      </w:r>
      <w:r w:rsidR="00903AFA" w:rsidRPr="00DF76D9">
        <w:rPr>
          <w:rFonts w:ascii="Times New Roman" w:hAnsi="Times New Roman" w:cs="Times New Roman"/>
          <w:bCs/>
          <w:sz w:val="24"/>
          <w:szCs w:val="24"/>
          <w:lang w:val="en-US"/>
        </w:rPr>
        <w:t xml:space="preserve">are </w:t>
      </w:r>
      <w:r w:rsidR="007C1522" w:rsidRPr="00DF76D9">
        <w:rPr>
          <w:rFonts w:ascii="Times New Roman" w:hAnsi="Times New Roman" w:cs="Times New Roman"/>
          <w:bCs/>
          <w:sz w:val="24"/>
          <w:szCs w:val="24"/>
          <w:lang w:val="en-US"/>
        </w:rPr>
        <w:t>1.2</w:t>
      </w:r>
      <w:r w:rsidR="00B7036B" w:rsidRPr="00DF76D9">
        <w:rPr>
          <w:rFonts w:ascii="Times New Roman" w:hAnsi="Times New Roman" w:cs="Times New Roman"/>
          <w:bCs/>
          <w:sz w:val="24"/>
          <w:szCs w:val="24"/>
          <w:lang w:val="en-US"/>
        </w:rPr>
        <w:t>1</w:t>
      </w:r>
      <w:r w:rsidR="007C1522" w:rsidRPr="00DF76D9">
        <w:rPr>
          <w:rFonts w:ascii="Times New Roman" w:hAnsi="Times New Roman" w:cs="Times New Roman"/>
          <w:bCs/>
          <w:sz w:val="24"/>
          <w:szCs w:val="24"/>
          <w:lang w:val="en-US"/>
        </w:rPr>
        <w:t xml:space="preserve">8 </w:t>
      </w:r>
      <w:r w:rsidR="007F33F8" w:rsidRPr="00DF76D9">
        <w:rPr>
          <w:rFonts w:ascii="Times New Roman" w:hAnsi="Times New Roman" w:cs="Times New Roman"/>
          <w:bCs/>
          <w:sz w:val="24"/>
          <w:szCs w:val="24"/>
          <w:lang w:val="en-US"/>
        </w:rPr>
        <w:t>(</w:t>
      </w:r>
      <w:r w:rsidR="007C1522" w:rsidRPr="00DF76D9">
        <w:rPr>
          <w:rFonts w:ascii="Times New Roman" w:hAnsi="Times New Roman" w:cs="Times New Roman"/>
          <w:bCs/>
          <w:sz w:val="24"/>
          <w:szCs w:val="24"/>
          <w:lang w:val="en-US"/>
        </w:rPr>
        <w:t>1.0</w:t>
      </w:r>
      <w:r w:rsidR="00491508" w:rsidRPr="00DF76D9">
        <w:rPr>
          <w:rFonts w:ascii="Times New Roman" w:hAnsi="Times New Roman" w:cs="Times New Roman"/>
          <w:bCs/>
          <w:sz w:val="24"/>
          <w:szCs w:val="24"/>
          <w:lang w:val="en-US"/>
        </w:rPr>
        <w:t>27</w:t>
      </w:r>
      <w:r w:rsidR="007F33F8" w:rsidRPr="00DF76D9">
        <w:rPr>
          <w:rFonts w:ascii="Times New Roman" w:hAnsi="Times New Roman" w:cs="Times New Roman"/>
          <w:bCs/>
          <w:sz w:val="24"/>
          <w:szCs w:val="24"/>
          <w:lang w:val="en-US"/>
        </w:rPr>
        <w:t xml:space="preserve">), </w:t>
      </w:r>
      <w:r w:rsidR="00903AFA" w:rsidRPr="00DF76D9">
        <w:rPr>
          <w:rFonts w:ascii="Times New Roman" w:hAnsi="Times New Roman" w:cs="Times New Roman"/>
          <w:bCs/>
          <w:sz w:val="24"/>
          <w:szCs w:val="24"/>
          <w:lang w:val="en-US"/>
        </w:rPr>
        <w:t>1.</w:t>
      </w:r>
      <w:r w:rsidR="00491508" w:rsidRPr="00DF76D9">
        <w:rPr>
          <w:rFonts w:ascii="Times New Roman" w:hAnsi="Times New Roman" w:cs="Times New Roman"/>
          <w:bCs/>
          <w:sz w:val="24"/>
          <w:szCs w:val="24"/>
          <w:lang w:val="en-US"/>
        </w:rPr>
        <w:t>848</w:t>
      </w:r>
      <w:r w:rsidR="007C1522" w:rsidRPr="00DF76D9">
        <w:rPr>
          <w:rFonts w:ascii="Times New Roman" w:hAnsi="Times New Roman" w:cs="Times New Roman"/>
          <w:bCs/>
          <w:sz w:val="24"/>
          <w:szCs w:val="24"/>
          <w:lang w:val="en-US"/>
        </w:rPr>
        <w:t xml:space="preserve"> </w:t>
      </w:r>
      <w:r w:rsidR="00903AFA" w:rsidRPr="00DF76D9">
        <w:rPr>
          <w:rFonts w:ascii="Times New Roman" w:hAnsi="Times New Roman" w:cs="Times New Roman"/>
          <w:bCs/>
          <w:sz w:val="24"/>
          <w:szCs w:val="24"/>
          <w:lang w:val="en-US"/>
        </w:rPr>
        <w:t>(1.</w:t>
      </w:r>
      <w:r w:rsidR="007C1522" w:rsidRPr="00DF76D9">
        <w:rPr>
          <w:rFonts w:ascii="Times New Roman" w:hAnsi="Times New Roman" w:cs="Times New Roman"/>
          <w:bCs/>
          <w:sz w:val="24"/>
          <w:szCs w:val="24"/>
          <w:lang w:val="en-US"/>
        </w:rPr>
        <w:t>3</w:t>
      </w:r>
      <w:r w:rsidR="00491508" w:rsidRPr="00DF76D9">
        <w:rPr>
          <w:rFonts w:ascii="Times New Roman" w:hAnsi="Times New Roman" w:cs="Times New Roman"/>
          <w:bCs/>
          <w:sz w:val="24"/>
          <w:szCs w:val="24"/>
          <w:lang w:val="en-US"/>
        </w:rPr>
        <w:t>6</w:t>
      </w:r>
      <w:r w:rsidRPr="00DF76D9">
        <w:rPr>
          <w:rFonts w:ascii="Times New Roman" w:hAnsi="Times New Roman" w:cs="Times New Roman"/>
          <w:bCs/>
          <w:sz w:val="24"/>
          <w:szCs w:val="24"/>
          <w:lang w:val="en-US"/>
        </w:rPr>
        <w:t>)</w:t>
      </w:r>
      <w:r w:rsidR="00E43E5F" w:rsidRPr="00DF76D9">
        <w:rPr>
          <w:rFonts w:ascii="Times New Roman" w:hAnsi="Times New Roman" w:cs="Times New Roman"/>
          <w:bCs/>
          <w:sz w:val="24"/>
          <w:szCs w:val="24"/>
          <w:lang w:val="en-US"/>
        </w:rPr>
        <w:t>, 0.2</w:t>
      </w:r>
      <w:r w:rsidR="00491508" w:rsidRPr="00DF76D9">
        <w:rPr>
          <w:rFonts w:ascii="Times New Roman" w:hAnsi="Times New Roman" w:cs="Times New Roman"/>
          <w:bCs/>
          <w:sz w:val="24"/>
          <w:szCs w:val="24"/>
          <w:lang w:val="en-US"/>
        </w:rPr>
        <w:t>36</w:t>
      </w:r>
      <w:r w:rsidR="00E43E5F" w:rsidRPr="00DF76D9">
        <w:rPr>
          <w:rFonts w:ascii="Times New Roman" w:hAnsi="Times New Roman" w:cs="Times New Roman"/>
          <w:bCs/>
          <w:sz w:val="24"/>
          <w:szCs w:val="24"/>
          <w:lang w:val="en-US"/>
        </w:rPr>
        <w:t xml:space="preserve"> (0.</w:t>
      </w:r>
      <w:r w:rsidR="00491508" w:rsidRPr="00DF76D9">
        <w:rPr>
          <w:rFonts w:ascii="Times New Roman" w:hAnsi="Times New Roman" w:cs="Times New Roman"/>
          <w:bCs/>
          <w:sz w:val="24"/>
          <w:szCs w:val="24"/>
          <w:lang w:val="en-US"/>
        </w:rPr>
        <w:t>178</w:t>
      </w:r>
      <w:r w:rsidR="00E43E5F" w:rsidRPr="00DF76D9">
        <w:rPr>
          <w:rFonts w:ascii="Times New Roman" w:hAnsi="Times New Roman" w:cs="Times New Roman"/>
          <w:bCs/>
          <w:sz w:val="24"/>
          <w:szCs w:val="24"/>
          <w:lang w:val="en-US"/>
        </w:rPr>
        <w:t xml:space="preserve">), </w:t>
      </w:r>
      <w:r w:rsidR="00903AFA" w:rsidRPr="00DF76D9">
        <w:rPr>
          <w:rFonts w:ascii="Times New Roman" w:hAnsi="Times New Roman" w:cs="Times New Roman"/>
          <w:bCs/>
          <w:sz w:val="24"/>
          <w:szCs w:val="24"/>
          <w:lang w:val="en-US"/>
        </w:rPr>
        <w:t>0.0</w:t>
      </w:r>
      <w:r w:rsidR="00491508" w:rsidRPr="00DF76D9">
        <w:rPr>
          <w:rFonts w:ascii="Times New Roman" w:hAnsi="Times New Roman" w:cs="Times New Roman"/>
          <w:bCs/>
          <w:sz w:val="24"/>
          <w:szCs w:val="24"/>
          <w:lang w:val="en-US"/>
        </w:rPr>
        <w:t>49</w:t>
      </w:r>
      <w:r w:rsidR="00903AFA" w:rsidRPr="00DF76D9">
        <w:rPr>
          <w:rFonts w:ascii="Times New Roman" w:hAnsi="Times New Roman" w:cs="Times New Roman"/>
          <w:bCs/>
          <w:sz w:val="24"/>
          <w:szCs w:val="24"/>
          <w:lang w:val="en-US"/>
        </w:rPr>
        <w:t xml:space="preserve"> (0.03</w:t>
      </w:r>
      <w:r w:rsidR="00491508" w:rsidRPr="00DF76D9">
        <w:rPr>
          <w:rFonts w:ascii="Times New Roman" w:hAnsi="Times New Roman" w:cs="Times New Roman"/>
          <w:bCs/>
          <w:sz w:val="24"/>
          <w:szCs w:val="24"/>
          <w:lang w:val="en-US"/>
        </w:rPr>
        <w:t>5</w:t>
      </w:r>
      <w:r w:rsidR="00903AFA" w:rsidRPr="00DF76D9">
        <w:rPr>
          <w:rFonts w:ascii="Times New Roman" w:hAnsi="Times New Roman" w:cs="Times New Roman"/>
          <w:bCs/>
          <w:sz w:val="24"/>
          <w:szCs w:val="24"/>
          <w:lang w:val="en-US"/>
        </w:rPr>
        <w:t>)</w:t>
      </w:r>
      <w:r w:rsidRPr="00DF76D9">
        <w:rPr>
          <w:rFonts w:ascii="Times New Roman" w:hAnsi="Times New Roman" w:cs="Times New Roman"/>
          <w:bCs/>
          <w:sz w:val="24"/>
          <w:szCs w:val="24"/>
          <w:lang w:val="en-US"/>
        </w:rPr>
        <w:t>,</w:t>
      </w:r>
      <w:r w:rsidR="00E43E5F" w:rsidRPr="00DF76D9">
        <w:rPr>
          <w:rFonts w:ascii="Times New Roman" w:hAnsi="Times New Roman" w:cs="Times New Roman"/>
          <w:bCs/>
          <w:sz w:val="24"/>
          <w:szCs w:val="24"/>
          <w:lang w:val="en-US"/>
        </w:rPr>
        <w:t xml:space="preserve"> and 0.</w:t>
      </w:r>
      <w:r w:rsidR="00491508" w:rsidRPr="00DF76D9">
        <w:rPr>
          <w:rFonts w:ascii="Times New Roman" w:hAnsi="Times New Roman" w:cs="Times New Roman"/>
          <w:bCs/>
          <w:sz w:val="24"/>
          <w:szCs w:val="24"/>
          <w:lang w:val="en-US"/>
        </w:rPr>
        <w:t>142</w:t>
      </w:r>
      <w:r w:rsidR="00E43E5F" w:rsidRPr="00DF76D9">
        <w:rPr>
          <w:rFonts w:ascii="Times New Roman" w:hAnsi="Times New Roman" w:cs="Times New Roman"/>
          <w:bCs/>
          <w:sz w:val="24"/>
          <w:szCs w:val="24"/>
          <w:lang w:val="en-US"/>
        </w:rPr>
        <w:t xml:space="preserve"> (0.08</w:t>
      </w:r>
      <w:r w:rsidR="00491508" w:rsidRPr="00DF76D9">
        <w:rPr>
          <w:rFonts w:ascii="Times New Roman" w:hAnsi="Times New Roman" w:cs="Times New Roman"/>
          <w:bCs/>
          <w:sz w:val="24"/>
          <w:szCs w:val="24"/>
          <w:lang w:val="en-US"/>
        </w:rPr>
        <w:t>2</w:t>
      </w:r>
      <w:r w:rsidR="00E43E5F" w:rsidRPr="00DF76D9">
        <w:rPr>
          <w:rFonts w:ascii="Times New Roman" w:hAnsi="Times New Roman" w:cs="Times New Roman"/>
          <w:bCs/>
          <w:sz w:val="24"/>
          <w:szCs w:val="24"/>
          <w:lang w:val="en-US"/>
        </w:rPr>
        <w:t>)</w:t>
      </w:r>
      <w:r w:rsidR="00B27743" w:rsidRPr="00DF76D9">
        <w:rPr>
          <w:rFonts w:ascii="Times New Roman" w:hAnsi="Times New Roman" w:cs="Times New Roman"/>
          <w:bCs/>
          <w:sz w:val="24"/>
          <w:szCs w:val="24"/>
          <w:lang w:val="en-US"/>
        </w:rPr>
        <w:t>,</w:t>
      </w:r>
      <w:r w:rsidRPr="00DF76D9">
        <w:rPr>
          <w:rFonts w:ascii="Times New Roman" w:hAnsi="Times New Roman" w:cs="Times New Roman"/>
          <w:bCs/>
          <w:sz w:val="24"/>
          <w:szCs w:val="24"/>
          <w:lang w:val="en-US"/>
        </w:rPr>
        <w:t xml:space="preserve"> respectively. </w:t>
      </w:r>
      <w:r w:rsidR="00903AFA" w:rsidRPr="00DF76D9">
        <w:rPr>
          <w:rFonts w:ascii="Times New Roman" w:hAnsi="Times New Roman" w:cs="Times New Roman"/>
          <w:bCs/>
          <w:sz w:val="24"/>
          <w:szCs w:val="24"/>
          <w:lang w:val="en-US"/>
        </w:rPr>
        <w:t xml:space="preserve">These summary statistics </w:t>
      </w:r>
      <w:r w:rsidR="00491508" w:rsidRPr="00DF76D9">
        <w:rPr>
          <w:rFonts w:ascii="Times New Roman" w:hAnsi="Times New Roman" w:cs="Times New Roman"/>
          <w:bCs/>
          <w:sz w:val="24"/>
          <w:szCs w:val="24"/>
          <w:lang w:val="en-US"/>
        </w:rPr>
        <w:t xml:space="preserve">are </w:t>
      </w:r>
      <w:r w:rsidR="009E522C">
        <w:rPr>
          <w:rFonts w:ascii="Times New Roman" w:hAnsi="Times New Roman" w:cs="Times New Roman"/>
          <w:bCs/>
          <w:sz w:val="24"/>
          <w:szCs w:val="24"/>
          <w:lang w:val="en-US"/>
        </w:rPr>
        <w:t xml:space="preserve">generally </w:t>
      </w:r>
      <w:r w:rsidR="00491508" w:rsidRPr="00DF76D9">
        <w:rPr>
          <w:rFonts w:ascii="Times New Roman" w:hAnsi="Times New Roman" w:cs="Times New Roman"/>
          <w:bCs/>
          <w:sz w:val="24"/>
          <w:szCs w:val="24"/>
          <w:lang w:val="en-US"/>
        </w:rPr>
        <w:t xml:space="preserve">in line with </w:t>
      </w:r>
      <w:r w:rsidR="00534D37">
        <w:rPr>
          <w:rFonts w:ascii="Times New Roman" w:hAnsi="Times New Roman" w:cs="Times New Roman"/>
          <w:bCs/>
          <w:sz w:val="24"/>
          <w:szCs w:val="24"/>
          <w:lang w:val="en-US"/>
        </w:rPr>
        <w:t>prior literature.</w:t>
      </w:r>
      <w:r w:rsidR="00534D37">
        <w:rPr>
          <w:rStyle w:val="FootnoteReference"/>
          <w:rFonts w:ascii="Times New Roman" w:hAnsi="Times New Roman" w:cs="Times New Roman"/>
          <w:bCs/>
          <w:sz w:val="24"/>
          <w:szCs w:val="24"/>
          <w:lang w:val="en-US"/>
        </w:rPr>
        <w:footnoteReference w:id="9"/>
      </w:r>
      <w:r w:rsidR="00B27743" w:rsidRPr="00DF76D9">
        <w:rPr>
          <w:rFonts w:ascii="Times New Roman" w:hAnsi="Times New Roman" w:cs="Times New Roman"/>
          <w:bCs/>
          <w:sz w:val="24"/>
          <w:szCs w:val="24"/>
          <w:lang w:val="en-US"/>
        </w:rPr>
        <w:t xml:space="preserve"> Finally, the </w:t>
      </w:r>
      <w:r w:rsidR="00DF76D9">
        <w:rPr>
          <w:rFonts w:ascii="Times New Roman" w:hAnsi="Times New Roman" w:cs="Times New Roman"/>
          <w:bCs/>
          <w:sz w:val="24"/>
          <w:szCs w:val="24"/>
          <w:lang w:val="en-US"/>
        </w:rPr>
        <w:t>mean</w:t>
      </w:r>
      <w:r w:rsidR="00B27743" w:rsidRPr="00DF76D9">
        <w:rPr>
          <w:rFonts w:ascii="Times New Roman" w:hAnsi="Times New Roman" w:cs="Times New Roman"/>
          <w:bCs/>
          <w:sz w:val="24"/>
          <w:szCs w:val="24"/>
          <w:lang w:val="en-US"/>
        </w:rPr>
        <w:t xml:space="preserve"> (median) firm is managed by</w:t>
      </w:r>
      <w:r w:rsidR="00DA0A51">
        <w:rPr>
          <w:rFonts w:ascii="Times New Roman" w:hAnsi="Times New Roman" w:cs="Times New Roman"/>
          <w:bCs/>
          <w:sz w:val="24"/>
          <w:szCs w:val="24"/>
          <w:lang w:val="en-US"/>
        </w:rPr>
        <w:t xml:space="preserve"> a</w:t>
      </w:r>
      <w:r w:rsidR="00B27743" w:rsidRPr="00DF76D9">
        <w:rPr>
          <w:rFonts w:ascii="Times New Roman" w:hAnsi="Times New Roman" w:cs="Times New Roman"/>
          <w:bCs/>
          <w:sz w:val="24"/>
          <w:szCs w:val="24"/>
          <w:lang w:val="en-US"/>
        </w:rPr>
        <w:t xml:space="preserve"> </w:t>
      </w:r>
      <w:r w:rsidR="00F0260B" w:rsidRPr="00DF76D9">
        <w:rPr>
          <w:rFonts w:ascii="Times New Roman" w:hAnsi="Times New Roman" w:cs="Times New Roman"/>
          <w:bCs/>
          <w:sz w:val="24"/>
          <w:szCs w:val="24"/>
          <w:lang w:val="en-US"/>
        </w:rPr>
        <w:t>55</w:t>
      </w:r>
      <w:r w:rsidR="00E2380A">
        <w:rPr>
          <w:rFonts w:ascii="Times New Roman" w:hAnsi="Times New Roman" w:cs="Times New Roman"/>
          <w:bCs/>
          <w:sz w:val="24"/>
          <w:szCs w:val="24"/>
          <w:lang w:val="en-US"/>
        </w:rPr>
        <w:t xml:space="preserve"> (55)</w:t>
      </w:r>
      <w:r w:rsidR="00F0260B" w:rsidRPr="00DF76D9">
        <w:rPr>
          <w:rFonts w:ascii="Times New Roman" w:hAnsi="Times New Roman" w:cs="Times New Roman"/>
          <w:bCs/>
          <w:sz w:val="24"/>
          <w:szCs w:val="24"/>
          <w:lang w:val="en-US"/>
        </w:rPr>
        <w:t>-year-old</w:t>
      </w:r>
      <w:r w:rsidR="004A7051" w:rsidRPr="00DF76D9">
        <w:rPr>
          <w:rFonts w:ascii="Times New Roman" w:hAnsi="Times New Roman" w:cs="Times New Roman"/>
          <w:bCs/>
          <w:sz w:val="24"/>
          <w:szCs w:val="24"/>
          <w:lang w:val="en-US"/>
        </w:rPr>
        <w:t xml:space="preserve"> CEO</w:t>
      </w:r>
      <w:r w:rsidR="00B27743" w:rsidRPr="00DF76D9">
        <w:rPr>
          <w:rFonts w:ascii="Times New Roman" w:hAnsi="Times New Roman" w:cs="Times New Roman"/>
          <w:bCs/>
          <w:sz w:val="24"/>
          <w:szCs w:val="24"/>
          <w:lang w:val="en-US"/>
        </w:rPr>
        <w:t xml:space="preserve"> who </w:t>
      </w:r>
      <w:r w:rsidR="0089396D">
        <w:rPr>
          <w:rFonts w:ascii="Times New Roman" w:hAnsi="Times New Roman" w:cs="Times New Roman"/>
          <w:bCs/>
          <w:sz w:val="24"/>
          <w:szCs w:val="24"/>
          <w:lang w:val="en-US"/>
        </w:rPr>
        <w:t>has worked</w:t>
      </w:r>
      <w:r w:rsidR="00B27743" w:rsidRPr="00DF76D9">
        <w:rPr>
          <w:rFonts w:ascii="Times New Roman" w:hAnsi="Times New Roman" w:cs="Times New Roman"/>
          <w:bCs/>
          <w:sz w:val="24"/>
          <w:szCs w:val="24"/>
          <w:lang w:val="en-US"/>
        </w:rPr>
        <w:t xml:space="preserve"> in the company for 8 (6) years.</w:t>
      </w:r>
    </w:p>
    <w:p w14:paraId="15661D08" w14:textId="7D0C2835" w:rsidR="002B7EC9" w:rsidRPr="00DF76D9" w:rsidRDefault="002B7EC9" w:rsidP="006B1460">
      <w:pPr>
        <w:spacing w:after="0" w:line="480" w:lineRule="auto"/>
        <w:ind w:firstLine="720"/>
        <w:jc w:val="both"/>
        <w:rPr>
          <w:rFonts w:ascii="Times New Roman" w:hAnsi="Times New Roman" w:cs="Times New Roman"/>
          <w:bCs/>
          <w:sz w:val="24"/>
          <w:szCs w:val="24"/>
          <w:lang w:val="en-US"/>
        </w:rPr>
      </w:pPr>
      <w:r w:rsidRPr="00DF76D9">
        <w:rPr>
          <w:rFonts w:ascii="Times New Roman" w:hAnsi="Times New Roman" w:cs="Times New Roman"/>
          <w:bCs/>
          <w:sz w:val="24"/>
          <w:szCs w:val="24"/>
          <w:lang w:val="en-US"/>
        </w:rPr>
        <w:t xml:space="preserve">Table 3 presents pairwise Pearson correlation coefficients </w:t>
      </w:r>
      <w:r w:rsidR="00903AFA" w:rsidRPr="00DF76D9">
        <w:rPr>
          <w:rFonts w:ascii="Times New Roman" w:hAnsi="Times New Roman" w:cs="Times New Roman"/>
          <w:bCs/>
          <w:sz w:val="24"/>
          <w:szCs w:val="24"/>
          <w:lang w:val="en-US"/>
        </w:rPr>
        <w:t>for the variables used in the analysis</w:t>
      </w:r>
      <w:r w:rsidRPr="00DF76D9">
        <w:rPr>
          <w:rFonts w:ascii="Times New Roman" w:hAnsi="Times New Roman" w:cs="Times New Roman"/>
          <w:bCs/>
          <w:sz w:val="24"/>
          <w:szCs w:val="24"/>
          <w:lang w:val="en-US"/>
        </w:rPr>
        <w:t>.</w:t>
      </w:r>
      <w:r w:rsidR="00903AFA" w:rsidRPr="00DF76D9">
        <w:rPr>
          <w:rFonts w:ascii="Times New Roman" w:hAnsi="Times New Roman" w:cs="Times New Roman"/>
          <w:bCs/>
          <w:sz w:val="24"/>
          <w:szCs w:val="24"/>
          <w:lang w:val="en-US"/>
        </w:rPr>
        <w:t xml:space="preserve"> As expected we find a significant positive correlation between </w:t>
      </w:r>
      <w:proofErr w:type="gramStart"/>
      <w:r w:rsidR="00491508" w:rsidRPr="00DF76D9">
        <w:rPr>
          <w:rFonts w:ascii="Times New Roman" w:hAnsi="Times New Roman" w:cs="Times New Roman"/>
          <w:bCs/>
          <w:i/>
          <w:iCs/>
          <w:sz w:val="24"/>
          <w:szCs w:val="24"/>
          <w:lang w:val="en-US"/>
        </w:rPr>
        <w:t>ln(</w:t>
      </w:r>
      <w:proofErr w:type="gramEnd"/>
      <w:r w:rsidR="00903AFA" w:rsidRPr="00DF76D9">
        <w:rPr>
          <w:rFonts w:ascii="Times New Roman" w:hAnsi="Times New Roman" w:cs="Times New Roman"/>
          <w:bCs/>
          <w:i/>
          <w:sz w:val="24"/>
          <w:szCs w:val="24"/>
          <w:lang w:val="en-US"/>
        </w:rPr>
        <w:t>Violations</w:t>
      </w:r>
      <w:r w:rsidR="00491508" w:rsidRPr="00DF76D9">
        <w:rPr>
          <w:rFonts w:ascii="Times New Roman" w:hAnsi="Times New Roman" w:cs="Times New Roman"/>
          <w:bCs/>
          <w:i/>
          <w:sz w:val="24"/>
          <w:szCs w:val="24"/>
          <w:lang w:val="en-US"/>
        </w:rPr>
        <w:t>)</w:t>
      </w:r>
      <w:r w:rsidR="00903AFA" w:rsidRPr="00DF76D9">
        <w:rPr>
          <w:rFonts w:ascii="Times New Roman" w:hAnsi="Times New Roman" w:cs="Times New Roman"/>
          <w:bCs/>
          <w:i/>
          <w:sz w:val="24"/>
          <w:szCs w:val="24"/>
          <w:lang w:val="en-US"/>
        </w:rPr>
        <w:t xml:space="preserve"> </w:t>
      </w:r>
      <w:r w:rsidR="00903AFA" w:rsidRPr="00DF76D9">
        <w:rPr>
          <w:rFonts w:ascii="Times New Roman" w:hAnsi="Times New Roman" w:cs="Times New Roman"/>
          <w:bCs/>
          <w:sz w:val="24"/>
          <w:szCs w:val="24"/>
          <w:lang w:val="en-US"/>
        </w:rPr>
        <w:t xml:space="preserve">and </w:t>
      </w:r>
      <w:r w:rsidR="00491508" w:rsidRPr="00DF76D9">
        <w:rPr>
          <w:rFonts w:ascii="Times New Roman" w:hAnsi="Times New Roman" w:cs="Times New Roman"/>
          <w:bCs/>
          <w:i/>
          <w:iCs/>
          <w:sz w:val="24"/>
          <w:szCs w:val="24"/>
          <w:lang w:val="en-US"/>
        </w:rPr>
        <w:t>ln(</w:t>
      </w:r>
      <w:r w:rsidR="00903AFA" w:rsidRPr="00DF76D9">
        <w:rPr>
          <w:rFonts w:ascii="Times New Roman" w:hAnsi="Times New Roman" w:cs="Times New Roman"/>
          <w:bCs/>
          <w:i/>
          <w:sz w:val="24"/>
          <w:szCs w:val="24"/>
          <w:lang w:val="en-US"/>
        </w:rPr>
        <w:t>Penalties</w:t>
      </w:r>
      <w:r w:rsidR="00491508" w:rsidRPr="00DF76D9">
        <w:rPr>
          <w:rFonts w:ascii="Times New Roman" w:hAnsi="Times New Roman" w:cs="Times New Roman"/>
          <w:bCs/>
          <w:i/>
          <w:sz w:val="24"/>
          <w:szCs w:val="24"/>
          <w:lang w:val="en-US"/>
        </w:rPr>
        <w:t>)</w:t>
      </w:r>
      <w:r w:rsidR="00903AFA" w:rsidRPr="00DF76D9">
        <w:rPr>
          <w:rFonts w:ascii="Times New Roman" w:hAnsi="Times New Roman" w:cs="Times New Roman"/>
          <w:bCs/>
          <w:i/>
          <w:sz w:val="24"/>
          <w:szCs w:val="24"/>
          <w:lang w:val="en-US"/>
        </w:rPr>
        <w:t xml:space="preserve"> </w:t>
      </w:r>
      <w:r w:rsidR="00903AFA" w:rsidRPr="00DF76D9">
        <w:rPr>
          <w:rFonts w:ascii="Times New Roman" w:hAnsi="Times New Roman" w:cs="Times New Roman"/>
          <w:bCs/>
          <w:sz w:val="24"/>
          <w:szCs w:val="24"/>
          <w:lang w:val="en-US"/>
        </w:rPr>
        <w:t>suggesting that the incidence of violations is related to the severity of violations. Importantly, in line with our hypothesis</w:t>
      </w:r>
      <w:r w:rsidR="001F6772" w:rsidRPr="00DF76D9">
        <w:rPr>
          <w:rFonts w:ascii="Times New Roman" w:hAnsi="Times New Roman" w:cs="Times New Roman"/>
          <w:bCs/>
          <w:sz w:val="24"/>
          <w:szCs w:val="24"/>
          <w:lang w:val="en-US"/>
        </w:rPr>
        <w:t>,</w:t>
      </w:r>
      <w:r w:rsidR="00903AFA" w:rsidRPr="00DF76D9">
        <w:rPr>
          <w:rFonts w:ascii="Times New Roman" w:hAnsi="Times New Roman" w:cs="Times New Roman"/>
          <w:bCs/>
          <w:sz w:val="24"/>
          <w:szCs w:val="24"/>
          <w:lang w:val="en-US"/>
        </w:rPr>
        <w:t xml:space="preserve"> we observe a positive and significant correlation between </w:t>
      </w:r>
      <w:r w:rsidR="00903AFA" w:rsidRPr="00DF76D9">
        <w:rPr>
          <w:rFonts w:ascii="Times New Roman" w:hAnsi="Times New Roman" w:cs="Times New Roman"/>
          <w:bCs/>
          <w:i/>
          <w:sz w:val="24"/>
          <w:szCs w:val="24"/>
          <w:lang w:val="en-US"/>
        </w:rPr>
        <w:t xml:space="preserve">Vega </w:t>
      </w:r>
      <w:r w:rsidR="00903AFA" w:rsidRPr="00DF76D9">
        <w:rPr>
          <w:rFonts w:ascii="Times New Roman" w:hAnsi="Times New Roman" w:cs="Times New Roman"/>
          <w:bCs/>
          <w:sz w:val="24"/>
          <w:szCs w:val="24"/>
          <w:lang w:val="en-US"/>
        </w:rPr>
        <w:t xml:space="preserve">and both </w:t>
      </w:r>
      <w:r w:rsidR="004B3507" w:rsidRPr="004B3507">
        <w:rPr>
          <w:rFonts w:ascii="Times New Roman" w:hAnsi="Times New Roman" w:cs="Times New Roman"/>
          <w:bCs/>
          <w:sz w:val="24"/>
          <w:szCs w:val="24"/>
          <w:lang w:val="en-US"/>
        </w:rPr>
        <w:t>mea</w:t>
      </w:r>
      <w:r w:rsidR="00415D91" w:rsidRPr="00E07A99">
        <w:rPr>
          <w:rFonts w:ascii="Times New Roman" w:hAnsi="Times New Roman" w:cs="Times New Roman"/>
          <w:bCs/>
          <w:sz w:val="24"/>
          <w:szCs w:val="24"/>
          <w:lang w:val="en-US"/>
        </w:rPr>
        <w:t>sures o</w:t>
      </w:r>
      <w:r w:rsidR="00415D91">
        <w:rPr>
          <w:rFonts w:ascii="Times New Roman" w:hAnsi="Times New Roman" w:cs="Times New Roman"/>
          <w:bCs/>
          <w:sz w:val="24"/>
          <w:szCs w:val="24"/>
          <w:lang w:val="en-US"/>
        </w:rPr>
        <w:t>f workplace misconduct</w:t>
      </w:r>
      <w:r w:rsidR="00903AFA" w:rsidRPr="00DF76D9">
        <w:rPr>
          <w:rFonts w:ascii="Times New Roman" w:hAnsi="Times New Roman" w:cs="Times New Roman"/>
          <w:bCs/>
          <w:i/>
          <w:sz w:val="24"/>
          <w:szCs w:val="24"/>
          <w:lang w:val="en-US"/>
        </w:rPr>
        <w:t xml:space="preserve">. </w:t>
      </w:r>
      <w:r w:rsidR="00903AFA" w:rsidRPr="00DF76D9">
        <w:rPr>
          <w:rFonts w:ascii="Times New Roman" w:hAnsi="Times New Roman" w:cs="Times New Roman"/>
          <w:bCs/>
          <w:sz w:val="24"/>
          <w:szCs w:val="24"/>
          <w:lang w:val="en-US"/>
        </w:rPr>
        <w:t xml:space="preserve">These univariate statistics provide preliminary support for our hypothesis and suggest that </w:t>
      </w:r>
      <w:r w:rsidR="00C301BC" w:rsidRPr="00DF76D9">
        <w:rPr>
          <w:rFonts w:ascii="Times New Roman" w:hAnsi="Times New Roman" w:cs="Times New Roman"/>
          <w:bCs/>
          <w:sz w:val="24"/>
          <w:szCs w:val="24"/>
          <w:lang w:val="en-US"/>
        </w:rPr>
        <w:t>risk taking</w:t>
      </w:r>
      <w:r w:rsidR="00903AFA" w:rsidRPr="00DF76D9">
        <w:rPr>
          <w:rFonts w:ascii="Times New Roman" w:hAnsi="Times New Roman" w:cs="Times New Roman"/>
          <w:bCs/>
          <w:sz w:val="24"/>
          <w:szCs w:val="24"/>
          <w:lang w:val="en-US"/>
        </w:rPr>
        <w:t xml:space="preserve"> incentives are related to both the incidence and severity of violations. </w:t>
      </w:r>
      <w:r w:rsidR="00766374" w:rsidRPr="00DF76D9">
        <w:rPr>
          <w:rFonts w:ascii="Times New Roman" w:hAnsi="Times New Roman" w:cs="Times New Roman"/>
          <w:bCs/>
          <w:sz w:val="24"/>
          <w:szCs w:val="24"/>
          <w:lang w:val="en-US"/>
        </w:rPr>
        <w:t xml:space="preserve">It is pertinent to note that as expected </w:t>
      </w:r>
      <w:r w:rsidR="00766374" w:rsidRPr="00DF76D9">
        <w:rPr>
          <w:rFonts w:ascii="Times New Roman" w:hAnsi="Times New Roman" w:cs="Times New Roman"/>
          <w:bCs/>
          <w:i/>
          <w:sz w:val="24"/>
          <w:szCs w:val="24"/>
          <w:lang w:val="en-US"/>
        </w:rPr>
        <w:t xml:space="preserve">Delta </w:t>
      </w:r>
      <w:r w:rsidR="00766374" w:rsidRPr="00DF76D9">
        <w:rPr>
          <w:rFonts w:ascii="Times New Roman" w:hAnsi="Times New Roman" w:cs="Times New Roman"/>
          <w:bCs/>
          <w:sz w:val="24"/>
          <w:szCs w:val="24"/>
          <w:lang w:val="en-US"/>
        </w:rPr>
        <w:t xml:space="preserve">is highly correlated </w:t>
      </w:r>
      <w:r w:rsidR="006B1460" w:rsidRPr="00DF76D9">
        <w:rPr>
          <w:rFonts w:ascii="Times New Roman" w:hAnsi="Times New Roman" w:cs="Times New Roman"/>
          <w:bCs/>
          <w:sz w:val="24"/>
          <w:szCs w:val="24"/>
          <w:lang w:val="en-US"/>
        </w:rPr>
        <w:t>with</w:t>
      </w:r>
      <w:r w:rsidR="00766374" w:rsidRPr="00DF76D9">
        <w:rPr>
          <w:rFonts w:ascii="Times New Roman" w:hAnsi="Times New Roman" w:cs="Times New Roman"/>
          <w:bCs/>
          <w:sz w:val="24"/>
          <w:szCs w:val="24"/>
          <w:lang w:val="en-US"/>
        </w:rPr>
        <w:t xml:space="preserve"> </w:t>
      </w:r>
      <w:r w:rsidR="00766374" w:rsidRPr="00DF76D9">
        <w:rPr>
          <w:rFonts w:ascii="Times New Roman" w:hAnsi="Times New Roman" w:cs="Times New Roman"/>
          <w:bCs/>
          <w:i/>
          <w:sz w:val="24"/>
          <w:szCs w:val="24"/>
          <w:lang w:val="en-US"/>
        </w:rPr>
        <w:lastRenderedPageBreak/>
        <w:t xml:space="preserve">Vega. </w:t>
      </w:r>
      <w:r w:rsidR="00766374" w:rsidRPr="00DF76D9">
        <w:rPr>
          <w:rFonts w:ascii="Times New Roman" w:hAnsi="Times New Roman" w:cs="Times New Roman"/>
          <w:bCs/>
          <w:sz w:val="24"/>
          <w:szCs w:val="24"/>
          <w:lang w:val="en-US"/>
        </w:rPr>
        <w:t xml:space="preserve">The correlation of </w:t>
      </w:r>
      <w:r w:rsidR="00491508" w:rsidRPr="00DF76D9">
        <w:rPr>
          <w:rFonts w:ascii="Times New Roman" w:hAnsi="Times New Roman" w:cs="Times New Roman"/>
          <w:bCs/>
          <w:sz w:val="24"/>
          <w:szCs w:val="24"/>
          <w:lang w:val="en-US"/>
        </w:rPr>
        <w:t>61</w:t>
      </w:r>
      <w:r w:rsidR="00766374" w:rsidRPr="00DF76D9">
        <w:rPr>
          <w:rFonts w:ascii="Times New Roman" w:hAnsi="Times New Roman" w:cs="Times New Roman"/>
          <w:bCs/>
          <w:sz w:val="24"/>
          <w:szCs w:val="24"/>
          <w:lang w:val="en-US"/>
        </w:rPr>
        <w:t>.5</w:t>
      </w:r>
      <w:r w:rsidR="000E4D74">
        <w:rPr>
          <w:rFonts w:ascii="Times New Roman" w:hAnsi="Times New Roman" w:cs="Times New Roman"/>
          <w:bCs/>
          <w:sz w:val="24"/>
          <w:szCs w:val="24"/>
          <w:lang w:val="en-US"/>
        </w:rPr>
        <w:t xml:space="preserve"> percent</w:t>
      </w:r>
      <w:r w:rsidR="00766374" w:rsidRPr="00DF76D9">
        <w:rPr>
          <w:rFonts w:ascii="Times New Roman" w:hAnsi="Times New Roman" w:cs="Times New Roman"/>
          <w:bCs/>
          <w:sz w:val="24"/>
          <w:szCs w:val="24"/>
          <w:lang w:val="en-US"/>
        </w:rPr>
        <w:t xml:space="preserve"> between </w:t>
      </w:r>
      <w:r w:rsidR="00766374" w:rsidRPr="00DF76D9">
        <w:rPr>
          <w:rFonts w:ascii="Times New Roman" w:hAnsi="Times New Roman" w:cs="Times New Roman"/>
          <w:bCs/>
          <w:i/>
          <w:sz w:val="24"/>
          <w:szCs w:val="24"/>
          <w:lang w:val="en-US"/>
        </w:rPr>
        <w:t xml:space="preserve">Delta </w:t>
      </w:r>
      <w:r w:rsidR="00766374" w:rsidRPr="00DF76D9">
        <w:rPr>
          <w:rFonts w:ascii="Times New Roman" w:hAnsi="Times New Roman" w:cs="Times New Roman"/>
          <w:bCs/>
          <w:sz w:val="24"/>
          <w:szCs w:val="24"/>
          <w:lang w:val="en-US"/>
        </w:rPr>
        <w:t xml:space="preserve">and </w:t>
      </w:r>
      <w:r w:rsidR="00766374" w:rsidRPr="00DF76D9">
        <w:rPr>
          <w:rFonts w:ascii="Times New Roman" w:hAnsi="Times New Roman" w:cs="Times New Roman"/>
          <w:bCs/>
          <w:i/>
          <w:sz w:val="24"/>
          <w:szCs w:val="24"/>
          <w:lang w:val="en-US"/>
        </w:rPr>
        <w:t xml:space="preserve">Vega </w:t>
      </w:r>
      <w:r w:rsidR="00766374" w:rsidRPr="00DF76D9">
        <w:rPr>
          <w:rFonts w:ascii="Times New Roman" w:hAnsi="Times New Roman" w:cs="Times New Roman"/>
          <w:bCs/>
          <w:sz w:val="24"/>
          <w:szCs w:val="24"/>
          <w:lang w:val="en-US"/>
        </w:rPr>
        <w:t xml:space="preserve">suggests that to distinguish the effect of </w:t>
      </w:r>
      <w:r w:rsidR="00766374" w:rsidRPr="00DF76D9">
        <w:rPr>
          <w:rFonts w:ascii="Times New Roman" w:hAnsi="Times New Roman" w:cs="Times New Roman"/>
          <w:bCs/>
          <w:i/>
          <w:sz w:val="24"/>
          <w:szCs w:val="24"/>
          <w:lang w:val="en-US"/>
        </w:rPr>
        <w:t xml:space="preserve">Vega </w:t>
      </w:r>
      <w:r w:rsidR="00766374" w:rsidRPr="00DF76D9">
        <w:rPr>
          <w:rFonts w:ascii="Times New Roman" w:hAnsi="Times New Roman" w:cs="Times New Roman"/>
          <w:bCs/>
          <w:sz w:val="24"/>
          <w:szCs w:val="24"/>
          <w:lang w:val="en-US"/>
        </w:rPr>
        <w:t xml:space="preserve">from that of </w:t>
      </w:r>
      <w:r w:rsidR="00766374" w:rsidRPr="00DF76D9">
        <w:rPr>
          <w:rFonts w:ascii="Times New Roman" w:hAnsi="Times New Roman" w:cs="Times New Roman"/>
          <w:bCs/>
          <w:i/>
          <w:sz w:val="24"/>
          <w:szCs w:val="24"/>
          <w:lang w:val="en-US"/>
        </w:rPr>
        <w:t xml:space="preserve">Delta, </w:t>
      </w:r>
      <w:r w:rsidR="00766374" w:rsidRPr="00DF76D9">
        <w:rPr>
          <w:rFonts w:ascii="Times New Roman" w:hAnsi="Times New Roman" w:cs="Times New Roman"/>
          <w:bCs/>
          <w:sz w:val="24"/>
          <w:szCs w:val="24"/>
          <w:lang w:val="en-US"/>
        </w:rPr>
        <w:t xml:space="preserve">one needs to control for </w:t>
      </w:r>
      <w:r w:rsidR="00766374" w:rsidRPr="00DF76D9">
        <w:rPr>
          <w:rFonts w:ascii="Times New Roman" w:hAnsi="Times New Roman" w:cs="Times New Roman"/>
          <w:bCs/>
          <w:i/>
          <w:sz w:val="24"/>
          <w:szCs w:val="24"/>
          <w:lang w:val="en-US"/>
        </w:rPr>
        <w:t xml:space="preserve">Delta </w:t>
      </w:r>
      <w:r w:rsidR="00766374" w:rsidRPr="00DF76D9">
        <w:rPr>
          <w:rFonts w:ascii="Times New Roman" w:hAnsi="Times New Roman" w:cs="Times New Roman"/>
          <w:bCs/>
          <w:sz w:val="24"/>
          <w:szCs w:val="24"/>
          <w:lang w:val="en-US"/>
        </w:rPr>
        <w:t>in the empirical analysis. Similarly, we find a significant</w:t>
      </w:r>
      <w:r w:rsidR="00E3122E" w:rsidRPr="00DF76D9">
        <w:rPr>
          <w:rFonts w:ascii="Times New Roman" w:hAnsi="Times New Roman" w:cs="Times New Roman"/>
          <w:bCs/>
          <w:sz w:val="24"/>
          <w:szCs w:val="24"/>
          <w:lang w:val="en-US"/>
        </w:rPr>
        <w:t xml:space="preserve"> positive</w:t>
      </w:r>
      <w:r w:rsidR="00766374" w:rsidRPr="00DF76D9">
        <w:rPr>
          <w:rFonts w:ascii="Times New Roman" w:hAnsi="Times New Roman" w:cs="Times New Roman"/>
          <w:bCs/>
          <w:sz w:val="24"/>
          <w:szCs w:val="24"/>
          <w:lang w:val="en-US"/>
        </w:rPr>
        <w:t xml:space="preserve"> correlation between </w:t>
      </w:r>
      <w:proofErr w:type="spellStart"/>
      <w:r w:rsidR="00766374" w:rsidRPr="00DF76D9">
        <w:rPr>
          <w:rFonts w:ascii="Times New Roman" w:hAnsi="Times New Roman" w:cs="Times New Roman"/>
          <w:bCs/>
          <w:i/>
          <w:sz w:val="24"/>
          <w:szCs w:val="24"/>
          <w:lang w:val="en-US"/>
        </w:rPr>
        <w:t>CashComp</w:t>
      </w:r>
      <w:proofErr w:type="spellEnd"/>
      <w:r w:rsidR="00766374" w:rsidRPr="00DF76D9">
        <w:rPr>
          <w:rFonts w:ascii="Times New Roman" w:hAnsi="Times New Roman" w:cs="Times New Roman"/>
          <w:bCs/>
          <w:sz w:val="24"/>
          <w:szCs w:val="24"/>
          <w:lang w:val="en-US"/>
        </w:rPr>
        <w:t xml:space="preserve"> and both </w:t>
      </w:r>
      <w:r w:rsidR="00A9224C" w:rsidRPr="00DF76D9">
        <w:rPr>
          <w:rFonts w:ascii="Times New Roman" w:hAnsi="Times New Roman" w:cs="Times New Roman"/>
          <w:bCs/>
          <w:i/>
          <w:sz w:val="24"/>
          <w:szCs w:val="24"/>
          <w:lang w:val="en-US"/>
        </w:rPr>
        <w:t xml:space="preserve">Delta </w:t>
      </w:r>
      <w:r w:rsidR="00766374" w:rsidRPr="00DF76D9">
        <w:rPr>
          <w:rFonts w:ascii="Times New Roman" w:hAnsi="Times New Roman" w:cs="Times New Roman"/>
          <w:bCs/>
          <w:sz w:val="24"/>
          <w:szCs w:val="24"/>
          <w:lang w:val="en-US"/>
        </w:rPr>
        <w:t xml:space="preserve">and </w:t>
      </w:r>
      <w:r w:rsidR="00A9224C" w:rsidRPr="00DF76D9">
        <w:rPr>
          <w:rFonts w:ascii="Times New Roman" w:hAnsi="Times New Roman" w:cs="Times New Roman"/>
          <w:bCs/>
          <w:i/>
          <w:sz w:val="24"/>
          <w:szCs w:val="24"/>
          <w:lang w:val="en-US"/>
        </w:rPr>
        <w:t xml:space="preserve">Vega </w:t>
      </w:r>
      <w:r w:rsidR="00766374" w:rsidRPr="00DF76D9">
        <w:rPr>
          <w:rFonts w:ascii="Times New Roman" w:hAnsi="Times New Roman" w:cs="Times New Roman"/>
          <w:bCs/>
          <w:sz w:val="24"/>
          <w:szCs w:val="24"/>
          <w:lang w:val="en-US"/>
        </w:rPr>
        <w:t xml:space="preserve">suggesting that CEOs with higher cash compensation have higher wealth sensitivity to changes in stock price and stock price volatility. </w:t>
      </w:r>
      <w:r w:rsidR="00011999" w:rsidRPr="00DF76D9">
        <w:rPr>
          <w:rFonts w:ascii="Times New Roman" w:hAnsi="Times New Roman" w:cs="Times New Roman"/>
          <w:bCs/>
          <w:sz w:val="24"/>
          <w:szCs w:val="24"/>
          <w:lang w:val="en-US"/>
        </w:rPr>
        <w:t xml:space="preserve">All control variables other than </w:t>
      </w:r>
      <w:r w:rsidR="00011999" w:rsidRPr="00DF76D9">
        <w:rPr>
          <w:rFonts w:ascii="Times New Roman" w:hAnsi="Times New Roman" w:cs="Times New Roman"/>
          <w:bCs/>
          <w:i/>
          <w:sz w:val="24"/>
          <w:szCs w:val="24"/>
          <w:lang w:val="en-US"/>
        </w:rPr>
        <w:t>Market-to-Book</w:t>
      </w:r>
      <w:r w:rsidR="002E153F" w:rsidRPr="00DF76D9">
        <w:rPr>
          <w:rFonts w:ascii="Times New Roman" w:hAnsi="Times New Roman" w:cs="Times New Roman"/>
          <w:bCs/>
          <w:i/>
          <w:sz w:val="24"/>
          <w:szCs w:val="24"/>
          <w:lang w:val="en-US"/>
        </w:rPr>
        <w:t>, Capex</w:t>
      </w:r>
      <w:r w:rsidR="001A75B8" w:rsidRPr="00DF76D9">
        <w:rPr>
          <w:rFonts w:ascii="Times New Roman" w:hAnsi="Times New Roman" w:cs="Times New Roman"/>
          <w:bCs/>
          <w:i/>
          <w:sz w:val="24"/>
          <w:szCs w:val="24"/>
          <w:lang w:val="en-US"/>
        </w:rPr>
        <w:t>,</w:t>
      </w:r>
      <w:r w:rsidR="002E153F" w:rsidRPr="00DF76D9">
        <w:rPr>
          <w:rFonts w:ascii="Times New Roman" w:hAnsi="Times New Roman" w:cs="Times New Roman"/>
          <w:bCs/>
          <w:i/>
          <w:sz w:val="24"/>
          <w:szCs w:val="24"/>
          <w:lang w:val="en-US"/>
        </w:rPr>
        <w:t xml:space="preserve"> </w:t>
      </w:r>
      <w:r w:rsidR="00582EB7" w:rsidRPr="00DF76D9">
        <w:rPr>
          <w:rFonts w:ascii="Times New Roman" w:hAnsi="Times New Roman" w:cs="Times New Roman"/>
          <w:bCs/>
          <w:i/>
          <w:sz w:val="24"/>
          <w:szCs w:val="24"/>
          <w:lang w:val="en-US"/>
        </w:rPr>
        <w:t>RET</w:t>
      </w:r>
      <w:r w:rsidR="001A75B8" w:rsidRPr="00DF76D9">
        <w:rPr>
          <w:rFonts w:ascii="Times New Roman" w:hAnsi="Times New Roman" w:cs="Times New Roman"/>
          <w:bCs/>
          <w:i/>
          <w:sz w:val="24"/>
          <w:szCs w:val="24"/>
          <w:lang w:val="en-US"/>
        </w:rPr>
        <w:t xml:space="preserve"> </w:t>
      </w:r>
      <w:r w:rsidR="002E153F" w:rsidRPr="00DF76D9">
        <w:rPr>
          <w:rFonts w:ascii="Times New Roman" w:hAnsi="Times New Roman" w:cs="Times New Roman"/>
          <w:bCs/>
          <w:iCs/>
          <w:sz w:val="24"/>
          <w:szCs w:val="24"/>
          <w:lang w:val="en-US"/>
        </w:rPr>
        <w:t xml:space="preserve">and </w:t>
      </w:r>
      <w:proofErr w:type="spellStart"/>
      <w:r w:rsidR="001A75B8" w:rsidRPr="00DF76D9">
        <w:rPr>
          <w:rFonts w:ascii="Times New Roman" w:hAnsi="Times New Roman" w:cs="Times New Roman"/>
          <w:bCs/>
          <w:i/>
          <w:sz w:val="24"/>
          <w:szCs w:val="24"/>
          <w:lang w:val="en-US"/>
        </w:rPr>
        <w:t>CEOtenure</w:t>
      </w:r>
      <w:proofErr w:type="spellEnd"/>
      <w:r w:rsidR="00011999" w:rsidRPr="00DF76D9">
        <w:rPr>
          <w:rFonts w:ascii="Times New Roman" w:hAnsi="Times New Roman" w:cs="Times New Roman"/>
          <w:bCs/>
          <w:sz w:val="24"/>
          <w:szCs w:val="24"/>
          <w:lang w:val="en-US"/>
        </w:rPr>
        <w:t xml:space="preserve"> are significantly </w:t>
      </w:r>
      <w:r w:rsidR="001A75B8" w:rsidRPr="00DF76D9">
        <w:rPr>
          <w:rFonts w:ascii="Times New Roman" w:hAnsi="Times New Roman" w:cs="Times New Roman"/>
          <w:bCs/>
          <w:sz w:val="24"/>
          <w:szCs w:val="24"/>
          <w:lang w:val="en-US"/>
        </w:rPr>
        <w:t xml:space="preserve">positively </w:t>
      </w:r>
      <w:r w:rsidR="00011999" w:rsidRPr="00DF76D9">
        <w:rPr>
          <w:rFonts w:ascii="Times New Roman" w:hAnsi="Times New Roman" w:cs="Times New Roman"/>
          <w:bCs/>
          <w:sz w:val="24"/>
          <w:szCs w:val="24"/>
          <w:lang w:val="en-US"/>
        </w:rPr>
        <w:t xml:space="preserve">correlated </w:t>
      </w:r>
      <w:r w:rsidR="001A75B8" w:rsidRPr="00DF76D9">
        <w:rPr>
          <w:rFonts w:ascii="Times New Roman" w:hAnsi="Times New Roman" w:cs="Times New Roman"/>
          <w:bCs/>
          <w:sz w:val="24"/>
          <w:szCs w:val="24"/>
          <w:lang w:val="en-US"/>
        </w:rPr>
        <w:t xml:space="preserve">to </w:t>
      </w:r>
      <w:r w:rsidR="00011999" w:rsidRPr="00DF76D9">
        <w:rPr>
          <w:rFonts w:ascii="Times New Roman" w:hAnsi="Times New Roman" w:cs="Times New Roman"/>
          <w:bCs/>
          <w:sz w:val="24"/>
          <w:szCs w:val="24"/>
          <w:lang w:val="en-US"/>
        </w:rPr>
        <w:t xml:space="preserve">both </w:t>
      </w:r>
      <w:proofErr w:type="gramStart"/>
      <w:r w:rsidR="001A75B8" w:rsidRPr="00DF76D9">
        <w:rPr>
          <w:rFonts w:ascii="Times New Roman" w:hAnsi="Times New Roman" w:cs="Times New Roman"/>
          <w:bCs/>
          <w:i/>
          <w:iCs/>
          <w:sz w:val="24"/>
          <w:szCs w:val="24"/>
          <w:lang w:val="en-US"/>
        </w:rPr>
        <w:t>ln(</w:t>
      </w:r>
      <w:proofErr w:type="gramEnd"/>
      <w:r w:rsidR="00011999" w:rsidRPr="00DF76D9">
        <w:rPr>
          <w:rFonts w:ascii="Times New Roman" w:hAnsi="Times New Roman" w:cs="Times New Roman"/>
          <w:bCs/>
          <w:i/>
          <w:sz w:val="24"/>
          <w:szCs w:val="24"/>
          <w:lang w:val="en-US"/>
        </w:rPr>
        <w:t>Violations</w:t>
      </w:r>
      <w:r w:rsidR="001A75B8" w:rsidRPr="00DF76D9">
        <w:rPr>
          <w:rFonts w:ascii="Times New Roman" w:hAnsi="Times New Roman" w:cs="Times New Roman"/>
          <w:bCs/>
          <w:i/>
          <w:sz w:val="24"/>
          <w:szCs w:val="24"/>
          <w:lang w:val="en-US"/>
        </w:rPr>
        <w:t>)</w:t>
      </w:r>
      <w:r w:rsidR="00011999" w:rsidRPr="00DF76D9">
        <w:rPr>
          <w:rFonts w:ascii="Times New Roman" w:hAnsi="Times New Roman" w:cs="Times New Roman"/>
          <w:bCs/>
          <w:i/>
          <w:sz w:val="24"/>
          <w:szCs w:val="24"/>
          <w:lang w:val="en-US"/>
        </w:rPr>
        <w:t xml:space="preserve"> </w:t>
      </w:r>
      <w:r w:rsidR="00011999" w:rsidRPr="00DF76D9">
        <w:rPr>
          <w:rFonts w:ascii="Times New Roman" w:hAnsi="Times New Roman" w:cs="Times New Roman"/>
          <w:bCs/>
          <w:sz w:val="24"/>
          <w:szCs w:val="24"/>
          <w:lang w:val="en-US"/>
        </w:rPr>
        <w:t xml:space="preserve">and </w:t>
      </w:r>
      <w:r w:rsidR="001A75B8" w:rsidRPr="00DF76D9">
        <w:rPr>
          <w:rFonts w:ascii="Times New Roman" w:hAnsi="Times New Roman" w:cs="Times New Roman"/>
          <w:bCs/>
          <w:i/>
          <w:iCs/>
          <w:sz w:val="24"/>
          <w:szCs w:val="24"/>
          <w:lang w:val="en-US"/>
        </w:rPr>
        <w:t>ln(</w:t>
      </w:r>
      <w:r w:rsidR="00011999" w:rsidRPr="00DF76D9">
        <w:rPr>
          <w:rFonts w:ascii="Times New Roman" w:hAnsi="Times New Roman" w:cs="Times New Roman"/>
          <w:bCs/>
          <w:i/>
          <w:sz w:val="24"/>
          <w:szCs w:val="24"/>
          <w:lang w:val="en-US"/>
        </w:rPr>
        <w:t>Penalties</w:t>
      </w:r>
      <w:r w:rsidR="001A75B8" w:rsidRPr="00DF76D9">
        <w:rPr>
          <w:rFonts w:ascii="Times New Roman" w:hAnsi="Times New Roman" w:cs="Times New Roman"/>
          <w:bCs/>
          <w:i/>
          <w:sz w:val="24"/>
          <w:szCs w:val="24"/>
          <w:lang w:val="en-US"/>
        </w:rPr>
        <w:t>)</w:t>
      </w:r>
      <w:r w:rsidR="00011999" w:rsidRPr="00DF76D9">
        <w:rPr>
          <w:rFonts w:ascii="Times New Roman" w:hAnsi="Times New Roman" w:cs="Times New Roman"/>
          <w:bCs/>
          <w:i/>
          <w:sz w:val="24"/>
          <w:szCs w:val="24"/>
          <w:lang w:val="en-US"/>
        </w:rPr>
        <w:t xml:space="preserve">. Market-to-Book </w:t>
      </w:r>
      <w:r w:rsidR="001A75B8" w:rsidRPr="00DF76D9">
        <w:rPr>
          <w:rFonts w:ascii="Times New Roman" w:hAnsi="Times New Roman" w:cs="Times New Roman"/>
          <w:bCs/>
          <w:sz w:val="24"/>
          <w:szCs w:val="24"/>
          <w:lang w:val="en-US"/>
        </w:rPr>
        <w:t xml:space="preserve">and </w:t>
      </w:r>
      <w:proofErr w:type="spellStart"/>
      <w:r w:rsidR="001A75B8" w:rsidRPr="00DF76D9">
        <w:rPr>
          <w:rFonts w:ascii="Times New Roman" w:hAnsi="Times New Roman" w:cs="Times New Roman"/>
          <w:bCs/>
          <w:i/>
          <w:iCs/>
          <w:sz w:val="24"/>
          <w:szCs w:val="24"/>
          <w:lang w:val="en-US"/>
        </w:rPr>
        <w:t>CEOtenure</w:t>
      </w:r>
      <w:proofErr w:type="spellEnd"/>
      <w:r w:rsidR="001A75B8" w:rsidRPr="00DF76D9">
        <w:rPr>
          <w:rFonts w:ascii="Times New Roman" w:hAnsi="Times New Roman" w:cs="Times New Roman"/>
          <w:bCs/>
          <w:i/>
          <w:iCs/>
          <w:sz w:val="24"/>
          <w:szCs w:val="24"/>
          <w:lang w:val="en-US"/>
        </w:rPr>
        <w:t xml:space="preserve"> </w:t>
      </w:r>
      <w:r w:rsidR="001A75B8" w:rsidRPr="00DF76D9">
        <w:rPr>
          <w:rFonts w:ascii="Times New Roman" w:hAnsi="Times New Roman" w:cs="Times New Roman"/>
          <w:bCs/>
          <w:sz w:val="24"/>
          <w:szCs w:val="24"/>
          <w:lang w:val="en-US"/>
        </w:rPr>
        <w:t xml:space="preserve">are </w:t>
      </w:r>
      <w:r w:rsidR="00011999" w:rsidRPr="00DF76D9">
        <w:rPr>
          <w:rFonts w:ascii="Times New Roman" w:hAnsi="Times New Roman" w:cs="Times New Roman"/>
          <w:bCs/>
          <w:sz w:val="24"/>
          <w:szCs w:val="24"/>
          <w:lang w:val="en-US"/>
        </w:rPr>
        <w:t>negative</w:t>
      </w:r>
      <w:r w:rsidR="001A75B8" w:rsidRPr="00DF76D9">
        <w:rPr>
          <w:rFonts w:ascii="Times New Roman" w:hAnsi="Times New Roman" w:cs="Times New Roman"/>
          <w:bCs/>
          <w:sz w:val="24"/>
          <w:szCs w:val="24"/>
          <w:lang w:val="en-US"/>
        </w:rPr>
        <w:t xml:space="preserve">ly correlated with both violations and penalties while we do not observe a significant correlation between </w:t>
      </w:r>
      <w:r w:rsidR="00F0260B">
        <w:rPr>
          <w:rFonts w:ascii="Times New Roman" w:hAnsi="Times New Roman" w:cs="Times New Roman"/>
          <w:bCs/>
          <w:sz w:val="24"/>
          <w:szCs w:val="24"/>
          <w:lang w:val="en-US"/>
        </w:rPr>
        <w:t>either</w:t>
      </w:r>
      <w:r w:rsidR="001A75B8" w:rsidRPr="00DF76D9">
        <w:rPr>
          <w:rFonts w:ascii="Times New Roman" w:hAnsi="Times New Roman" w:cs="Times New Roman"/>
          <w:bCs/>
          <w:sz w:val="24"/>
          <w:szCs w:val="24"/>
          <w:lang w:val="en-US"/>
        </w:rPr>
        <w:t xml:space="preserve"> </w:t>
      </w:r>
      <w:r w:rsidR="001A75B8" w:rsidRPr="00DF76D9">
        <w:rPr>
          <w:rFonts w:ascii="Times New Roman" w:hAnsi="Times New Roman" w:cs="Times New Roman"/>
          <w:bCs/>
          <w:i/>
          <w:iCs/>
          <w:sz w:val="24"/>
          <w:szCs w:val="24"/>
          <w:lang w:val="en-US"/>
        </w:rPr>
        <w:t xml:space="preserve">Capex </w:t>
      </w:r>
      <w:r w:rsidR="00F0260B">
        <w:rPr>
          <w:rFonts w:ascii="Times New Roman" w:hAnsi="Times New Roman" w:cs="Times New Roman"/>
          <w:bCs/>
          <w:sz w:val="24"/>
          <w:szCs w:val="24"/>
          <w:lang w:val="en-US"/>
        </w:rPr>
        <w:t>or</w:t>
      </w:r>
      <w:r w:rsidR="001A75B8" w:rsidRPr="00DF76D9">
        <w:rPr>
          <w:rFonts w:ascii="Times New Roman" w:hAnsi="Times New Roman" w:cs="Times New Roman"/>
          <w:bCs/>
          <w:sz w:val="24"/>
          <w:szCs w:val="24"/>
          <w:lang w:val="en-US"/>
        </w:rPr>
        <w:t xml:space="preserve"> </w:t>
      </w:r>
      <w:r w:rsidR="001A75B8" w:rsidRPr="00DF76D9">
        <w:rPr>
          <w:rFonts w:ascii="Times New Roman" w:hAnsi="Times New Roman" w:cs="Times New Roman"/>
          <w:bCs/>
          <w:i/>
          <w:iCs/>
          <w:sz w:val="24"/>
          <w:szCs w:val="24"/>
          <w:lang w:val="en-US"/>
        </w:rPr>
        <w:t>R</w:t>
      </w:r>
      <w:r w:rsidR="00582EB7" w:rsidRPr="00DF76D9">
        <w:rPr>
          <w:rFonts w:ascii="Times New Roman" w:hAnsi="Times New Roman" w:cs="Times New Roman"/>
          <w:bCs/>
          <w:i/>
          <w:iCs/>
          <w:sz w:val="24"/>
          <w:szCs w:val="24"/>
          <w:lang w:val="en-US"/>
        </w:rPr>
        <w:t>ET</w:t>
      </w:r>
      <w:r w:rsidR="001A75B8" w:rsidRPr="00DF76D9">
        <w:rPr>
          <w:rFonts w:ascii="Times New Roman" w:hAnsi="Times New Roman" w:cs="Times New Roman"/>
          <w:bCs/>
          <w:i/>
          <w:iCs/>
          <w:sz w:val="24"/>
          <w:szCs w:val="24"/>
          <w:lang w:val="en-US"/>
        </w:rPr>
        <w:t xml:space="preserve">, </w:t>
      </w:r>
      <w:r w:rsidR="001A75B8" w:rsidRPr="00DF76D9">
        <w:rPr>
          <w:rFonts w:ascii="Times New Roman" w:hAnsi="Times New Roman" w:cs="Times New Roman"/>
          <w:bCs/>
          <w:sz w:val="24"/>
          <w:szCs w:val="24"/>
          <w:lang w:val="en-US"/>
        </w:rPr>
        <w:t xml:space="preserve">and </w:t>
      </w:r>
      <w:r w:rsidR="00F0260B">
        <w:rPr>
          <w:rFonts w:ascii="Times New Roman" w:hAnsi="Times New Roman" w:cs="Times New Roman"/>
          <w:bCs/>
          <w:sz w:val="24"/>
          <w:szCs w:val="24"/>
          <w:lang w:val="en-US"/>
        </w:rPr>
        <w:t>the magnitude (</w:t>
      </w:r>
      <w:proofErr w:type="gramStart"/>
      <w:r w:rsidR="001A75B8" w:rsidRPr="00DF76D9">
        <w:rPr>
          <w:rFonts w:ascii="Times New Roman" w:hAnsi="Times New Roman" w:cs="Times New Roman"/>
          <w:bCs/>
          <w:i/>
          <w:iCs/>
          <w:sz w:val="24"/>
          <w:szCs w:val="24"/>
          <w:lang w:val="en-US"/>
        </w:rPr>
        <w:t>ln(</w:t>
      </w:r>
      <w:proofErr w:type="gramEnd"/>
      <w:r w:rsidR="001A75B8" w:rsidRPr="00DF76D9">
        <w:rPr>
          <w:rFonts w:ascii="Times New Roman" w:hAnsi="Times New Roman" w:cs="Times New Roman"/>
          <w:bCs/>
          <w:i/>
          <w:iCs/>
          <w:sz w:val="24"/>
          <w:szCs w:val="24"/>
          <w:lang w:val="en-US"/>
        </w:rPr>
        <w:t>Violations)</w:t>
      </w:r>
      <w:r w:rsidR="00F0260B">
        <w:rPr>
          <w:rFonts w:ascii="Times New Roman" w:hAnsi="Times New Roman" w:cs="Times New Roman"/>
          <w:bCs/>
          <w:sz w:val="24"/>
          <w:szCs w:val="24"/>
          <w:lang w:val="en-US"/>
        </w:rPr>
        <w:t>)</w:t>
      </w:r>
      <w:r w:rsidR="001A75B8" w:rsidRPr="00DF76D9">
        <w:rPr>
          <w:rFonts w:ascii="Times New Roman" w:hAnsi="Times New Roman" w:cs="Times New Roman"/>
          <w:bCs/>
          <w:i/>
          <w:iCs/>
          <w:sz w:val="24"/>
          <w:szCs w:val="24"/>
          <w:lang w:val="en-US"/>
        </w:rPr>
        <w:t xml:space="preserve"> </w:t>
      </w:r>
      <w:r w:rsidR="001A75B8" w:rsidRPr="00DF76D9">
        <w:rPr>
          <w:rFonts w:ascii="Times New Roman" w:hAnsi="Times New Roman" w:cs="Times New Roman"/>
          <w:bCs/>
          <w:sz w:val="24"/>
          <w:szCs w:val="24"/>
          <w:lang w:val="en-US"/>
        </w:rPr>
        <w:t>and</w:t>
      </w:r>
      <w:r w:rsidR="00F0260B">
        <w:rPr>
          <w:rFonts w:ascii="Times New Roman" w:hAnsi="Times New Roman" w:cs="Times New Roman"/>
          <w:bCs/>
          <w:sz w:val="24"/>
          <w:szCs w:val="24"/>
          <w:lang w:val="en-US"/>
        </w:rPr>
        <w:t xml:space="preserve"> severity</w:t>
      </w:r>
      <w:r w:rsidR="001A75B8" w:rsidRPr="00DF76D9">
        <w:rPr>
          <w:rFonts w:ascii="Times New Roman" w:hAnsi="Times New Roman" w:cs="Times New Roman"/>
          <w:bCs/>
          <w:sz w:val="24"/>
          <w:szCs w:val="24"/>
          <w:lang w:val="en-US"/>
        </w:rPr>
        <w:t xml:space="preserve"> </w:t>
      </w:r>
      <w:r w:rsidR="00F0260B">
        <w:rPr>
          <w:rFonts w:ascii="Times New Roman" w:hAnsi="Times New Roman" w:cs="Times New Roman"/>
          <w:bCs/>
          <w:sz w:val="24"/>
          <w:szCs w:val="24"/>
          <w:lang w:val="en-US"/>
        </w:rPr>
        <w:t>(</w:t>
      </w:r>
      <w:r w:rsidR="001A75B8" w:rsidRPr="00DF76D9">
        <w:rPr>
          <w:rFonts w:ascii="Times New Roman" w:hAnsi="Times New Roman" w:cs="Times New Roman"/>
          <w:bCs/>
          <w:i/>
          <w:iCs/>
          <w:sz w:val="24"/>
          <w:szCs w:val="24"/>
          <w:lang w:val="en-US"/>
        </w:rPr>
        <w:t>ln(Penalties)</w:t>
      </w:r>
      <w:r w:rsidR="00F0260B">
        <w:rPr>
          <w:rFonts w:ascii="Times New Roman" w:hAnsi="Times New Roman" w:cs="Times New Roman"/>
          <w:bCs/>
          <w:sz w:val="24"/>
          <w:szCs w:val="24"/>
          <w:lang w:val="en-US"/>
        </w:rPr>
        <w:t>) of workplace misconduct</w:t>
      </w:r>
      <w:r w:rsidR="001A75B8" w:rsidRPr="00DF76D9">
        <w:rPr>
          <w:rFonts w:ascii="Times New Roman" w:hAnsi="Times New Roman" w:cs="Times New Roman"/>
          <w:bCs/>
          <w:i/>
          <w:iCs/>
          <w:sz w:val="24"/>
          <w:szCs w:val="24"/>
          <w:lang w:val="en-US"/>
        </w:rPr>
        <w:t>.</w:t>
      </w:r>
      <w:r w:rsidR="00011999" w:rsidRPr="00DF76D9">
        <w:rPr>
          <w:rFonts w:ascii="Times New Roman" w:hAnsi="Times New Roman" w:cs="Times New Roman"/>
          <w:bCs/>
          <w:i/>
          <w:sz w:val="24"/>
          <w:szCs w:val="24"/>
          <w:lang w:val="en-US"/>
        </w:rPr>
        <w:t xml:space="preserve"> </w:t>
      </w:r>
    </w:p>
    <w:p w14:paraId="255C8300" w14:textId="566F8033" w:rsidR="00E73FB7" w:rsidRPr="004F0267" w:rsidRDefault="00005623" w:rsidP="004F0267">
      <w:pPr>
        <w:spacing w:after="0" w:line="480" w:lineRule="auto"/>
        <w:jc w:val="center"/>
        <w:rPr>
          <w:rFonts w:ascii="Times New Roman" w:hAnsi="Times New Roman" w:cs="Times New Roman"/>
          <w:b/>
          <w:caps/>
          <w:sz w:val="24"/>
          <w:szCs w:val="24"/>
          <w:lang w:val="en-US"/>
        </w:rPr>
      </w:pPr>
      <w:r>
        <w:rPr>
          <w:rFonts w:ascii="Times New Roman" w:hAnsi="Times New Roman" w:cs="Times New Roman"/>
          <w:b/>
          <w:caps/>
          <w:sz w:val="24"/>
          <w:szCs w:val="24"/>
          <w:lang w:val="en-US"/>
        </w:rPr>
        <w:t>IV</w:t>
      </w:r>
      <w:r w:rsidR="00AE5F1E" w:rsidRPr="004F0267">
        <w:rPr>
          <w:rFonts w:ascii="Times New Roman" w:hAnsi="Times New Roman" w:cs="Times New Roman"/>
          <w:b/>
          <w:caps/>
          <w:sz w:val="24"/>
          <w:szCs w:val="24"/>
          <w:lang w:val="en-US"/>
        </w:rPr>
        <w:t xml:space="preserve">. </w:t>
      </w:r>
      <w:r w:rsidR="00E73FB7" w:rsidRPr="004F0267">
        <w:rPr>
          <w:rFonts w:ascii="Times New Roman" w:hAnsi="Times New Roman" w:cs="Times New Roman"/>
          <w:b/>
          <w:caps/>
          <w:sz w:val="24"/>
          <w:szCs w:val="24"/>
          <w:lang w:val="en-US"/>
        </w:rPr>
        <w:t>Research Design</w:t>
      </w:r>
    </w:p>
    <w:p w14:paraId="691A5E2E" w14:textId="2DA7CA3D" w:rsidR="0018620F" w:rsidRPr="00415D91" w:rsidRDefault="003C4BCE" w:rsidP="00786A4A">
      <w:pPr>
        <w:autoSpaceDE w:val="0"/>
        <w:autoSpaceDN w:val="0"/>
        <w:adjustRightInd w:val="0"/>
        <w:spacing w:after="0" w:line="480" w:lineRule="auto"/>
        <w:ind w:firstLine="720"/>
        <w:jc w:val="both"/>
        <w:rPr>
          <w:rFonts w:ascii="Times New Roman" w:hAnsi="Times New Roman" w:cs="Times New Roman"/>
          <w:sz w:val="24"/>
          <w:szCs w:val="24"/>
          <w:lang w:val="en-US"/>
        </w:rPr>
      </w:pPr>
      <w:r w:rsidRPr="00DF76D9">
        <w:rPr>
          <w:rFonts w:ascii="Times New Roman" w:hAnsi="Times New Roman" w:cs="Times New Roman"/>
          <w:sz w:val="24"/>
          <w:szCs w:val="24"/>
          <w:lang w:val="en-US"/>
        </w:rPr>
        <w:t>Our</w:t>
      </w:r>
      <w:r w:rsidR="0018620F" w:rsidRPr="00DF76D9">
        <w:rPr>
          <w:rFonts w:ascii="Times New Roman" w:hAnsi="Times New Roman" w:cs="Times New Roman"/>
          <w:sz w:val="24"/>
          <w:szCs w:val="24"/>
          <w:lang w:val="en-US"/>
        </w:rPr>
        <w:t xml:space="preserve"> research design </w:t>
      </w:r>
      <w:r w:rsidR="004E46A7" w:rsidRPr="00DF76D9">
        <w:rPr>
          <w:rFonts w:ascii="Times New Roman" w:hAnsi="Times New Roman" w:cs="Times New Roman"/>
          <w:sz w:val="24"/>
          <w:szCs w:val="24"/>
          <w:lang w:val="en-US"/>
        </w:rPr>
        <w:t xml:space="preserve">closely </w:t>
      </w:r>
      <w:r w:rsidR="00522282" w:rsidRPr="00DF76D9">
        <w:rPr>
          <w:rFonts w:ascii="Times New Roman" w:hAnsi="Times New Roman" w:cs="Times New Roman"/>
          <w:sz w:val="24"/>
          <w:szCs w:val="24"/>
          <w:lang w:val="en-US"/>
        </w:rPr>
        <w:t xml:space="preserve">follows </w:t>
      </w:r>
      <w:r w:rsidR="004E46A7" w:rsidRPr="00DF76D9">
        <w:rPr>
          <w:rFonts w:ascii="Times New Roman" w:hAnsi="Times New Roman" w:cs="Times New Roman"/>
          <w:sz w:val="24"/>
          <w:szCs w:val="24"/>
          <w:lang w:val="en-US"/>
        </w:rPr>
        <w:t xml:space="preserve">extant </w:t>
      </w:r>
      <w:r w:rsidR="0018620F" w:rsidRPr="00DF76D9">
        <w:rPr>
          <w:rFonts w:ascii="Times New Roman" w:hAnsi="Times New Roman" w:cs="Times New Roman"/>
          <w:sz w:val="24"/>
          <w:szCs w:val="24"/>
          <w:lang w:val="en-US"/>
        </w:rPr>
        <w:t xml:space="preserve">literature </w:t>
      </w:r>
      <w:r w:rsidR="00786A4A" w:rsidRPr="00DF76D9">
        <w:rPr>
          <w:rFonts w:ascii="Times New Roman" w:hAnsi="Times New Roman" w:cs="Times New Roman"/>
          <w:sz w:val="24"/>
          <w:szCs w:val="24"/>
          <w:lang w:val="en-US"/>
        </w:rPr>
        <w:t xml:space="preserve">examining </w:t>
      </w:r>
      <w:r w:rsidR="0018620F" w:rsidRPr="00DF76D9">
        <w:rPr>
          <w:rFonts w:ascii="Times New Roman" w:hAnsi="Times New Roman" w:cs="Times New Roman"/>
          <w:sz w:val="24"/>
          <w:szCs w:val="24"/>
          <w:lang w:val="en-US"/>
        </w:rPr>
        <w:t xml:space="preserve">the effects of </w:t>
      </w:r>
      <w:r w:rsidR="00C040DC" w:rsidRPr="00DF76D9">
        <w:rPr>
          <w:rFonts w:ascii="Times New Roman" w:hAnsi="Times New Roman" w:cs="Times New Roman"/>
          <w:sz w:val="24"/>
          <w:szCs w:val="24"/>
          <w:lang w:val="en-US"/>
        </w:rPr>
        <w:t xml:space="preserve">CEO </w:t>
      </w:r>
      <w:r w:rsidR="00C301BC" w:rsidRPr="00DF76D9">
        <w:rPr>
          <w:rFonts w:ascii="Times New Roman" w:hAnsi="Times New Roman" w:cs="Times New Roman"/>
          <w:sz w:val="24"/>
          <w:szCs w:val="24"/>
          <w:lang w:val="en-US"/>
        </w:rPr>
        <w:t>risk taking</w:t>
      </w:r>
      <w:r w:rsidR="0018620F" w:rsidRPr="00DF76D9">
        <w:rPr>
          <w:rFonts w:ascii="Times New Roman" w:hAnsi="Times New Roman" w:cs="Times New Roman"/>
          <w:sz w:val="24"/>
          <w:szCs w:val="24"/>
          <w:lang w:val="en-US"/>
        </w:rPr>
        <w:t xml:space="preserve"> equity incentives</w:t>
      </w:r>
      <w:r w:rsidRPr="00DF76D9">
        <w:rPr>
          <w:rFonts w:ascii="Times New Roman" w:hAnsi="Times New Roman" w:cs="Times New Roman"/>
          <w:sz w:val="24"/>
          <w:szCs w:val="24"/>
          <w:lang w:val="en-US"/>
        </w:rPr>
        <w:t xml:space="preserve"> on </w:t>
      </w:r>
      <w:r w:rsidR="005515E3" w:rsidRPr="00DF76D9">
        <w:rPr>
          <w:rFonts w:ascii="Times New Roman" w:hAnsi="Times New Roman" w:cs="Times New Roman"/>
          <w:sz w:val="24"/>
          <w:szCs w:val="24"/>
          <w:lang w:val="en-US"/>
        </w:rPr>
        <w:t>CEO behavior</w:t>
      </w:r>
      <w:r w:rsidR="0018620F" w:rsidRPr="00DF76D9">
        <w:rPr>
          <w:rFonts w:ascii="Times New Roman" w:hAnsi="Times New Roman" w:cs="Times New Roman"/>
          <w:sz w:val="24"/>
          <w:szCs w:val="24"/>
          <w:lang w:val="en-US"/>
        </w:rPr>
        <w:t>. In particular, we implement 1) regression analy</w:t>
      </w:r>
      <w:r w:rsidR="007770A8" w:rsidRPr="00DF76D9">
        <w:rPr>
          <w:rFonts w:ascii="Times New Roman" w:hAnsi="Times New Roman" w:cs="Times New Roman"/>
          <w:sz w:val="24"/>
          <w:szCs w:val="24"/>
          <w:lang w:val="en-US"/>
        </w:rPr>
        <w:t>sis (Bergstresser and Philippon 2006; Burns and Kedia</w:t>
      </w:r>
      <w:r w:rsidR="009B1613" w:rsidRPr="00DF76D9">
        <w:rPr>
          <w:rFonts w:ascii="Times New Roman" w:hAnsi="Times New Roman" w:cs="Times New Roman"/>
          <w:sz w:val="24"/>
          <w:szCs w:val="24"/>
          <w:lang w:val="en-US"/>
        </w:rPr>
        <w:t xml:space="preserve"> 2006), 2</w:t>
      </w:r>
      <w:r w:rsidR="0018620F" w:rsidRPr="00DF76D9">
        <w:rPr>
          <w:rFonts w:ascii="Times New Roman" w:hAnsi="Times New Roman" w:cs="Times New Roman"/>
          <w:sz w:val="24"/>
          <w:szCs w:val="24"/>
          <w:lang w:val="en-US"/>
        </w:rPr>
        <w:t xml:space="preserve">) </w:t>
      </w:r>
      <w:r w:rsidR="00CC1EFA" w:rsidRPr="00DF76D9">
        <w:rPr>
          <w:rFonts w:ascii="Times New Roman" w:hAnsi="Times New Roman" w:cs="Times New Roman"/>
          <w:sz w:val="24"/>
          <w:szCs w:val="24"/>
          <w:lang w:val="en-US"/>
        </w:rPr>
        <w:t>matched</w:t>
      </w:r>
      <w:r w:rsidR="00500013">
        <w:rPr>
          <w:rFonts w:ascii="Times New Roman" w:hAnsi="Times New Roman" w:cs="Times New Roman"/>
          <w:sz w:val="24"/>
          <w:szCs w:val="24"/>
          <w:lang w:val="en-US"/>
        </w:rPr>
        <w:t xml:space="preserve"> </w:t>
      </w:r>
      <w:r w:rsidR="00CC1EFA" w:rsidRPr="00DF76D9">
        <w:rPr>
          <w:rFonts w:ascii="Times New Roman" w:hAnsi="Times New Roman" w:cs="Times New Roman"/>
          <w:sz w:val="24"/>
          <w:szCs w:val="24"/>
          <w:lang w:val="en-US"/>
        </w:rPr>
        <w:t>sample tests (</w:t>
      </w:r>
      <w:r w:rsidR="007770A8" w:rsidRPr="00DF76D9">
        <w:rPr>
          <w:rFonts w:ascii="Times New Roman" w:hAnsi="Times New Roman" w:cs="Times New Roman"/>
          <w:sz w:val="24"/>
          <w:szCs w:val="24"/>
          <w:lang w:val="en-US"/>
        </w:rPr>
        <w:t xml:space="preserve">Erickson, </w:t>
      </w:r>
      <w:r w:rsidR="00094BA9">
        <w:rPr>
          <w:rFonts w:ascii="Times New Roman" w:hAnsi="Times New Roman" w:cs="Times New Roman"/>
          <w:sz w:val="24"/>
          <w:szCs w:val="24"/>
          <w:lang w:val="en-US"/>
        </w:rPr>
        <w:t>et al.</w:t>
      </w:r>
      <w:r w:rsidR="007770A8" w:rsidRPr="00DF76D9">
        <w:rPr>
          <w:rFonts w:ascii="Times New Roman" w:hAnsi="Times New Roman" w:cs="Times New Roman"/>
          <w:sz w:val="24"/>
          <w:szCs w:val="24"/>
          <w:lang w:val="en-US"/>
        </w:rPr>
        <w:t xml:space="preserve"> </w:t>
      </w:r>
      <w:r w:rsidR="0018620F" w:rsidRPr="00DF76D9">
        <w:rPr>
          <w:rFonts w:ascii="Times New Roman" w:hAnsi="Times New Roman" w:cs="Times New Roman"/>
          <w:sz w:val="24"/>
          <w:szCs w:val="24"/>
          <w:lang w:val="en-US"/>
        </w:rPr>
        <w:t>2006; Efendi</w:t>
      </w:r>
      <w:r w:rsidR="00094BA9">
        <w:rPr>
          <w:rFonts w:ascii="Times New Roman" w:hAnsi="Times New Roman" w:cs="Times New Roman"/>
          <w:sz w:val="24"/>
          <w:szCs w:val="24"/>
          <w:lang w:val="en-US"/>
        </w:rPr>
        <w:t xml:space="preserve"> et al. </w:t>
      </w:r>
      <w:r w:rsidR="0018620F" w:rsidRPr="00DF76D9">
        <w:rPr>
          <w:rFonts w:ascii="Times New Roman" w:hAnsi="Times New Roman" w:cs="Times New Roman"/>
          <w:sz w:val="24"/>
          <w:szCs w:val="24"/>
          <w:lang w:val="en-US"/>
        </w:rPr>
        <w:t>2007; Ar</w:t>
      </w:r>
      <w:r w:rsidR="007770A8" w:rsidRPr="00DF76D9">
        <w:rPr>
          <w:rFonts w:ascii="Times New Roman" w:hAnsi="Times New Roman" w:cs="Times New Roman"/>
          <w:sz w:val="24"/>
          <w:szCs w:val="24"/>
          <w:lang w:val="en-US"/>
        </w:rPr>
        <w:t>mstrong</w:t>
      </w:r>
      <w:r w:rsidR="00BC3337">
        <w:rPr>
          <w:rFonts w:ascii="Times New Roman" w:hAnsi="Times New Roman" w:cs="Times New Roman"/>
          <w:sz w:val="24"/>
          <w:szCs w:val="24"/>
          <w:lang w:val="en-US"/>
        </w:rPr>
        <w:t xml:space="preserve"> et al. </w:t>
      </w:r>
      <w:r w:rsidR="0018620F" w:rsidRPr="00DF76D9">
        <w:rPr>
          <w:rFonts w:ascii="Times New Roman" w:hAnsi="Times New Roman" w:cs="Times New Roman"/>
          <w:sz w:val="24"/>
          <w:szCs w:val="24"/>
          <w:lang w:val="en-US"/>
        </w:rPr>
        <w:t xml:space="preserve">2010, </w:t>
      </w:r>
      <w:r w:rsidR="00C040DC" w:rsidRPr="00DF76D9">
        <w:rPr>
          <w:rFonts w:ascii="Times New Roman" w:hAnsi="Times New Roman" w:cs="Times New Roman"/>
          <w:sz w:val="24"/>
          <w:szCs w:val="24"/>
          <w:lang w:val="en-US"/>
        </w:rPr>
        <w:t>Armstrong</w:t>
      </w:r>
      <w:r w:rsidR="00094BA9">
        <w:rPr>
          <w:rFonts w:ascii="Times New Roman" w:hAnsi="Times New Roman" w:cs="Times New Roman"/>
          <w:sz w:val="24"/>
          <w:szCs w:val="24"/>
          <w:lang w:val="en-US"/>
        </w:rPr>
        <w:t xml:space="preserve"> et al.</w:t>
      </w:r>
      <w:r w:rsidR="00C040DC" w:rsidRPr="00DF76D9">
        <w:rPr>
          <w:rFonts w:ascii="Times New Roman" w:hAnsi="Times New Roman" w:cs="Times New Roman"/>
          <w:sz w:val="24"/>
          <w:szCs w:val="24"/>
          <w:lang w:val="en-US"/>
        </w:rPr>
        <w:t xml:space="preserve"> </w:t>
      </w:r>
      <w:r w:rsidR="0018620F" w:rsidRPr="00DF76D9">
        <w:rPr>
          <w:rFonts w:ascii="Times New Roman" w:hAnsi="Times New Roman" w:cs="Times New Roman"/>
          <w:sz w:val="24"/>
          <w:szCs w:val="24"/>
          <w:lang w:val="en-US"/>
        </w:rPr>
        <w:t>2013</w:t>
      </w:r>
      <w:r w:rsidR="0018620F" w:rsidRPr="00415D91">
        <w:rPr>
          <w:rFonts w:ascii="Times New Roman" w:hAnsi="Times New Roman" w:cs="Times New Roman"/>
          <w:sz w:val="24"/>
          <w:szCs w:val="24"/>
          <w:lang w:val="en-US"/>
        </w:rPr>
        <w:t xml:space="preserve">), and 3) </w:t>
      </w:r>
      <w:r w:rsidR="00522282" w:rsidRPr="00415D91">
        <w:rPr>
          <w:rFonts w:ascii="Times New Roman" w:hAnsi="Times New Roman" w:cs="Times New Roman"/>
          <w:sz w:val="24"/>
          <w:szCs w:val="24"/>
          <w:lang w:val="en-US"/>
        </w:rPr>
        <w:t>a difference-in-differences approach where we exploit the implementation of SFAS 123R to examine the effect of equity risk taking</w:t>
      </w:r>
      <w:r w:rsidR="009E5471">
        <w:rPr>
          <w:rFonts w:ascii="Times New Roman" w:hAnsi="Times New Roman" w:cs="Times New Roman"/>
          <w:sz w:val="24"/>
          <w:szCs w:val="24"/>
          <w:lang w:val="en-US"/>
        </w:rPr>
        <w:t xml:space="preserve"> </w:t>
      </w:r>
      <w:r w:rsidR="00522282" w:rsidRPr="00415D91">
        <w:rPr>
          <w:rFonts w:ascii="Times New Roman" w:hAnsi="Times New Roman" w:cs="Times New Roman"/>
          <w:sz w:val="24"/>
          <w:szCs w:val="24"/>
          <w:lang w:val="en-US"/>
        </w:rPr>
        <w:t xml:space="preserve">incentives </w:t>
      </w:r>
      <w:r w:rsidR="004E46A7" w:rsidRPr="00415D91">
        <w:rPr>
          <w:rFonts w:ascii="Times New Roman" w:hAnsi="Times New Roman" w:cs="Times New Roman"/>
          <w:sz w:val="24"/>
          <w:szCs w:val="24"/>
          <w:lang w:val="en-US"/>
        </w:rPr>
        <w:t>on workplace misconduct</w:t>
      </w:r>
      <w:r w:rsidR="007770A8" w:rsidRPr="00415D91">
        <w:rPr>
          <w:rFonts w:ascii="Times New Roman" w:hAnsi="Times New Roman" w:cs="Times New Roman"/>
          <w:sz w:val="24"/>
          <w:szCs w:val="24"/>
          <w:lang w:val="en-US"/>
        </w:rPr>
        <w:t xml:space="preserve"> (</w:t>
      </w:r>
      <w:r w:rsidR="005E77F2" w:rsidRPr="008B748F">
        <w:rPr>
          <w:rFonts w:ascii="Times New Roman" w:hAnsi="Times New Roman" w:cs="Times New Roman"/>
          <w:sz w:val="24"/>
          <w:szCs w:val="24"/>
          <w:lang w:val="en-US"/>
        </w:rPr>
        <w:t>Mao and Zhang 2018</w:t>
      </w:r>
      <w:r w:rsidR="005E77F2" w:rsidRPr="005E77F2">
        <w:rPr>
          <w:rFonts w:ascii="Times New Roman" w:hAnsi="Times New Roman" w:cs="Times New Roman"/>
          <w:sz w:val="24"/>
          <w:szCs w:val="24"/>
          <w:lang w:val="en-US"/>
        </w:rPr>
        <w:t xml:space="preserve">; </w:t>
      </w:r>
      <w:r w:rsidR="007770A8" w:rsidRPr="005E77F2">
        <w:rPr>
          <w:rFonts w:ascii="Times New Roman" w:hAnsi="Times New Roman" w:cs="Times New Roman"/>
          <w:sz w:val="24"/>
          <w:szCs w:val="24"/>
          <w:lang w:val="en-US"/>
        </w:rPr>
        <w:t>Hong</w:t>
      </w:r>
      <w:r w:rsidR="00CC1EFA" w:rsidRPr="005E77F2">
        <w:rPr>
          <w:rFonts w:ascii="Times New Roman" w:hAnsi="Times New Roman" w:cs="Times New Roman"/>
          <w:sz w:val="24"/>
          <w:szCs w:val="24"/>
          <w:lang w:val="en-US"/>
        </w:rPr>
        <w:t xml:space="preserve"> 2019).</w:t>
      </w:r>
      <w:r w:rsidR="00CC1EFA" w:rsidRPr="00415D91">
        <w:rPr>
          <w:rFonts w:ascii="Times New Roman" w:hAnsi="Times New Roman" w:cs="Times New Roman"/>
          <w:sz w:val="24"/>
          <w:szCs w:val="24"/>
          <w:lang w:val="en-US"/>
        </w:rPr>
        <w:t xml:space="preserve"> </w:t>
      </w:r>
    </w:p>
    <w:p w14:paraId="01D1E1E9" w14:textId="506B1A90" w:rsidR="001B7C85" w:rsidRPr="00415D91" w:rsidRDefault="001B7C85" w:rsidP="00EB7A61">
      <w:pPr>
        <w:spacing w:after="0" w:line="480" w:lineRule="auto"/>
        <w:rPr>
          <w:rFonts w:ascii="Times New Roman" w:hAnsi="Times New Roman" w:cs="Times New Roman"/>
          <w:i/>
          <w:sz w:val="24"/>
          <w:szCs w:val="24"/>
          <w:lang w:val="en-US"/>
        </w:rPr>
      </w:pPr>
      <w:r w:rsidRPr="00415D91">
        <w:rPr>
          <w:rFonts w:ascii="Times New Roman" w:hAnsi="Times New Roman" w:cs="Times New Roman"/>
          <w:i/>
          <w:sz w:val="24"/>
          <w:szCs w:val="24"/>
          <w:lang w:val="en-US"/>
        </w:rPr>
        <w:t xml:space="preserve">4.1. Regression </w:t>
      </w:r>
      <w:r w:rsidR="00C0465C" w:rsidRPr="00415D91">
        <w:rPr>
          <w:rFonts w:ascii="Times New Roman" w:hAnsi="Times New Roman" w:cs="Times New Roman"/>
          <w:i/>
          <w:sz w:val="24"/>
          <w:szCs w:val="24"/>
          <w:lang w:val="en-US"/>
        </w:rPr>
        <w:t>analysis</w:t>
      </w:r>
      <w:r w:rsidR="00154881" w:rsidRPr="00415D91">
        <w:rPr>
          <w:rFonts w:ascii="Times New Roman" w:hAnsi="Times New Roman" w:cs="Times New Roman"/>
          <w:i/>
          <w:sz w:val="24"/>
          <w:szCs w:val="24"/>
          <w:lang w:val="en-US"/>
        </w:rPr>
        <w:t xml:space="preserve"> and matched</w:t>
      </w:r>
      <w:r w:rsidR="00500013">
        <w:rPr>
          <w:rFonts w:ascii="Times New Roman" w:hAnsi="Times New Roman" w:cs="Times New Roman"/>
          <w:i/>
          <w:sz w:val="24"/>
          <w:szCs w:val="24"/>
          <w:lang w:val="en-US"/>
        </w:rPr>
        <w:t xml:space="preserve"> </w:t>
      </w:r>
      <w:r w:rsidR="00154881" w:rsidRPr="00415D91">
        <w:rPr>
          <w:rFonts w:ascii="Times New Roman" w:hAnsi="Times New Roman" w:cs="Times New Roman"/>
          <w:i/>
          <w:sz w:val="24"/>
          <w:szCs w:val="24"/>
          <w:lang w:val="en-US"/>
        </w:rPr>
        <w:t>sample tests</w:t>
      </w:r>
    </w:p>
    <w:p w14:paraId="6BD4654F" w14:textId="2EF71702" w:rsidR="009B1613" w:rsidRPr="00415D91" w:rsidRDefault="009B1613" w:rsidP="00456179">
      <w:pPr>
        <w:spacing w:after="0" w:line="480" w:lineRule="auto"/>
        <w:ind w:firstLine="720"/>
        <w:jc w:val="both"/>
        <w:rPr>
          <w:rFonts w:ascii="Times New Roman" w:hAnsi="Times New Roman" w:cs="Times New Roman"/>
          <w:sz w:val="24"/>
          <w:szCs w:val="24"/>
          <w:lang w:val="en-US"/>
        </w:rPr>
      </w:pPr>
      <w:r w:rsidRPr="00415D91">
        <w:rPr>
          <w:rFonts w:ascii="Times New Roman" w:hAnsi="Times New Roman" w:cs="Times New Roman"/>
          <w:sz w:val="24"/>
          <w:szCs w:val="24"/>
          <w:lang w:val="en-US"/>
        </w:rPr>
        <w:t xml:space="preserve">We examine the relation between </w:t>
      </w:r>
      <w:r w:rsidR="004E46A7" w:rsidRPr="00415D91">
        <w:rPr>
          <w:rFonts w:ascii="Times New Roman" w:hAnsi="Times New Roman" w:cs="Times New Roman"/>
          <w:sz w:val="24"/>
          <w:szCs w:val="24"/>
          <w:lang w:val="en-US"/>
        </w:rPr>
        <w:t xml:space="preserve">risk taking </w:t>
      </w:r>
      <w:r w:rsidRPr="00415D91">
        <w:rPr>
          <w:rFonts w:ascii="Times New Roman" w:hAnsi="Times New Roman" w:cs="Times New Roman"/>
          <w:sz w:val="24"/>
          <w:szCs w:val="24"/>
          <w:lang w:val="en-US"/>
        </w:rPr>
        <w:t xml:space="preserve">equity incentives and </w:t>
      </w:r>
      <w:r w:rsidR="004E46A7" w:rsidRPr="00415D91">
        <w:rPr>
          <w:rFonts w:ascii="Times New Roman" w:hAnsi="Times New Roman" w:cs="Times New Roman"/>
          <w:sz w:val="24"/>
          <w:szCs w:val="24"/>
          <w:lang w:val="en-US"/>
        </w:rPr>
        <w:t>workplace misconduct</w:t>
      </w:r>
      <w:r w:rsidRPr="00415D91">
        <w:rPr>
          <w:rFonts w:ascii="Times New Roman" w:hAnsi="Times New Roman" w:cs="Times New Roman"/>
          <w:sz w:val="24"/>
          <w:szCs w:val="24"/>
          <w:lang w:val="en-US"/>
        </w:rPr>
        <w:t xml:space="preserve"> using the following</w:t>
      </w:r>
      <w:r w:rsidR="00B865F2" w:rsidRPr="00415D91">
        <w:rPr>
          <w:rFonts w:ascii="Times New Roman" w:hAnsi="Times New Roman" w:cs="Times New Roman"/>
          <w:sz w:val="24"/>
          <w:szCs w:val="24"/>
          <w:lang w:val="en-US"/>
        </w:rPr>
        <w:t xml:space="preserve"> Ordinary Least Squares (OLS)</w:t>
      </w:r>
      <w:r w:rsidRPr="00415D91">
        <w:rPr>
          <w:rFonts w:ascii="Times New Roman" w:hAnsi="Times New Roman" w:cs="Times New Roman"/>
          <w:sz w:val="24"/>
          <w:szCs w:val="24"/>
          <w:lang w:val="en-US"/>
        </w:rPr>
        <w:t xml:space="preserve"> regression </w:t>
      </w:r>
      <w:r w:rsidR="00B865F2" w:rsidRPr="00415D91">
        <w:rPr>
          <w:rFonts w:ascii="Times New Roman" w:hAnsi="Times New Roman" w:cs="Times New Roman"/>
          <w:sz w:val="24"/>
          <w:szCs w:val="24"/>
          <w:lang w:val="en-US"/>
        </w:rPr>
        <w:t>model:</w:t>
      </w:r>
    </w:p>
    <w:p w14:paraId="4E3F7459" w14:textId="734B49B4" w:rsidR="00B865F2" w:rsidRPr="00415D91" w:rsidRDefault="00000000" w:rsidP="00650963">
      <w:pPr>
        <w:spacing w:after="0" w:line="480" w:lineRule="auto"/>
        <w:jc w:val="right"/>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i,t</m:t>
            </m:r>
          </m:sub>
        </m:sSub>
        <m:r>
          <w:rPr>
            <w:rFonts w:ascii="Cambria Math" w:hAnsi="Cambria Math" w:cs="Times New Roman"/>
            <w:sz w:val="24"/>
            <w:szCs w:val="24"/>
            <w:lang w:val="en-US"/>
          </w:rPr>
          <m:t xml:space="preserve">=α+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θ Incentives</m:t>
            </m:r>
          </m:e>
          <m:sub>
            <m:r>
              <w:rPr>
                <w:rFonts w:ascii="Cambria Math" w:hAnsi="Cambria Math" w:cs="Times New Roman"/>
                <w:sz w:val="24"/>
                <w:szCs w:val="24"/>
                <w:lang w:val="en-US"/>
              </w:rPr>
              <m:t>i,t</m:t>
            </m:r>
          </m:sub>
        </m:sSub>
        <m:r>
          <w:rPr>
            <w:rFonts w:ascii="Cambria Math" w:eastAsiaTheme="minorEastAsia" w:hAnsi="Cambria Math" w:cs="Times New Roman" w:hint="eastAsia"/>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 Controls</m:t>
            </m:r>
          </m:e>
          <m:sub>
            <m:r>
              <w:rPr>
                <w:rFonts w:ascii="Cambria Math" w:hAnsi="Cambria Math" w:cs="Times New Roman"/>
                <w:sz w:val="24"/>
                <w:szCs w:val="24"/>
                <w:lang w:val="en-US"/>
              </w:rPr>
              <m:t>i,t-1</m:t>
            </m:r>
          </m:sub>
        </m:sSub>
        <m:r>
          <w:rPr>
            <w:rFonts w:ascii="Cambria Math" w:hAnsi="Cambria Math" w:cs="Times New Roman"/>
            <w:sz w:val="24"/>
            <w:szCs w:val="24"/>
            <w:lang w:val="en-US"/>
          </w:rPr>
          <m:t>+FEs+</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i,t</m:t>
            </m:r>
          </m:sub>
        </m:sSub>
      </m:oMath>
      <w:r w:rsidR="00404BB7" w:rsidRPr="00415D91">
        <w:rPr>
          <w:rFonts w:ascii="Times New Roman" w:eastAsiaTheme="minorEastAsia" w:hAnsi="Times New Roman" w:cs="Times New Roman"/>
          <w:sz w:val="24"/>
          <w:szCs w:val="24"/>
          <w:lang w:val="en-US"/>
        </w:rPr>
        <w:t xml:space="preserve"> </w:t>
      </w:r>
      <w:r w:rsidR="00404BB7" w:rsidRPr="00415D91">
        <w:rPr>
          <w:rFonts w:ascii="Times New Roman" w:eastAsiaTheme="minorEastAsia" w:hAnsi="Times New Roman" w:cs="Times New Roman"/>
          <w:sz w:val="24"/>
          <w:szCs w:val="24"/>
          <w:lang w:val="en-US"/>
        </w:rPr>
        <w:tab/>
      </w:r>
      <w:r w:rsidR="00404BB7" w:rsidRPr="00415D91">
        <w:rPr>
          <w:rFonts w:ascii="Times New Roman" w:eastAsiaTheme="minorEastAsia" w:hAnsi="Times New Roman" w:cs="Times New Roman"/>
          <w:sz w:val="24"/>
          <w:szCs w:val="24"/>
          <w:lang w:val="en-US"/>
        </w:rPr>
        <w:tab/>
        <w:t>(1)</w:t>
      </w:r>
    </w:p>
    <w:p w14:paraId="735F536B" w14:textId="190655BD" w:rsidR="00EF7846" w:rsidRPr="00415D91" w:rsidRDefault="00B865F2" w:rsidP="000D2E3F">
      <w:pPr>
        <w:pStyle w:val="Default"/>
        <w:spacing w:line="480" w:lineRule="auto"/>
        <w:jc w:val="both"/>
        <w:rPr>
          <w:rFonts w:asciiTheme="majorBidi" w:hAnsiTheme="majorBidi" w:cstheme="majorBidi"/>
          <w:color w:val="auto"/>
          <w:lang w:val="en-US"/>
        </w:rPr>
      </w:pPr>
      <w:r w:rsidRPr="00415D91">
        <w:rPr>
          <w:bCs/>
          <w:color w:val="auto"/>
          <w:lang w:val="en-US"/>
        </w:rPr>
        <w:t xml:space="preserve">where the dependent variable </w:t>
      </w:r>
      <m:oMath>
        <m:sSub>
          <m:sSubPr>
            <m:ctrlPr>
              <w:rPr>
                <w:rFonts w:ascii="Cambria Math" w:hAnsi="Cambria Math"/>
                <w:bCs/>
                <w:color w:val="auto"/>
                <w:lang w:val="en-US"/>
              </w:rPr>
            </m:ctrlPr>
          </m:sSubPr>
          <m:e>
            <m:r>
              <w:rPr>
                <w:rFonts w:ascii="Cambria Math" w:hAnsi="Cambria Math"/>
                <w:color w:val="auto"/>
                <w:lang w:val="en-US"/>
              </w:rPr>
              <m:t>Y</m:t>
            </m:r>
          </m:e>
          <m:sub>
            <m:r>
              <w:rPr>
                <w:rFonts w:ascii="Cambria Math" w:hAnsi="Cambria Math"/>
                <w:color w:val="auto"/>
                <w:lang w:val="en-US"/>
              </w:rPr>
              <m:t>i</m:t>
            </m:r>
            <m:r>
              <m:rPr>
                <m:sty m:val="p"/>
              </m:rPr>
              <w:rPr>
                <w:rFonts w:ascii="Cambria Math" w:hAnsi="Cambria Math"/>
                <w:color w:val="auto"/>
                <w:lang w:val="en-US"/>
              </w:rPr>
              <m:t>,</m:t>
            </m:r>
            <m:r>
              <w:rPr>
                <w:rFonts w:ascii="Cambria Math" w:hAnsi="Cambria Math"/>
                <w:color w:val="auto"/>
                <w:lang w:val="en-US"/>
              </w:rPr>
              <m:t>t</m:t>
            </m:r>
          </m:sub>
        </m:sSub>
      </m:oMath>
      <w:r w:rsidRPr="00415D91">
        <w:rPr>
          <w:bCs/>
          <w:color w:val="auto"/>
          <w:lang w:val="en-US"/>
        </w:rPr>
        <w:t xml:space="preserve"> </w:t>
      </w:r>
      <w:r w:rsidR="004E46A7" w:rsidRPr="00415D91">
        <w:rPr>
          <w:bCs/>
          <w:color w:val="auto"/>
          <w:lang w:val="en-US"/>
        </w:rPr>
        <w:t>refer</w:t>
      </w:r>
      <w:r w:rsidR="000E3C8A" w:rsidRPr="00415D91">
        <w:rPr>
          <w:bCs/>
          <w:color w:val="auto"/>
          <w:lang w:val="en-US"/>
        </w:rPr>
        <w:t>s</w:t>
      </w:r>
      <w:r w:rsidR="004E46A7" w:rsidRPr="00415D91">
        <w:rPr>
          <w:bCs/>
          <w:color w:val="auto"/>
          <w:lang w:val="en-US"/>
        </w:rPr>
        <w:t xml:space="preserve"> to our measures for workplace misconduct </w:t>
      </w:r>
      <w:r w:rsidRPr="00415D91">
        <w:rPr>
          <w:bCs/>
          <w:color w:val="auto"/>
          <w:lang w:val="en-US"/>
        </w:rPr>
        <w:t xml:space="preserve">by firm </w:t>
      </w:r>
      <w:proofErr w:type="spellStart"/>
      <w:r w:rsidRPr="00415D91">
        <w:rPr>
          <w:bCs/>
          <w:i/>
          <w:iCs/>
          <w:color w:val="auto"/>
          <w:lang w:val="en-US"/>
        </w:rPr>
        <w:t>i</w:t>
      </w:r>
      <w:proofErr w:type="spellEnd"/>
      <w:r w:rsidRPr="00415D91">
        <w:rPr>
          <w:bCs/>
          <w:color w:val="auto"/>
          <w:lang w:val="en-US"/>
        </w:rPr>
        <w:t xml:space="preserve"> </w:t>
      </w:r>
      <w:r w:rsidR="00635BBA">
        <w:rPr>
          <w:bCs/>
          <w:color w:val="auto"/>
          <w:lang w:val="en-US"/>
        </w:rPr>
        <w:t>in</w:t>
      </w:r>
      <w:r w:rsidRPr="00415D91">
        <w:rPr>
          <w:bCs/>
          <w:color w:val="auto"/>
          <w:lang w:val="en-US"/>
        </w:rPr>
        <w:t xml:space="preserve"> year </w:t>
      </w:r>
      <w:r w:rsidRPr="00415D91">
        <w:rPr>
          <w:bCs/>
          <w:i/>
          <w:iCs/>
          <w:color w:val="auto"/>
          <w:lang w:val="en-US"/>
        </w:rPr>
        <w:t>t</w:t>
      </w:r>
      <w:r w:rsidR="00A176BB" w:rsidRPr="00AD0ACE">
        <w:rPr>
          <w:bCs/>
          <w:color w:val="auto"/>
          <w:lang w:val="en-US"/>
        </w:rPr>
        <w:t xml:space="preserve"> and</w:t>
      </w:r>
      <w:r w:rsidR="004E46A7" w:rsidRPr="00415D91">
        <w:rPr>
          <w:bCs/>
          <w:color w:val="auto"/>
          <w:lang w:val="en-US"/>
        </w:rPr>
        <w:t xml:space="preserve"> </w:t>
      </w:r>
      <w:r w:rsidR="007E7136" w:rsidRPr="00415D91">
        <w:rPr>
          <w:bCs/>
          <w:i/>
          <w:color w:val="auto"/>
          <w:lang w:val="en-US"/>
        </w:rPr>
        <w:t xml:space="preserve">Incentives </w:t>
      </w:r>
      <w:r w:rsidR="007E7136" w:rsidRPr="00415D91">
        <w:rPr>
          <w:bCs/>
          <w:color w:val="auto"/>
          <w:lang w:val="en-US"/>
        </w:rPr>
        <w:t>refer</w:t>
      </w:r>
      <w:r w:rsidR="00D95B3D">
        <w:rPr>
          <w:bCs/>
          <w:color w:val="auto"/>
          <w:lang w:val="en-US"/>
        </w:rPr>
        <w:t>s</w:t>
      </w:r>
      <w:r w:rsidR="007E7136" w:rsidRPr="00415D91">
        <w:rPr>
          <w:bCs/>
          <w:color w:val="auto"/>
          <w:lang w:val="en-US"/>
        </w:rPr>
        <w:t xml:space="preserve"> to </w:t>
      </w:r>
      <w:r w:rsidR="004211B0" w:rsidRPr="00415D91">
        <w:rPr>
          <w:bCs/>
          <w:color w:val="auto"/>
          <w:lang w:val="en-US"/>
        </w:rPr>
        <w:t xml:space="preserve">CEO </w:t>
      </w:r>
      <w:r w:rsidRPr="00415D91">
        <w:rPr>
          <w:bCs/>
          <w:color w:val="auto"/>
          <w:lang w:val="en-US"/>
        </w:rPr>
        <w:t>incentives</w:t>
      </w:r>
      <w:r w:rsidR="007E7136" w:rsidRPr="00415D91">
        <w:rPr>
          <w:bCs/>
          <w:color w:val="auto"/>
          <w:lang w:val="en-US"/>
        </w:rPr>
        <w:t>:</w:t>
      </w:r>
      <w:r w:rsidR="004211B0" w:rsidRPr="00415D91">
        <w:rPr>
          <w:bCs/>
          <w:color w:val="auto"/>
          <w:lang w:val="en-US"/>
        </w:rPr>
        <w:t xml:space="preserve"> </w:t>
      </w:r>
      <w:r w:rsidR="004211B0" w:rsidRPr="00415D91">
        <w:rPr>
          <w:bCs/>
          <w:i/>
          <w:color w:val="auto"/>
          <w:lang w:val="en-US"/>
        </w:rPr>
        <w:t>Vega</w:t>
      </w:r>
      <w:r w:rsidR="004211B0" w:rsidRPr="00415D91">
        <w:rPr>
          <w:bCs/>
          <w:color w:val="auto"/>
          <w:lang w:val="en-US"/>
        </w:rPr>
        <w:t xml:space="preserve">, </w:t>
      </w:r>
      <w:r w:rsidR="004211B0" w:rsidRPr="00415D91">
        <w:rPr>
          <w:bCs/>
          <w:i/>
          <w:color w:val="auto"/>
          <w:lang w:val="en-US"/>
        </w:rPr>
        <w:t>Delta</w:t>
      </w:r>
      <w:r w:rsidR="00582EB7" w:rsidRPr="00415D91">
        <w:rPr>
          <w:bCs/>
          <w:i/>
          <w:color w:val="auto"/>
          <w:lang w:val="en-US"/>
        </w:rPr>
        <w:t>,</w:t>
      </w:r>
      <w:r w:rsidR="004211B0" w:rsidRPr="00415D91">
        <w:rPr>
          <w:bCs/>
          <w:color w:val="auto"/>
          <w:lang w:val="en-US"/>
        </w:rPr>
        <w:t xml:space="preserve"> and </w:t>
      </w:r>
      <w:proofErr w:type="spellStart"/>
      <w:r w:rsidR="004211B0" w:rsidRPr="00415D91">
        <w:rPr>
          <w:bCs/>
          <w:i/>
          <w:color w:val="auto"/>
          <w:lang w:val="en-US"/>
        </w:rPr>
        <w:t>CashComp</w:t>
      </w:r>
      <w:proofErr w:type="spellEnd"/>
      <w:r w:rsidRPr="00415D91">
        <w:rPr>
          <w:bCs/>
          <w:color w:val="auto"/>
          <w:lang w:val="en-US"/>
        </w:rPr>
        <w:t>.</w:t>
      </w:r>
      <w:r w:rsidR="004211B0" w:rsidRPr="00415D91">
        <w:rPr>
          <w:bCs/>
          <w:color w:val="auto"/>
          <w:lang w:val="en-US"/>
        </w:rPr>
        <w:t xml:space="preserve"> </w:t>
      </w:r>
      <w:r w:rsidR="00456179" w:rsidRPr="00415D91">
        <w:rPr>
          <w:bCs/>
          <w:color w:val="auto"/>
          <w:lang w:val="en-US"/>
        </w:rPr>
        <w:t>Whereas</w:t>
      </w:r>
      <w:r w:rsidR="007E7136" w:rsidRPr="00415D91">
        <w:rPr>
          <w:bCs/>
          <w:color w:val="auto"/>
          <w:lang w:val="en-US"/>
        </w:rPr>
        <w:t xml:space="preserve"> we do not have any a priori expectation </w:t>
      </w:r>
      <w:r w:rsidR="008D2FAB" w:rsidRPr="00415D91">
        <w:rPr>
          <w:bCs/>
          <w:color w:val="auto"/>
          <w:lang w:val="en-US"/>
        </w:rPr>
        <w:t xml:space="preserve">for </w:t>
      </w:r>
      <w:r w:rsidR="007E7136" w:rsidRPr="00415D91">
        <w:rPr>
          <w:bCs/>
          <w:color w:val="auto"/>
          <w:lang w:val="en-US"/>
        </w:rPr>
        <w:t xml:space="preserve">the association between workplace misconduct and </w:t>
      </w:r>
      <w:r w:rsidR="007E7136" w:rsidRPr="00415D91">
        <w:rPr>
          <w:bCs/>
          <w:i/>
          <w:color w:val="auto"/>
          <w:lang w:val="en-US"/>
        </w:rPr>
        <w:t>Delta</w:t>
      </w:r>
      <w:r w:rsidR="007E7136" w:rsidRPr="00415D91">
        <w:rPr>
          <w:bCs/>
          <w:color w:val="auto"/>
          <w:lang w:val="en-US"/>
        </w:rPr>
        <w:t xml:space="preserve"> or </w:t>
      </w:r>
      <w:proofErr w:type="spellStart"/>
      <w:r w:rsidR="007E7136" w:rsidRPr="00415D91">
        <w:rPr>
          <w:bCs/>
          <w:i/>
          <w:color w:val="auto"/>
          <w:lang w:val="en-US"/>
        </w:rPr>
        <w:t>CashComp</w:t>
      </w:r>
      <w:proofErr w:type="spellEnd"/>
      <w:r w:rsidR="007E7136" w:rsidRPr="00415D91">
        <w:rPr>
          <w:bCs/>
          <w:color w:val="auto"/>
          <w:lang w:val="en-US"/>
        </w:rPr>
        <w:t xml:space="preserve">, in line with our hypothesis we expect a positive significant association between </w:t>
      </w:r>
      <w:r w:rsidR="007E7136" w:rsidRPr="00415D91">
        <w:rPr>
          <w:bCs/>
          <w:i/>
          <w:color w:val="auto"/>
          <w:lang w:val="en-US"/>
        </w:rPr>
        <w:t>Vega</w:t>
      </w:r>
      <w:r w:rsidR="007E7136" w:rsidRPr="00415D91">
        <w:rPr>
          <w:bCs/>
          <w:color w:val="auto"/>
          <w:lang w:val="en-US"/>
        </w:rPr>
        <w:t xml:space="preserve"> and workplace misconduct. </w:t>
      </w:r>
      <w:r w:rsidR="007E7136" w:rsidRPr="00415D91">
        <w:rPr>
          <w:bCs/>
          <w:i/>
          <w:color w:val="auto"/>
          <w:lang w:val="en-US"/>
        </w:rPr>
        <w:t xml:space="preserve">Controls </w:t>
      </w:r>
      <w:r w:rsidR="007E7136" w:rsidRPr="00415D91">
        <w:rPr>
          <w:bCs/>
          <w:color w:val="auto"/>
          <w:lang w:val="en-US"/>
        </w:rPr>
        <w:t>refer</w:t>
      </w:r>
      <w:r w:rsidR="008A24E0">
        <w:rPr>
          <w:bCs/>
          <w:color w:val="auto"/>
          <w:lang w:val="en-US"/>
        </w:rPr>
        <w:t>s</w:t>
      </w:r>
      <w:r w:rsidR="007E7136" w:rsidRPr="00415D91">
        <w:rPr>
          <w:bCs/>
          <w:color w:val="auto"/>
          <w:lang w:val="en-US"/>
        </w:rPr>
        <w:t xml:space="preserve"> </w:t>
      </w:r>
      <w:r w:rsidR="0058325C" w:rsidRPr="00415D91">
        <w:rPr>
          <w:bCs/>
          <w:color w:val="auto"/>
          <w:lang w:val="en-US"/>
        </w:rPr>
        <w:t xml:space="preserve">to the vector of controls </w:t>
      </w:r>
      <w:r w:rsidR="008A24E0">
        <w:rPr>
          <w:bCs/>
          <w:color w:val="auto"/>
          <w:lang w:val="en-US"/>
        </w:rPr>
        <w:t>consisting of</w:t>
      </w:r>
      <w:r w:rsidR="00650963" w:rsidRPr="00415D91">
        <w:rPr>
          <w:bCs/>
          <w:color w:val="auto"/>
          <w:lang w:val="en-US"/>
        </w:rPr>
        <w:t xml:space="preserve"> variables </w:t>
      </w:r>
      <w:r w:rsidR="00650963" w:rsidRPr="00415D91">
        <w:rPr>
          <w:bCs/>
          <w:color w:val="auto"/>
          <w:lang w:val="en-US"/>
        </w:rPr>
        <w:lastRenderedPageBreak/>
        <w:t xml:space="preserve">captured at time </w:t>
      </w:r>
      <w:r w:rsidR="00650963" w:rsidRPr="00415D91">
        <w:rPr>
          <w:bCs/>
          <w:i/>
          <w:iCs/>
          <w:color w:val="auto"/>
          <w:lang w:val="en-US"/>
        </w:rPr>
        <w:t>t-1</w:t>
      </w:r>
      <w:r w:rsidR="00650963" w:rsidRPr="00415D91">
        <w:rPr>
          <w:bCs/>
          <w:color w:val="auto"/>
          <w:lang w:val="en-US"/>
        </w:rPr>
        <w:t xml:space="preserve"> including </w:t>
      </w:r>
      <w:r w:rsidR="00650963" w:rsidRPr="00415D91">
        <w:rPr>
          <w:bCs/>
          <w:i/>
          <w:iCs/>
          <w:color w:val="auto"/>
          <w:lang w:val="en-US"/>
        </w:rPr>
        <w:t>Leverage</w:t>
      </w:r>
      <w:r w:rsidR="00650963" w:rsidRPr="00415D91">
        <w:rPr>
          <w:bCs/>
          <w:color w:val="auto"/>
          <w:lang w:val="en-US"/>
        </w:rPr>
        <w:t xml:space="preserve">, </w:t>
      </w:r>
      <w:r w:rsidR="00650963" w:rsidRPr="00415D91">
        <w:rPr>
          <w:bCs/>
          <w:i/>
          <w:iCs/>
          <w:color w:val="auto"/>
          <w:lang w:val="en-US"/>
        </w:rPr>
        <w:t>Employees,</w:t>
      </w:r>
      <w:r w:rsidR="00650963" w:rsidRPr="00415D91">
        <w:rPr>
          <w:bCs/>
          <w:color w:val="auto"/>
          <w:lang w:val="en-US"/>
        </w:rPr>
        <w:t xml:space="preserve"> </w:t>
      </w:r>
      <w:r w:rsidR="00650963" w:rsidRPr="00415D91">
        <w:rPr>
          <w:bCs/>
          <w:i/>
          <w:iCs/>
          <w:color w:val="auto"/>
          <w:lang w:val="en-US"/>
        </w:rPr>
        <w:t>Market-to-Book</w:t>
      </w:r>
      <w:r w:rsidR="00650963" w:rsidRPr="00415D91">
        <w:rPr>
          <w:bCs/>
          <w:color w:val="auto"/>
          <w:lang w:val="en-US"/>
        </w:rPr>
        <w:t xml:space="preserve">, and </w:t>
      </w:r>
      <w:r w:rsidR="00650963" w:rsidRPr="00415D91">
        <w:rPr>
          <w:bCs/>
          <w:i/>
          <w:iCs/>
          <w:color w:val="auto"/>
          <w:lang w:val="en-US"/>
        </w:rPr>
        <w:t>Tangibility</w:t>
      </w:r>
      <w:r w:rsidR="00650963" w:rsidRPr="00415D91">
        <w:rPr>
          <w:bCs/>
          <w:color w:val="auto"/>
          <w:lang w:val="en-US"/>
        </w:rPr>
        <w:t xml:space="preserve"> and a set</w:t>
      </w:r>
      <w:r w:rsidR="00A629A9" w:rsidRPr="00415D91">
        <w:rPr>
          <w:bCs/>
          <w:color w:val="auto"/>
          <w:lang w:val="en-US"/>
        </w:rPr>
        <w:t xml:space="preserve"> of controls</w:t>
      </w:r>
      <w:r w:rsidR="00650963" w:rsidRPr="00415D91">
        <w:rPr>
          <w:bCs/>
          <w:color w:val="auto"/>
          <w:lang w:val="en-US"/>
        </w:rPr>
        <w:t xml:space="preserve"> measured contemporaneously includin</w:t>
      </w:r>
      <w:r w:rsidR="00A629A9" w:rsidRPr="00415D91">
        <w:rPr>
          <w:bCs/>
          <w:color w:val="auto"/>
          <w:lang w:val="en-US"/>
        </w:rPr>
        <w:t xml:space="preserve">g </w:t>
      </w:r>
      <w:proofErr w:type="spellStart"/>
      <w:r w:rsidR="00650963" w:rsidRPr="00415D91">
        <w:rPr>
          <w:bCs/>
          <w:i/>
          <w:iCs/>
          <w:color w:val="auto"/>
          <w:lang w:val="en-US"/>
        </w:rPr>
        <w:t>CashFlow</w:t>
      </w:r>
      <w:proofErr w:type="spellEnd"/>
      <w:r w:rsidR="00650963" w:rsidRPr="00415D91">
        <w:rPr>
          <w:bCs/>
          <w:i/>
          <w:iCs/>
          <w:color w:val="auto"/>
          <w:lang w:val="en-US"/>
        </w:rPr>
        <w:t xml:space="preserve">, </w:t>
      </w:r>
      <w:proofErr w:type="spellStart"/>
      <w:r w:rsidR="00650963" w:rsidRPr="00415D91">
        <w:rPr>
          <w:bCs/>
          <w:i/>
          <w:iCs/>
          <w:color w:val="auto"/>
          <w:lang w:val="en-US"/>
        </w:rPr>
        <w:t>DividendsPayout</w:t>
      </w:r>
      <w:proofErr w:type="spellEnd"/>
      <w:r w:rsidR="00650963" w:rsidRPr="00415D91">
        <w:rPr>
          <w:bCs/>
          <w:i/>
          <w:iCs/>
          <w:color w:val="auto"/>
          <w:lang w:val="en-US"/>
        </w:rPr>
        <w:t xml:space="preserve">, </w:t>
      </w:r>
      <w:proofErr w:type="spellStart"/>
      <w:r w:rsidR="00650963" w:rsidRPr="00415D91">
        <w:rPr>
          <w:bCs/>
          <w:i/>
          <w:iCs/>
          <w:color w:val="auto"/>
          <w:lang w:val="en-US"/>
        </w:rPr>
        <w:t>AssetTurnover</w:t>
      </w:r>
      <w:proofErr w:type="spellEnd"/>
      <w:r w:rsidR="00650963" w:rsidRPr="00415D91">
        <w:rPr>
          <w:bCs/>
          <w:i/>
          <w:iCs/>
          <w:color w:val="auto"/>
          <w:lang w:val="en-US"/>
        </w:rPr>
        <w:t xml:space="preserve">, </w:t>
      </w:r>
      <w:r w:rsidR="00184390" w:rsidRPr="00415D91">
        <w:rPr>
          <w:bCs/>
          <w:i/>
          <w:iCs/>
          <w:color w:val="auto"/>
          <w:lang w:val="en-US"/>
        </w:rPr>
        <w:t>Capex</w:t>
      </w:r>
      <w:r w:rsidR="00582EB7" w:rsidRPr="00415D91">
        <w:rPr>
          <w:bCs/>
          <w:i/>
          <w:iCs/>
          <w:color w:val="auto"/>
          <w:lang w:val="en-US"/>
        </w:rPr>
        <w:t xml:space="preserve">, </w:t>
      </w:r>
      <w:r w:rsidR="000D2E3F" w:rsidRPr="00415D91">
        <w:rPr>
          <w:bCs/>
          <w:i/>
          <w:iCs/>
          <w:color w:val="auto"/>
          <w:lang w:val="en-US"/>
        </w:rPr>
        <w:t>RET</w:t>
      </w:r>
      <w:r w:rsidR="00582EB7" w:rsidRPr="00415D91">
        <w:rPr>
          <w:bCs/>
          <w:i/>
          <w:iCs/>
          <w:color w:val="auto"/>
          <w:lang w:val="en-US"/>
        </w:rPr>
        <w:t xml:space="preserve">, </w:t>
      </w:r>
      <w:proofErr w:type="spellStart"/>
      <w:r w:rsidR="00582EB7" w:rsidRPr="00415D91">
        <w:rPr>
          <w:bCs/>
          <w:i/>
          <w:iCs/>
          <w:color w:val="auto"/>
          <w:lang w:val="en-US"/>
        </w:rPr>
        <w:t>CEOage</w:t>
      </w:r>
      <w:proofErr w:type="spellEnd"/>
      <w:r w:rsidR="00582EB7" w:rsidRPr="00415D91">
        <w:rPr>
          <w:bCs/>
          <w:i/>
          <w:iCs/>
          <w:color w:val="auto"/>
          <w:lang w:val="en-US"/>
        </w:rPr>
        <w:t xml:space="preserve">, and </w:t>
      </w:r>
      <w:proofErr w:type="spellStart"/>
      <w:r w:rsidR="00582EB7" w:rsidRPr="00415D91">
        <w:rPr>
          <w:bCs/>
          <w:i/>
          <w:iCs/>
          <w:color w:val="auto"/>
          <w:lang w:val="en-US"/>
        </w:rPr>
        <w:t>CEOtenure</w:t>
      </w:r>
      <w:proofErr w:type="spellEnd"/>
      <w:r w:rsidR="00650963" w:rsidRPr="00415D91">
        <w:rPr>
          <w:bCs/>
          <w:color w:val="auto"/>
          <w:lang w:val="en-US"/>
        </w:rPr>
        <w:t xml:space="preserve">. </w:t>
      </w:r>
      <w:r w:rsidR="0058325C" w:rsidRPr="00415D91">
        <w:rPr>
          <w:bCs/>
          <w:i/>
          <w:color w:val="auto"/>
          <w:lang w:val="en-US"/>
        </w:rPr>
        <w:t xml:space="preserve">FE </w:t>
      </w:r>
      <w:r w:rsidR="0058325C" w:rsidRPr="00415D91">
        <w:rPr>
          <w:bCs/>
          <w:color w:val="auto"/>
          <w:lang w:val="en-US"/>
        </w:rPr>
        <w:t xml:space="preserve">refers to firm and year fixed effects. We estimate this regression model with </w:t>
      </w:r>
      <w:r w:rsidR="0058325C" w:rsidRPr="00415D91">
        <w:rPr>
          <w:rFonts w:asciiTheme="majorBidi" w:hAnsiTheme="majorBidi" w:cstheme="majorBidi"/>
          <w:color w:val="auto"/>
          <w:lang w:val="en-US"/>
        </w:rPr>
        <w:t>s</w:t>
      </w:r>
      <w:r w:rsidRPr="00415D91">
        <w:rPr>
          <w:color w:val="auto"/>
          <w:lang w:val="en-US"/>
        </w:rPr>
        <w:t xml:space="preserve">tandard errors clustered by firm. </w:t>
      </w:r>
    </w:p>
    <w:p w14:paraId="5E685814" w14:textId="2A762FD3" w:rsidR="0011404D" w:rsidRDefault="00154881" w:rsidP="005A2952">
      <w:pPr>
        <w:autoSpaceDE w:val="0"/>
        <w:autoSpaceDN w:val="0"/>
        <w:adjustRightInd w:val="0"/>
        <w:spacing w:after="0" w:line="480" w:lineRule="auto"/>
        <w:ind w:firstLine="720"/>
        <w:jc w:val="both"/>
        <w:rPr>
          <w:rFonts w:ascii="Times New Roman" w:hAnsi="Times New Roman" w:cs="Times New Roman"/>
          <w:sz w:val="24"/>
          <w:szCs w:val="24"/>
          <w:lang w:val="en-US"/>
        </w:rPr>
      </w:pPr>
      <w:bookmarkStart w:id="10" w:name="_Hlk133664689"/>
      <w:r w:rsidRPr="00415D91">
        <w:rPr>
          <w:rFonts w:ascii="Times New Roman" w:hAnsi="Times New Roman" w:cs="Times New Roman"/>
          <w:sz w:val="24"/>
          <w:szCs w:val="24"/>
          <w:lang w:val="en-US"/>
        </w:rPr>
        <w:t xml:space="preserve">We estimate </w:t>
      </w:r>
      <w:r w:rsidR="00B5034F" w:rsidRPr="00415D91">
        <w:rPr>
          <w:rFonts w:ascii="Times New Roman" w:hAnsi="Times New Roman" w:cs="Times New Roman"/>
          <w:sz w:val="24"/>
          <w:szCs w:val="24"/>
          <w:lang w:val="en-US"/>
        </w:rPr>
        <w:t>Eq. (1)</w:t>
      </w:r>
      <w:r w:rsidRPr="00415D91">
        <w:rPr>
          <w:rFonts w:ascii="Times New Roman" w:hAnsi="Times New Roman" w:cs="Times New Roman"/>
          <w:sz w:val="24"/>
          <w:szCs w:val="24"/>
          <w:lang w:val="en-US"/>
        </w:rPr>
        <w:t xml:space="preserve"> for unmatched and matched samples.</w:t>
      </w:r>
      <w:r w:rsidR="009F58FD" w:rsidRPr="00415D91">
        <w:rPr>
          <w:rFonts w:ascii="Times New Roman" w:hAnsi="Times New Roman" w:cs="Times New Roman"/>
          <w:sz w:val="24"/>
          <w:szCs w:val="24"/>
          <w:lang w:val="en-US"/>
        </w:rPr>
        <w:t xml:space="preserve"> </w:t>
      </w:r>
      <w:r w:rsidR="00BF7581">
        <w:rPr>
          <w:rFonts w:ascii="Times New Roman" w:hAnsi="Times New Roman" w:cs="Times New Roman"/>
          <w:sz w:val="24"/>
          <w:szCs w:val="24"/>
          <w:lang w:val="en-US"/>
        </w:rPr>
        <w:t>To</w:t>
      </w:r>
      <w:r w:rsidR="009F58FD" w:rsidRPr="00415D91">
        <w:rPr>
          <w:rFonts w:ascii="Times New Roman" w:hAnsi="Times New Roman" w:cs="Times New Roman"/>
          <w:sz w:val="24"/>
          <w:szCs w:val="24"/>
          <w:lang w:val="en-US"/>
        </w:rPr>
        <w:t xml:space="preserve"> create</w:t>
      </w:r>
      <w:r w:rsidR="008B649E" w:rsidRPr="00415D91">
        <w:rPr>
          <w:rFonts w:ascii="Times New Roman" w:hAnsi="Times New Roman" w:cs="Times New Roman"/>
          <w:sz w:val="24"/>
          <w:szCs w:val="24"/>
          <w:lang w:val="en-US"/>
        </w:rPr>
        <w:t xml:space="preserve"> the</w:t>
      </w:r>
      <w:r w:rsidR="009F58FD" w:rsidRPr="00415D91">
        <w:rPr>
          <w:rFonts w:ascii="Times New Roman" w:hAnsi="Times New Roman" w:cs="Times New Roman"/>
          <w:sz w:val="24"/>
          <w:szCs w:val="24"/>
          <w:lang w:val="en-US"/>
        </w:rPr>
        <w:t xml:space="preserve"> matched </w:t>
      </w:r>
      <w:r w:rsidR="00CF70BB" w:rsidRPr="00415D91">
        <w:rPr>
          <w:rFonts w:ascii="Times New Roman" w:hAnsi="Times New Roman" w:cs="Times New Roman"/>
          <w:sz w:val="24"/>
          <w:szCs w:val="24"/>
          <w:lang w:val="en-US"/>
        </w:rPr>
        <w:t>sample,</w:t>
      </w:r>
      <w:r w:rsidR="001949D1" w:rsidRPr="00415D91">
        <w:rPr>
          <w:rFonts w:ascii="Times New Roman" w:hAnsi="Times New Roman" w:cs="Times New Roman"/>
          <w:sz w:val="24"/>
          <w:szCs w:val="24"/>
          <w:lang w:val="en-US"/>
        </w:rPr>
        <w:t xml:space="preserve"> </w:t>
      </w:r>
      <w:r w:rsidR="009F1D08" w:rsidRPr="00415D91">
        <w:rPr>
          <w:rFonts w:ascii="Times New Roman" w:hAnsi="Times New Roman" w:cs="Times New Roman"/>
          <w:sz w:val="24"/>
          <w:szCs w:val="24"/>
          <w:lang w:val="en-US"/>
        </w:rPr>
        <w:t>we</w:t>
      </w:r>
      <w:r w:rsidR="009F58FD" w:rsidRPr="00415D91">
        <w:rPr>
          <w:rFonts w:ascii="Times New Roman" w:hAnsi="Times New Roman" w:cs="Times New Roman"/>
          <w:sz w:val="24"/>
          <w:szCs w:val="24"/>
          <w:lang w:val="en-US"/>
        </w:rPr>
        <w:t xml:space="preserve"> follow </w:t>
      </w:r>
      <w:r w:rsidR="003007D7" w:rsidRPr="00415D91">
        <w:rPr>
          <w:rFonts w:ascii="Times New Roman" w:hAnsi="Times New Roman" w:cs="Times New Roman"/>
          <w:sz w:val="24"/>
          <w:szCs w:val="24"/>
          <w:lang w:val="en-US"/>
        </w:rPr>
        <w:t>Armstrong</w:t>
      </w:r>
      <w:r w:rsidR="00BC3337">
        <w:rPr>
          <w:rFonts w:ascii="Times New Roman" w:hAnsi="Times New Roman" w:cs="Times New Roman"/>
          <w:sz w:val="24"/>
          <w:szCs w:val="24"/>
          <w:lang w:val="en-US"/>
        </w:rPr>
        <w:t xml:space="preserve"> et al.</w:t>
      </w:r>
      <w:r w:rsidR="003007D7" w:rsidRPr="00415D91">
        <w:rPr>
          <w:rFonts w:ascii="Times New Roman" w:hAnsi="Times New Roman" w:cs="Times New Roman"/>
          <w:sz w:val="24"/>
          <w:szCs w:val="24"/>
          <w:lang w:val="en-US"/>
        </w:rPr>
        <w:t xml:space="preserve"> (2010) and Armstrong</w:t>
      </w:r>
      <w:r w:rsidR="00094BA9">
        <w:rPr>
          <w:rFonts w:ascii="Times New Roman" w:hAnsi="Times New Roman" w:cs="Times New Roman"/>
          <w:sz w:val="24"/>
          <w:szCs w:val="24"/>
          <w:lang w:val="en-US"/>
        </w:rPr>
        <w:t xml:space="preserve"> et al.</w:t>
      </w:r>
      <w:r w:rsidR="003007D7" w:rsidRPr="00415D91">
        <w:rPr>
          <w:rFonts w:ascii="Times New Roman" w:hAnsi="Times New Roman" w:cs="Times New Roman"/>
          <w:sz w:val="24"/>
          <w:szCs w:val="24"/>
          <w:lang w:val="en-US"/>
        </w:rPr>
        <w:t xml:space="preserve"> (2013)</w:t>
      </w:r>
      <w:r w:rsidR="001949D1" w:rsidRPr="00415D91">
        <w:rPr>
          <w:rFonts w:ascii="Times New Roman" w:hAnsi="Times New Roman" w:cs="Times New Roman"/>
          <w:sz w:val="24"/>
          <w:szCs w:val="24"/>
          <w:lang w:val="en-US"/>
        </w:rPr>
        <w:t xml:space="preserve"> and ap</w:t>
      </w:r>
      <w:r w:rsidR="008B649E" w:rsidRPr="00415D91">
        <w:rPr>
          <w:rFonts w:ascii="Times New Roman" w:hAnsi="Times New Roman" w:cs="Times New Roman"/>
          <w:sz w:val="24"/>
          <w:szCs w:val="24"/>
          <w:lang w:val="en-US"/>
        </w:rPr>
        <w:t>p</w:t>
      </w:r>
      <w:r w:rsidR="001949D1" w:rsidRPr="00415D91">
        <w:rPr>
          <w:rFonts w:ascii="Times New Roman" w:hAnsi="Times New Roman" w:cs="Times New Roman"/>
          <w:sz w:val="24"/>
          <w:szCs w:val="24"/>
          <w:lang w:val="en-US"/>
        </w:rPr>
        <w:t>ly non-bipartite matching where</w:t>
      </w:r>
      <w:r w:rsidR="003007D7" w:rsidRPr="00415D91">
        <w:rPr>
          <w:rFonts w:ascii="Times New Roman" w:hAnsi="Times New Roman" w:cs="Times New Roman"/>
          <w:sz w:val="24"/>
          <w:szCs w:val="24"/>
          <w:lang w:val="en-US"/>
        </w:rPr>
        <w:t xml:space="preserve"> </w:t>
      </w:r>
      <w:r w:rsidR="009F58FD" w:rsidRPr="00415D91">
        <w:rPr>
          <w:rFonts w:ascii="Times New Roman" w:hAnsi="Times New Roman" w:cs="Times New Roman"/>
          <w:sz w:val="24"/>
          <w:szCs w:val="24"/>
          <w:lang w:val="en-US"/>
        </w:rPr>
        <w:t>w</w:t>
      </w:r>
      <w:r w:rsidR="005A2952" w:rsidRPr="00415D91">
        <w:rPr>
          <w:rFonts w:ascii="Times New Roman" w:hAnsi="Times New Roman" w:cs="Times New Roman"/>
          <w:sz w:val="24"/>
          <w:szCs w:val="24"/>
          <w:lang w:val="en-US"/>
        </w:rPr>
        <w:t>e match based on the propensity</w:t>
      </w:r>
      <w:r w:rsidR="0011404D">
        <w:rPr>
          <w:rFonts w:ascii="Times New Roman" w:hAnsi="Times New Roman" w:cs="Times New Roman"/>
          <w:sz w:val="24"/>
          <w:szCs w:val="24"/>
          <w:lang w:val="en-US"/>
        </w:rPr>
        <w:t xml:space="preserve"> </w:t>
      </w:r>
      <w:r w:rsidR="009F58FD" w:rsidRPr="00415D91">
        <w:rPr>
          <w:rFonts w:ascii="Times New Roman" w:hAnsi="Times New Roman" w:cs="Times New Roman"/>
          <w:sz w:val="24"/>
          <w:szCs w:val="24"/>
          <w:lang w:val="en-US"/>
        </w:rPr>
        <w:t>score</w:t>
      </w:r>
      <w:r w:rsidR="00D918D6" w:rsidRPr="00415D91">
        <w:rPr>
          <w:rFonts w:ascii="Times New Roman" w:hAnsi="Times New Roman" w:cs="Times New Roman"/>
          <w:sz w:val="24"/>
          <w:szCs w:val="24"/>
          <w:lang w:val="en-US"/>
        </w:rPr>
        <w:t xml:space="preserve"> </w:t>
      </w:r>
      <w:r w:rsidR="00E33051" w:rsidRPr="00415D91">
        <w:rPr>
          <w:rFonts w:ascii="Times New Roman" w:hAnsi="Times New Roman" w:cs="Times New Roman"/>
          <w:sz w:val="24"/>
          <w:szCs w:val="24"/>
          <w:lang w:val="en-US"/>
        </w:rPr>
        <w:t xml:space="preserve">estimated using the </w:t>
      </w:r>
      <w:r w:rsidR="00CF70BB">
        <w:rPr>
          <w:rFonts w:ascii="Times New Roman" w:hAnsi="Times New Roman" w:cs="Times New Roman"/>
          <w:sz w:val="24"/>
          <w:szCs w:val="24"/>
          <w:lang w:val="en-US"/>
        </w:rPr>
        <w:t xml:space="preserve">control </w:t>
      </w:r>
      <w:r w:rsidR="00E33051" w:rsidRPr="00415D91">
        <w:rPr>
          <w:rFonts w:ascii="Times New Roman" w:hAnsi="Times New Roman" w:cs="Times New Roman"/>
          <w:sz w:val="24"/>
          <w:szCs w:val="24"/>
          <w:lang w:val="en-US"/>
        </w:rPr>
        <w:t>variables in</w:t>
      </w:r>
      <w:r w:rsidR="009F58FD" w:rsidRPr="00415D91">
        <w:rPr>
          <w:rFonts w:ascii="Times New Roman" w:hAnsi="Times New Roman" w:cs="Times New Roman"/>
          <w:sz w:val="24"/>
          <w:szCs w:val="24"/>
          <w:lang w:val="en-US"/>
        </w:rPr>
        <w:t xml:space="preserve"> </w:t>
      </w:r>
      <w:r w:rsidR="009D2E9F" w:rsidRPr="00415D91">
        <w:rPr>
          <w:rFonts w:ascii="Times New Roman" w:hAnsi="Times New Roman" w:cs="Times New Roman"/>
          <w:sz w:val="24"/>
          <w:szCs w:val="24"/>
          <w:lang w:val="en-US"/>
        </w:rPr>
        <w:t>Eq.</w:t>
      </w:r>
      <w:r w:rsidR="001C128D" w:rsidRPr="00415D91">
        <w:rPr>
          <w:rFonts w:ascii="Times New Roman" w:hAnsi="Times New Roman" w:cs="Times New Roman"/>
          <w:sz w:val="24"/>
          <w:szCs w:val="24"/>
          <w:lang w:val="en-US"/>
        </w:rPr>
        <w:t xml:space="preserve"> (</w:t>
      </w:r>
      <w:r w:rsidR="009D2E9F" w:rsidRPr="00415D91">
        <w:rPr>
          <w:rFonts w:ascii="Times New Roman" w:hAnsi="Times New Roman" w:cs="Times New Roman"/>
          <w:sz w:val="24"/>
          <w:szCs w:val="24"/>
          <w:lang w:val="en-US"/>
        </w:rPr>
        <w:t>1</w:t>
      </w:r>
      <w:r w:rsidR="001C128D" w:rsidRPr="00415D91">
        <w:rPr>
          <w:rFonts w:ascii="Times New Roman" w:hAnsi="Times New Roman" w:cs="Times New Roman"/>
          <w:sz w:val="24"/>
          <w:szCs w:val="24"/>
          <w:lang w:val="en-US"/>
        </w:rPr>
        <w:t>)</w:t>
      </w:r>
      <w:r w:rsidR="00EF7846" w:rsidRPr="00415D91">
        <w:rPr>
          <w:rFonts w:ascii="Times New Roman" w:hAnsi="Times New Roman" w:cs="Times New Roman"/>
          <w:sz w:val="24"/>
          <w:szCs w:val="24"/>
          <w:lang w:val="en-US"/>
        </w:rPr>
        <w:t xml:space="preserve">. </w:t>
      </w:r>
      <w:r w:rsidR="0011404D" w:rsidRPr="001351CF">
        <w:rPr>
          <w:rFonts w:ascii="Times New Roman" w:hAnsi="Times New Roman" w:cs="Times New Roman"/>
          <w:sz w:val="24"/>
          <w:szCs w:val="24"/>
          <w:lang w:val="en-US"/>
        </w:rPr>
        <w:t>Propensity</w:t>
      </w:r>
      <w:r w:rsidR="0011404D" w:rsidRPr="00756A7D">
        <w:rPr>
          <w:rFonts w:ascii="Times New Roman" w:hAnsi="Times New Roman" w:cs="Times New Roman"/>
          <w:sz w:val="24"/>
          <w:szCs w:val="24"/>
          <w:lang w:val="en-US"/>
        </w:rPr>
        <w:t xml:space="preserve"> </w:t>
      </w:r>
      <w:r w:rsidR="0011404D" w:rsidRPr="001351CF">
        <w:rPr>
          <w:rFonts w:ascii="Times New Roman" w:hAnsi="Times New Roman" w:cs="Times New Roman"/>
          <w:sz w:val="24"/>
          <w:szCs w:val="24"/>
          <w:lang w:val="en-US"/>
        </w:rPr>
        <w:t>score is</w:t>
      </w:r>
      <w:r w:rsidR="0011404D" w:rsidRPr="00756A7D">
        <w:rPr>
          <w:rFonts w:ascii="Times New Roman" w:hAnsi="Times New Roman" w:cs="Times New Roman"/>
          <w:sz w:val="24"/>
          <w:szCs w:val="24"/>
          <w:lang w:val="en-US"/>
        </w:rPr>
        <w:t xml:space="preserve"> defined by </w:t>
      </w:r>
      <w:r w:rsidR="0011404D" w:rsidRPr="00A04E3A">
        <w:rPr>
          <w:rFonts w:ascii="Times New Roman" w:hAnsi="Times New Roman" w:cs="Times New Roman"/>
          <w:sz w:val="24"/>
          <w:szCs w:val="24"/>
          <w:lang w:val="en-US"/>
        </w:rPr>
        <w:t>Rosenbaum and Rubin (1983)</w:t>
      </w:r>
      <w:r w:rsidR="0011404D" w:rsidRPr="00756A7D">
        <w:rPr>
          <w:rFonts w:ascii="Times New Roman" w:hAnsi="Times New Roman" w:cs="Times New Roman"/>
          <w:sz w:val="24"/>
          <w:szCs w:val="24"/>
          <w:lang w:val="en-US"/>
        </w:rPr>
        <w:t> </w:t>
      </w:r>
      <w:r w:rsidR="0011404D">
        <w:rPr>
          <w:rFonts w:ascii="Times New Roman" w:hAnsi="Times New Roman" w:cs="Times New Roman"/>
          <w:sz w:val="24"/>
          <w:szCs w:val="24"/>
          <w:lang w:val="en-US"/>
        </w:rPr>
        <w:t>as</w:t>
      </w:r>
      <w:r w:rsidR="0011404D" w:rsidRPr="00756A7D">
        <w:rPr>
          <w:rFonts w:ascii="Times New Roman" w:hAnsi="Times New Roman" w:cs="Times New Roman"/>
          <w:sz w:val="24"/>
          <w:szCs w:val="24"/>
          <w:lang w:val="en-US"/>
        </w:rPr>
        <w:t xml:space="preserve"> the probability of treatment assignment conditional on observed baseline covariates</w:t>
      </w:r>
      <w:r w:rsidR="0011404D">
        <w:rPr>
          <w:rFonts w:ascii="Times New Roman" w:hAnsi="Times New Roman" w:cs="Times New Roman"/>
          <w:sz w:val="24"/>
          <w:szCs w:val="24"/>
          <w:lang w:val="en-US"/>
        </w:rPr>
        <w:t xml:space="preserve">. </w:t>
      </w:r>
      <w:r w:rsidR="001351CF">
        <w:rPr>
          <w:rFonts w:ascii="Times New Roman" w:hAnsi="Times New Roman" w:cs="Times New Roman"/>
          <w:sz w:val="24"/>
          <w:szCs w:val="24"/>
          <w:lang w:val="en-US"/>
        </w:rPr>
        <w:t>The</w:t>
      </w:r>
      <w:r w:rsidR="0011404D" w:rsidRPr="00756A7D">
        <w:rPr>
          <w:rFonts w:ascii="Times New Roman" w:hAnsi="Times New Roman" w:cs="Times New Roman"/>
          <w:sz w:val="24"/>
          <w:szCs w:val="24"/>
          <w:lang w:val="en-US"/>
        </w:rPr>
        <w:t xml:space="preserve"> propensity</w:t>
      </w:r>
      <w:r w:rsidR="0011404D">
        <w:rPr>
          <w:rFonts w:ascii="Times New Roman" w:hAnsi="Times New Roman" w:cs="Times New Roman"/>
          <w:sz w:val="24"/>
          <w:szCs w:val="24"/>
          <w:lang w:val="en-US"/>
        </w:rPr>
        <w:t xml:space="preserve"> </w:t>
      </w:r>
      <w:r w:rsidR="0011404D" w:rsidRPr="00756A7D">
        <w:rPr>
          <w:rFonts w:ascii="Times New Roman" w:hAnsi="Times New Roman" w:cs="Times New Roman"/>
          <w:sz w:val="24"/>
          <w:szCs w:val="24"/>
          <w:lang w:val="en-US"/>
        </w:rPr>
        <w:t xml:space="preserve">score is </w:t>
      </w:r>
      <w:r w:rsidR="0011404D" w:rsidRPr="001351CF">
        <w:rPr>
          <w:rFonts w:ascii="Times New Roman" w:hAnsi="Times New Roman" w:cs="Times New Roman"/>
          <w:sz w:val="24"/>
          <w:szCs w:val="24"/>
          <w:lang w:val="en-US"/>
        </w:rPr>
        <w:t>typically</w:t>
      </w:r>
      <w:r w:rsidR="0011404D" w:rsidRPr="00756A7D">
        <w:rPr>
          <w:rFonts w:ascii="Times New Roman" w:hAnsi="Times New Roman" w:cs="Times New Roman"/>
          <w:sz w:val="24"/>
          <w:szCs w:val="24"/>
          <w:lang w:val="en-US"/>
        </w:rPr>
        <w:t xml:space="preserve"> </w:t>
      </w:r>
      <w:r w:rsidR="0011404D" w:rsidRPr="004248D1">
        <w:rPr>
          <w:rFonts w:ascii="Times New Roman" w:hAnsi="Times New Roman" w:cs="Times New Roman"/>
          <w:sz w:val="24"/>
          <w:szCs w:val="24"/>
          <w:lang w:val="en-US"/>
        </w:rPr>
        <w:t>estimated using a logistic regression model, in which treatment status is regressed on observed baseline characteristics.</w:t>
      </w:r>
      <w:r w:rsidR="0011404D">
        <w:rPr>
          <w:rFonts w:ascii="Times New Roman" w:hAnsi="Times New Roman" w:cs="Times New Roman"/>
          <w:sz w:val="24"/>
          <w:szCs w:val="24"/>
          <w:lang w:val="en-US"/>
        </w:rPr>
        <w:t xml:space="preserve"> </w:t>
      </w:r>
      <w:r w:rsidR="001351CF">
        <w:rPr>
          <w:rFonts w:ascii="Times New Roman" w:hAnsi="Times New Roman" w:cs="Times New Roman"/>
          <w:sz w:val="24"/>
          <w:szCs w:val="24"/>
          <w:lang w:val="en-US"/>
        </w:rPr>
        <w:t>Thus, t</w:t>
      </w:r>
      <w:r w:rsidR="0011404D" w:rsidRPr="00756A7D">
        <w:rPr>
          <w:rFonts w:ascii="Times New Roman" w:hAnsi="Times New Roman" w:cs="Times New Roman"/>
          <w:sz w:val="24"/>
          <w:szCs w:val="24"/>
          <w:lang w:val="en-US"/>
        </w:rPr>
        <w:t>he estimated propensity</w:t>
      </w:r>
      <w:r w:rsidR="0011404D">
        <w:rPr>
          <w:rFonts w:ascii="Times New Roman" w:hAnsi="Times New Roman" w:cs="Times New Roman"/>
          <w:sz w:val="24"/>
          <w:szCs w:val="24"/>
          <w:lang w:val="en-US"/>
        </w:rPr>
        <w:t xml:space="preserve"> </w:t>
      </w:r>
      <w:r w:rsidR="0011404D" w:rsidRPr="00756A7D">
        <w:rPr>
          <w:rFonts w:ascii="Times New Roman" w:hAnsi="Times New Roman" w:cs="Times New Roman"/>
          <w:sz w:val="24"/>
          <w:szCs w:val="24"/>
          <w:lang w:val="en-US"/>
        </w:rPr>
        <w:t>score is the predicted probability of treatment derived f</w:t>
      </w:r>
      <w:r w:rsidR="0011404D" w:rsidRPr="001351CF">
        <w:rPr>
          <w:rFonts w:ascii="Times New Roman" w:hAnsi="Times New Roman" w:cs="Times New Roman"/>
          <w:sz w:val="24"/>
          <w:szCs w:val="24"/>
          <w:lang w:val="en-US"/>
        </w:rPr>
        <w:t>rom the fitted regression model.</w:t>
      </w:r>
      <w:r w:rsidR="0011404D">
        <w:rPr>
          <w:rFonts w:ascii="Times New Roman" w:hAnsi="Times New Roman" w:cs="Times New Roman"/>
          <w:sz w:val="24"/>
          <w:szCs w:val="24"/>
          <w:lang w:val="en-US"/>
        </w:rPr>
        <w:t xml:space="preserve"> </w:t>
      </w:r>
    </w:p>
    <w:p w14:paraId="41398A18" w14:textId="571C7DB0" w:rsidR="009B0BFA" w:rsidRPr="00415D91" w:rsidRDefault="00A8523A" w:rsidP="005A2952">
      <w:pPr>
        <w:autoSpaceDE w:val="0"/>
        <w:autoSpaceDN w:val="0"/>
        <w:adjustRightInd w:val="0"/>
        <w:spacing w:after="0" w:line="480" w:lineRule="auto"/>
        <w:ind w:firstLine="720"/>
        <w:jc w:val="both"/>
        <w:rPr>
          <w:rFonts w:ascii="Times New Roman" w:hAnsi="Times New Roman" w:cs="Times New Roman"/>
          <w:sz w:val="24"/>
          <w:szCs w:val="24"/>
          <w:lang w:val="en-US"/>
        </w:rPr>
      </w:pPr>
      <w:r w:rsidRPr="00415D91">
        <w:rPr>
          <w:rFonts w:ascii="Times New Roman" w:hAnsi="Times New Roman" w:cs="Times New Roman"/>
          <w:sz w:val="24"/>
          <w:szCs w:val="24"/>
          <w:lang w:val="en-US"/>
        </w:rPr>
        <w:t>Non-bipartite matching is conceptually similar to propensity</w:t>
      </w:r>
      <w:r w:rsidR="0011404D">
        <w:rPr>
          <w:rFonts w:ascii="Times New Roman" w:hAnsi="Times New Roman" w:cs="Times New Roman"/>
          <w:sz w:val="24"/>
          <w:szCs w:val="24"/>
          <w:lang w:val="en-US"/>
        </w:rPr>
        <w:t xml:space="preserve"> </w:t>
      </w:r>
      <w:r w:rsidRPr="00415D91">
        <w:rPr>
          <w:rFonts w:ascii="Times New Roman" w:hAnsi="Times New Roman" w:cs="Times New Roman"/>
          <w:sz w:val="24"/>
          <w:szCs w:val="24"/>
          <w:lang w:val="en-US"/>
        </w:rPr>
        <w:t xml:space="preserve">score matching in that </w:t>
      </w:r>
      <w:r w:rsidR="00686833" w:rsidRPr="00415D91">
        <w:rPr>
          <w:rFonts w:ascii="Times New Roman" w:hAnsi="Times New Roman" w:cs="Times New Roman"/>
          <w:sz w:val="24"/>
          <w:szCs w:val="24"/>
          <w:lang w:val="en-US"/>
        </w:rPr>
        <w:t xml:space="preserve">matched pairs are created by </w:t>
      </w:r>
      <w:r w:rsidRPr="00415D91">
        <w:rPr>
          <w:rFonts w:ascii="Times New Roman" w:hAnsi="Times New Roman" w:cs="Times New Roman"/>
          <w:sz w:val="24"/>
          <w:szCs w:val="24"/>
          <w:lang w:val="en-US"/>
        </w:rPr>
        <w:t xml:space="preserve">matching an observation </w:t>
      </w:r>
      <w:r w:rsidR="00582EB7" w:rsidRPr="00415D91">
        <w:rPr>
          <w:rFonts w:ascii="Times New Roman" w:hAnsi="Times New Roman" w:cs="Times New Roman"/>
          <w:sz w:val="24"/>
          <w:szCs w:val="24"/>
          <w:lang w:val="en-US"/>
        </w:rPr>
        <w:t>that</w:t>
      </w:r>
      <w:r w:rsidRPr="00415D91">
        <w:rPr>
          <w:rFonts w:ascii="Times New Roman" w:hAnsi="Times New Roman" w:cs="Times New Roman"/>
          <w:sz w:val="24"/>
          <w:szCs w:val="24"/>
          <w:lang w:val="en-US"/>
        </w:rPr>
        <w:t xml:space="preserve"> received the treatment with an observation </w:t>
      </w:r>
      <w:r w:rsidR="00A24286">
        <w:rPr>
          <w:rFonts w:ascii="Times New Roman" w:hAnsi="Times New Roman" w:cs="Times New Roman"/>
          <w:sz w:val="24"/>
          <w:szCs w:val="24"/>
          <w:lang w:val="en-US"/>
        </w:rPr>
        <w:t>having</w:t>
      </w:r>
      <w:r w:rsidR="00A24286" w:rsidRPr="00415D91">
        <w:rPr>
          <w:rFonts w:ascii="Times New Roman" w:hAnsi="Times New Roman" w:cs="Times New Roman"/>
          <w:sz w:val="24"/>
          <w:szCs w:val="24"/>
          <w:lang w:val="en-US"/>
        </w:rPr>
        <w:t xml:space="preserve"> </w:t>
      </w:r>
      <w:r w:rsidRPr="00415D91">
        <w:rPr>
          <w:rFonts w:ascii="Times New Roman" w:hAnsi="Times New Roman" w:cs="Times New Roman"/>
          <w:sz w:val="24"/>
          <w:szCs w:val="24"/>
          <w:lang w:val="en-US"/>
        </w:rPr>
        <w:t>the closest propensity score, but which did not receive the treatment</w:t>
      </w:r>
      <w:r w:rsidR="009B0BFA" w:rsidRPr="00415D91">
        <w:rPr>
          <w:rFonts w:ascii="Times New Roman" w:hAnsi="Times New Roman" w:cs="Times New Roman"/>
          <w:sz w:val="24"/>
          <w:szCs w:val="24"/>
          <w:lang w:val="en-US"/>
        </w:rPr>
        <w:t xml:space="preserve">. However, unlike propensity-score matching, </w:t>
      </w:r>
      <w:r w:rsidR="009858F9" w:rsidRPr="00415D91">
        <w:rPr>
          <w:rFonts w:ascii="Times New Roman" w:hAnsi="Times New Roman" w:cs="Times New Roman"/>
          <w:sz w:val="24"/>
          <w:szCs w:val="24"/>
          <w:lang w:val="en-US"/>
        </w:rPr>
        <w:t>non-</w:t>
      </w:r>
      <w:r w:rsidR="009858F9" w:rsidRPr="001351CF">
        <w:rPr>
          <w:rFonts w:ascii="Times New Roman" w:hAnsi="Times New Roman" w:cs="Times New Roman"/>
          <w:sz w:val="24"/>
          <w:szCs w:val="24"/>
          <w:lang w:val="en-US"/>
        </w:rPr>
        <w:t>bipartite matching allows for conti</w:t>
      </w:r>
      <w:r w:rsidR="00582EB7" w:rsidRPr="001351CF">
        <w:rPr>
          <w:rFonts w:ascii="Times New Roman" w:hAnsi="Times New Roman" w:cs="Times New Roman"/>
          <w:sz w:val="24"/>
          <w:szCs w:val="24"/>
          <w:lang w:val="en-US"/>
        </w:rPr>
        <w:t>nu</w:t>
      </w:r>
      <w:r w:rsidR="009858F9" w:rsidRPr="001351CF">
        <w:rPr>
          <w:rFonts w:ascii="Times New Roman" w:hAnsi="Times New Roman" w:cs="Times New Roman"/>
          <w:sz w:val="24"/>
          <w:szCs w:val="24"/>
          <w:lang w:val="en-US"/>
        </w:rPr>
        <w:t>ous treatment</w:t>
      </w:r>
      <w:r w:rsidR="0011404D" w:rsidRPr="001351CF">
        <w:rPr>
          <w:rFonts w:ascii="Times New Roman" w:hAnsi="Times New Roman" w:cs="Times New Roman"/>
          <w:sz w:val="24"/>
          <w:szCs w:val="24"/>
          <w:lang w:val="en-US"/>
        </w:rPr>
        <w:t xml:space="preserve"> (</w:t>
      </w:r>
      <w:r w:rsidR="00D56B33" w:rsidRPr="001351CF">
        <w:rPr>
          <w:rFonts w:ascii="Times New Roman" w:hAnsi="Times New Roman" w:cs="Times New Roman"/>
          <w:sz w:val="24"/>
          <w:szCs w:val="24"/>
          <w:lang w:val="en-US"/>
        </w:rPr>
        <w:t xml:space="preserve">Derigs 1988; </w:t>
      </w:r>
      <w:r w:rsidR="0011404D" w:rsidRPr="001351CF">
        <w:rPr>
          <w:rFonts w:ascii="Times New Roman" w:hAnsi="Times New Roman" w:cs="Times New Roman"/>
          <w:sz w:val="24"/>
          <w:szCs w:val="24"/>
          <w:lang w:val="en-US"/>
        </w:rPr>
        <w:t>Lu</w:t>
      </w:r>
      <w:r w:rsidR="00331B96">
        <w:rPr>
          <w:rFonts w:ascii="Times New Roman" w:hAnsi="Times New Roman" w:cs="Times New Roman"/>
          <w:sz w:val="24"/>
          <w:szCs w:val="24"/>
          <w:lang w:val="en-US"/>
        </w:rPr>
        <w:t xml:space="preserve">, </w:t>
      </w:r>
      <w:proofErr w:type="spellStart"/>
      <w:r w:rsidR="00331B96">
        <w:rPr>
          <w:rFonts w:ascii="Times New Roman" w:hAnsi="Times New Roman" w:cs="Times New Roman"/>
          <w:sz w:val="24"/>
          <w:szCs w:val="24"/>
          <w:lang w:val="en-US"/>
        </w:rPr>
        <w:t>Zanutto</w:t>
      </w:r>
      <w:proofErr w:type="spellEnd"/>
      <w:r w:rsidR="00331B96">
        <w:rPr>
          <w:rFonts w:ascii="Times New Roman" w:hAnsi="Times New Roman" w:cs="Times New Roman"/>
          <w:sz w:val="24"/>
          <w:szCs w:val="24"/>
          <w:lang w:val="en-US"/>
        </w:rPr>
        <w:t xml:space="preserve">, Hornik and </w:t>
      </w:r>
      <w:proofErr w:type="spellStart"/>
      <w:r w:rsidR="00331B96">
        <w:rPr>
          <w:rFonts w:ascii="Times New Roman" w:hAnsi="Times New Roman" w:cs="Times New Roman"/>
          <w:sz w:val="24"/>
          <w:szCs w:val="24"/>
          <w:lang w:val="en-US"/>
        </w:rPr>
        <w:t>Rosenabum</w:t>
      </w:r>
      <w:proofErr w:type="spellEnd"/>
      <w:r w:rsidR="00331B96">
        <w:rPr>
          <w:rFonts w:ascii="Times New Roman" w:hAnsi="Times New Roman" w:cs="Times New Roman"/>
          <w:sz w:val="24"/>
          <w:szCs w:val="24"/>
          <w:lang w:val="en-US"/>
        </w:rPr>
        <w:t>,</w:t>
      </w:r>
      <w:r w:rsidR="0011404D" w:rsidRPr="001351CF">
        <w:rPr>
          <w:rFonts w:ascii="Times New Roman" w:hAnsi="Times New Roman" w:cs="Times New Roman"/>
          <w:sz w:val="24"/>
          <w:szCs w:val="24"/>
          <w:lang w:val="en-US"/>
        </w:rPr>
        <w:t xml:space="preserve"> 2001)</w:t>
      </w:r>
      <w:r w:rsidR="009858F9" w:rsidRPr="001351CF">
        <w:rPr>
          <w:rFonts w:ascii="Times New Roman" w:hAnsi="Times New Roman" w:cs="Times New Roman"/>
          <w:sz w:val="24"/>
          <w:szCs w:val="24"/>
          <w:lang w:val="en-US"/>
        </w:rPr>
        <w:t xml:space="preserve">. </w:t>
      </w:r>
      <w:r w:rsidR="00686833" w:rsidRPr="001351CF">
        <w:rPr>
          <w:rFonts w:ascii="Times New Roman" w:hAnsi="Times New Roman" w:cs="Times New Roman"/>
          <w:sz w:val="24"/>
          <w:szCs w:val="24"/>
          <w:lang w:val="en-US"/>
        </w:rPr>
        <w:t xml:space="preserve">In our case </w:t>
      </w:r>
      <w:r w:rsidR="009B0BFA" w:rsidRPr="001351CF">
        <w:rPr>
          <w:rFonts w:ascii="Times New Roman" w:hAnsi="Times New Roman" w:cs="Times New Roman"/>
          <w:sz w:val="24"/>
          <w:szCs w:val="24"/>
          <w:lang w:val="en-US"/>
        </w:rPr>
        <w:t xml:space="preserve">we follow a non-bipartite matching procedure since the </w:t>
      </w:r>
      <w:r w:rsidR="00686833" w:rsidRPr="001351CF">
        <w:rPr>
          <w:rFonts w:ascii="Times New Roman" w:hAnsi="Times New Roman" w:cs="Times New Roman"/>
          <w:sz w:val="24"/>
          <w:szCs w:val="24"/>
          <w:lang w:val="en-US"/>
        </w:rPr>
        <w:t>treatment</w:t>
      </w:r>
      <w:r w:rsidR="00D34545">
        <w:rPr>
          <w:rFonts w:ascii="Times New Roman" w:hAnsi="Times New Roman" w:cs="Times New Roman"/>
          <w:sz w:val="24"/>
          <w:szCs w:val="24"/>
          <w:lang w:val="en-US"/>
        </w:rPr>
        <w:t xml:space="preserve"> variable</w:t>
      </w:r>
      <w:r w:rsidR="00686833" w:rsidRPr="001351CF">
        <w:rPr>
          <w:rFonts w:ascii="Times New Roman" w:hAnsi="Times New Roman" w:cs="Times New Roman"/>
          <w:sz w:val="24"/>
          <w:szCs w:val="24"/>
          <w:lang w:val="en-US"/>
        </w:rPr>
        <w:t xml:space="preserve"> </w:t>
      </w:r>
      <w:r w:rsidR="005A2952" w:rsidRPr="001351CF">
        <w:rPr>
          <w:rFonts w:ascii="Times New Roman" w:hAnsi="Times New Roman" w:cs="Times New Roman"/>
          <w:i/>
          <w:sz w:val="24"/>
          <w:szCs w:val="24"/>
          <w:lang w:val="en-US"/>
        </w:rPr>
        <w:t>Vega</w:t>
      </w:r>
      <w:r w:rsidR="00686833" w:rsidRPr="001351CF">
        <w:rPr>
          <w:rFonts w:ascii="Times New Roman" w:hAnsi="Times New Roman" w:cs="Times New Roman"/>
          <w:sz w:val="24"/>
          <w:szCs w:val="24"/>
          <w:lang w:val="en-US"/>
        </w:rPr>
        <w:t xml:space="preserve"> is a continuous </w:t>
      </w:r>
      <w:r w:rsidR="005A2952" w:rsidRPr="001351CF">
        <w:rPr>
          <w:rFonts w:ascii="Times New Roman" w:hAnsi="Times New Roman" w:cs="Times New Roman"/>
          <w:sz w:val="24"/>
          <w:szCs w:val="24"/>
          <w:lang w:val="en-US"/>
        </w:rPr>
        <w:t>variable.</w:t>
      </w:r>
      <w:r w:rsidR="005A2952" w:rsidRPr="00415D91">
        <w:rPr>
          <w:rFonts w:ascii="Times New Roman" w:hAnsi="Times New Roman" w:cs="Times New Roman"/>
          <w:sz w:val="24"/>
          <w:szCs w:val="24"/>
          <w:lang w:val="en-US"/>
        </w:rPr>
        <w:t xml:space="preserve"> </w:t>
      </w:r>
    </w:p>
    <w:p w14:paraId="05C951C1" w14:textId="27113469" w:rsidR="00522B1E" w:rsidRDefault="005A2952" w:rsidP="005A2952">
      <w:pPr>
        <w:autoSpaceDE w:val="0"/>
        <w:autoSpaceDN w:val="0"/>
        <w:adjustRightInd w:val="0"/>
        <w:spacing w:after="0" w:line="480" w:lineRule="auto"/>
        <w:ind w:firstLine="720"/>
        <w:jc w:val="both"/>
        <w:rPr>
          <w:rFonts w:ascii="Times New Roman" w:hAnsi="Times New Roman" w:cs="Times New Roman"/>
          <w:sz w:val="24"/>
          <w:szCs w:val="24"/>
          <w:lang w:val="en-US"/>
        </w:rPr>
      </w:pPr>
      <w:r w:rsidRPr="00D34545">
        <w:rPr>
          <w:rFonts w:ascii="Times New Roman" w:hAnsi="Times New Roman" w:cs="Times New Roman"/>
          <w:sz w:val="24"/>
          <w:szCs w:val="24"/>
          <w:lang w:val="en-US"/>
        </w:rPr>
        <w:t xml:space="preserve">First, </w:t>
      </w:r>
      <w:r w:rsidR="00522B1E" w:rsidRPr="00D34545">
        <w:rPr>
          <w:rFonts w:ascii="Times New Roman" w:hAnsi="Times New Roman" w:cs="Times New Roman"/>
          <w:sz w:val="24"/>
          <w:szCs w:val="24"/>
          <w:lang w:val="en-US"/>
        </w:rPr>
        <w:t>to form</w:t>
      </w:r>
      <w:r w:rsidR="00522B1E">
        <w:rPr>
          <w:rFonts w:ascii="Times New Roman" w:hAnsi="Times New Roman" w:cs="Times New Roman"/>
          <w:sz w:val="24"/>
          <w:szCs w:val="24"/>
          <w:lang w:val="en-US"/>
        </w:rPr>
        <w:t xml:space="preserve"> matche</w:t>
      </w:r>
      <w:r w:rsidR="001351CF">
        <w:rPr>
          <w:rFonts w:ascii="Times New Roman" w:hAnsi="Times New Roman" w:cs="Times New Roman"/>
          <w:sz w:val="24"/>
          <w:szCs w:val="24"/>
          <w:lang w:val="en-US"/>
        </w:rPr>
        <w:t>d</w:t>
      </w:r>
      <w:r w:rsidR="00522B1E">
        <w:rPr>
          <w:rFonts w:ascii="Times New Roman" w:hAnsi="Times New Roman" w:cs="Times New Roman"/>
          <w:sz w:val="24"/>
          <w:szCs w:val="24"/>
          <w:lang w:val="en-US"/>
        </w:rPr>
        <w:t xml:space="preserve"> pairs we transform </w:t>
      </w:r>
      <w:r w:rsidR="00522B1E">
        <w:rPr>
          <w:rFonts w:ascii="Times New Roman" w:hAnsi="Times New Roman" w:cs="Times New Roman"/>
          <w:i/>
          <w:sz w:val="24"/>
          <w:szCs w:val="24"/>
          <w:lang w:val="en-US"/>
        </w:rPr>
        <w:t xml:space="preserve">Vega </w:t>
      </w:r>
      <w:r w:rsidR="00522B1E">
        <w:rPr>
          <w:rFonts w:ascii="Times New Roman" w:hAnsi="Times New Roman" w:cs="Times New Roman"/>
          <w:sz w:val="24"/>
          <w:szCs w:val="24"/>
          <w:lang w:val="en-US"/>
        </w:rPr>
        <w:t>into</w:t>
      </w:r>
      <w:r w:rsidR="00021F5F">
        <w:rPr>
          <w:rFonts w:ascii="Times New Roman" w:hAnsi="Times New Roman" w:cs="Times New Roman"/>
          <w:sz w:val="24"/>
          <w:szCs w:val="24"/>
          <w:lang w:val="en-US"/>
        </w:rPr>
        <w:t xml:space="preserve"> quintiles. We call this </w:t>
      </w:r>
      <w:r w:rsidR="00522B1E">
        <w:rPr>
          <w:rFonts w:ascii="Times New Roman" w:hAnsi="Times New Roman" w:cs="Times New Roman"/>
          <w:sz w:val="24"/>
          <w:szCs w:val="24"/>
          <w:lang w:val="en-US"/>
        </w:rPr>
        <w:t xml:space="preserve">categorical variable </w:t>
      </w:r>
      <w:proofErr w:type="spellStart"/>
      <w:r w:rsidR="00522B1E" w:rsidRPr="00DA1D07">
        <w:rPr>
          <w:rFonts w:ascii="Times New Roman" w:eastAsia="Times New Roman" w:hAnsi="Times New Roman" w:cs="Times New Roman"/>
          <w:i/>
          <w:iCs/>
          <w:color w:val="000000"/>
          <w:sz w:val="24"/>
          <w:szCs w:val="24"/>
          <w:lang w:val="en-US" w:eastAsia="zh-CN"/>
        </w:rPr>
        <w:t>VegaQuintile</w:t>
      </w:r>
      <w:proofErr w:type="spellEnd"/>
      <w:r w:rsidR="00021F5F">
        <w:rPr>
          <w:rFonts w:ascii="Times New Roman" w:hAnsi="Times New Roman" w:cs="Times New Roman"/>
          <w:sz w:val="24"/>
          <w:szCs w:val="24"/>
          <w:lang w:val="en-US"/>
        </w:rPr>
        <w:t>,</w:t>
      </w:r>
      <w:r w:rsidR="00522B1E">
        <w:rPr>
          <w:rFonts w:ascii="Times New Roman" w:hAnsi="Times New Roman" w:cs="Times New Roman"/>
          <w:sz w:val="24"/>
          <w:szCs w:val="24"/>
          <w:lang w:val="en-US"/>
        </w:rPr>
        <w:t xml:space="preserve"> and then </w:t>
      </w:r>
      <w:r w:rsidRPr="00415D91">
        <w:rPr>
          <w:rFonts w:ascii="Times New Roman" w:hAnsi="Times New Roman" w:cs="Times New Roman"/>
          <w:sz w:val="24"/>
          <w:szCs w:val="24"/>
          <w:lang w:val="en-US"/>
        </w:rPr>
        <w:t xml:space="preserve">we estimate </w:t>
      </w:r>
      <w:r w:rsidR="009B0BFA" w:rsidRPr="00756A7D">
        <w:rPr>
          <w:rFonts w:ascii="Times New Roman" w:hAnsi="Times New Roman" w:cs="Times New Roman"/>
          <w:sz w:val="24"/>
          <w:szCs w:val="24"/>
          <w:lang w:val="en-US"/>
        </w:rPr>
        <w:t xml:space="preserve">an </w:t>
      </w:r>
      <w:r w:rsidRPr="00756A7D">
        <w:rPr>
          <w:rFonts w:ascii="Times New Roman" w:hAnsi="Times New Roman" w:cs="Times New Roman"/>
          <w:sz w:val="24"/>
          <w:szCs w:val="24"/>
          <w:lang w:val="en-US"/>
        </w:rPr>
        <w:t>ordered logistic propensity-score</w:t>
      </w:r>
      <w:r w:rsidRPr="00415D91">
        <w:rPr>
          <w:rFonts w:ascii="Times New Roman" w:hAnsi="Times New Roman" w:cs="Times New Roman"/>
          <w:sz w:val="24"/>
          <w:szCs w:val="24"/>
          <w:lang w:val="en-US"/>
        </w:rPr>
        <w:t xml:space="preserve"> model </w:t>
      </w:r>
      <w:r w:rsidR="009B0BFA" w:rsidRPr="00415D91">
        <w:rPr>
          <w:rFonts w:ascii="Times New Roman" w:hAnsi="Times New Roman" w:cs="Times New Roman"/>
          <w:sz w:val="24"/>
          <w:szCs w:val="24"/>
          <w:lang w:val="en-US"/>
        </w:rPr>
        <w:t xml:space="preserve">for each year in our sample </w:t>
      </w:r>
      <w:r w:rsidRPr="00415D91">
        <w:rPr>
          <w:rFonts w:ascii="Times New Roman" w:hAnsi="Times New Roman" w:cs="Times New Roman"/>
          <w:sz w:val="24"/>
          <w:szCs w:val="24"/>
          <w:lang w:val="en-US"/>
        </w:rPr>
        <w:t xml:space="preserve">where we regress </w:t>
      </w:r>
      <w:proofErr w:type="spellStart"/>
      <w:r w:rsidR="004B5379" w:rsidRPr="00DA1D07">
        <w:rPr>
          <w:rFonts w:ascii="Times New Roman" w:eastAsia="Times New Roman" w:hAnsi="Times New Roman" w:cs="Times New Roman"/>
          <w:i/>
          <w:iCs/>
          <w:color w:val="000000"/>
          <w:sz w:val="24"/>
          <w:szCs w:val="24"/>
          <w:lang w:val="en-US" w:eastAsia="zh-CN"/>
        </w:rPr>
        <w:t>VegaQuintile</w:t>
      </w:r>
      <w:proofErr w:type="spellEnd"/>
      <w:r w:rsidR="004B5379">
        <w:rPr>
          <w:rFonts w:ascii="Times New Roman" w:hAnsi="Times New Roman" w:cs="Times New Roman"/>
          <w:sz w:val="24"/>
          <w:szCs w:val="24"/>
          <w:lang w:val="en-US"/>
        </w:rPr>
        <w:t xml:space="preserve"> </w:t>
      </w:r>
      <w:r w:rsidRPr="00415D91">
        <w:rPr>
          <w:rFonts w:ascii="Times New Roman" w:hAnsi="Times New Roman" w:cs="Times New Roman"/>
          <w:sz w:val="24"/>
          <w:szCs w:val="24"/>
          <w:lang w:val="en-US"/>
        </w:rPr>
        <w:t>on control</w:t>
      </w:r>
      <w:r w:rsidR="00415D91">
        <w:rPr>
          <w:rFonts w:ascii="Times New Roman" w:hAnsi="Times New Roman" w:cs="Times New Roman"/>
          <w:sz w:val="24"/>
          <w:szCs w:val="24"/>
          <w:lang w:val="en-US"/>
        </w:rPr>
        <w:t xml:space="preserve"> variables</w:t>
      </w:r>
      <w:r w:rsidRPr="00415D91">
        <w:rPr>
          <w:rFonts w:ascii="Times New Roman" w:hAnsi="Times New Roman" w:cs="Times New Roman"/>
          <w:sz w:val="24"/>
          <w:szCs w:val="24"/>
          <w:lang w:val="en-US"/>
        </w:rPr>
        <w:t xml:space="preserve"> that we define in Eq. (1).</w:t>
      </w:r>
      <w:r w:rsidR="006F5121">
        <w:rPr>
          <w:rStyle w:val="FootnoteReference"/>
          <w:rFonts w:ascii="Times New Roman" w:hAnsi="Times New Roman" w:cs="Times New Roman"/>
          <w:sz w:val="24"/>
          <w:szCs w:val="24"/>
          <w:lang w:val="en-US"/>
        </w:rPr>
        <w:footnoteReference w:id="10"/>
      </w:r>
      <w:r w:rsidRPr="00415D91">
        <w:rPr>
          <w:rFonts w:ascii="Times New Roman" w:hAnsi="Times New Roman" w:cs="Times New Roman"/>
          <w:sz w:val="24"/>
          <w:szCs w:val="24"/>
          <w:lang w:val="en-US"/>
        </w:rPr>
        <w:t xml:space="preserve"> </w:t>
      </w:r>
      <w:r w:rsidR="002F6468" w:rsidRPr="00CF70BB">
        <w:rPr>
          <w:rFonts w:ascii="Times New Roman" w:hAnsi="Times New Roman" w:cs="Times New Roman"/>
          <w:sz w:val="24"/>
          <w:szCs w:val="24"/>
          <w:lang w:val="en-US"/>
        </w:rPr>
        <w:t>The predicted value</w:t>
      </w:r>
      <w:r w:rsidR="002F6468">
        <w:rPr>
          <w:rFonts w:ascii="Times New Roman" w:hAnsi="Times New Roman" w:cs="Times New Roman"/>
          <w:sz w:val="24"/>
          <w:szCs w:val="24"/>
          <w:lang w:val="en-US"/>
        </w:rPr>
        <w:t>s</w:t>
      </w:r>
      <w:r w:rsidR="002F6468" w:rsidRPr="00CF70BB">
        <w:rPr>
          <w:rFonts w:ascii="Times New Roman" w:hAnsi="Times New Roman" w:cs="Times New Roman"/>
          <w:sz w:val="24"/>
          <w:szCs w:val="24"/>
          <w:lang w:val="en-US"/>
        </w:rPr>
        <w:t xml:space="preserve"> from this first </w:t>
      </w:r>
      <w:r w:rsidR="002F6468">
        <w:rPr>
          <w:rFonts w:ascii="Times New Roman" w:hAnsi="Times New Roman" w:cs="Times New Roman"/>
          <w:sz w:val="24"/>
          <w:szCs w:val="24"/>
          <w:lang w:val="en-US"/>
        </w:rPr>
        <w:t>regression are</w:t>
      </w:r>
      <w:r w:rsidR="002F6468" w:rsidRPr="00CF70BB">
        <w:rPr>
          <w:rFonts w:ascii="Times New Roman" w:hAnsi="Times New Roman" w:cs="Times New Roman"/>
          <w:sz w:val="24"/>
          <w:szCs w:val="24"/>
          <w:lang w:val="en-US"/>
        </w:rPr>
        <w:t xml:space="preserve"> the propensity score</w:t>
      </w:r>
      <w:r w:rsidR="002F6468">
        <w:rPr>
          <w:rFonts w:ascii="Times New Roman" w:hAnsi="Times New Roman" w:cs="Times New Roman"/>
          <w:sz w:val="24"/>
          <w:szCs w:val="24"/>
          <w:lang w:val="en-US"/>
        </w:rPr>
        <w:t>s used in subsequent matching</w:t>
      </w:r>
      <w:r w:rsidR="002F6468" w:rsidRPr="00CF70BB">
        <w:rPr>
          <w:rFonts w:ascii="Times New Roman" w:hAnsi="Times New Roman" w:cs="Times New Roman"/>
          <w:sz w:val="24"/>
          <w:szCs w:val="24"/>
          <w:lang w:val="en-US"/>
        </w:rPr>
        <w:t>.</w:t>
      </w:r>
      <w:r w:rsidR="002F6468">
        <w:rPr>
          <w:rFonts w:ascii="Times New Roman" w:hAnsi="Times New Roman" w:cs="Times New Roman"/>
          <w:sz w:val="24"/>
          <w:szCs w:val="24"/>
          <w:lang w:val="en-US"/>
        </w:rPr>
        <w:t xml:space="preserve"> </w:t>
      </w:r>
    </w:p>
    <w:p w14:paraId="7A0475C4" w14:textId="4D579316" w:rsidR="00522B1E" w:rsidRDefault="005A2952" w:rsidP="005A2952">
      <w:pPr>
        <w:autoSpaceDE w:val="0"/>
        <w:autoSpaceDN w:val="0"/>
        <w:adjustRightInd w:val="0"/>
        <w:spacing w:after="0" w:line="480" w:lineRule="auto"/>
        <w:ind w:firstLine="720"/>
        <w:jc w:val="both"/>
        <w:rPr>
          <w:rFonts w:ascii="Times New Roman" w:hAnsi="Times New Roman" w:cs="Times New Roman"/>
          <w:sz w:val="24"/>
          <w:szCs w:val="24"/>
          <w:lang w:val="en-US"/>
        </w:rPr>
      </w:pPr>
      <w:r w:rsidRPr="00415D91">
        <w:rPr>
          <w:rFonts w:ascii="Times New Roman" w:hAnsi="Times New Roman" w:cs="Times New Roman"/>
          <w:sz w:val="24"/>
          <w:szCs w:val="24"/>
          <w:lang w:val="en-US"/>
        </w:rPr>
        <w:lastRenderedPageBreak/>
        <w:t>Second, w</w:t>
      </w:r>
      <w:r w:rsidR="00D918D6" w:rsidRPr="00415D91">
        <w:rPr>
          <w:rFonts w:ascii="Times New Roman" w:hAnsi="Times New Roman" w:cs="Times New Roman"/>
          <w:sz w:val="24"/>
          <w:szCs w:val="24"/>
          <w:lang w:val="en-US"/>
        </w:rPr>
        <w:t>e</w:t>
      </w:r>
      <w:r w:rsidR="002F6468">
        <w:rPr>
          <w:rFonts w:ascii="Times New Roman" w:hAnsi="Times New Roman" w:cs="Times New Roman"/>
          <w:sz w:val="24"/>
          <w:szCs w:val="24"/>
          <w:lang w:val="en-US"/>
        </w:rPr>
        <w:t xml:space="preserve"> employ</w:t>
      </w:r>
      <w:r w:rsidR="00021F5F">
        <w:rPr>
          <w:rFonts w:ascii="Times New Roman" w:hAnsi="Times New Roman" w:cs="Times New Roman"/>
          <w:sz w:val="24"/>
          <w:szCs w:val="24"/>
          <w:lang w:val="en-US"/>
        </w:rPr>
        <w:t xml:space="preserve"> a</w:t>
      </w:r>
      <w:r w:rsidR="002F6468">
        <w:rPr>
          <w:rFonts w:ascii="Times New Roman" w:hAnsi="Times New Roman" w:cs="Times New Roman"/>
          <w:sz w:val="24"/>
          <w:szCs w:val="24"/>
          <w:lang w:val="en-US"/>
        </w:rPr>
        <w:t xml:space="preserve"> non-bipartite matching </w:t>
      </w:r>
      <w:r w:rsidR="00522B1E">
        <w:rPr>
          <w:rFonts w:ascii="Times New Roman" w:hAnsi="Times New Roman" w:cs="Times New Roman"/>
          <w:sz w:val="24"/>
          <w:szCs w:val="24"/>
          <w:lang w:val="en-US"/>
        </w:rPr>
        <w:t xml:space="preserve">algorithm. In the case where there is binary treatment, one forms matched pairs by selecting a treated and a control observation with the closest propensity score. Since our treatment is now </w:t>
      </w:r>
      <w:proofErr w:type="spellStart"/>
      <w:r w:rsidR="00522B1E">
        <w:rPr>
          <w:rFonts w:ascii="Times New Roman" w:hAnsi="Times New Roman" w:cs="Times New Roman"/>
          <w:i/>
          <w:sz w:val="24"/>
          <w:szCs w:val="24"/>
          <w:lang w:val="en-US"/>
        </w:rPr>
        <w:t>VegaQuintiles</w:t>
      </w:r>
      <w:proofErr w:type="spellEnd"/>
      <w:r w:rsidR="00522B1E">
        <w:rPr>
          <w:rFonts w:ascii="Times New Roman" w:hAnsi="Times New Roman" w:cs="Times New Roman"/>
          <w:sz w:val="24"/>
          <w:szCs w:val="24"/>
          <w:lang w:val="en-US"/>
        </w:rPr>
        <w:t xml:space="preserve"> we need to</w:t>
      </w:r>
      <w:r w:rsidR="00EF7846" w:rsidRPr="00415D91">
        <w:rPr>
          <w:rFonts w:ascii="Times New Roman" w:hAnsi="Times New Roman" w:cs="Times New Roman"/>
          <w:sz w:val="24"/>
          <w:szCs w:val="24"/>
          <w:lang w:val="en-US"/>
        </w:rPr>
        <w:t xml:space="preserve"> </w:t>
      </w:r>
      <w:r w:rsidR="00993FFB" w:rsidRPr="00415D91">
        <w:rPr>
          <w:rFonts w:ascii="Times New Roman" w:hAnsi="Times New Roman" w:cs="Times New Roman"/>
          <w:sz w:val="24"/>
          <w:szCs w:val="24"/>
          <w:lang w:val="en-US"/>
        </w:rPr>
        <w:t xml:space="preserve">solve numerically for the set of matched pairs where </w:t>
      </w:r>
      <w:r w:rsidR="00522B1E">
        <w:rPr>
          <w:rFonts w:ascii="Times New Roman" w:hAnsi="Times New Roman" w:cs="Times New Roman"/>
          <w:sz w:val="24"/>
          <w:szCs w:val="24"/>
          <w:lang w:val="en-US"/>
        </w:rPr>
        <w:t xml:space="preserve">the </w:t>
      </w:r>
      <w:r w:rsidR="00327555">
        <w:rPr>
          <w:rFonts w:ascii="Times New Roman" w:hAnsi="Times New Roman" w:cs="Times New Roman"/>
          <w:sz w:val="24"/>
          <w:szCs w:val="24"/>
          <w:lang w:val="en-US"/>
        </w:rPr>
        <w:t>algorithm</w:t>
      </w:r>
      <w:r w:rsidR="00327555" w:rsidRPr="00415D91">
        <w:rPr>
          <w:rFonts w:ascii="Times New Roman" w:hAnsi="Times New Roman" w:cs="Times New Roman"/>
          <w:sz w:val="24"/>
          <w:szCs w:val="24"/>
          <w:lang w:val="en-US"/>
        </w:rPr>
        <w:t xml:space="preserve"> </w:t>
      </w:r>
      <w:r w:rsidRPr="00415D91">
        <w:rPr>
          <w:rFonts w:ascii="Times New Roman" w:hAnsi="Times New Roman" w:cs="Times New Roman"/>
          <w:sz w:val="24"/>
          <w:szCs w:val="24"/>
          <w:lang w:val="en-US"/>
        </w:rPr>
        <w:t xml:space="preserve">simultaneously </w:t>
      </w:r>
      <w:r w:rsidR="00582EB7" w:rsidRPr="00415D91">
        <w:rPr>
          <w:rFonts w:ascii="Times New Roman" w:hAnsi="Times New Roman" w:cs="Times New Roman"/>
          <w:sz w:val="24"/>
          <w:szCs w:val="24"/>
          <w:lang w:val="en-US"/>
        </w:rPr>
        <w:t>minimize</w:t>
      </w:r>
      <w:r w:rsidR="00CF70BB">
        <w:rPr>
          <w:rFonts w:ascii="Times New Roman" w:hAnsi="Times New Roman" w:cs="Times New Roman"/>
          <w:sz w:val="24"/>
          <w:szCs w:val="24"/>
          <w:lang w:val="en-US"/>
        </w:rPr>
        <w:t>s</w:t>
      </w:r>
      <w:r w:rsidR="00582EB7" w:rsidRPr="00415D91">
        <w:rPr>
          <w:rFonts w:ascii="Times New Roman" w:hAnsi="Times New Roman" w:cs="Times New Roman"/>
          <w:sz w:val="24"/>
          <w:szCs w:val="24"/>
          <w:lang w:val="en-US"/>
        </w:rPr>
        <w:t xml:space="preserve"> </w:t>
      </w:r>
      <w:r w:rsidR="00993FFB" w:rsidRPr="00415D91">
        <w:rPr>
          <w:rFonts w:ascii="Times New Roman" w:hAnsi="Times New Roman" w:cs="Times New Roman"/>
          <w:sz w:val="24"/>
          <w:szCs w:val="24"/>
          <w:lang w:val="en-US"/>
        </w:rPr>
        <w:t xml:space="preserve">the difference in </w:t>
      </w:r>
      <w:r w:rsidR="00EF7846" w:rsidRPr="00415D91">
        <w:rPr>
          <w:rFonts w:ascii="Times New Roman" w:hAnsi="Times New Roman" w:cs="Times New Roman"/>
          <w:sz w:val="24"/>
          <w:szCs w:val="24"/>
          <w:lang w:val="en-US"/>
        </w:rPr>
        <w:t xml:space="preserve">estimated </w:t>
      </w:r>
      <w:r w:rsidR="00993FFB" w:rsidRPr="00415D91">
        <w:rPr>
          <w:rFonts w:ascii="Times New Roman" w:hAnsi="Times New Roman" w:cs="Times New Roman"/>
          <w:sz w:val="24"/>
          <w:szCs w:val="24"/>
          <w:lang w:val="en-US"/>
        </w:rPr>
        <w:t>propensity scor</w:t>
      </w:r>
      <w:r w:rsidR="0008378D" w:rsidRPr="00415D91">
        <w:rPr>
          <w:rFonts w:ascii="Times New Roman" w:hAnsi="Times New Roman" w:cs="Times New Roman"/>
          <w:sz w:val="24"/>
          <w:szCs w:val="24"/>
          <w:lang w:val="en-US"/>
        </w:rPr>
        <w:t>es</w:t>
      </w:r>
      <w:r w:rsidR="00993FFB" w:rsidRPr="00415D91">
        <w:rPr>
          <w:rFonts w:ascii="Times New Roman" w:hAnsi="Times New Roman" w:cs="Times New Roman"/>
          <w:sz w:val="24"/>
          <w:szCs w:val="24"/>
          <w:lang w:val="en-US"/>
        </w:rPr>
        <w:t xml:space="preserve"> and </w:t>
      </w:r>
      <w:r w:rsidR="00582EB7" w:rsidRPr="00415D91">
        <w:rPr>
          <w:rFonts w:ascii="Times New Roman" w:hAnsi="Times New Roman" w:cs="Times New Roman"/>
          <w:sz w:val="24"/>
          <w:szCs w:val="24"/>
          <w:lang w:val="en-US"/>
        </w:rPr>
        <w:t>maximize</w:t>
      </w:r>
      <w:r w:rsidR="00CF70BB">
        <w:rPr>
          <w:rFonts w:ascii="Times New Roman" w:hAnsi="Times New Roman" w:cs="Times New Roman"/>
          <w:sz w:val="24"/>
          <w:szCs w:val="24"/>
          <w:lang w:val="en-US"/>
        </w:rPr>
        <w:t>s</w:t>
      </w:r>
      <w:r w:rsidR="00582EB7" w:rsidRPr="00415D91">
        <w:rPr>
          <w:rFonts w:ascii="Times New Roman" w:hAnsi="Times New Roman" w:cs="Times New Roman"/>
          <w:sz w:val="24"/>
          <w:szCs w:val="24"/>
          <w:lang w:val="en-US"/>
        </w:rPr>
        <w:t xml:space="preserve"> </w:t>
      </w:r>
      <w:r w:rsidR="00993FFB" w:rsidRPr="00415D91">
        <w:rPr>
          <w:rFonts w:ascii="Times New Roman" w:hAnsi="Times New Roman" w:cs="Times New Roman"/>
          <w:sz w:val="24"/>
          <w:szCs w:val="24"/>
          <w:lang w:val="en-US"/>
        </w:rPr>
        <w:t xml:space="preserve">the difference in </w:t>
      </w:r>
      <w:r w:rsidR="00344913" w:rsidRPr="00415D91">
        <w:rPr>
          <w:rFonts w:ascii="Times New Roman" w:hAnsi="Times New Roman" w:cs="Times New Roman"/>
          <w:sz w:val="24"/>
          <w:szCs w:val="24"/>
          <w:lang w:val="en-US"/>
        </w:rPr>
        <w:t xml:space="preserve">CEO </w:t>
      </w:r>
      <w:r w:rsidR="00C301BC" w:rsidRPr="00415D91">
        <w:rPr>
          <w:rFonts w:ascii="Times New Roman" w:hAnsi="Times New Roman" w:cs="Times New Roman"/>
          <w:sz w:val="24"/>
          <w:szCs w:val="24"/>
          <w:lang w:val="en-US"/>
        </w:rPr>
        <w:t>risk taking</w:t>
      </w:r>
      <w:r w:rsidR="00993FFB" w:rsidRPr="00415D91">
        <w:rPr>
          <w:rFonts w:ascii="Times New Roman" w:hAnsi="Times New Roman" w:cs="Times New Roman"/>
          <w:sz w:val="24"/>
          <w:szCs w:val="24"/>
          <w:lang w:val="en-US"/>
        </w:rPr>
        <w:t xml:space="preserve"> incentives</w:t>
      </w:r>
      <w:r w:rsidR="009F58FD" w:rsidRPr="00415D91">
        <w:rPr>
          <w:rFonts w:ascii="Times New Roman" w:hAnsi="Times New Roman" w:cs="Times New Roman"/>
          <w:sz w:val="24"/>
          <w:szCs w:val="24"/>
          <w:lang w:val="en-US"/>
        </w:rPr>
        <w:t>.</w:t>
      </w:r>
      <w:r w:rsidR="00240A3A">
        <w:rPr>
          <w:rFonts w:ascii="Times New Roman" w:hAnsi="Times New Roman" w:cs="Times New Roman"/>
          <w:sz w:val="24"/>
          <w:szCs w:val="24"/>
          <w:lang w:val="en-US"/>
        </w:rPr>
        <w:t xml:space="preserve"> </w:t>
      </w:r>
      <w:r w:rsidR="00522B1E">
        <w:rPr>
          <w:rFonts w:ascii="Times New Roman" w:hAnsi="Times New Roman" w:cs="Times New Roman"/>
          <w:sz w:val="24"/>
          <w:szCs w:val="24"/>
          <w:lang w:val="en-US"/>
        </w:rPr>
        <w:t xml:space="preserve">Following </w:t>
      </w:r>
      <w:r w:rsidR="00331B96" w:rsidRPr="001351CF">
        <w:rPr>
          <w:rFonts w:ascii="Times New Roman" w:hAnsi="Times New Roman" w:cs="Times New Roman"/>
          <w:sz w:val="24"/>
          <w:szCs w:val="24"/>
          <w:lang w:val="en-US"/>
        </w:rPr>
        <w:t>Lu</w:t>
      </w:r>
      <w:r w:rsidR="00AD0ACE">
        <w:rPr>
          <w:rFonts w:ascii="Times New Roman" w:hAnsi="Times New Roman" w:cs="Times New Roman"/>
          <w:sz w:val="24"/>
          <w:szCs w:val="24"/>
          <w:lang w:val="en-US"/>
        </w:rPr>
        <w:t xml:space="preserve"> et al. </w:t>
      </w:r>
      <w:r w:rsidR="00331B96">
        <w:rPr>
          <w:rFonts w:ascii="Times New Roman" w:hAnsi="Times New Roman" w:cs="Times New Roman"/>
          <w:sz w:val="24"/>
          <w:szCs w:val="24"/>
          <w:lang w:val="en-US"/>
        </w:rPr>
        <w:t>(</w:t>
      </w:r>
      <w:r w:rsidR="00522B1E" w:rsidRPr="000D6B70">
        <w:rPr>
          <w:rFonts w:ascii="Times New Roman" w:hAnsi="Times New Roman" w:cs="Times New Roman"/>
          <w:sz w:val="24"/>
          <w:szCs w:val="24"/>
          <w:lang w:val="en-US"/>
        </w:rPr>
        <w:t>2001</w:t>
      </w:r>
      <w:r w:rsidR="00331B96">
        <w:rPr>
          <w:rFonts w:ascii="Times New Roman" w:hAnsi="Times New Roman" w:cs="Times New Roman"/>
          <w:sz w:val="24"/>
          <w:szCs w:val="24"/>
          <w:lang w:val="en-US"/>
        </w:rPr>
        <w:t>)</w:t>
      </w:r>
      <w:r w:rsidR="00522B1E">
        <w:rPr>
          <w:rFonts w:ascii="Times New Roman" w:hAnsi="Times New Roman" w:cs="Times New Roman"/>
          <w:sz w:val="24"/>
          <w:szCs w:val="24"/>
          <w:lang w:val="en-US"/>
        </w:rPr>
        <w:t xml:space="preserve"> and </w:t>
      </w:r>
      <w:r w:rsidR="00522B1E" w:rsidRPr="00415D91">
        <w:rPr>
          <w:rFonts w:ascii="Times New Roman" w:hAnsi="Times New Roman" w:cs="Times New Roman"/>
          <w:sz w:val="24"/>
          <w:szCs w:val="24"/>
          <w:lang w:val="en-US"/>
        </w:rPr>
        <w:t>Armstrong</w:t>
      </w:r>
      <w:r w:rsidR="00BC3337">
        <w:rPr>
          <w:rFonts w:ascii="Times New Roman" w:hAnsi="Times New Roman" w:cs="Times New Roman"/>
          <w:sz w:val="24"/>
          <w:szCs w:val="24"/>
          <w:lang w:val="en-US"/>
        </w:rPr>
        <w:t xml:space="preserve"> et al.</w:t>
      </w:r>
      <w:r w:rsidR="00522B1E" w:rsidRPr="00415D91">
        <w:rPr>
          <w:rFonts w:ascii="Times New Roman" w:hAnsi="Times New Roman" w:cs="Times New Roman"/>
          <w:sz w:val="24"/>
          <w:szCs w:val="24"/>
          <w:lang w:val="en-US"/>
        </w:rPr>
        <w:t xml:space="preserve"> (2010)</w:t>
      </w:r>
      <w:r w:rsidR="00522B1E">
        <w:rPr>
          <w:rFonts w:ascii="Times New Roman" w:hAnsi="Times New Roman" w:cs="Times New Roman"/>
          <w:sz w:val="24"/>
          <w:szCs w:val="24"/>
          <w:lang w:val="en-US"/>
        </w:rPr>
        <w:t xml:space="preserve"> we </w:t>
      </w:r>
      <w:r w:rsidR="008405AE">
        <w:rPr>
          <w:rFonts w:ascii="Times New Roman" w:hAnsi="Times New Roman" w:cs="Times New Roman"/>
          <w:sz w:val="24"/>
          <w:szCs w:val="24"/>
          <w:lang w:val="en-US"/>
        </w:rPr>
        <w:t xml:space="preserve">calculate the distance </w:t>
      </w:r>
      <w:r w:rsidR="00021F5F">
        <w:rPr>
          <w:rFonts w:ascii="Times New Roman" w:hAnsi="Times New Roman" w:cs="Times New Roman"/>
          <w:sz w:val="24"/>
          <w:szCs w:val="24"/>
          <w:lang w:val="en-US"/>
        </w:rPr>
        <w:t>between observations as</w:t>
      </w:r>
      <w:r w:rsidR="008405AE">
        <w:rPr>
          <w:rFonts w:ascii="Times New Roman" w:hAnsi="Times New Roman" w:cs="Times New Roman"/>
          <w:sz w:val="24"/>
          <w:szCs w:val="24"/>
          <w:lang w:val="en-US"/>
        </w:rPr>
        <w:t>:</w:t>
      </w:r>
    </w:p>
    <w:p w14:paraId="59CAD600" w14:textId="3E7D9A07" w:rsidR="008405AE" w:rsidRPr="0085734F" w:rsidRDefault="00000000" w:rsidP="0085734F">
      <w:pPr>
        <w:autoSpaceDE w:val="0"/>
        <w:autoSpaceDN w:val="0"/>
        <w:adjustRightInd w:val="0"/>
        <w:spacing w:after="0" w:line="480" w:lineRule="auto"/>
        <w:ind w:firstLine="720"/>
        <w:jc w:val="right"/>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i,j</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PScore</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PScore</m:t>
                </m:r>
              </m:e>
              <m:sub>
                <m:r>
                  <w:rPr>
                    <w:rFonts w:ascii="Cambria Math" w:hAnsi="Cambria Math" w:cs="Times New Roman"/>
                    <w:sz w:val="24"/>
                    <w:szCs w:val="24"/>
                    <w:lang w:val="en-US"/>
                  </w:rPr>
                  <m:t>j</m:t>
                </m:r>
              </m:sub>
            </m:sSub>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δ</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δ</m:t>
                </m:r>
              </m:e>
              <m:sub>
                <m:r>
                  <w:rPr>
                    <w:rFonts w:ascii="Cambria Math" w:hAnsi="Cambria Math" w:cs="Times New Roman"/>
                    <w:sz w:val="24"/>
                    <w:szCs w:val="24"/>
                    <w:lang w:val="en-US"/>
                  </w:rPr>
                  <m:t>j</m:t>
                </m:r>
              </m:sub>
            </m:sSub>
          </m:den>
        </m:f>
        <m:r>
          <w:rPr>
            <w:rFonts w:ascii="Cambria Math" w:hAnsi="Cambria Math" w:cs="Times New Roman"/>
            <w:sz w:val="24"/>
            <w:szCs w:val="24"/>
            <w:lang w:val="en-US"/>
          </w:rPr>
          <m:t xml:space="preserve">      if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δ</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δ</m:t>
            </m:r>
          </m:e>
          <m:sub>
            <m:r>
              <w:rPr>
                <w:rFonts w:ascii="Cambria Math" w:hAnsi="Cambria Math" w:cs="Times New Roman"/>
                <w:sz w:val="24"/>
                <w:szCs w:val="24"/>
                <w:lang w:val="en-US"/>
              </w:rPr>
              <m:t>j</m:t>
            </m:r>
          </m:sub>
        </m:sSub>
      </m:oMath>
      <w:r w:rsidR="0085734F">
        <w:rPr>
          <w:rFonts w:ascii="Times New Roman" w:eastAsiaTheme="minorEastAsia" w:hAnsi="Times New Roman" w:cs="Times New Roman"/>
          <w:sz w:val="24"/>
          <w:szCs w:val="24"/>
          <w:lang w:val="en-US"/>
        </w:rPr>
        <w:tab/>
      </w:r>
      <w:r w:rsidR="0085734F">
        <w:rPr>
          <w:rFonts w:ascii="Times New Roman" w:eastAsiaTheme="minorEastAsia" w:hAnsi="Times New Roman" w:cs="Times New Roman"/>
          <w:sz w:val="24"/>
          <w:szCs w:val="24"/>
          <w:lang w:val="en-US"/>
        </w:rPr>
        <w:tab/>
      </w:r>
      <w:r w:rsidR="0085734F">
        <w:rPr>
          <w:rFonts w:ascii="Times New Roman" w:eastAsiaTheme="minorEastAsia" w:hAnsi="Times New Roman" w:cs="Times New Roman"/>
          <w:sz w:val="24"/>
          <w:szCs w:val="24"/>
          <w:lang w:val="en-US"/>
        </w:rPr>
        <w:tab/>
      </w:r>
      <w:r w:rsidR="0085734F">
        <w:rPr>
          <w:rFonts w:ascii="Times New Roman" w:eastAsiaTheme="minorEastAsia" w:hAnsi="Times New Roman" w:cs="Times New Roman"/>
          <w:sz w:val="24"/>
          <w:szCs w:val="24"/>
          <w:lang w:val="en-US"/>
        </w:rPr>
        <w:tab/>
        <w:t>(2)</w:t>
      </w:r>
    </w:p>
    <w:p w14:paraId="01F69E83" w14:textId="176D6AAE" w:rsidR="008405AE" w:rsidRDefault="00000000" w:rsidP="0085734F">
      <w:pPr>
        <w:autoSpaceDE w:val="0"/>
        <w:autoSpaceDN w:val="0"/>
        <w:adjustRightInd w:val="0"/>
        <w:spacing w:after="0" w:line="480" w:lineRule="auto"/>
        <w:ind w:firstLine="720"/>
        <w:jc w:val="right"/>
        <w:rPr>
          <w:rFonts w:ascii="Times New Roman"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i,j</m:t>
            </m:r>
          </m:sub>
        </m:sSub>
        <m:r>
          <w:rPr>
            <w:rFonts w:ascii="Cambria Math" w:hAnsi="Cambria Math" w:cs="Times New Roman"/>
            <w:sz w:val="24"/>
            <w:szCs w:val="24"/>
            <w:lang w:val="en-US"/>
          </w:rPr>
          <m:t xml:space="preserve">=∞                      if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δ</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δ</m:t>
            </m:r>
          </m:e>
          <m:sub>
            <m:r>
              <w:rPr>
                <w:rFonts w:ascii="Cambria Math" w:hAnsi="Cambria Math" w:cs="Times New Roman"/>
                <w:sz w:val="24"/>
                <w:szCs w:val="24"/>
                <w:lang w:val="en-US"/>
              </w:rPr>
              <m:t>j</m:t>
            </m:r>
          </m:sub>
        </m:sSub>
        <m:r>
          <w:rPr>
            <w:rFonts w:ascii="Cambria Math" w:hAnsi="Cambria Math" w:cs="Times New Roman"/>
            <w:sz w:val="24"/>
            <w:szCs w:val="24"/>
            <w:lang w:val="en-US"/>
          </w:rPr>
          <m:t>.</m:t>
        </m:r>
      </m:oMath>
      <w:r w:rsidR="0085734F">
        <w:rPr>
          <w:rFonts w:ascii="Times New Roman" w:eastAsiaTheme="minorEastAsia" w:hAnsi="Times New Roman" w:cs="Times New Roman"/>
          <w:sz w:val="24"/>
          <w:szCs w:val="24"/>
          <w:lang w:val="en-US"/>
        </w:rPr>
        <w:tab/>
      </w:r>
      <w:r w:rsidR="0085734F">
        <w:rPr>
          <w:rFonts w:ascii="Times New Roman" w:eastAsiaTheme="minorEastAsia" w:hAnsi="Times New Roman" w:cs="Times New Roman"/>
          <w:sz w:val="24"/>
          <w:szCs w:val="24"/>
          <w:lang w:val="en-US"/>
        </w:rPr>
        <w:tab/>
      </w:r>
      <w:r w:rsidR="0085734F">
        <w:rPr>
          <w:rFonts w:ascii="Times New Roman" w:eastAsiaTheme="minorEastAsia" w:hAnsi="Times New Roman" w:cs="Times New Roman"/>
          <w:sz w:val="24"/>
          <w:szCs w:val="24"/>
          <w:lang w:val="en-US"/>
        </w:rPr>
        <w:tab/>
        <w:t>(3)</w:t>
      </w:r>
    </w:p>
    <w:p w14:paraId="5D62081A" w14:textId="32E608FF" w:rsidR="002F6468" w:rsidRDefault="008405AE" w:rsidP="00021F5F">
      <w:pPr>
        <w:autoSpaceDE w:val="0"/>
        <w:autoSpaceDN w:val="0"/>
        <w:adjustRightInd w:val="0"/>
        <w:spacing w:after="0" w:line="480" w:lineRule="auto"/>
        <w:jc w:val="both"/>
        <w:rPr>
          <w:rFonts w:ascii="Times New Roman" w:hAnsi="Times New Roman" w:cs="Times New Roman"/>
          <w:sz w:val="24"/>
          <w:szCs w:val="24"/>
          <w:lang w:val="en-US"/>
        </w:rPr>
      </w:pPr>
      <w:proofErr w:type="spellStart"/>
      <w:r w:rsidRPr="00021F5F">
        <w:rPr>
          <w:rFonts w:ascii="Times New Roman" w:hAnsi="Times New Roman" w:cs="Times New Roman"/>
          <w:i/>
          <w:sz w:val="24"/>
          <w:szCs w:val="24"/>
          <w:lang w:val="en-US"/>
        </w:rPr>
        <w:t>PScore</w:t>
      </w:r>
      <w:proofErr w:type="spellEnd"/>
      <w:r w:rsidRPr="00021F5F">
        <w:rPr>
          <w:rFonts w:ascii="Times New Roman" w:hAnsi="Times New Roman" w:cs="Times New Roman"/>
          <w:sz w:val="24"/>
          <w:szCs w:val="24"/>
          <w:lang w:val="en-US"/>
        </w:rPr>
        <w:t xml:space="preserve"> is the propensity score computed from </w:t>
      </w:r>
      <w:r w:rsidR="00021F5F">
        <w:rPr>
          <w:rFonts w:ascii="Times New Roman" w:hAnsi="Times New Roman" w:cs="Times New Roman"/>
          <w:sz w:val="24"/>
          <w:szCs w:val="24"/>
          <w:lang w:val="en-US"/>
        </w:rPr>
        <w:t xml:space="preserve">the </w:t>
      </w:r>
      <w:r>
        <w:rPr>
          <w:rFonts w:ascii="Times New Roman" w:hAnsi="Times New Roman" w:cs="Times New Roman"/>
          <w:sz w:val="24"/>
          <w:szCs w:val="24"/>
          <w:lang w:val="en-US"/>
        </w:rPr>
        <w:t>ordered logistic propensity score model</w:t>
      </w:r>
      <w:r w:rsidRPr="00021F5F">
        <w:rPr>
          <w:rFonts w:ascii="Times New Roman" w:hAnsi="Times New Roman" w:cs="Times New Roman"/>
          <w:sz w:val="24"/>
          <w:szCs w:val="24"/>
          <w:lang w:val="en-US"/>
        </w:rPr>
        <w:t xml:space="preserve">, </w:t>
      </w:r>
      <w:r w:rsidRPr="00021F5F">
        <w:rPr>
          <w:rFonts w:ascii="Times New Roman" w:hAnsi="Times New Roman" w:cs="Times New Roman"/>
          <w:i/>
          <w:sz w:val="24"/>
          <w:szCs w:val="24"/>
          <w:lang w:val="en-US"/>
        </w:rPr>
        <w:t>δ</w:t>
      </w:r>
      <w:r w:rsidRPr="00021F5F">
        <w:rPr>
          <w:rFonts w:ascii="Times New Roman" w:hAnsi="Times New Roman" w:cs="Times New Roman"/>
          <w:sz w:val="24"/>
          <w:szCs w:val="24"/>
          <w:lang w:val="en-US"/>
        </w:rPr>
        <w:t xml:space="preserve"> is each observation’s equity</w:t>
      </w:r>
      <w:r w:rsidR="000A2F72">
        <w:rPr>
          <w:rFonts w:ascii="Times New Roman" w:hAnsi="Times New Roman" w:cs="Times New Roman"/>
          <w:sz w:val="24"/>
          <w:szCs w:val="24"/>
          <w:lang w:val="en-US"/>
        </w:rPr>
        <w:t xml:space="preserve"> </w:t>
      </w:r>
      <w:r w:rsidRPr="00021F5F">
        <w:rPr>
          <w:rFonts w:ascii="Times New Roman" w:hAnsi="Times New Roman" w:cs="Times New Roman"/>
          <w:sz w:val="24"/>
          <w:szCs w:val="24"/>
          <w:lang w:val="en-US"/>
        </w:rPr>
        <w:t xml:space="preserve">incentive quintile, and </w:t>
      </w:r>
      <w:proofErr w:type="spellStart"/>
      <w:r w:rsidRPr="00021F5F">
        <w:rPr>
          <w:rFonts w:ascii="Times New Roman" w:hAnsi="Times New Roman" w:cs="Times New Roman"/>
          <w:i/>
          <w:sz w:val="24"/>
          <w:szCs w:val="24"/>
          <w:lang w:val="en-US"/>
        </w:rPr>
        <w:t>i</w:t>
      </w:r>
      <w:proofErr w:type="spellEnd"/>
      <w:r w:rsidRPr="00021F5F">
        <w:rPr>
          <w:rFonts w:ascii="Times New Roman" w:hAnsi="Times New Roman" w:cs="Times New Roman"/>
          <w:sz w:val="24"/>
          <w:szCs w:val="24"/>
          <w:lang w:val="en-US"/>
        </w:rPr>
        <w:t xml:space="preserve">, </w:t>
      </w:r>
      <w:r w:rsidRPr="00021F5F">
        <w:rPr>
          <w:rFonts w:ascii="Times New Roman" w:hAnsi="Times New Roman" w:cs="Times New Roman"/>
          <w:i/>
          <w:sz w:val="24"/>
          <w:szCs w:val="24"/>
          <w:lang w:val="en-US"/>
        </w:rPr>
        <w:t>j</w:t>
      </w:r>
      <w:r w:rsidRPr="00021F5F">
        <w:rPr>
          <w:rFonts w:ascii="Times New Roman" w:hAnsi="Times New Roman" w:cs="Times New Roman"/>
          <w:sz w:val="24"/>
          <w:szCs w:val="24"/>
          <w:lang w:val="en-US"/>
        </w:rPr>
        <w:t xml:space="preserve"> </w:t>
      </w:r>
      <w:proofErr w:type="gramStart"/>
      <w:r w:rsidRPr="00021F5F">
        <w:rPr>
          <w:rFonts w:ascii="Times New Roman" w:hAnsi="Times New Roman" w:cs="Times New Roman"/>
          <w:sz w:val="24"/>
          <w:szCs w:val="24"/>
          <w:lang w:val="en-US"/>
        </w:rPr>
        <w:t>index</w:t>
      </w:r>
      <w:proofErr w:type="gramEnd"/>
      <w:r w:rsidRPr="00021F5F">
        <w:rPr>
          <w:rFonts w:ascii="Times New Roman" w:hAnsi="Times New Roman" w:cs="Times New Roman"/>
          <w:sz w:val="24"/>
          <w:szCs w:val="24"/>
          <w:lang w:val="en-US"/>
        </w:rPr>
        <w:t xml:space="preserve"> the individual observations</w:t>
      </w:r>
      <w:r>
        <w:rPr>
          <w:rFonts w:ascii="Times New Roman" w:hAnsi="Times New Roman" w:cs="Times New Roman"/>
          <w:sz w:val="24"/>
          <w:szCs w:val="24"/>
          <w:lang w:val="en-US"/>
        </w:rPr>
        <w:t xml:space="preserve">. </w:t>
      </w:r>
      <w:r w:rsidRPr="00021F5F">
        <w:rPr>
          <w:rFonts w:ascii="Times New Roman" w:hAnsi="Times New Roman" w:cs="Times New Roman"/>
          <w:sz w:val="24"/>
          <w:szCs w:val="24"/>
          <w:lang w:val="en-US"/>
        </w:rPr>
        <w:t>We then use a non</w:t>
      </w:r>
      <w:r w:rsidR="00DC1A52">
        <w:rPr>
          <w:rFonts w:ascii="Times New Roman" w:hAnsi="Times New Roman" w:cs="Times New Roman"/>
          <w:sz w:val="24"/>
          <w:szCs w:val="24"/>
          <w:lang w:val="en-US"/>
        </w:rPr>
        <w:t>-</w:t>
      </w:r>
      <w:r w:rsidRPr="00021F5F">
        <w:rPr>
          <w:rFonts w:ascii="Times New Roman" w:hAnsi="Times New Roman" w:cs="Times New Roman"/>
          <w:sz w:val="24"/>
          <w:szCs w:val="24"/>
          <w:lang w:val="en-US"/>
        </w:rPr>
        <w:t>bipartite algorithm to identify, across all possible permutations, the minimum sum of pairwise distances</w:t>
      </w:r>
      <w:r>
        <w:rPr>
          <w:rFonts w:ascii="Times New Roman" w:hAnsi="Times New Roman" w:cs="Times New Roman"/>
          <w:sz w:val="24"/>
          <w:szCs w:val="24"/>
          <w:lang w:val="en-US"/>
        </w:rPr>
        <w:t xml:space="preserve"> (Derigs</w:t>
      </w:r>
      <w:r w:rsidR="00331B96">
        <w:rPr>
          <w:rFonts w:ascii="Times New Roman" w:hAnsi="Times New Roman" w:cs="Times New Roman"/>
          <w:sz w:val="24"/>
          <w:szCs w:val="24"/>
          <w:lang w:val="en-US"/>
        </w:rPr>
        <w:t>,</w:t>
      </w:r>
      <w:r>
        <w:rPr>
          <w:rFonts w:ascii="Times New Roman" w:hAnsi="Times New Roman" w:cs="Times New Roman"/>
          <w:sz w:val="24"/>
          <w:szCs w:val="24"/>
          <w:lang w:val="en-US"/>
        </w:rPr>
        <w:t xml:space="preserve"> 1988; </w:t>
      </w:r>
      <w:r w:rsidR="00331B96" w:rsidRPr="001351CF">
        <w:rPr>
          <w:rFonts w:ascii="Times New Roman" w:hAnsi="Times New Roman" w:cs="Times New Roman"/>
          <w:sz w:val="24"/>
          <w:szCs w:val="24"/>
          <w:lang w:val="en-US"/>
        </w:rPr>
        <w:t>Lu</w:t>
      </w:r>
      <w:r w:rsidR="00044213">
        <w:rPr>
          <w:rFonts w:ascii="Times New Roman" w:hAnsi="Times New Roman" w:cs="Times New Roman"/>
          <w:sz w:val="24"/>
          <w:szCs w:val="24"/>
          <w:lang w:val="en-US"/>
        </w:rPr>
        <w:t xml:space="preserve"> et al.</w:t>
      </w:r>
      <w:r w:rsidR="00331B96" w:rsidRPr="001351CF">
        <w:rPr>
          <w:rFonts w:ascii="Times New Roman" w:hAnsi="Times New Roman" w:cs="Times New Roman"/>
          <w:sz w:val="24"/>
          <w:szCs w:val="24"/>
          <w:lang w:val="en-US"/>
        </w:rPr>
        <w:t xml:space="preserve"> </w:t>
      </w:r>
      <w:r w:rsidRPr="000D6B70">
        <w:rPr>
          <w:rFonts w:ascii="Times New Roman" w:hAnsi="Times New Roman" w:cs="Times New Roman"/>
          <w:sz w:val="24"/>
          <w:szCs w:val="24"/>
          <w:lang w:val="en-US"/>
        </w:rPr>
        <w:t>2001</w:t>
      </w:r>
      <w:r>
        <w:rPr>
          <w:rFonts w:ascii="Times New Roman" w:hAnsi="Times New Roman" w:cs="Times New Roman"/>
          <w:sz w:val="24"/>
          <w:szCs w:val="24"/>
          <w:lang w:val="en-US"/>
        </w:rPr>
        <w:t xml:space="preserve"> and </w:t>
      </w:r>
      <w:r w:rsidRPr="00415D91">
        <w:rPr>
          <w:rFonts w:ascii="Times New Roman" w:hAnsi="Times New Roman" w:cs="Times New Roman"/>
          <w:sz w:val="24"/>
          <w:szCs w:val="24"/>
          <w:lang w:val="en-US"/>
        </w:rPr>
        <w:t>Arm</w:t>
      </w:r>
      <w:r>
        <w:rPr>
          <w:rFonts w:ascii="Times New Roman" w:hAnsi="Times New Roman" w:cs="Times New Roman"/>
          <w:sz w:val="24"/>
          <w:szCs w:val="24"/>
          <w:lang w:val="en-US"/>
        </w:rPr>
        <w:t>strong</w:t>
      </w:r>
      <w:r w:rsidR="00BC3337">
        <w:rPr>
          <w:rFonts w:ascii="Times New Roman" w:hAnsi="Times New Roman" w:cs="Times New Roman"/>
          <w:sz w:val="24"/>
          <w:szCs w:val="24"/>
          <w:lang w:val="en-US"/>
        </w:rPr>
        <w:t xml:space="preserve"> et al. </w:t>
      </w:r>
      <w:r w:rsidRPr="00415D91">
        <w:rPr>
          <w:rFonts w:ascii="Times New Roman" w:hAnsi="Times New Roman" w:cs="Times New Roman"/>
          <w:sz w:val="24"/>
          <w:szCs w:val="24"/>
          <w:lang w:val="en-US"/>
        </w:rPr>
        <w:t>2010)</w:t>
      </w:r>
      <w:r>
        <w:rPr>
          <w:rFonts w:ascii="Times New Roman" w:hAnsi="Times New Roman" w:cs="Times New Roman"/>
          <w:sz w:val="24"/>
          <w:szCs w:val="24"/>
          <w:lang w:val="en-US"/>
        </w:rPr>
        <w:t xml:space="preserve">. </w:t>
      </w:r>
      <w:r w:rsidR="00C83110">
        <w:rPr>
          <w:rFonts w:ascii="Times New Roman" w:hAnsi="Times New Roman" w:cs="Times New Roman"/>
          <w:sz w:val="24"/>
          <w:szCs w:val="24"/>
          <w:lang w:val="en-US"/>
        </w:rPr>
        <w:t>Each treatment firm is matched with a control firm with the lowest pairwise distance.</w:t>
      </w:r>
      <w:r w:rsidR="00973F62">
        <w:rPr>
          <w:rFonts w:ascii="Times New Roman" w:hAnsi="Times New Roman" w:cs="Times New Roman"/>
          <w:sz w:val="24"/>
          <w:szCs w:val="24"/>
          <w:lang w:val="en-US"/>
        </w:rPr>
        <w:t xml:space="preserve"> </w:t>
      </w:r>
    </w:p>
    <w:bookmarkEnd w:id="10"/>
    <w:p w14:paraId="253D50EF" w14:textId="77777777" w:rsidR="00C0465C" w:rsidRPr="00CF70BB" w:rsidRDefault="001B7C85" w:rsidP="007C25B5">
      <w:pPr>
        <w:tabs>
          <w:tab w:val="left" w:pos="7648"/>
        </w:tabs>
        <w:spacing w:after="0" w:line="480" w:lineRule="auto"/>
        <w:rPr>
          <w:rFonts w:ascii="Times New Roman" w:hAnsi="Times New Roman" w:cs="Times New Roman"/>
          <w:i/>
          <w:sz w:val="24"/>
          <w:szCs w:val="24"/>
          <w:lang w:val="en-US"/>
        </w:rPr>
      </w:pPr>
      <w:r w:rsidRPr="00CF70BB">
        <w:rPr>
          <w:rFonts w:ascii="Times New Roman" w:hAnsi="Times New Roman" w:cs="Times New Roman"/>
          <w:i/>
          <w:sz w:val="24"/>
          <w:szCs w:val="24"/>
          <w:lang w:val="en-US"/>
        </w:rPr>
        <w:t xml:space="preserve">4.2. </w:t>
      </w:r>
      <w:r w:rsidR="00621194" w:rsidRPr="00CF70BB">
        <w:rPr>
          <w:rFonts w:ascii="Times New Roman" w:hAnsi="Times New Roman" w:cs="Times New Roman"/>
          <w:i/>
          <w:sz w:val="24"/>
          <w:szCs w:val="24"/>
          <w:lang w:val="en-US"/>
        </w:rPr>
        <w:t>Identification strategy</w:t>
      </w:r>
    </w:p>
    <w:p w14:paraId="686D704F" w14:textId="3034C11B" w:rsidR="00F8625D" w:rsidRPr="00240A3A" w:rsidRDefault="00F23C82" w:rsidP="007770A8">
      <w:pPr>
        <w:spacing w:after="0" w:line="480" w:lineRule="auto"/>
        <w:ind w:firstLine="720"/>
        <w:jc w:val="both"/>
        <w:rPr>
          <w:rFonts w:ascii="Times New Roman" w:hAnsi="Times New Roman" w:cs="Times New Roman"/>
          <w:sz w:val="24"/>
          <w:szCs w:val="24"/>
          <w:lang w:val="en-US"/>
        </w:rPr>
      </w:pPr>
      <w:r w:rsidRPr="00CF70BB">
        <w:rPr>
          <w:rFonts w:ascii="Times New Roman" w:hAnsi="Times New Roman" w:cs="Times New Roman"/>
          <w:sz w:val="24"/>
          <w:szCs w:val="24"/>
          <w:lang w:val="en-US"/>
        </w:rPr>
        <w:t>While matched</w:t>
      </w:r>
      <w:r w:rsidR="00500013">
        <w:rPr>
          <w:rFonts w:ascii="Times New Roman" w:hAnsi="Times New Roman" w:cs="Times New Roman"/>
          <w:sz w:val="24"/>
          <w:szCs w:val="24"/>
          <w:lang w:val="en-US"/>
        </w:rPr>
        <w:t xml:space="preserve"> </w:t>
      </w:r>
      <w:r w:rsidR="00240A3A">
        <w:rPr>
          <w:rFonts w:ascii="Times New Roman" w:hAnsi="Times New Roman" w:cs="Times New Roman"/>
          <w:sz w:val="24"/>
          <w:szCs w:val="24"/>
          <w:lang w:val="en-US"/>
        </w:rPr>
        <w:t xml:space="preserve">sample </w:t>
      </w:r>
      <w:r w:rsidRPr="00240A3A">
        <w:rPr>
          <w:rFonts w:ascii="Times New Roman" w:hAnsi="Times New Roman" w:cs="Times New Roman"/>
          <w:sz w:val="24"/>
          <w:szCs w:val="24"/>
          <w:lang w:val="en-US"/>
        </w:rPr>
        <w:t xml:space="preserve">tests allow us to mitigate endogeneity concerns, we </w:t>
      </w:r>
      <w:r w:rsidR="00A24286">
        <w:rPr>
          <w:rFonts w:ascii="Times New Roman" w:hAnsi="Times New Roman" w:cs="Times New Roman"/>
          <w:sz w:val="24"/>
          <w:szCs w:val="24"/>
          <w:lang w:val="en-US"/>
        </w:rPr>
        <w:t>complement</w:t>
      </w:r>
      <w:r w:rsidR="0015398B" w:rsidRPr="00240A3A">
        <w:rPr>
          <w:rFonts w:ascii="Times New Roman" w:hAnsi="Times New Roman" w:cs="Times New Roman"/>
          <w:sz w:val="24"/>
          <w:szCs w:val="24"/>
          <w:lang w:val="en-US"/>
        </w:rPr>
        <w:t xml:space="preserve"> </w:t>
      </w:r>
      <w:r w:rsidR="001549C6" w:rsidRPr="00240A3A">
        <w:rPr>
          <w:rFonts w:ascii="Times New Roman" w:hAnsi="Times New Roman" w:cs="Times New Roman"/>
          <w:sz w:val="24"/>
          <w:szCs w:val="24"/>
          <w:lang w:val="en-US"/>
        </w:rPr>
        <w:t>our analysis</w:t>
      </w:r>
      <w:r w:rsidRPr="00240A3A">
        <w:rPr>
          <w:rFonts w:ascii="Times New Roman" w:hAnsi="Times New Roman" w:cs="Times New Roman"/>
          <w:sz w:val="24"/>
          <w:szCs w:val="24"/>
          <w:lang w:val="en-US"/>
        </w:rPr>
        <w:t xml:space="preserve"> by </w:t>
      </w:r>
      <w:r w:rsidR="00A24286">
        <w:rPr>
          <w:rFonts w:ascii="Times New Roman" w:hAnsi="Times New Roman" w:cs="Times New Roman"/>
          <w:sz w:val="24"/>
          <w:szCs w:val="24"/>
          <w:lang w:val="en-US"/>
        </w:rPr>
        <w:t>exploiting</w:t>
      </w:r>
      <w:r w:rsidR="00A24286" w:rsidRPr="00240A3A">
        <w:rPr>
          <w:rFonts w:ascii="Times New Roman" w:hAnsi="Times New Roman" w:cs="Times New Roman"/>
          <w:sz w:val="24"/>
          <w:szCs w:val="24"/>
          <w:lang w:val="en-US"/>
        </w:rPr>
        <w:t xml:space="preserve"> </w:t>
      </w:r>
      <w:r w:rsidR="00F27447" w:rsidRPr="00240A3A">
        <w:rPr>
          <w:rFonts w:ascii="Times New Roman" w:hAnsi="Times New Roman" w:cs="Times New Roman"/>
          <w:sz w:val="24"/>
          <w:szCs w:val="24"/>
          <w:lang w:val="en-US"/>
        </w:rPr>
        <w:t xml:space="preserve">the </w:t>
      </w:r>
      <w:r w:rsidR="007D255C" w:rsidRPr="00240A3A">
        <w:rPr>
          <w:rFonts w:ascii="Times New Roman" w:hAnsi="Times New Roman" w:cs="Times New Roman"/>
          <w:sz w:val="24"/>
          <w:szCs w:val="24"/>
          <w:lang w:val="en-US"/>
        </w:rPr>
        <w:t xml:space="preserve">change in </w:t>
      </w:r>
      <w:r w:rsidR="0008378D" w:rsidRPr="00240A3A">
        <w:rPr>
          <w:rFonts w:ascii="Times New Roman" w:hAnsi="Times New Roman" w:cs="Times New Roman"/>
          <w:sz w:val="24"/>
          <w:szCs w:val="24"/>
          <w:lang w:val="en-US"/>
        </w:rPr>
        <w:t xml:space="preserve">the </w:t>
      </w:r>
      <w:r w:rsidR="007D255C" w:rsidRPr="00240A3A">
        <w:rPr>
          <w:rFonts w:ascii="Times New Roman" w:hAnsi="Times New Roman" w:cs="Times New Roman"/>
          <w:sz w:val="24"/>
          <w:szCs w:val="24"/>
          <w:lang w:val="en-US"/>
        </w:rPr>
        <w:t xml:space="preserve">accounting treatment </w:t>
      </w:r>
      <w:r w:rsidR="00635BBA">
        <w:rPr>
          <w:rFonts w:ascii="Times New Roman" w:hAnsi="Times New Roman" w:cs="Times New Roman"/>
          <w:sz w:val="24"/>
          <w:szCs w:val="24"/>
          <w:lang w:val="en-US"/>
        </w:rPr>
        <w:t>for</w:t>
      </w:r>
      <w:r w:rsidR="007D255C" w:rsidRPr="00240A3A">
        <w:rPr>
          <w:rFonts w:ascii="Times New Roman" w:hAnsi="Times New Roman" w:cs="Times New Roman"/>
          <w:sz w:val="24"/>
          <w:szCs w:val="24"/>
          <w:lang w:val="en-US"/>
        </w:rPr>
        <w:t xml:space="preserve"> stock options, </w:t>
      </w:r>
      <w:r w:rsidR="0008378D" w:rsidRPr="00240A3A">
        <w:rPr>
          <w:rFonts w:ascii="Times New Roman" w:hAnsi="Times New Roman" w:cs="Times New Roman"/>
          <w:sz w:val="24"/>
          <w:szCs w:val="24"/>
          <w:lang w:val="en-US"/>
        </w:rPr>
        <w:t>S</w:t>
      </w:r>
      <w:r w:rsidRPr="00240A3A">
        <w:rPr>
          <w:rFonts w:ascii="Times New Roman" w:hAnsi="Times New Roman" w:cs="Times New Roman"/>
          <w:sz w:val="24"/>
          <w:szCs w:val="24"/>
          <w:lang w:val="en-US"/>
        </w:rPr>
        <w:t>FAS 123R</w:t>
      </w:r>
      <w:r w:rsidR="007D255C" w:rsidRPr="00240A3A">
        <w:rPr>
          <w:rFonts w:ascii="Times New Roman" w:hAnsi="Times New Roman" w:cs="Times New Roman"/>
          <w:sz w:val="24"/>
          <w:szCs w:val="24"/>
          <w:lang w:val="en-US"/>
        </w:rPr>
        <w:t>,</w:t>
      </w:r>
      <w:r w:rsidRPr="00240A3A">
        <w:rPr>
          <w:rFonts w:ascii="Times New Roman" w:hAnsi="Times New Roman" w:cs="Times New Roman"/>
          <w:sz w:val="24"/>
          <w:szCs w:val="24"/>
          <w:lang w:val="en-US"/>
        </w:rPr>
        <w:t xml:space="preserve"> as a quasi-</w:t>
      </w:r>
      <w:r w:rsidR="00621194" w:rsidRPr="00240A3A">
        <w:rPr>
          <w:rFonts w:ascii="Times New Roman" w:hAnsi="Times New Roman" w:cs="Times New Roman"/>
          <w:sz w:val="24"/>
          <w:szCs w:val="24"/>
          <w:lang w:val="en-US"/>
        </w:rPr>
        <w:t xml:space="preserve">natural </w:t>
      </w:r>
      <w:r w:rsidRPr="00240A3A">
        <w:rPr>
          <w:rFonts w:ascii="Times New Roman" w:hAnsi="Times New Roman" w:cs="Times New Roman"/>
          <w:sz w:val="24"/>
          <w:szCs w:val="24"/>
          <w:lang w:val="en-US"/>
        </w:rPr>
        <w:t xml:space="preserve">experiment. </w:t>
      </w:r>
      <w:r w:rsidR="0008378D" w:rsidRPr="00240A3A">
        <w:rPr>
          <w:rFonts w:ascii="Times New Roman" w:hAnsi="Times New Roman" w:cs="Times New Roman"/>
          <w:sz w:val="24"/>
          <w:szCs w:val="24"/>
          <w:lang w:val="en-US"/>
        </w:rPr>
        <w:t>S</w:t>
      </w:r>
      <w:r w:rsidR="00F478CC" w:rsidRPr="00240A3A">
        <w:rPr>
          <w:rFonts w:ascii="Times New Roman" w:hAnsi="Times New Roman" w:cs="Times New Roman"/>
          <w:sz w:val="24"/>
          <w:szCs w:val="24"/>
          <w:lang w:val="en-US"/>
        </w:rPr>
        <w:t xml:space="preserve">FAS 123R </w:t>
      </w:r>
      <w:r w:rsidR="007D255C" w:rsidRPr="00240A3A">
        <w:rPr>
          <w:rFonts w:ascii="Times New Roman" w:hAnsi="Times New Roman" w:cs="Times New Roman"/>
          <w:sz w:val="24"/>
          <w:szCs w:val="24"/>
          <w:lang w:val="en-US"/>
        </w:rPr>
        <w:t>was</w:t>
      </w:r>
      <w:r w:rsidR="0008378D" w:rsidRPr="00240A3A">
        <w:rPr>
          <w:rFonts w:ascii="Times New Roman" w:hAnsi="Times New Roman" w:cs="Times New Roman"/>
          <w:sz w:val="24"/>
          <w:szCs w:val="24"/>
          <w:lang w:val="en-US"/>
        </w:rPr>
        <w:t xml:space="preserve"> published in Dec</w:t>
      </w:r>
      <w:r w:rsidR="00786A4A" w:rsidRPr="00240A3A">
        <w:rPr>
          <w:rFonts w:ascii="Times New Roman" w:hAnsi="Times New Roman" w:cs="Times New Roman"/>
          <w:sz w:val="24"/>
          <w:szCs w:val="24"/>
          <w:lang w:val="en-US"/>
        </w:rPr>
        <w:t>e</w:t>
      </w:r>
      <w:r w:rsidR="0008378D" w:rsidRPr="00240A3A">
        <w:rPr>
          <w:rFonts w:ascii="Times New Roman" w:hAnsi="Times New Roman" w:cs="Times New Roman"/>
          <w:sz w:val="24"/>
          <w:szCs w:val="24"/>
          <w:lang w:val="en-US"/>
        </w:rPr>
        <w:t xml:space="preserve">mber 2004 and became effective for financial periods beginning after June 15, 2005. SFAS 123R </w:t>
      </w:r>
      <w:r w:rsidR="00A4144C" w:rsidRPr="00240A3A">
        <w:rPr>
          <w:rFonts w:ascii="Times New Roman" w:hAnsi="Times New Roman" w:cs="Times New Roman"/>
          <w:sz w:val="24"/>
          <w:szCs w:val="24"/>
          <w:lang w:val="en-US"/>
        </w:rPr>
        <w:t xml:space="preserve">mandated the expensing of </w:t>
      </w:r>
      <w:r w:rsidR="00456179" w:rsidRPr="00240A3A">
        <w:rPr>
          <w:rFonts w:ascii="Times New Roman" w:hAnsi="Times New Roman" w:cs="Times New Roman"/>
          <w:sz w:val="24"/>
          <w:szCs w:val="24"/>
          <w:lang w:val="en-US"/>
        </w:rPr>
        <w:t>share-</w:t>
      </w:r>
      <w:r w:rsidR="00A4144C" w:rsidRPr="00240A3A">
        <w:rPr>
          <w:rFonts w:ascii="Times New Roman" w:hAnsi="Times New Roman" w:cs="Times New Roman"/>
          <w:sz w:val="24"/>
          <w:szCs w:val="24"/>
          <w:lang w:val="en-US"/>
        </w:rPr>
        <w:t>based payments</w:t>
      </w:r>
      <w:r w:rsidR="0008378D" w:rsidRPr="00240A3A">
        <w:rPr>
          <w:rFonts w:ascii="Times New Roman" w:hAnsi="Times New Roman" w:cs="Times New Roman"/>
          <w:sz w:val="24"/>
          <w:szCs w:val="24"/>
          <w:lang w:val="en-US"/>
        </w:rPr>
        <w:t xml:space="preserve"> in the Income Statement</w:t>
      </w:r>
      <w:r w:rsidR="00F478CC" w:rsidRPr="00240A3A">
        <w:rPr>
          <w:rFonts w:ascii="Times New Roman" w:hAnsi="Times New Roman" w:cs="Times New Roman"/>
          <w:sz w:val="24"/>
          <w:szCs w:val="24"/>
          <w:lang w:val="en-US"/>
        </w:rPr>
        <w:t xml:space="preserve">. </w:t>
      </w:r>
      <w:r w:rsidR="007D255C" w:rsidRPr="00240A3A">
        <w:rPr>
          <w:rFonts w:ascii="Times New Roman" w:hAnsi="Times New Roman" w:cs="Times New Roman"/>
          <w:sz w:val="24"/>
          <w:szCs w:val="24"/>
          <w:lang w:val="en-US"/>
        </w:rPr>
        <w:t xml:space="preserve">Before </w:t>
      </w:r>
      <w:r w:rsidR="00DA78B5" w:rsidRPr="00240A3A">
        <w:rPr>
          <w:rFonts w:ascii="Times New Roman" w:hAnsi="Times New Roman" w:cs="Times New Roman"/>
          <w:sz w:val="24"/>
          <w:szCs w:val="24"/>
          <w:lang w:val="en-US"/>
        </w:rPr>
        <w:t>S</w:t>
      </w:r>
      <w:r w:rsidR="007D255C" w:rsidRPr="00240A3A">
        <w:rPr>
          <w:rFonts w:ascii="Times New Roman" w:hAnsi="Times New Roman" w:cs="Times New Roman"/>
          <w:sz w:val="24"/>
          <w:szCs w:val="24"/>
          <w:lang w:val="en-US"/>
        </w:rPr>
        <w:t>FAS 123R</w:t>
      </w:r>
      <w:r w:rsidR="00A24286">
        <w:rPr>
          <w:rFonts w:ascii="Times New Roman" w:hAnsi="Times New Roman" w:cs="Times New Roman"/>
          <w:sz w:val="24"/>
          <w:szCs w:val="24"/>
          <w:lang w:val="en-US"/>
        </w:rPr>
        <w:t xml:space="preserve"> was effective</w:t>
      </w:r>
      <w:r w:rsidR="00B5034F" w:rsidRPr="00240A3A">
        <w:rPr>
          <w:rFonts w:ascii="Times New Roman" w:hAnsi="Times New Roman" w:cs="Times New Roman"/>
          <w:sz w:val="24"/>
          <w:szCs w:val="24"/>
          <w:lang w:val="en-US"/>
        </w:rPr>
        <w:t>,</w:t>
      </w:r>
      <w:r w:rsidR="007D255C" w:rsidRPr="00240A3A">
        <w:rPr>
          <w:rFonts w:ascii="Times New Roman" w:hAnsi="Times New Roman" w:cs="Times New Roman"/>
          <w:sz w:val="24"/>
          <w:szCs w:val="24"/>
          <w:lang w:val="en-US"/>
        </w:rPr>
        <w:t xml:space="preserve"> firms were able to </w:t>
      </w:r>
      <w:r w:rsidR="00A4144C" w:rsidRPr="00240A3A">
        <w:rPr>
          <w:rFonts w:ascii="Times New Roman" w:hAnsi="Times New Roman" w:cs="Times New Roman"/>
          <w:sz w:val="24"/>
          <w:szCs w:val="24"/>
          <w:lang w:val="en-US"/>
        </w:rPr>
        <w:t xml:space="preserve">either use the intrinsic </w:t>
      </w:r>
      <w:r w:rsidR="00DC1A52">
        <w:rPr>
          <w:rFonts w:ascii="Times New Roman" w:hAnsi="Times New Roman" w:cs="Times New Roman"/>
          <w:sz w:val="24"/>
          <w:szCs w:val="24"/>
          <w:lang w:val="en-US"/>
        </w:rPr>
        <w:t xml:space="preserve">value </w:t>
      </w:r>
      <w:r w:rsidR="00A4144C" w:rsidRPr="00240A3A">
        <w:rPr>
          <w:rFonts w:ascii="Times New Roman" w:hAnsi="Times New Roman" w:cs="Times New Roman"/>
          <w:sz w:val="24"/>
          <w:szCs w:val="24"/>
          <w:lang w:val="en-US"/>
        </w:rPr>
        <w:t>method</w:t>
      </w:r>
      <w:r w:rsidR="00381924" w:rsidRPr="00240A3A">
        <w:rPr>
          <w:rFonts w:ascii="Times New Roman" w:hAnsi="Times New Roman" w:cs="Times New Roman"/>
          <w:sz w:val="24"/>
          <w:szCs w:val="24"/>
          <w:lang w:val="en-US"/>
        </w:rPr>
        <w:t xml:space="preserve"> of accounting for share based payments</w:t>
      </w:r>
      <w:r w:rsidR="00A4144C" w:rsidRPr="00240A3A">
        <w:rPr>
          <w:rFonts w:ascii="Times New Roman" w:hAnsi="Times New Roman" w:cs="Times New Roman"/>
          <w:sz w:val="24"/>
          <w:szCs w:val="24"/>
          <w:lang w:val="en-US"/>
        </w:rPr>
        <w:t xml:space="preserve"> and disclose the value of stock options in the notes to the accounts or expense stock options in the Income Statement</w:t>
      </w:r>
      <w:r w:rsidR="007D255C" w:rsidRPr="00240A3A">
        <w:rPr>
          <w:rFonts w:ascii="Times New Roman" w:hAnsi="Times New Roman" w:cs="Times New Roman"/>
          <w:sz w:val="24"/>
          <w:szCs w:val="24"/>
          <w:lang w:val="en-US"/>
        </w:rPr>
        <w:t xml:space="preserve">. Given </w:t>
      </w:r>
      <w:r w:rsidR="00A4144C" w:rsidRPr="00240A3A">
        <w:rPr>
          <w:rFonts w:ascii="Times New Roman" w:hAnsi="Times New Roman" w:cs="Times New Roman"/>
          <w:sz w:val="24"/>
          <w:szCs w:val="24"/>
          <w:lang w:val="en-US"/>
        </w:rPr>
        <w:t>this choice</w:t>
      </w:r>
      <w:r w:rsidR="00456179" w:rsidRPr="00240A3A">
        <w:rPr>
          <w:rFonts w:ascii="Times New Roman" w:hAnsi="Times New Roman" w:cs="Times New Roman"/>
          <w:sz w:val="24"/>
          <w:szCs w:val="24"/>
          <w:lang w:val="en-US"/>
        </w:rPr>
        <w:t>,</w:t>
      </w:r>
      <w:r w:rsidR="00A4144C" w:rsidRPr="00240A3A">
        <w:rPr>
          <w:rFonts w:ascii="Times New Roman" w:hAnsi="Times New Roman" w:cs="Times New Roman"/>
          <w:sz w:val="24"/>
          <w:szCs w:val="24"/>
          <w:lang w:val="en-US"/>
        </w:rPr>
        <w:t xml:space="preserve"> firms opted for the former </w:t>
      </w:r>
      <w:r w:rsidR="00381924" w:rsidRPr="00240A3A">
        <w:rPr>
          <w:rFonts w:ascii="Times New Roman" w:hAnsi="Times New Roman" w:cs="Times New Roman"/>
          <w:sz w:val="24"/>
          <w:szCs w:val="24"/>
          <w:lang w:val="en-US"/>
        </w:rPr>
        <w:t xml:space="preserve">approach </w:t>
      </w:r>
      <w:r w:rsidR="00A4144C" w:rsidRPr="00240A3A">
        <w:rPr>
          <w:rFonts w:ascii="Times New Roman" w:hAnsi="Times New Roman" w:cs="Times New Roman"/>
          <w:sz w:val="24"/>
          <w:szCs w:val="24"/>
          <w:lang w:val="en-US"/>
        </w:rPr>
        <w:t xml:space="preserve">since </w:t>
      </w:r>
      <w:r w:rsidR="00F8625D" w:rsidRPr="00240A3A">
        <w:rPr>
          <w:rFonts w:ascii="Times New Roman" w:hAnsi="Times New Roman" w:cs="Times New Roman"/>
          <w:sz w:val="24"/>
          <w:szCs w:val="24"/>
          <w:lang w:val="en-US"/>
        </w:rPr>
        <w:t>this approach mandated the disclosure but not the recognition of the stock option expense in the financial statements</w:t>
      </w:r>
      <w:r w:rsidR="007D255C" w:rsidRPr="00240A3A">
        <w:rPr>
          <w:rFonts w:ascii="Times New Roman" w:hAnsi="Times New Roman" w:cs="Times New Roman"/>
          <w:sz w:val="24"/>
          <w:szCs w:val="24"/>
          <w:lang w:val="en-US"/>
        </w:rPr>
        <w:t xml:space="preserve"> (</w:t>
      </w:r>
      <w:r w:rsidR="0052765E" w:rsidRPr="00635BBA">
        <w:rPr>
          <w:rFonts w:ascii="Times New Roman" w:hAnsi="Times New Roman" w:cs="Times New Roman"/>
          <w:sz w:val="24"/>
          <w:szCs w:val="24"/>
          <w:lang w:val="en-US"/>
        </w:rPr>
        <w:t xml:space="preserve">Mao and Zhang </w:t>
      </w:r>
      <w:r w:rsidR="0052765E" w:rsidRPr="00635BBA">
        <w:rPr>
          <w:rFonts w:ascii="Times New Roman" w:hAnsi="Times New Roman" w:cs="Times New Roman"/>
          <w:sz w:val="24"/>
          <w:szCs w:val="24"/>
          <w:lang w:val="en-US"/>
        </w:rPr>
        <w:lastRenderedPageBreak/>
        <w:t xml:space="preserve">2018; </w:t>
      </w:r>
      <w:r w:rsidR="007D255C" w:rsidRPr="00240A3A">
        <w:rPr>
          <w:rFonts w:ascii="Times New Roman" w:hAnsi="Times New Roman" w:cs="Times New Roman"/>
          <w:sz w:val="24"/>
          <w:szCs w:val="24"/>
          <w:lang w:val="en-US"/>
        </w:rPr>
        <w:t>Hong</w:t>
      </w:r>
      <w:r w:rsidR="007770A8" w:rsidRPr="00240A3A">
        <w:rPr>
          <w:rFonts w:ascii="Times New Roman" w:hAnsi="Times New Roman" w:cs="Times New Roman"/>
          <w:sz w:val="24"/>
          <w:szCs w:val="24"/>
          <w:lang w:val="en-US"/>
        </w:rPr>
        <w:t xml:space="preserve"> </w:t>
      </w:r>
      <w:r w:rsidR="007D255C" w:rsidRPr="00240A3A">
        <w:rPr>
          <w:rFonts w:ascii="Times New Roman" w:hAnsi="Times New Roman" w:cs="Times New Roman"/>
          <w:sz w:val="24"/>
          <w:szCs w:val="24"/>
          <w:lang w:val="en-US"/>
        </w:rPr>
        <w:t xml:space="preserve">2019). </w:t>
      </w:r>
      <w:r w:rsidR="00DA78B5" w:rsidRPr="00240A3A">
        <w:rPr>
          <w:rFonts w:ascii="Times New Roman" w:hAnsi="Times New Roman" w:cs="Times New Roman"/>
          <w:sz w:val="24"/>
          <w:szCs w:val="24"/>
          <w:lang w:val="en-US"/>
        </w:rPr>
        <w:t>S</w:t>
      </w:r>
      <w:r w:rsidR="007D255C" w:rsidRPr="00240A3A">
        <w:rPr>
          <w:rFonts w:ascii="Times New Roman" w:hAnsi="Times New Roman" w:cs="Times New Roman"/>
          <w:sz w:val="24"/>
          <w:szCs w:val="24"/>
          <w:lang w:val="en-US"/>
        </w:rPr>
        <w:t>FAS 123R</w:t>
      </w:r>
      <w:r w:rsidR="00F478CC" w:rsidRPr="00240A3A">
        <w:rPr>
          <w:rFonts w:ascii="Times New Roman" w:hAnsi="Times New Roman" w:cs="Times New Roman"/>
          <w:sz w:val="24"/>
          <w:szCs w:val="24"/>
          <w:lang w:val="en-US"/>
        </w:rPr>
        <w:t xml:space="preserve"> </w:t>
      </w:r>
      <w:r w:rsidR="00F8625D" w:rsidRPr="00240A3A">
        <w:rPr>
          <w:rFonts w:ascii="Times New Roman" w:hAnsi="Times New Roman" w:cs="Times New Roman"/>
          <w:sz w:val="24"/>
          <w:szCs w:val="24"/>
          <w:lang w:val="en-US"/>
        </w:rPr>
        <w:t xml:space="preserve">removed this </w:t>
      </w:r>
      <w:r w:rsidR="00DA78B5" w:rsidRPr="00240A3A">
        <w:rPr>
          <w:rFonts w:ascii="Times New Roman" w:hAnsi="Times New Roman" w:cs="Times New Roman"/>
          <w:sz w:val="24"/>
          <w:szCs w:val="24"/>
          <w:lang w:val="en-US"/>
        </w:rPr>
        <w:t>option</w:t>
      </w:r>
      <w:r w:rsidR="00F8625D" w:rsidRPr="00240A3A">
        <w:rPr>
          <w:rFonts w:ascii="Times New Roman" w:hAnsi="Times New Roman" w:cs="Times New Roman"/>
          <w:sz w:val="24"/>
          <w:szCs w:val="24"/>
          <w:lang w:val="en-US"/>
        </w:rPr>
        <w:t xml:space="preserve"> and mandated that firms issuing </w:t>
      </w:r>
      <w:r w:rsidR="00635BBA" w:rsidRPr="00240A3A">
        <w:rPr>
          <w:rFonts w:ascii="Times New Roman" w:hAnsi="Times New Roman" w:cs="Times New Roman"/>
          <w:sz w:val="24"/>
          <w:szCs w:val="24"/>
          <w:lang w:val="en-US"/>
        </w:rPr>
        <w:t>share</w:t>
      </w:r>
      <w:r w:rsidR="00635BBA">
        <w:rPr>
          <w:rFonts w:ascii="Times New Roman" w:hAnsi="Times New Roman" w:cs="Times New Roman"/>
          <w:sz w:val="24"/>
          <w:szCs w:val="24"/>
          <w:lang w:val="en-US"/>
        </w:rPr>
        <w:t>-based</w:t>
      </w:r>
      <w:r w:rsidR="00F8625D" w:rsidRPr="00240A3A">
        <w:rPr>
          <w:rFonts w:ascii="Times New Roman" w:hAnsi="Times New Roman" w:cs="Times New Roman"/>
          <w:sz w:val="24"/>
          <w:szCs w:val="24"/>
          <w:lang w:val="en-US"/>
        </w:rPr>
        <w:t xml:space="preserve"> payments such as CEO stock options </w:t>
      </w:r>
      <w:r w:rsidR="00DC1A52">
        <w:rPr>
          <w:rFonts w:ascii="Times New Roman" w:hAnsi="Times New Roman" w:cs="Times New Roman"/>
          <w:sz w:val="24"/>
          <w:szCs w:val="24"/>
          <w:lang w:val="en-US"/>
        </w:rPr>
        <w:t>must</w:t>
      </w:r>
      <w:r w:rsidR="00F8625D" w:rsidRPr="00240A3A">
        <w:rPr>
          <w:rFonts w:ascii="Times New Roman" w:hAnsi="Times New Roman" w:cs="Times New Roman"/>
          <w:sz w:val="24"/>
          <w:szCs w:val="24"/>
          <w:lang w:val="en-US"/>
        </w:rPr>
        <w:t xml:space="preserve"> expense these stock options in the Income Statement.</w:t>
      </w:r>
      <w:r w:rsidR="00DC1A52">
        <w:rPr>
          <w:rStyle w:val="FootnoteReference"/>
          <w:rFonts w:ascii="Times New Roman" w:hAnsi="Times New Roman" w:cs="Times New Roman"/>
          <w:sz w:val="24"/>
          <w:szCs w:val="24"/>
          <w:lang w:val="en-US"/>
        </w:rPr>
        <w:footnoteReference w:id="11"/>
      </w:r>
      <w:r w:rsidR="00F8625D" w:rsidRPr="00240A3A">
        <w:rPr>
          <w:rFonts w:ascii="Times New Roman" w:hAnsi="Times New Roman" w:cs="Times New Roman"/>
          <w:sz w:val="24"/>
          <w:szCs w:val="24"/>
          <w:lang w:val="en-US"/>
        </w:rPr>
        <w:t xml:space="preserve"> </w:t>
      </w:r>
    </w:p>
    <w:p w14:paraId="1AD58DF4" w14:textId="01F5AB18" w:rsidR="007D255C" w:rsidRPr="00240A3A" w:rsidRDefault="00F478CC" w:rsidP="00786A4A">
      <w:pPr>
        <w:spacing w:after="0" w:line="480" w:lineRule="auto"/>
        <w:ind w:firstLine="720"/>
        <w:jc w:val="both"/>
        <w:rPr>
          <w:rFonts w:ascii="Times New Roman" w:hAnsi="Times New Roman" w:cs="Times New Roman"/>
          <w:sz w:val="24"/>
          <w:szCs w:val="24"/>
          <w:lang w:val="en-US"/>
        </w:rPr>
      </w:pPr>
      <w:r w:rsidRPr="00240A3A">
        <w:rPr>
          <w:rFonts w:ascii="Times New Roman" w:hAnsi="Times New Roman" w:cs="Times New Roman"/>
          <w:sz w:val="24"/>
          <w:szCs w:val="24"/>
          <w:lang w:val="en-US"/>
        </w:rPr>
        <w:t xml:space="preserve">Many studies </w:t>
      </w:r>
      <w:r w:rsidR="008E6A53" w:rsidRPr="00240A3A">
        <w:rPr>
          <w:rFonts w:ascii="Times New Roman" w:hAnsi="Times New Roman" w:cs="Times New Roman"/>
          <w:sz w:val="24"/>
          <w:szCs w:val="24"/>
          <w:lang w:val="en-US"/>
        </w:rPr>
        <w:t>report</w:t>
      </w:r>
      <w:r w:rsidRPr="00240A3A">
        <w:rPr>
          <w:rFonts w:ascii="Times New Roman" w:hAnsi="Times New Roman" w:cs="Times New Roman"/>
          <w:sz w:val="24"/>
          <w:szCs w:val="24"/>
          <w:lang w:val="en-US"/>
        </w:rPr>
        <w:t xml:space="preserve"> a significant drop in </w:t>
      </w:r>
      <w:r w:rsidR="00492C71" w:rsidRPr="00240A3A">
        <w:rPr>
          <w:rFonts w:ascii="Times New Roman" w:hAnsi="Times New Roman" w:cs="Times New Roman"/>
          <w:sz w:val="24"/>
          <w:szCs w:val="24"/>
          <w:lang w:val="en-US"/>
        </w:rPr>
        <w:t xml:space="preserve">the </w:t>
      </w:r>
      <w:r w:rsidR="008E6A53" w:rsidRPr="00240A3A">
        <w:rPr>
          <w:rFonts w:ascii="Times New Roman" w:hAnsi="Times New Roman" w:cs="Times New Roman"/>
          <w:sz w:val="24"/>
          <w:szCs w:val="24"/>
          <w:lang w:val="en-US"/>
        </w:rPr>
        <w:t xml:space="preserve">use </w:t>
      </w:r>
      <w:r w:rsidR="00492C71" w:rsidRPr="00240A3A">
        <w:rPr>
          <w:rFonts w:ascii="Times New Roman" w:hAnsi="Times New Roman" w:cs="Times New Roman"/>
          <w:sz w:val="24"/>
          <w:szCs w:val="24"/>
          <w:lang w:val="en-US"/>
        </w:rPr>
        <w:t xml:space="preserve">of stock options </w:t>
      </w:r>
      <w:r w:rsidR="008E6A53" w:rsidRPr="00240A3A">
        <w:rPr>
          <w:rFonts w:ascii="Times New Roman" w:hAnsi="Times New Roman" w:cs="Times New Roman"/>
          <w:sz w:val="24"/>
          <w:szCs w:val="24"/>
          <w:lang w:val="en-US"/>
        </w:rPr>
        <w:t xml:space="preserve">in the period after </w:t>
      </w:r>
      <w:r w:rsidR="00DA78B5" w:rsidRPr="00240A3A">
        <w:rPr>
          <w:rFonts w:ascii="Times New Roman" w:hAnsi="Times New Roman" w:cs="Times New Roman"/>
          <w:sz w:val="24"/>
          <w:szCs w:val="24"/>
          <w:lang w:val="en-US"/>
        </w:rPr>
        <w:t>S</w:t>
      </w:r>
      <w:r w:rsidR="008E6A53" w:rsidRPr="00240A3A">
        <w:rPr>
          <w:rFonts w:ascii="Times New Roman" w:hAnsi="Times New Roman" w:cs="Times New Roman"/>
          <w:sz w:val="24"/>
          <w:szCs w:val="24"/>
          <w:lang w:val="en-US"/>
        </w:rPr>
        <w:t>FAS 123R became effective</w:t>
      </w:r>
      <w:r w:rsidR="00492C71" w:rsidRPr="00240A3A">
        <w:rPr>
          <w:rFonts w:ascii="Times New Roman" w:hAnsi="Times New Roman" w:cs="Times New Roman"/>
          <w:sz w:val="24"/>
          <w:szCs w:val="24"/>
          <w:lang w:val="en-US"/>
        </w:rPr>
        <w:t xml:space="preserve"> (</w:t>
      </w:r>
      <w:r w:rsidR="00DA78B5" w:rsidRPr="00240A3A">
        <w:rPr>
          <w:rFonts w:ascii="Times New Roman" w:hAnsi="Times New Roman" w:cs="Times New Roman"/>
          <w:sz w:val="24"/>
          <w:szCs w:val="24"/>
          <w:lang w:val="en-US"/>
        </w:rPr>
        <w:t>Carter</w:t>
      </w:r>
      <w:r w:rsidR="00044213">
        <w:rPr>
          <w:rFonts w:ascii="Times New Roman" w:hAnsi="Times New Roman" w:cs="Times New Roman"/>
          <w:sz w:val="24"/>
          <w:szCs w:val="24"/>
          <w:lang w:val="en-US"/>
        </w:rPr>
        <w:t xml:space="preserve"> et al.</w:t>
      </w:r>
      <w:r w:rsidR="00DA78B5" w:rsidRPr="00240A3A">
        <w:rPr>
          <w:rFonts w:ascii="Times New Roman" w:hAnsi="Times New Roman" w:cs="Times New Roman"/>
          <w:sz w:val="24"/>
          <w:szCs w:val="24"/>
          <w:lang w:val="en-US"/>
        </w:rPr>
        <w:t xml:space="preserve"> </w:t>
      </w:r>
      <w:r w:rsidR="00492C71" w:rsidRPr="00240A3A">
        <w:rPr>
          <w:rFonts w:ascii="Times New Roman" w:hAnsi="Times New Roman" w:cs="Times New Roman"/>
          <w:sz w:val="24"/>
          <w:szCs w:val="24"/>
          <w:lang w:val="en-US"/>
        </w:rPr>
        <w:t>2007</w:t>
      </w:r>
      <w:r w:rsidR="007770A8" w:rsidRPr="00240A3A">
        <w:rPr>
          <w:rFonts w:ascii="Times New Roman" w:hAnsi="Times New Roman" w:cs="Times New Roman"/>
          <w:sz w:val="24"/>
          <w:szCs w:val="24"/>
          <w:lang w:val="en-US"/>
        </w:rPr>
        <w:t>;</w:t>
      </w:r>
      <w:r w:rsidR="00492C71" w:rsidRPr="00240A3A">
        <w:rPr>
          <w:rFonts w:ascii="Times New Roman" w:hAnsi="Times New Roman" w:cs="Times New Roman"/>
          <w:sz w:val="24"/>
          <w:szCs w:val="24"/>
          <w:lang w:val="en-US"/>
        </w:rPr>
        <w:t xml:space="preserve"> </w:t>
      </w:r>
      <w:r w:rsidR="00DA78B5" w:rsidRPr="00240A3A">
        <w:rPr>
          <w:rFonts w:ascii="Times New Roman" w:hAnsi="Times New Roman" w:cs="Times New Roman"/>
          <w:sz w:val="24"/>
          <w:szCs w:val="24"/>
          <w:lang w:val="en-US"/>
        </w:rPr>
        <w:t>Hayes</w:t>
      </w:r>
      <w:r w:rsidR="00044213">
        <w:rPr>
          <w:rFonts w:ascii="Times New Roman" w:hAnsi="Times New Roman" w:cs="Times New Roman"/>
          <w:sz w:val="24"/>
          <w:szCs w:val="24"/>
          <w:lang w:val="en-US"/>
        </w:rPr>
        <w:t xml:space="preserve"> et al.</w:t>
      </w:r>
      <w:r w:rsidR="00DA78B5" w:rsidRPr="00240A3A">
        <w:rPr>
          <w:rFonts w:ascii="Times New Roman" w:hAnsi="Times New Roman" w:cs="Times New Roman"/>
          <w:sz w:val="24"/>
          <w:szCs w:val="24"/>
          <w:lang w:val="en-US"/>
        </w:rPr>
        <w:t xml:space="preserve"> </w:t>
      </w:r>
      <w:r w:rsidR="00492C71" w:rsidRPr="00240A3A">
        <w:rPr>
          <w:rFonts w:ascii="Times New Roman" w:hAnsi="Times New Roman" w:cs="Times New Roman"/>
          <w:sz w:val="24"/>
          <w:szCs w:val="24"/>
          <w:lang w:val="en-US"/>
        </w:rPr>
        <w:t>2012</w:t>
      </w:r>
      <w:r w:rsidR="007770A8" w:rsidRPr="00240A3A">
        <w:rPr>
          <w:rFonts w:ascii="Times New Roman" w:hAnsi="Times New Roman" w:cs="Times New Roman"/>
          <w:sz w:val="24"/>
          <w:szCs w:val="24"/>
          <w:lang w:val="en-US"/>
        </w:rPr>
        <w:t xml:space="preserve">; </w:t>
      </w:r>
      <w:r w:rsidR="00DA78B5" w:rsidRPr="00240A3A">
        <w:rPr>
          <w:rFonts w:ascii="Times New Roman" w:hAnsi="Times New Roman" w:cs="Times New Roman"/>
          <w:sz w:val="24"/>
          <w:szCs w:val="24"/>
          <w:lang w:val="en-US"/>
        </w:rPr>
        <w:t>Bakke</w:t>
      </w:r>
      <w:r w:rsidR="00BC3337">
        <w:rPr>
          <w:rFonts w:ascii="Times New Roman" w:hAnsi="Times New Roman" w:cs="Times New Roman"/>
          <w:sz w:val="24"/>
          <w:szCs w:val="24"/>
          <w:lang w:val="en-US"/>
        </w:rPr>
        <w:t xml:space="preserve"> et al.</w:t>
      </w:r>
      <w:r w:rsidR="00492C71" w:rsidRPr="00240A3A">
        <w:rPr>
          <w:rFonts w:ascii="Times New Roman" w:hAnsi="Times New Roman" w:cs="Times New Roman"/>
          <w:sz w:val="24"/>
          <w:szCs w:val="24"/>
          <w:lang w:val="en-US"/>
        </w:rPr>
        <w:t>2016</w:t>
      </w:r>
      <w:r w:rsidR="0052765E">
        <w:rPr>
          <w:rFonts w:ascii="Times New Roman" w:hAnsi="Times New Roman" w:cs="Times New Roman"/>
          <w:sz w:val="24"/>
          <w:szCs w:val="24"/>
          <w:lang w:val="en-US"/>
        </w:rPr>
        <w:t xml:space="preserve">; </w:t>
      </w:r>
      <w:r w:rsidR="0052765E" w:rsidRPr="008B748F">
        <w:rPr>
          <w:rFonts w:ascii="Times New Roman" w:hAnsi="Times New Roman" w:cs="Times New Roman"/>
          <w:sz w:val="24"/>
          <w:szCs w:val="24"/>
          <w:lang w:val="en-US"/>
        </w:rPr>
        <w:t>Mao and Zhang 2018</w:t>
      </w:r>
      <w:r w:rsidR="00492C71" w:rsidRPr="00240A3A">
        <w:rPr>
          <w:rFonts w:ascii="Times New Roman" w:hAnsi="Times New Roman" w:cs="Times New Roman"/>
          <w:sz w:val="24"/>
          <w:szCs w:val="24"/>
          <w:lang w:val="en-US"/>
        </w:rPr>
        <w:t>)</w:t>
      </w:r>
      <w:r w:rsidR="007D255C" w:rsidRPr="00240A3A">
        <w:rPr>
          <w:rFonts w:ascii="Times New Roman" w:hAnsi="Times New Roman" w:cs="Times New Roman"/>
          <w:sz w:val="24"/>
          <w:szCs w:val="24"/>
          <w:lang w:val="en-US"/>
        </w:rPr>
        <w:t xml:space="preserve">. </w:t>
      </w:r>
      <w:r w:rsidR="006C38B5" w:rsidRPr="00240A3A">
        <w:rPr>
          <w:rFonts w:ascii="Times New Roman" w:hAnsi="Times New Roman" w:cs="Times New Roman"/>
          <w:sz w:val="24"/>
          <w:szCs w:val="24"/>
          <w:lang w:val="en-US"/>
        </w:rPr>
        <w:t xml:space="preserve">Given </w:t>
      </w:r>
      <w:r w:rsidR="00DA78B5" w:rsidRPr="00240A3A">
        <w:rPr>
          <w:rFonts w:ascii="Times New Roman" w:hAnsi="Times New Roman" w:cs="Times New Roman"/>
          <w:sz w:val="24"/>
          <w:szCs w:val="24"/>
          <w:lang w:val="en-US"/>
        </w:rPr>
        <w:t>S</w:t>
      </w:r>
      <w:r w:rsidR="006C38B5" w:rsidRPr="00240A3A">
        <w:rPr>
          <w:rFonts w:ascii="Times New Roman" w:hAnsi="Times New Roman" w:cs="Times New Roman"/>
          <w:sz w:val="24"/>
          <w:szCs w:val="24"/>
          <w:lang w:val="en-US"/>
        </w:rPr>
        <w:t xml:space="preserve">FAS 123R deals </w:t>
      </w:r>
      <w:r w:rsidR="008E6A53" w:rsidRPr="00240A3A">
        <w:rPr>
          <w:rFonts w:ascii="Times New Roman" w:hAnsi="Times New Roman" w:cs="Times New Roman"/>
          <w:sz w:val="24"/>
          <w:szCs w:val="24"/>
          <w:lang w:val="en-US"/>
        </w:rPr>
        <w:t xml:space="preserve">exclusively </w:t>
      </w:r>
      <w:r w:rsidR="006C38B5" w:rsidRPr="00240A3A">
        <w:rPr>
          <w:rFonts w:ascii="Times New Roman" w:hAnsi="Times New Roman" w:cs="Times New Roman"/>
          <w:sz w:val="24"/>
          <w:szCs w:val="24"/>
          <w:lang w:val="en-US"/>
        </w:rPr>
        <w:t xml:space="preserve">with the accounting for </w:t>
      </w:r>
      <w:r w:rsidR="00786A4A" w:rsidRPr="00240A3A">
        <w:rPr>
          <w:rFonts w:ascii="Times New Roman" w:hAnsi="Times New Roman" w:cs="Times New Roman"/>
          <w:sz w:val="24"/>
          <w:szCs w:val="24"/>
          <w:lang w:val="en-US"/>
        </w:rPr>
        <w:t>share-</w:t>
      </w:r>
      <w:r w:rsidR="00DA78B5" w:rsidRPr="00240A3A">
        <w:rPr>
          <w:rFonts w:ascii="Times New Roman" w:hAnsi="Times New Roman" w:cs="Times New Roman"/>
          <w:sz w:val="24"/>
          <w:szCs w:val="24"/>
          <w:lang w:val="en-US"/>
        </w:rPr>
        <w:t xml:space="preserve">based </w:t>
      </w:r>
      <w:r w:rsidR="006C38B5" w:rsidRPr="00240A3A">
        <w:rPr>
          <w:rFonts w:ascii="Times New Roman" w:hAnsi="Times New Roman" w:cs="Times New Roman"/>
          <w:sz w:val="24"/>
          <w:szCs w:val="24"/>
          <w:lang w:val="en-US"/>
        </w:rPr>
        <w:t xml:space="preserve">payments, </w:t>
      </w:r>
      <w:r w:rsidR="0022650C" w:rsidRPr="00240A3A">
        <w:rPr>
          <w:rFonts w:ascii="Times New Roman" w:hAnsi="Times New Roman" w:cs="Times New Roman"/>
          <w:sz w:val="24"/>
          <w:szCs w:val="24"/>
          <w:lang w:val="en-US"/>
        </w:rPr>
        <w:t>it is</w:t>
      </w:r>
      <w:r w:rsidR="006C38B5" w:rsidRPr="00240A3A">
        <w:rPr>
          <w:rFonts w:ascii="Times New Roman" w:hAnsi="Times New Roman" w:cs="Times New Roman"/>
          <w:sz w:val="24"/>
          <w:szCs w:val="24"/>
          <w:lang w:val="en-US"/>
        </w:rPr>
        <w:t xml:space="preserve"> exogenous with respect to </w:t>
      </w:r>
      <w:r w:rsidR="0022650C" w:rsidRPr="00240A3A">
        <w:rPr>
          <w:rFonts w:ascii="Times New Roman" w:hAnsi="Times New Roman" w:cs="Times New Roman"/>
          <w:sz w:val="24"/>
          <w:szCs w:val="24"/>
          <w:lang w:val="en-US"/>
        </w:rPr>
        <w:t xml:space="preserve">firm </w:t>
      </w:r>
      <w:r w:rsidR="00635BBA" w:rsidRPr="00240A3A">
        <w:rPr>
          <w:rFonts w:ascii="Times New Roman" w:hAnsi="Times New Roman" w:cs="Times New Roman"/>
          <w:sz w:val="24"/>
          <w:szCs w:val="24"/>
          <w:lang w:val="en-US"/>
        </w:rPr>
        <w:t>risk</w:t>
      </w:r>
      <w:r w:rsidR="00A35028">
        <w:rPr>
          <w:rFonts w:ascii="Times New Roman" w:hAnsi="Times New Roman" w:cs="Times New Roman"/>
          <w:sz w:val="24"/>
          <w:szCs w:val="24"/>
          <w:lang w:val="en-US"/>
        </w:rPr>
        <w:t xml:space="preserve"> </w:t>
      </w:r>
      <w:r w:rsidR="00635BBA" w:rsidRPr="00240A3A">
        <w:rPr>
          <w:rFonts w:ascii="Times New Roman" w:hAnsi="Times New Roman" w:cs="Times New Roman"/>
          <w:sz w:val="24"/>
          <w:szCs w:val="24"/>
          <w:lang w:val="en-US"/>
        </w:rPr>
        <w:t>taking</w:t>
      </w:r>
      <w:r w:rsidR="006C38B5" w:rsidRPr="00240A3A">
        <w:rPr>
          <w:rFonts w:ascii="Times New Roman" w:hAnsi="Times New Roman" w:cs="Times New Roman"/>
          <w:sz w:val="24"/>
          <w:szCs w:val="24"/>
          <w:lang w:val="en-US"/>
        </w:rPr>
        <w:t xml:space="preserve"> incentives. The exogeneity of </w:t>
      </w:r>
      <w:r w:rsidR="00DA78B5" w:rsidRPr="00240A3A">
        <w:rPr>
          <w:rFonts w:ascii="Times New Roman" w:hAnsi="Times New Roman" w:cs="Times New Roman"/>
          <w:sz w:val="24"/>
          <w:szCs w:val="24"/>
          <w:lang w:val="en-US"/>
        </w:rPr>
        <w:t>S</w:t>
      </w:r>
      <w:r w:rsidR="006C38B5" w:rsidRPr="00240A3A">
        <w:rPr>
          <w:rFonts w:ascii="Times New Roman" w:hAnsi="Times New Roman" w:cs="Times New Roman"/>
          <w:sz w:val="24"/>
          <w:szCs w:val="24"/>
          <w:lang w:val="en-US"/>
        </w:rPr>
        <w:t xml:space="preserve">FAS 123R to risk taking incentives provides us with a shock to </w:t>
      </w:r>
      <w:r w:rsidR="00D53DD8" w:rsidRPr="00240A3A">
        <w:rPr>
          <w:rFonts w:ascii="Times New Roman" w:hAnsi="Times New Roman" w:cs="Times New Roman"/>
          <w:sz w:val="24"/>
          <w:szCs w:val="24"/>
          <w:lang w:val="en-US"/>
        </w:rPr>
        <w:t xml:space="preserve">CEO </w:t>
      </w:r>
      <w:r w:rsidR="006C38B5" w:rsidRPr="00240A3A">
        <w:rPr>
          <w:rFonts w:ascii="Times New Roman" w:hAnsi="Times New Roman" w:cs="Times New Roman"/>
          <w:sz w:val="24"/>
          <w:szCs w:val="24"/>
          <w:lang w:val="en-US"/>
        </w:rPr>
        <w:t xml:space="preserve">compensation </w:t>
      </w:r>
      <w:r w:rsidR="008E6A53" w:rsidRPr="00240A3A">
        <w:rPr>
          <w:rFonts w:ascii="Times New Roman" w:hAnsi="Times New Roman" w:cs="Times New Roman"/>
          <w:sz w:val="24"/>
          <w:szCs w:val="24"/>
          <w:lang w:val="en-US"/>
        </w:rPr>
        <w:t>that allows us</w:t>
      </w:r>
      <w:r w:rsidR="007D255C" w:rsidRPr="00240A3A">
        <w:rPr>
          <w:rFonts w:ascii="Times New Roman" w:hAnsi="Times New Roman" w:cs="Times New Roman"/>
          <w:sz w:val="24"/>
          <w:szCs w:val="24"/>
          <w:lang w:val="en-US"/>
        </w:rPr>
        <w:t xml:space="preserve"> to </w:t>
      </w:r>
      <w:r w:rsidR="008E6A53" w:rsidRPr="00240A3A">
        <w:rPr>
          <w:rFonts w:ascii="Times New Roman" w:hAnsi="Times New Roman" w:cs="Times New Roman"/>
          <w:sz w:val="24"/>
          <w:szCs w:val="24"/>
          <w:lang w:val="en-US"/>
        </w:rPr>
        <w:t xml:space="preserve">impute causality to the relation between </w:t>
      </w:r>
      <w:r w:rsidR="00D53DD8" w:rsidRPr="00240A3A">
        <w:rPr>
          <w:rFonts w:ascii="Times New Roman" w:hAnsi="Times New Roman" w:cs="Times New Roman"/>
          <w:sz w:val="24"/>
          <w:szCs w:val="24"/>
          <w:lang w:val="en-US"/>
        </w:rPr>
        <w:t xml:space="preserve">CEO </w:t>
      </w:r>
      <w:r w:rsidR="008E6A53" w:rsidRPr="00240A3A">
        <w:rPr>
          <w:rFonts w:ascii="Times New Roman" w:hAnsi="Times New Roman" w:cs="Times New Roman"/>
          <w:sz w:val="24"/>
          <w:szCs w:val="24"/>
          <w:lang w:val="en-US"/>
        </w:rPr>
        <w:t>risk taking incentives and workplace misconduct</w:t>
      </w:r>
      <w:r w:rsidR="007D255C" w:rsidRPr="00240A3A">
        <w:rPr>
          <w:rFonts w:ascii="Times New Roman" w:hAnsi="Times New Roman" w:cs="Times New Roman"/>
          <w:sz w:val="24"/>
          <w:szCs w:val="24"/>
          <w:lang w:val="en-US"/>
        </w:rPr>
        <w:t>.</w:t>
      </w:r>
      <w:r w:rsidR="00C21D38" w:rsidRPr="00240A3A">
        <w:rPr>
          <w:rStyle w:val="FootnoteReference"/>
          <w:rFonts w:ascii="Times New Roman" w:hAnsi="Times New Roman" w:cs="Times New Roman"/>
          <w:sz w:val="24"/>
          <w:szCs w:val="24"/>
          <w:lang w:val="en-US"/>
        </w:rPr>
        <w:footnoteReference w:id="12"/>
      </w:r>
      <w:r w:rsidR="00C21D38" w:rsidRPr="00240A3A">
        <w:rPr>
          <w:rFonts w:ascii="Times New Roman" w:hAnsi="Times New Roman" w:cs="Times New Roman"/>
          <w:sz w:val="24"/>
          <w:szCs w:val="24"/>
          <w:lang w:val="en-US"/>
        </w:rPr>
        <w:t xml:space="preserve"> </w:t>
      </w:r>
    </w:p>
    <w:p w14:paraId="31108FCF" w14:textId="6B205258" w:rsidR="00947B13" w:rsidRPr="00240A3A" w:rsidRDefault="00492C71" w:rsidP="00EB7A61">
      <w:pPr>
        <w:autoSpaceDE w:val="0"/>
        <w:autoSpaceDN w:val="0"/>
        <w:adjustRightInd w:val="0"/>
        <w:spacing w:after="0" w:line="480" w:lineRule="auto"/>
        <w:ind w:firstLine="720"/>
        <w:jc w:val="both"/>
        <w:rPr>
          <w:rFonts w:ascii="Times New Roman" w:eastAsiaTheme="minorEastAsia" w:hAnsi="Times New Roman" w:cs="Times New Roman"/>
          <w:sz w:val="24"/>
          <w:szCs w:val="24"/>
          <w:lang w:val="en-US"/>
        </w:rPr>
      </w:pPr>
      <w:r w:rsidRPr="00240A3A">
        <w:rPr>
          <w:rFonts w:ascii="Times New Roman" w:hAnsi="Times New Roman" w:cs="Times New Roman"/>
          <w:sz w:val="24"/>
          <w:szCs w:val="24"/>
          <w:lang w:val="en-US"/>
        </w:rPr>
        <w:t xml:space="preserve">We design </w:t>
      </w:r>
      <w:r w:rsidR="008E6A53" w:rsidRPr="00240A3A">
        <w:rPr>
          <w:rFonts w:ascii="Times New Roman" w:hAnsi="Times New Roman" w:cs="Times New Roman"/>
          <w:sz w:val="24"/>
          <w:szCs w:val="24"/>
          <w:lang w:val="en-US"/>
        </w:rPr>
        <w:t xml:space="preserve">a </w:t>
      </w:r>
      <w:r w:rsidRPr="00240A3A">
        <w:rPr>
          <w:rFonts w:ascii="Times New Roman" w:hAnsi="Times New Roman" w:cs="Times New Roman"/>
          <w:sz w:val="24"/>
          <w:szCs w:val="24"/>
          <w:lang w:val="en-US"/>
        </w:rPr>
        <w:t>difference-in-difference</w:t>
      </w:r>
      <w:r w:rsidR="005E4EE1">
        <w:rPr>
          <w:rFonts w:ascii="Times New Roman" w:hAnsi="Times New Roman" w:cs="Times New Roman"/>
          <w:sz w:val="24"/>
          <w:szCs w:val="24"/>
          <w:lang w:val="en-US"/>
        </w:rPr>
        <w:t>s</w:t>
      </w:r>
      <w:r w:rsidRPr="00240A3A">
        <w:rPr>
          <w:rFonts w:ascii="Times New Roman" w:hAnsi="Times New Roman" w:cs="Times New Roman"/>
          <w:sz w:val="24"/>
          <w:szCs w:val="24"/>
          <w:lang w:val="en-US"/>
        </w:rPr>
        <w:t xml:space="preserve"> </w:t>
      </w:r>
      <w:r w:rsidR="008E6A53" w:rsidRPr="00240A3A">
        <w:rPr>
          <w:rFonts w:ascii="Times New Roman" w:hAnsi="Times New Roman" w:cs="Times New Roman"/>
          <w:sz w:val="24"/>
          <w:szCs w:val="24"/>
          <w:lang w:val="en-US"/>
        </w:rPr>
        <w:t xml:space="preserve">test with observations for the </w:t>
      </w:r>
      <w:r w:rsidRPr="00240A3A">
        <w:rPr>
          <w:rFonts w:ascii="Times New Roman" w:hAnsi="Times New Roman" w:cs="Times New Roman"/>
          <w:sz w:val="24"/>
          <w:szCs w:val="24"/>
          <w:lang w:val="en-US"/>
        </w:rPr>
        <w:t>period 200</w:t>
      </w:r>
      <w:r w:rsidR="0052765E">
        <w:rPr>
          <w:rFonts w:ascii="Times New Roman" w:hAnsi="Times New Roman" w:cs="Times New Roman"/>
          <w:sz w:val="24"/>
          <w:szCs w:val="24"/>
          <w:lang w:val="en-US"/>
        </w:rPr>
        <w:t>2</w:t>
      </w:r>
      <w:r w:rsidRPr="00240A3A">
        <w:rPr>
          <w:rFonts w:ascii="Times New Roman" w:hAnsi="Times New Roman" w:cs="Times New Roman"/>
          <w:sz w:val="24"/>
          <w:szCs w:val="24"/>
          <w:lang w:val="en-US"/>
        </w:rPr>
        <w:t xml:space="preserve"> to 200</w:t>
      </w:r>
      <w:r w:rsidR="0052765E">
        <w:rPr>
          <w:rFonts w:ascii="Times New Roman" w:hAnsi="Times New Roman" w:cs="Times New Roman"/>
          <w:sz w:val="24"/>
          <w:szCs w:val="24"/>
          <w:lang w:val="en-US"/>
        </w:rPr>
        <w:t>8</w:t>
      </w:r>
      <w:r w:rsidRPr="00240A3A">
        <w:rPr>
          <w:rFonts w:ascii="Times New Roman" w:hAnsi="Times New Roman" w:cs="Times New Roman"/>
          <w:sz w:val="24"/>
          <w:szCs w:val="24"/>
          <w:lang w:val="en-US"/>
        </w:rPr>
        <w:t xml:space="preserve">. </w:t>
      </w:r>
      <w:r w:rsidR="00144C4B" w:rsidRPr="00240A3A">
        <w:rPr>
          <w:rFonts w:ascii="Times New Roman" w:hAnsi="Times New Roman" w:cs="Times New Roman"/>
          <w:sz w:val="24"/>
          <w:szCs w:val="24"/>
          <w:lang w:val="en-US"/>
        </w:rPr>
        <w:t xml:space="preserve">Since </w:t>
      </w:r>
      <w:r w:rsidR="00D53DD8" w:rsidRPr="00240A3A">
        <w:rPr>
          <w:rFonts w:ascii="Times New Roman" w:hAnsi="Times New Roman" w:cs="Times New Roman"/>
          <w:sz w:val="24"/>
          <w:szCs w:val="24"/>
          <w:lang w:val="en-US"/>
        </w:rPr>
        <w:t>S</w:t>
      </w:r>
      <w:r w:rsidRPr="00240A3A">
        <w:rPr>
          <w:rFonts w:ascii="Times New Roman" w:hAnsi="Times New Roman" w:cs="Times New Roman"/>
          <w:sz w:val="24"/>
          <w:szCs w:val="24"/>
          <w:lang w:val="en-US"/>
        </w:rPr>
        <w:t xml:space="preserve">FAS 123R became effective </w:t>
      </w:r>
      <w:r w:rsidR="008E6A53" w:rsidRPr="00240A3A">
        <w:rPr>
          <w:rFonts w:ascii="Times New Roman" w:hAnsi="Times New Roman" w:cs="Times New Roman"/>
          <w:sz w:val="24"/>
          <w:szCs w:val="24"/>
          <w:lang w:val="en-US"/>
        </w:rPr>
        <w:t>in</w:t>
      </w:r>
      <w:r w:rsidR="00144C4B" w:rsidRPr="00240A3A">
        <w:rPr>
          <w:rFonts w:ascii="Times New Roman" w:hAnsi="Times New Roman" w:cs="Times New Roman"/>
          <w:sz w:val="24"/>
          <w:szCs w:val="24"/>
          <w:lang w:val="en-US"/>
        </w:rPr>
        <w:t xml:space="preserve"> 2005, </w:t>
      </w:r>
      <w:r w:rsidRPr="00240A3A">
        <w:rPr>
          <w:rFonts w:ascii="Times New Roman" w:hAnsi="Times New Roman" w:cs="Times New Roman"/>
          <w:sz w:val="24"/>
          <w:szCs w:val="24"/>
          <w:lang w:val="en-US"/>
        </w:rPr>
        <w:t>we define</w:t>
      </w:r>
      <w:r w:rsidR="0022650C" w:rsidRPr="00240A3A">
        <w:rPr>
          <w:rFonts w:ascii="Times New Roman" w:hAnsi="Times New Roman" w:cs="Times New Roman"/>
          <w:sz w:val="24"/>
          <w:szCs w:val="24"/>
          <w:lang w:val="en-US"/>
        </w:rPr>
        <w:t xml:space="preserve"> years 200</w:t>
      </w:r>
      <w:r w:rsidR="0052765E">
        <w:rPr>
          <w:rFonts w:ascii="Times New Roman" w:hAnsi="Times New Roman" w:cs="Times New Roman"/>
          <w:sz w:val="24"/>
          <w:szCs w:val="24"/>
          <w:lang w:val="en-US"/>
        </w:rPr>
        <w:t>2</w:t>
      </w:r>
      <w:r w:rsidR="0022650C" w:rsidRPr="00240A3A">
        <w:rPr>
          <w:rFonts w:ascii="Times New Roman" w:hAnsi="Times New Roman" w:cs="Times New Roman"/>
          <w:sz w:val="24"/>
          <w:szCs w:val="24"/>
          <w:lang w:val="en-US"/>
        </w:rPr>
        <w:t xml:space="preserve"> </w:t>
      </w:r>
      <w:r w:rsidR="0052765E">
        <w:rPr>
          <w:rFonts w:ascii="Times New Roman" w:hAnsi="Times New Roman" w:cs="Times New Roman"/>
          <w:sz w:val="24"/>
          <w:szCs w:val="24"/>
          <w:lang w:val="en-US"/>
        </w:rPr>
        <w:t>to</w:t>
      </w:r>
      <w:r w:rsidR="0052765E" w:rsidRPr="00240A3A">
        <w:rPr>
          <w:rFonts w:ascii="Times New Roman" w:hAnsi="Times New Roman" w:cs="Times New Roman"/>
          <w:sz w:val="24"/>
          <w:szCs w:val="24"/>
          <w:lang w:val="en-US"/>
        </w:rPr>
        <w:t xml:space="preserve"> </w:t>
      </w:r>
      <w:r w:rsidR="0022650C" w:rsidRPr="00240A3A">
        <w:rPr>
          <w:rFonts w:ascii="Times New Roman" w:hAnsi="Times New Roman" w:cs="Times New Roman"/>
          <w:sz w:val="24"/>
          <w:szCs w:val="24"/>
          <w:lang w:val="en-US"/>
        </w:rPr>
        <w:t>2004 as the pre-SFAS 123</w:t>
      </w:r>
      <w:r w:rsidR="005E4EE1">
        <w:rPr>
          <w:rFonts w:ascii="Times New Roman" w:hAnsi="Times New Roman" w:cs="Times New Roman"/>
          <w:sz w:val="24"/>
          <w:szCs w:val="24"/>
          <w:lang w:val="en-US"/>
        </w:rPr>
        <w:t>R</w:t>
      </w:r>
      <w:r w:rsidR="0022650C" w:rsidRPr="00240A3A">
        <w:rPr>
          <w:rFonts w:ascii="Times New Roman" w:hAnsi="Times New Roman" w:cs="Times New Roman"/>
          <w:sz w:val="24"/>
          <w:szCs w:val="24"/>
          <w:lang w:val="en-US"/>
        </w:rPr>
        <w:t xml:space="preserve"> period and years 2006 </w:t>
      </w:r>
      <w:r w:rsidR="0052765E">
        <w:rPr>
          <w:rFonts w:ascii="Times New Roman" w:hAnsi="Times New Roman" w:cs="Times New Roman"/>
          <w:sz w:val="24"/>
          <w:szCs w:val="24"/>
          <w:lang w:val="en-US"/>
        </w:rPr>
        <w:t>to</w:t>
      </w:r>
      <w:r w:rsidR="0052765E" w:rsidRPr="00240A3A">
        <w:rPr>
          <w:rFonts w:ascii="Times New Roman" w:hAnsi="Times New Roman" w:cs="Times New Roman"/>
          <w:sz w:val="24"/>
          <w:szCs w:val="24"/>
          <w:lang w:val="en-US"/>
        </w:rPr>
        <w:t xml:space="preserve"> </w:t>
      </w:r>
      <w:r w:rsidR="0022650C" w:rsidRPr="00240A3A">
        <w:rPr>
          <w:rFonts w:ascii="Times New Roman" w:hAnsi="Times New Roman" w:cs="Times New Roman"/>
          <w:sz w:val="24"/>
          <w:szCs w:val="24"/>
          <w:lang w:val="en-US"/>
        </w:rPr>
        <w:t>200</w:t>
      </w:r>
      <w:r w:rsidR="0052765E">
        <w:rPr>
          <w:rFonts w:ascii="Times New Roman" w:hAnsi="Times New Roman" w:cs="Times New Roman"/>
          <w:sz w:val="24"/>
          <w:szCs w:val="24"/>
          <w:lang w:val="en-US"/>
        </w:rPr>
        <w:t>8</w:t>
      </w:r>
      <w:r w:rsidR="00144C4B" w:rsidRPr="00240A3A">
        <w:rPr>
          <w:rFonts w:ascii="Times New Roman" w:hAnsi="Times New Roman" w:cs="Times New Roman"/>
          <w:sz w:val="24"/>
          <w:szCs w:val="24"/>
          <w:lang w:val="en-US"/>
        </w:rPr>
        <w:t xml:space="preserve"> </w:t>
      </w:r>
      <w:r w:rsidRPr="00240A3A">
        <w:rPr>
          <w:rFonts w:ascii="Times New Roman" w:hAnsi="Times New Roman" w:cs="Times New Roman"/>
          <w:sz w:val="24"/>
          <w:szCs w:val="24"/>
          <w:lang w:val="en-US"/>
        </w:rPr>
        <w:t>as the post-</w:t>
      </w:r>
      <w:r w:rsidR="00D53DD8" w:rsidRPr="00240A3A">
        <w:rPr>
          <w:rFonts w:ascii="Times New Roman" w:hAnsi="Times New Roman" w:cs="Times New Roman"/>
          <w:sz w:val="24"/>
          <w:szCs w:val="24"/>
          <w:lang w:val="en-US"/>
        </w:rPr>
        <w:t>S</w:t>
      </w:r>
      <w:r w:rsidRPr="00240A3A">
        <w:rPr>
          <w:rFonts w:ascii="Times New Roman" w:hAnsi="Times New Roman" w:cs="Times New Roman"/>
          <w:sz w:val="24"/>
          <w:szCs w:val="24"/>
          <w:lang w:val="en-US"/>
        </w:rPr>
        <w:t xml:space="preserve">FAS 123R </w:t>
      </w:r>
      <w:r w:rsidR="008E4CAC" w:rsidRPr="00240A3A">
        <w:rPr>
          <w:rFonts w:ascii="Times New Roman" w:hAnsi="Times New Roman" w:cs="Times New Roman"/>
          <w:sz w:val="24"/>
          <w:szCs w:val="24"/>
          <w:lang w:val="en-US"/>
        </w:rPr>
        <w:t xml:space="preserve">period. We drop observations </w:t>
      </w:r>
      <w:r w:rsidR="00056F35" w:rsidRPr="00635BBA">
        <w:rPr>
          <w:rFonts w:ascii="Times New Roman" w:hAnsi="Times New Roman" w:cs="Times New Roman"/>
          <w:sz w:val="24"/>
          <w:szCs w:val="24"/>
          <w:lang w:val="en-US"/>
        </w:rPr>
        <w:t>for</w:t>
      </w:r>
      <w:r w:rsidR="0052765E" w:rsidRPr="00635BBA">
        <w:rPr>
          <w:rFonts w:ascii="Times New Roman" w:hAnsi="Times New Roman" w:cs="Times New Roman"/>
          <w:sz w:val="24"/>
          <w:szCs w:val="24"/>
          <w:lang w:val="en-US"/>
        </w:rPr>
        <w:t xml:space="preserve"> transitory year</w:t>
      </w:r>
      <w:r w:rsidR="00056F35" w:rsidRPr="00240A3A">
        <w:rPr>
          <w:rFonts w:asciiTheme="majorBidi" w:eastAsia="Times New Roman" w:hAnsiTheme="majorBidi" w:cstheme="majorBidi"/>
          <w:sz w:val="24"/>
          <w:szCs w:val="24"/>
          <w:lang w:val="en-US"/>
        </w:rPr>
        <w:t xml:space="preserve"> 200</w:t>
      </w:r>
      <w:r w:rsidR="0022650C" w:rsidRPr="00240A3A">
        <w:rPr>
          <w:rFonts w:asciiTheme="majorBidi" w:eastAsia="Times New Roman" w:hAnsiTheme="majorBidi" w:cstheme="majorBidi"/>
          <w:sz w:val="24"/>
          <w:szCs w:val="24"/>
          <w:lang w:val="en-US"/>
        </w:rPr>
        <w:t>5</w:t>
      </w:r>
      <w:r w:rsidR="008E4CAC" w:rsidRPr="00240A3A">
        <w:rPr>
          <w:rFonts w:asciiTheme="majorBidi" w:eastAsia="Times New Roman" w:hAnsiTheme="majorBidi" w:cstheme="majorBidi"/>
          <w:sz w:val="24"/>
          <w:szCs w:val="24"/>
          <w:lang w:val="en-US"/>
        </w:rPr>
        <w:t xml:space="preserve">, </w:t>
      </w:r>
      <w:r w:rsidR="00144C4B" w:rsidRPr="00240A3A">
        <w:rPr>
          <w:rFonts w:asciiTheme="majorBidi" w:eastAsia="Times New Roman" w:hAnsiTheme="majorBidi" w:cstheme="majorBidi"/>
          <w:sz w:val="24"/>
          <w:szCs w:val="24"/>
          <w:lang w:val="en-US"/>
        </w:rPr>
        <w:t xml:space="preserve">the year in which SFAS 123R </w:t>
      </w:r>
      <w:r w:rsidR="0022650C" w:rsidRPr="00240A3A">
        <w:rPr>
          <w:rFonts w:asciiTheme="majorBidi" w:eastAsia="Times New Roman" w:hAnsiTheme="majorBidi" w:cstheme="majorBidi"/>
          <w:sz w:val="24"/>
          <w:szCs w:val="24"/>
          <w:lang w:val="en-US"/>
        </w:rPr>
        <w:t xml:space="preserve">became </w:t>
      </w:r>
      <w:r w:rsidR="00303B98" w:rsidRPr="00240A3A">
        <w:rPr>
          <w:rFonts w:asciiTheme="majorBidi" w:eastAsia="Times New Roman" w:hAnsiTheme="majorBidi" w:cstheme="majorBidi"/>
          <w:sz w:val="24"/>
          <w:szCs w:val="24"/>
          <w:lang w:val="en-US"/>
        </w:rPr>
        <w:t>effective</w:t>
      </w:r>
      <w:r w:rsidR="00DC1A52">
        <w:rPr>
          <w:rFonts w:asciiTheme="majorBidi" w:eastAsia="Times New Roman" w:hAnsiTheme="majorBidi" w:cstheme="majorBidi"/>
          <w:sz w:val="24"/>
          <w:szCs w:val="24"/>
          <w:lang w:val="en-US"/>
        </w:rPr>
        <w:t>,</w:t>
      </w:r>
      <w:r w:rsidR="00303B98" w:rsidRPr="00240A3A">
        <w:rPr>
          <w:rFonts w:asciiTheme="majorBidi" w:eastAsia="Times New Roman" w:hAnsiTheme="majorBidi" w:cstheme="majorBidi"/>
          <w:sz w:val="24"/>
          <w:szCs w:val="24"/>
          <w:lang w:val="en-US"/>
        </w:rPr>
        <w:t xml:space="preserve"> to </w:t>
      </w:r>
      <w:r w:rsidR="0022650C" w:rsidRPr="00240A3A">
        <w:rPr>
          <w:rFonts w:asciiTheme="majorBidi" w:eastAsia="Times New Roman" w:hAnsiTheme="majorBidi" w:cstheme="majorBidi"/>
          <w:sz w:val="24"/>
          <w:szCs w:val="24"/>
          <w:lang w:val="en-US"/>
        </w:rPr>
        <w:t xml:space="preserve">account </w:t>
      </w:r>
      <w:r w:rsidR="00774D07">
        <w:rPr>
          <w:rFonts w:asciiTheme="majorBidi" w:eastAsia="Times New Roman" w:hAnsiTheme="majorBidi" w:cstheme="majorBidi"/>
          <w:sz w:val="24"/>
          <w:szCs w:val="24"/>
          <w:lang w:val="en-US"/>
        </w:rPr>
        <w:t xml:space="preserve">for </w:t>
      </w:r>
      <w:r w:rsidR="0022650C" w:rsidRPr="00240A3A">
        <w:rPr>
          <w:rFonts w:asciiTheme="majorBidi" w:eastAsia="Times New Roman" w:hAnsiTheme="majorBidi" w:cstheme="majorBidi"/>
          <w:sz w:val="24"/>
          <w:szCs w:val="24"/>
          <w:lang w:val="en-US"/>
        </w:rPr>
        <w:t>the</w:t>
      </w:r>
      <w:r w:rsidR="0052765E">
        <w:rPr>
          <w:rFonts w:asciiTheme="majorBidi" w:eastAsia="Times New Roman" w:hAnsiTheme="majorBidi" w:cstheme="majorBidi"/>
          <w:sz w:val="24"/>
          <w:szCs w:val="24"/>
          <w:lang w:val="en-US"/>
        </w:rPr>
        <w:t xml:space="preserve"> </w:t>
      </w:r>
      <w:r w:rsidR="0022650C" w:rsidRPr="00240A3A">
        <w:rPr>
          <w:rFonts w:asciiTheme="majorBidi" w:eastAsia="Times New Roman" w:hAnsiTheme="majorBidi" w:cstheme="majorBidi"/>
          <w:sz w:val="24"/>
          <w:szCs w:val="24"/>
          <w:lang w:val="en-US"/>
        </w:rPr>
        <w:t>time lag required to adjust CEO compensation contracts</w:t>
      </w:r>
      <w:r w:rsidR="00144C4B" w:rsidRPr="00240A3A">
        <w:rPr>
          <w:rFonts w:ascii="Times New Roman" w:hAnsi="Times New Roman" w:cs="Times New Roman"/>
          <w:sz w:val="24"/>
          <w:szCs w:val="24"/>
          <w:lang w:val="en-US"/>
        </w:rPr>
        <w:t>.</w:t>
      </w:r>
      <w:r w:rsidR="0052765E">
        <w:rPr>
          <w:rFonts w:ascii="Times New Roman" w:hAnsi="Times New Roman" w:cs="Times New Roman"/>
          <w:sz w:val="24"/>
          <w:szCs w:val="24"/>
          <w:lang w:val="en-US"/>
        </w:rPr>
        <w:t xml:space="preserve"> Following </w:t>
      </w:r>
      <w:r w:rsidR="0052765E" w:rsidRPr="008B748F">
        <w:rPr>
          <w:rFonts w:ascii="Times New Roman" w:hAnsi="Times New Roman" w:cs="Times New Roman"/>
          <w:sz w:val="24"/>
          <w:szCs w:val="24"/>
          <w:lang w:val="en-US"/>
        </w:rPr>
        <w:t xml:space="preserve">Mao and Zhang </w:t>
      </w:r>
      <w:r w:rsidR="0052765E">
        <w:rPr>
          <w:rFonts w:ascii="Times New Roman" w:hAnsi="Times New Roman" w:cs="Times New Roman"/>
          <w:sz w:val="24"/>
          <w:szCs w:val="24"/>
          <w:lang w:val="en-US"/>
        </w:rPr>
        <w:t>(</w:t>
      </w:r>
      <w:r w:rsidR="0052765E" w:rsidRPr="008B748F">
        <w:rPr>
          <w:rFonts w:ascii="Times New Roman" w:hAnsi="Times New Roman" w:cs="Times New Roman"/>
          <w:sz w:val="24"/>
          <w:szCs w:val="24"/>
          <w:lang w:val="en-US"/>
        </w:rPr>
        <w:t>2018</w:t>
      </w:r>
      <w:r w:rsidR="0052765E">
        <w:rPr>
          <w:rFonts w:ascii="Times New Roman" w:hAnsi="Times New Roman" w:cs="Times New Roman"/>
          <w:sz w:val="24"/>
          <w:szCs w:val="24"/>
          <w:lang w:val="en-US"/>
        </w:rPr>
        <w:t>) we split our sample into treated and control firms based on t</w:t>
      </w:r>
      <w:r w:rsidR="0052765E" w:rsidRPr="00635BBA">
        <w:rPr>
          <w:rFonts w:ascii="Times New Roman" w:hAnsi="Times New Roman" w:cs="Times New Roman"/>
          <w:sz w:val="24"/>
          <w:szCs w:val="24"/>
          <w:lang w:val="en-US"/>
        </w:rPr>
        <w:t>he perceived costs of option expensing</w:t>
      </w:r>
      <w:r w:rsidR="00635BBA">
        <w:rPr>
          <w:rFonts w:ascii="Times New Roman" w:hAnsi="Times New Roman" w:cs="Times New Roman"/>
          <w:sz w:val="24"/>
          <w:szCs w:val="24"/>
          <w:lang w:val="en-US"/>
        </w:rPr>
        <w:t>. These</w:t>
      </w:r>
      <w:r w:rsidR="0052765E">
        <w:rPr>
          <w:rFonts w:ascii="Times New Roman" w:hAnsi="Times New Roman" w:cs="Times New Roman"/>
          <w:sz w:val="24"/>
          <w:szCs w:val="24"/>
          <w:lang w:val="en-US"/>
        </w:rPr>
        <w:t xml:space="preserve"> are calculated as </w:t>
      </w:r>
      <w:r w:rsidR="0052765E" w:rsidRPr="00635BBA">
        <w:rPr>
          <w:rFonts w:ascii="Times New Roman" w:hAnsi="Times New Roman" w:cs="Times New Roman"/>
          <w:sz w:val="24"/>
          <w:szCs w:val="24"/>
          <w:lang w:val="en-US"/>
        </w:rPr>
        <w:t xml:space="preserve">the average value of the pro forma option expenses </w:t>
      </w:r>
      <w:r w:rsidR="0052765E">
        <w:rPr>
          <w:rFonts w:ascii="Times New Roman" w:hAnsi="Times New Roman" w:cs="Times New Roman"/>
          <w:sz w:val="24"/>
          <w:szCs w:val="24"/>
          <w:lang w:val="en-US"/>
        </w:rPr>
        <w:t>scaled</w:t>
      </w:r>
      <w:r w:rsidR="0052765E" w:rsidRPr="00635BBA">
        <w:rPr>
          <w:rFonts w:ascii="Times New Roman" w:hAnsi="Times New Roman" w:cs="Times New Roman"/>
          <w:sz w:val="24"/>
          <w:szCs w:val="24"/>
          <w:lang w:val="en-US"/>
        </w:rPr>
        <w:t xml:space="preserve"> by </w:t>
      </w:r>
      <w:r w:rsidR="00A176BB">
        <w:rPr>
          <w:rFonts w:ascii="Times New Roman" w:hAnsi="Times New Roman" w:cs="Times New Roman"/>
          <w:sz w:val="24"/>
          <w:szCs w:val="24"/>
          <w:lang w:val="en-US"/>
        </w:rPr>
        <w:t xml:space="preserve">the </w:t>
      </w:r>
      <w:r w:rsidR="0052765E" w:rsidRPr="00635BBA">
        <w:rPr>
          <w:rFonts w:ascii="Times New Roman" w:hAnsi="Times New Roman" w:cs="Times New Roman"/>
          <w:sz w:val="24"/>
          <w:szCs w:val="24"/>
          <w:lang w:val="en-US"/>
        </w:rPr>
        <w:t xml:space="preserve">fully diluted </w:t>
      </w:r>
      <w:r w:rsidR="00B6348B">
        <w:rPr>
          <w:rFonts w:ascii="Times New Roman" w:hAnsi="Times New Roman" w:cs="Times New Roman"/>
          <w:sz w:val="24"/>
          <w:szCs w:val="24"/>
          <w:lang w:val="en-US"/>
        </w:rPr>
        <w:t xml:space="preserve">number of </w:t>
      </w:r>
      <w:r w:rsidR="0052765E" w:rsidRPr="00635BBA">
        <w:rPr>
          <w:rFonts w:ascii="Times New Roman" w:hAnsi="Times New Roman" w:cs="Times New Roman"/>
          <w:sz w:val="24"/>
          <w:szCs w:val="24"/>
          <w:lang w:val="en-US"/>
        </w:rPr>
        <w:t>shares used t</w:t>
      </w:r>
      <w:r w:rsidR="0052765E" w:rsidRPr="0052765E">
        <w:rPr>
          <w:rFonts w:ascii="Times New Roman" w:hAnsi="Times New Roman" w:cs="Times New Roman"/>
          <w:sz w:val="24"/>
          <w:szCs w:val="24"/>
          <w:lang w:val="en-US"/>
        </w:rPr>
        <w:t xml:space="preserve">o calculate </w:t>
      </w:r>
      <w:r w:rsidR="00B6348B">
        <w:rPr>
          <w:rFonts w:ascii="Times New Roman" w:hAnsi="Times New Roman" w:cs="Times New Roman"/>
          <w:sz w:val="24"/>
          <w:szCs w:val="24"/>
          <w:lang w:val="en-US"/>
        </w:rPr>
        <w:t xml:space="preserve">the reported </w:t>
      </w:r>
      <w:r w:rsidR="0052765E" w:rsidRPr="0052765E">
        <w:rPr>
          <w:rFonts w:ascii="Times New Roman" w:hAnsi="Times New Roman" w:cs="Times New Roman"/>
          <w:sz w:val="24"/>
          <w:szCs w:val="24"/>
          <w:lang w:val="en-US"/>
        </w:rPr>
        <w:t xml:space="preserve">earnings per share </w:t>
      </w:r>
      <w:r w:rsidR="0052765E" w:rsidRPr="00635BBA">
        <w:rPr>
          <w:rFonts w:ascii="Times New Roman" w:hAnsi="Times New Roman" w:cs="Times New Roman"/>
          <w:sz w:val="24"/>
          <w:szCs w:val="24"/>
          <w:lang w:val="en-US"/>
        </w:rPr>
        <w:t>during the pre-</w:t>
      </w:r>
      <w:r w:rsidR="00635BBA">
        <w:rPr>
          <w:rFonts w:ascii="Times New Roman" w:hAnsi="Times New Roman" w:cs="Times New Roman"/>
          <w:sz w:val="24"/>
          <w:szCs w:val="24"/>
          <w:lang w:val="en-US"/>
        </w:rPr>
        <w:t>S</w:t>
      </w:r>
      <w:r w:rsidR="0052765E" w:rsidRPr="00635BBA">
        <w:rPr>
          <w:rFonts w:ascii="Times New Roman" w:hAnsi="Times New Roman" w:cs="Times New Roman"/>
          <w:sz w:val="24"/>
          <w:szCs w:val="24"/>
          <w:lang w:val="en-US"/>
        </w:rPr>
        <w:t>FAS 123R period of 2002</w:t>
      </w:r>
      <w:r w:rsidR="00280B0F">
        <w:rPr>
          <w:rFonts w:ascii="Times New Roman" w:hAnsi="Times New Roman" w:cs="Times New Roman"/>
          <w:sz w:val="24"/>
          <w:szCs w:val="24"/>
          <w:lang w:val="en-US"/>
        </w:rPr>
        <w:t>-</w:t>
      </w:r>
      <w:r w:rsidR="0052765E" w:rsidRPr="00635BBA">
        <w:rPr>
          <w:rFonts w:ascii="Times New Roman" w:hAnsi="Times New Roman" w:cs="Times New Roman"/>
          <w:sz w:val="24"/>
          <w:szCs w:val="24"/>
          <w:lang w:val="en-US"/>
        </w:rPr>
        <w:t>2004.</w:t>
      </w:r>
      <w:r w:rsidR="0052765E">
        <w:rPr>
          <w:rFonts w:ascii="Times New Roman" w:hAnsi="Times New Roman" w:cs="Times New Roman"/>
          <w:sz w:val="24"/>
          <w:szCs w:val="24"/>
          <w:lang w:val="en-US"/>
        </w:rPr>
        <w:t xml:space="preserve"> </w:t>
      </w:r>
      <w:r w:rsidR="003D0815" w:rsidRPr="00240A3A">
        <w:rPr>
          <w:rFonts w:ascii="Times New Roman" w:hAnsi="Times New Roman" w:cs="Times New Roman"/>
          <w:sz w:val="24"/>
          <w:szCs w:val="24"/>
          <w:lang w:val="en-US"/>
        </w:rPr>
        <w:t>The treatment group</w:t>
      </w:r>
      <w:r w:rsidR="0052765E">
        <w:rPr>
          <w:rFonts w:ascii="Times New Roman" w:hAnsi="Times New Roman" w:cs="Times New Roman"/>
          <w:sz w:val="24"/>
          <w:szCs w:val="24"/>
          <w:lang w:val="en-US"/>
        </w:rPr>
        <w:t xml:space="preserve"> </w:t>
      </w:r>
      <w:r w:rsidR="008E6A53" w:rsidRPr="00240A3A">
        <w:rPr>
          <w:rFonts w:ascii="Times New Roman" w:hAnsi="Times New Roman" w:cs="Times New Roman"/>
          <w:sz w:val="24"/>
          <w:szCs w:val="24"/>
          <w:lang w:val="en-US"/>
        </w:rPr>
        <w:t>consist</w:t>
      </w:r>
      <w:r w:rsidR="00D53DD8" w:rsidRPr="00240A3A">
        <w:rPr>
          <w:rFonts w:ascii="Times New Roman" w:hAnsi="Times New Roman" w:cs="Times New Roman"/>
          <w:sz w:val="24"/>
          <w:szCs w:val="24"/>
          <w:lang w:val="en-US"/>
        </w:rPr>
        <w:t>s</w:t>
      </w:r>
      <w:r w:rsidR="008E6A53" w:rsidRPr="00240A3A">
        <w:rPr>
          <w:rFonts w:ascii="Times New Roman" w:hAnsi="Times New Roman" w:cs="Times New Roman"/>
          <w:sz w:val="24"/>
          <w:szCs w:val="24"/>
          <w:lang w:val="en-US"/>
        </w:rPr>
        <w:t xml:space="preserve"> of firms </w:t>
      </w:r>
      <w:r w:rsidR="0052765E" w:rsidRPr="00635BBA">
        <w:rPr>
          <w:rFonts w:ascii="Times New Roman" w:hAnsi="Times New Roman" w:cs="Times New Roman"/>
          <w:sz w:val="24"/>
          <w:szCs w:val="24"/>
          <w:lang w:val="en-US"/>
        </w:rPr>
        <w:t>with pro forma option expenses in the top tercile</w:t>
      </w:r>
      <w:r w:rsidR="008E6A53" w:rsidRPr="00240A3A">
        <w:rPr>
          <w:rFonts w:ascii="Times New Roman" w:hAnsi="Times New Roman" w:cs="Times New Roman"/>
          <w:sz w:val="24"/>
          <w:szCs w:val="24"/>
          <w:lang w:val="en-US"/>
        </w:rPr>
        <w:t>, while the control group consist</w:t>
      </w:r>
      <w:r w:rsidR="00D53DD8" w:rsidRPr="00240A3A">
        <w:rPr>
          <w:rFonts w:ascii="Times New Roman" w:hAnsi="Times New Roman" w:cs="Times New Roman"/>
          <w:sz w:val="24"/>
          <w:szCs w:val="24"/>
          <w:lang w:val="en-US"/>
        </w:rPr>
        <w:t>s</w:t>
      </w:r>
      <w:r w:rsidR="008E6A53" w:rsidRPr="00240A3A">
        <w:rPr>
          <w:rFonts w:ascii="Times New Roman" w:hAnsi="Times New Roman" w:cs="Times New Roman"/>
          <w:sz w:val="24"/>
          <w:szCs w:val="24"/>
          <w:lang w:val="en-US"/>
        </w:rPr>
        <w:t xml:space="preserve"> of firms</w:t>
      </w:r>
      <w:r w:rsidR="00635BBA">
        <w:rPr>
          <w:rFonts w:ascii="Times New Roman" w:hAnsi="Times New Roman" w:cs="Times New Roman"/>
          <w:sz w:val="24"/>
          <w:szCs w:val="24"/>
          <w:lang w:val="en-US"/>
        </w:rPr>
        <w:t xml:space="preserve"> </w:t>
      </w:r>
      <w:r w:rsidR="00635BBA" w:rsidRPr="00635BBA">
        <w:rPr>
          <w:rFonts w:ascii="Times New Roman" w:hAnsi="Times New Roman" w:cs="Times New Roman"/>
          <w:sz w:val="24"/>
          <w:szCs w:val="24"/>
          <w:lang w:val="en-US"/>
        </w:rPr>
        <w:t>with pro forma option expenses</w:t>
      </w:r>
      <w:r w:rsidR="008E6A53" w:rsidRPr="00240A3A">
        <w:rPr>
          <w:rFonts w:ascii="Times New Roman" w:hAnsi="Times New Roman" w:cs="Times New Roman"/>
          <w:sz w:val="24"/>
          <w:szCs w:val="24"/>
          <w:lang w:val="en-US"/>
        </w:rPr>
        <w:t xml:space="preserve"> </w:t>
      </w:r>
      <w:r w:rsidR="0052765E">
        <w:rPr>
          <w:rFonts w:ascii="Times New Roman" w:hAnsi="Times New Roman" w:cs="Times New Roman"/>
          <w:sz w:val="24"/>
          <w:szCs w:val="24"/>
          <w:lang w:val="en-US"/>
        </w:rPr>
        <w:t>in the bottom tercile</w:t>
      </w:r>
      <w:r w:rsidR="003D0815" w:rsidRPr="00240A3A">
        <w:rPr>
          <w:rFonts w:ascii="Times New Roman" w:hAnsi="Times New Roman" w:cs="Times New Roman"/>
          <w:sz w:val="24"/>
          <w:szCs w:val="24"/>
          <w:lang w:val="en-US"/>
        </w:rPr>
        <w:t xml:space="preserve">. </w:t>
      </w:r>
      <w:r w:rsidR="00E25587">
        <w:rPr>
          <w:rFonts w:ascii="Times New Roman" w:hAnsi="Times New Roman" w:cs="Times New Roman"/>
          <w:sz w:val="24"/>
          <w:szCs w:val="24"/>
          <w:lang w:val="en-US"/>
        </w:rPr>
        <w:t>Put differently</w:t>
      </w:r>
      <w:r w:rsidR="00D53DD8" w:rsidRPr="00240A3A">
        <w:rPr>
          <w:rFonts w:ascii="Times New Roman" w:hAnsi="Times New Roman" w:cs="Times New Roman"/>
          <w:sz w:val="24"/>
          <w:szCs w:val="24"/>
          <w:lang w:val="en-US"/>
        </w:rPr>
        <w:t>, t</w:t>
      </w:r>
      <w:r w:rsidR="008E6A53" w:rsidRPr="00240A3A">
        <w:rPr>
          <w:rFonts w:ascii="Times New Roman" w:hAnsi="Times New Roman" w:cs="Times New Roman"/>
          <w:sz w:val="24"/>
          <w:szCs w:val="24"/>
          <w:lang w:val="en-US"/>
        </w:rPr>
        <w:t>he treatment group consist</w:t>
      </w:r>
      <w:r w:rsidR="00D53DD8" w:rsidRPr="00240A3A">
        <w:rPr>
          <w:rFonts w:ascii="Times New Roman" w:hAnsi="Times New Roman" w:cs="Times New Roman"/>
          <w:sz w:val="24"/>
          <w:szCs w:val="24"/>
          <w:lang w:val="en-US"/>
        </w:rPr>
        <w:t>s</w:t>
      </w:r>
      <w:r w:rsidR="008E6A53" w:rsidRPr="00240A3A">
        <w:rPr>
          <w:rFonts w:ascii="Times New Roman" w:hAnsi="Times New Roman" w:cs="Times New Roman"/>
          <w:sz w:val="24"/>
          <w:szCs w:val="24"/>
          <w:lang w:val="en-US"/>
        </w:rPr>
        <w:t xml:space="preserve"> of firms</w:t>
      </w:r>
      <w:r w:rsidR="00635BBA">
        <w:rPr>
          <w:rFonts w:ascii="Times New Roman" w:hAnsi="Times New Roman" w:cs="Times New Roman"/>
          <w:sz w:val="24"/>
          <w:szCs w:val="24"/>
          <w:lang w:val="en-US"/>
        </w:rPr>
        <w:t xml:space="preserve"> where the impact of SFAS 123R was high</w:t>
      </w:r>
      <w:r w:rsidR="001E7571">
        <w:rPr>
          <w:rFonts w:ascii="Times New Roman" w:hAnsi="Times New Roman" w:cs="Times New Roman"/>
          <w:sz w:val="24"/>
          <w:szCs w:val="24"/>
          <w:lang w:val="en-US"/>
        </w:rPr>
        <w:t xml:space="preserve">, </w:t>
      </w:r>
      <w:r w:rsidR="008E6A53" w:rsidRPr="00240A3A">
        <w:rPr>
          <w:rFonts w:ascii="Times New Roman" w:hAnsi="Times New Roman" w:cs="Times New Roman"/>
          <w:sz w:val="24"/>
          <w:szCs w:val="24"/>
          <w:lang w:val="en-US"/>
        </w:rPr>
        <w:t>while t</w:t>
      </w:r>
      <w:r w:rsidR="003D0815" w:rsidRPr="00240A3A">
        <w:rPr>
          <w:rFonts w:ascii="Times New Roman" w:hAnsi="Times New Roman" w:cs="Times New Roman"/>
          <w:sz w:val="24"/>
          <w:szCs w:val="24"/>
          <w:lang w:val="en-US"/>
        </w:rPr>
        <w:t xml:space="preserve">he control group </w:t>
      </w:r>
      <w:r w:rsidR="008E6A53" w:rsidRPr="00240A3A">
        <w:rPr>
          <w:rFonts w:ascii="Times New Roman" w:hAnsi="Times New Roman" w:cs="Times New Roman"/>
          <w:sz w:val="24"/>
          <w:szCs w:val="24"/>
          <w:lang w:val="en-US"/>
        </w:rPr>
        <w:t>consist</w:t>
      </w:r>
      <w:r w:rsidR="00D53DD8" w:rsidRPr="00240A3A">
        <w:rPr>
          <w:rFonts w:ascii="Times New Roman" w:hAnsi="Times New Roman" w:cs="Times New Roman"/>
          <w:sz w:val="24"/>
          <w:szCs w:val="24"/>
          <w:lang w:val="en-US"/>
        </w:rPr>
        <w:t>s</w:t>
      </w:r>
      <w:r w:rsidR="008E6A53" w:rsidRPr="00240A3A">
        <w:rPr>
          <w:rFonts w:ascii="Times New Roman" w:hAnsi="Times New Roman" w:cs="Times New Roman"/>
          <w:sz w:val="24"/>
          <w:szCs w:val="24"/>
          <w:lang w:val="en-US"/>
        </w:rPr>
        <w:t xml:space="preserve"> of </w:t>
      </w:r>
      <w:r w:rsidR="003D0815" w:rsidRPr="00240A3A">
        <w:rPr>
          <w:rFonts w:ascii="Times New Roman" w:hAnsi="Times New Roman" w:cs="Times New Roman"/>
          <w:sz w:val="24"/>
          <w:szCs w:val="24"/>
          <w:lang w:val="en-US"/>
        </w:rPr>
        <w:t xml:space="preserve">firms </w:t>
      </w:r>
      <w:r w:rsidR="00635BBA">
        <w:rPr>
          <w:rFonts w:ascii="Times New Roman" w:hAnsi="Times New Roman" w:cs="Times New Roman"/>
          <w:sz w:val="24"/>
          <w:szCs w:val="24"/>
          <w:lang w:val="en-US"/>
        </w:rPr>
        <w:t>where the impact of SFAS 123R was low</w:t>
      </w:r>
      <w:r w:rsidR="001E7571">
        <w:rPr>
          <w:rFonts w:ascii="Times New Roman" w:hAnsi="Times New Roman" w:cs="Times New Roman"/>
          <w:sz w:val="24"/>
          <w:szCs w:val="24"/>
          <w:lang w:val="en-US"/>
        </w:rPr>
        <w:t xml:space="preserve">. </w:t>
      </w:r>
      <w:r w:rsidR="00635BBA" w:rsidRPr="00DC1A52">
        <w:rPr>
          <w:rFonts w:ascii="Times New Roman" w:hAnsi="Times New Roman" w:cs="Times New Roman"/>
          <w:sz w:val="24"/>
          <w:szCs w:val="24"/>
          <w:lang w:val="en-US"/>
        </w:rPr>
        <w:t>T</w:t>
      </w:r>
      <w:r w:rsidR="003D0815" w:rsidRPr="00240A3A">
        <w:rPr>
          <w:rFonts w:ascii="Times New Roman" w:hAnsi="Times New Roman" w:cs="Times New Roman"/>
          <w:sz w:val="24"/>
          <w:szCs w:val="24"/>
          <w:lang w:val="en-US"/>
        </w:rPr>
        <w:t>o validate this experiment</w:t>
      </w:r>
      <w:r w:rsidR="00635BBA">
        <w:rPr>
          <w:rFonts w:ascii="Times New Roman" w:hAnsi="Times New Roman" w:cs="Times New Roman"/>
          <w:sz w:val="24"/>
          <w:szCs w:val="24"/>
          <w:lang w:val="en-US"/>
        </w:rPr>
        <w:t>,</w:t>
      </w:r>
      <w:r w:rsidR="003D0815" w:rsidRPr="00240A3A">
        <w:rPr>
          <w:rFonts w:ascii="Times New Roman" w:hAnsi="Times New Roman" w:cs="Times New Roman"/>
          <w:sz w:val="24"/>
          <w:szCs w:val="24"/>
          <w:lang w:val="en-US"/>
        </w:rPr>
        <w:t xml:space="preserve"> we first check if </w:t>
      </w:r>
      <w:r w:rsidR="00D53DD8" w:rsidRPr="00240A3A">
        <w:rPr>
          <w:rFonts w:ascii="Times New Roman" w:hAnsi="Times New Roman" w:cs="Times New Roman"/>
          <w:sz w:val="24"/>
          <w:szCs w:val="24"/>
          <w:lang w:val="en-US"/>
        </w:rPr>
        <w:t>S</w:t>
      </w:r>
      <w:r w:rsidR="003D0815" w:rsidRPr="00240A3A">
        <w:rPr>
          <w:rFonts w:ascii="Times New Roman" w:hAnsi="Times New Roman" w:cs="Times New Roman"/>
          <w:sz w:val="24"/>
          <w:szCs w:val="24"/>
          <w:lang w:val="en-US"/>
        </w:rPr>
        <w:t xml:space="preserve">FAS 123R had an effect on </w:t>
      </w:r>
      <w:r w:rsidR="009A1A59" w:rsidRPr="00240A3A">
        <w:rPr>
          <w:rFonts w:ascii="Times New Roman" w:hAnsi="Times New Roman" w:cs="Times New Roman"/>
          <w:sz w:val="24"/>
          <w:szCs w:val="24"/>
          <w:lang w:val="en-US"/>
        </w:rPr>
        <w:t xml:space="preserve">the </w:t>
      </w:r>
      <w:r w:rsidR="002E778C" w:rsidRPr="00240A3A">
        <w:rPr>
          <w:rFonts w:ascii="Times New Roman" w:hAnsi="Times New Roman" w:cs="Times New Roman"/>
          <w:sz w:val="24"/>
          <w:szCs w:val="24"/>
          <w:lang w:val="en-US"/>
        </w:rPr>
        <w:t xml:space="preserve">stock </w:t>
      </w:r>
      <w:r w:rsidR="00CC55D2">
        <w:rPr>
          <w:rFonts w:ascii="Times New Roman" w:hAnsi="Times New Roman" w:cs="Times New Roman"/>
          <w:sz w:val="24"/>
          <w:szCs w:val="24"/>
          <w:lang w:val="en-US"/>
        </w:rPr>
        <w:t xml:space="preserve">option </w:t>
      </w:r>
      <w:r w:rsidR="002E778C" w:rsidRPr="00240A3A">
        <w:rPr>
          <w:rFonts w:ascii="Times New Roman" w:hAnsi="Times New Roman" w:cs="Times New Roman"/>
          <w:sz w:val="24"/>
          <w:szCs w:val="24"/>
          <w:lang w:val="en-US"/>
        </w:rPr>
        <w:t xml:space="preserve">compensation of </w:t>
      </w:r>
      <w:r w:rsidR="00FE50EB" w:rsidRPr="00240A3A">
        <w:rPr>
          <w:rFonts w:ascii="Times New Roman" w:hAnsi="Times New Roman" w:cs="Times New Roman"/>
          <w:sz w:val="24"/>
          <w:szCs w:val="24"/>
          <w:lang w:val="en-US"/>
        </w:rPr>
        <w:t xml:space="preserve">firms </w:t>
      </w:r>
      <w:r w:rsidR="00FE50EB" w:rsidRPr="00240A3A">
        <w:rPr>
          <w:rFonts w:ascii="Times New Roman" w:hAnsi="Times New Roman" w:cs="Times New Roman"/>
          <w:sz w:val="24"/>
          <w:szCs w:val="24"/>
          <w:lang w:val="en-US"/>
        </w:rPr>
        <w:lastRenderedPageBreak/>
        <w:t>in our sample.</w:t>
      </w:r>
      <w:r w:rsidR="003D0815" w:rsidRPr="00240A3A">
        <w:rPr>
          <w:rFonts w:ascii="Times New Roman" w:hAnsi="Times New Roman" w:cs="Times New Roman"/>
          <w:sz w:val="24"/>
          <w:szCs w:val="24"/>
          <w:lang w:val="en-US"/>
        </w:rPr>
        <w:t xml:space="preserve"> </w:t>
      </w:r>
      <w:r w:rsidR="003C136E" w:rsidRPr="00240A3A">
        <w:rPr>
          <w:rFonts w:ascii="Times New Roman" w:hAnsi="Times New Roman" w:cs="Times New Roman"/>
          <w:sz w:val="24"/>
          <w:szCs w:val="24"/>
          <w:lang w:val="en-US"/>
        </w:rPr>
        <w:t xml:space="preserve">In line with prior </w:t>
      </w:r>
      <w:r w:rsidR="001F427B" w:rsidRPr="00240A3A">
        <w:rPr>
          <w:rFonts w:ascii="Times New Roman" w:hAnsi="Times New Roman" w:cs="Times New Roman"/>
          <w:sz w:val="24"/>
          <w:szCs w:val="24"/>
          <w:lang w:val="en-US"/>
        </w:rPr>
        <w:t>studies</w:t>
      </w:r>
      <w:r w:rsidR="00456179" w:rsidRPr="00240A3A">
        <w:rPr>
          <w:rFonts w:ascii="Times New Roman" w:hAnsi="Times New Roman" w:cs="Times New Roman"/>
          <w:sz w:val="24"/>
          <w:szCs w:val="24"/>
          <w:lang w:val="en-US"/>
        </w:rPr>
        <w:t>,</w:t>
      </w:r>
      <w:r w:rsidR="001F427B" w:rsidRPr="00240A3A">
        <w:rPr>
          <w:rFonts w:ascii="Times New Roman" w:hAnsi="Times New Roman" w:cs="Times New Roman"/>
          <w:sz w:val="24"/>
          <w:szCs w:val="24"/>
          <w:lang w:val="en-US"/>
        </w:rPr>
        <w:t xml:space="preserve"> </w:t>
      </w:r>
      <w:r w:rsidR="00D53DD8" w:rsidRPr="00240A3A">
        <w:rPr>
          <w:rFonts w:ascii="Times New Roman" w:hAnsi="Times New Roman" w:cs="Times New Roman"/>
          <w:sz w:val="24"/>
          <w:szCs w:val="24"/>
          <w:lang w:val="en-US"/>
        </w:rPr>
        <w:t xml:space="preserve">in </w:t>
      </w:r>
      <w:proofErr w:type="spellStart"/>
      <w:r w:rsidR="00D53DD8" w:rsidRPr="00240A3A">
        <w:rPr>
          <w:rFonts w:ascii="Times New Roman" w:hAnsi="Times New Roman" w:cs="Times New Roman"/>
          <w:sz w:val="24"/>
          <w:szCs w:val="24"/>
          <w:lang w:val="en-US"/>
        </w:rPr>
        <w:t>untabulated</w:t>
      </w:r>
      <w:proofErr w:type="spellEnd"/>
      <w:r w:rsidR="00D53DD8" w:rsidRPr="00240A3A">
        <w:rPr>
          <w:rFonts w:ascii="Times New Roman" w:hAnsi="Times New Roman" w:cs="Times New Roman"/>
          <w:sz w:val="24"/>
          <w:szCs w:val="24"/>
          <w:lang w:val="en-US"/>
        </w:rPr>
        <w:t xml:space="preserve"> results</w:t>
      </w:r>
      <w:r w:rsidR="00786A4A" w:rsidRPr="00240A3A">
        <w:rPr>
          <w:rFonts w:ascii="Times New Roman" w:hAnsi="Times New Roman" w:cs="Times New Roman"/>
          <w:sz w:val="24"/>
          <w:szCs w:val="24"/>
          <w:lang w:val="en-US"/>
        </w:rPr>
        <w:t>,</w:t>
      </w:r>
      <w:r w:rsidR="00D53DD8" w:rsidRPr="00240A3A">
        <w:rPr>
          <w:rFonts w:ascii="Times New Roman" w:hAnsi="Times New Roman" w:cs="Times New Roman"/>
          <w:sz w:val="24"/>
          <w:szCs w:val="24"/>
          <w:lang w:val="en-US"/>
        </w:rPr>
        <w:t xml:space="preserve"> </w:t>
      </w:r>
      <w:r w:rsidR="001F427B" w:rsidRPr="00240A3A">
        <w:rPr>
          <w:rFonts w:ascii="Times New Roman" w:hAnsi="Times New Roman" w:cs="Times New Roman"/>
          <w:sz w:val="24"/>
          <w:szCs w:val="24"/>
          <w:lang w:val="en-US"/>
        </w:rPr>
        <w:t xml:space="preserve">we observe a significant drop in </w:t>
      </w:r>
      <w:r w:rsidR="001F427B" w:rsidRPr="00240A3A">
        <w:rPr>
          <w:rFonts w:ascii="Times New Roman" w:hAnsi="Times New Roman" w:cs="Times New Roman"/>
          <w:i/>
          <w:sz w:val="24"/>
          <w:szCs w:val="24"/>
          <w:lang w:val="en-US"/>
        </w:rPr>
        <w:t xml:space="preserve">Vega </w:t>
      </w:r>
      <w:r w:rsidR="001F427B" w:rsidRPr="00240A3A">
        <w:rPr>
          <w:rFonts w:ascii="Times New Roman" w:hAnsi="Times New Roman" w:cs="Times New Roman"/>
          <w:sz w:val="24"/>
          <w:szCs w:val="24"/>
          <w:lang w:val="en-US"/>
        </w:rPr>
        <w:t xml:space="preserve">in the period after </w:t>
      </w:r>
      <w:r w:rsidR="00D53DD8" w:rsidRPr="00240A3A">
        <w:rPr>
          <w:rFonts w:ascii="Times New Roman" w:hAnsi="Times New Roman" w:cs="Times New Roman"/>
          <w:sz w:val="24"/>
          <w:szCs w:val="24"/>
          <w:lang w:val="en-US"/>
        </w:rPr>
        <w:t>S</w:t>
      </w:r>
      <w:r w:rsidR="001F427B" w:rsidRPr="00240A3A">
        <w:rPr>
          <w:rFonts w:ascii="Times New Roman" w:hAnsi="Times New Roman" w:cs="Times New Roman"/>
          <w:sz w:val="24"/>
          <w:szCs w:val="24"/>
          <w:lang w:val="en-US"/>
        </w:rPr>
        <w:t>FAS 123R became effective</w:t>
      </w:r>
      <w:r w:rsidR="003D0815" w:rsidRPr="00240A3A">
        <w:rPr>
          <w:rFonts w:ascii="Times New Roman" w:hAnsi="Times New Roman" w:cs="Times New Roman"/>
          <w:sz w:val="24"/>
          <w:szCs w:val="24"/>
          <w:lang w:val="en-US"/>
        </w:rPr>
        <w:t xml:space="preserve">. Subsequently, we </w:t>
      </w:r>
      <w:r w:rsidR="00404BB7" w:rsidRPr="00240A3A">
        <w:rPr>
          <w:rFonts w:ascii="Times New Roman" w:hAnsi="Times New Roman" w:cs="Times New Roman"/>
          <w:sz w:val="24"/>
          <w:szCs w:val="24"/>
          <w:lang w:val="en-US"/>
        </w:rPr>
        <w:t>examine the relation</w:t>
      </w:r>
      <w:r w:rsidR="00456179" w:rsidRPr="00240A3A">
        <w:rPr>
          <w:rFonts w:ascii="Times New Roman" w:hAnsi="Times New Roman" w:cs="Times New Roman"/>
          <w:sz w:val="24"/>
          <w:szCs w:val="24"/>
          <w:lang w:val="en-US"/>
        </w:rPr>
        <w:t>ship</w:t>
      </w:r>
      <w:r w:rsidR="00404BB7" w:rsidRPr="00240A3A">
        <w:rPr>
          <w:rFonts w:ascii="Times New Roman" w:hAnsi="Times New Roman" w:cs="Times New Roman"/>
          <w:sz w:val="24"/>
          <w:szCs w:val="24"/>
          <w:lang w:val="en-US"/>
        </w:rPr>
        <w:t xml:space="preserve"> between equity incentives and </w:t>
      </w:r>
      <w:r w:rsidR="000A129D" w:rsidRPr="00240A3A">
        <w:rPr>
          <w:rFonts w:ascii="Times New Roman" w:hAnsi="Times New Roman" w:cs="Times New Roman"/>
          <w:sz w:val="24"/>
          <w:szCs w:val="24"/>
          <w:lang w:val="en-US"/>
        </w:rPr>
        <w:t>workplace misconduct</w:t>
      </w:r>
      <w:r w:rsidR="00404BB7" w:rsidRPr="00240A3A">
        <w:rPr>
          <w:rFonts w:ascii="Times New Roman" w:hAnsi="Times New Roman" w:cs="Times New Roman"/>
          <w:sz w:val="24"/>
          <w:szCs w:val="24"/>
          <w:lang w:val="en-US"/>
        </w:rPr>
        <w:t xml:space="preserve"> using the following Ordinary Least Squares (OLS) regression model:</w:t>
      </w:r>
    </w:p>
    <w:p w14:paraId="79EE2007" w14:textId="64AC3AA8" w:rsidR="00404BB7" w:rsidRPr="00240A3A" w:rsidRDefault="00000000" w:rsidP="006D3717">
      <w:pPr>
        <w:autoSpaceDE w:val="0"/>
        <w:autoSpaceDN w:val="0"/>
        <w:adjustRightInd w:val="0"/>
        <w:spacing w:after="0" w:line="480" w:lineRule="auto"/>
        <w:jc w:val="right"/>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i,t</m:t>
            </m:r>
          </m:sub>
        </m:sSub>
        <m:r>
          <w:rPr>
            <w:rFonts w:ascii="Cambria Math" w:hAnsi="Cambria Math" w:cs="Times New Roman"/>
            <w:sz w:val="24"/>
            <w:szCs w:val="24"/>
            <w:lang w:val="en-US"/>
          </w:rPr>
          <m:t>=α+</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γ</m:t>
            </m:r>
          </m:e>
          <m:sub>
            <m:r>
              <w:rPr>
                <w:rFonts w:ascii="Cambria Math" w:hAnsi="Cambria Math" w:cs="Times New Roman"/>
                <w:sz w:val="24"/>
                <w:szCs w:val="24"/>
                <w:lang w:val="en-US"/>
              </w:rPr>
              <m:t>1</m:t>
            </m:r>
          </m:sub>
        </m:sSub>
        <m:r>
          <w:rPr>
            <w:rFonts w:ascii="Cambria Math" w:hAnsi="Cambria Math" w:cs="Times New Roman"/>
            <w:sz w:val="24"/>
            <w:szCs w:val="24"/>
            <w:lang w:val="en-US"/>
          </w:rPr>
          <m:t>Treatment*Post</m:t>
        </m:r>
        <m:r>
          <w:rPr>
            <w:rFonts w:ascii="Cambria Math" w:eastAsiaTheme="minorEastAsia" w:hAnsi="Cambria Math" w:cs="Times New Roman" w:hint="eastAsia"/>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γ</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hint="eastAsia"/>
            <w:sz w:val="24"/>
            <w:szCs w:val="24"/>
            <w:lang w:val="en-US"/>
          </w:rPr>
          <m:t>Post+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γ</m:t>
            </m:r>
          </m:e>
          <m:sub>
            <m:r>
              <w:rPr>
                <w:rFonts w:ascii="Cambria Math" w:hAnsi="Cambria Math" w:cs="Times New Roman"/>
                <w:sz w:val="24"/>
                <w:szCs w:val="24"/>
                <w:lang w:val="en-US"/>
              </w:rPr>
              <m:t>3</m:t>
            </m:r>
          </m:sub>
        </m:sSub>
        <m:r>
          <w:rPr>
            <w:rFonts w:ascii="Cambria Math" w:hAnsi="Cambria Math" w:cs="Times New Roman"/>
            <w:sz w:val="24"/>
            <w:szCs w:val="24"/>
            <w:lang w:val="en-US"/>
          </w:rPr>
          <m:t>Treatment+</m:t>
        </m:r>
        <m:r>
          <w:rPr>
            <w:rFonts w:ascii="Cambria Math" w:eastAsiaTheme="minorEastAsia" w:hAnsi="Cambria Math" w:cs="Times New Roman" w:hint="eastAsia"/>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 Controls</m:t>
            </m:r>
          </m:e>
          <m:sub>
            <m:r>
              <w:rPr>
                <w:rFonts w:ascii="Cambria Math" w:hAnsi="Cambria Math" w:cs="Times New Roman"/>
                <w:sz w:val="24"/>
                <w:szCs w:val="24"/>
                <w:lang w:val="en-US"/>
              </w:rPr>
              <m:t>i,t-1</m:t>
            </m:r>
          </m:sub>
        </m:sSub>
        <m:r>
          <w:rPr>
            <w:rFonts w:ascii="Cambria Math" w:hAnsi="Cambria Math" w:cs="Times New Roman"/>
            <w:sz w:val="24"/>
            <w:szCs w:val="24"/>
            <w:lang w:val="en-US"/>
          </w:rPr>
          <m:t>+FEs+</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i,t</m:t>
            </m:r>
          </m:sub>
        </m:sSub>
      </m:oMath>
      <w:r w:rsidR="00DB4930" w:rsidRPr="00240A3A">
        <w:rPr>
          <w:rFonts w:ascii="Times New Roman" w:eastAsiaTheme="minorEastAsia" w:hAnsi="Times New Roman" w:cs="Times New Roman"/>
          <w:sz w:val="24"/>
          <w:szCs w:val="24"/>
          <w:lang w:val="en-US"/>
        </w:rPr>
        <w:t xml:space="preserve"> </w:t>
      </w:r>
      <w:r w:rsidR="0085734F">
        <w:rPr>
          <w:rFonts w:ascii="Times New Roman" w:eastAsiaTheme="minorEastAsia" w:hAnsi="Times New Roman" w:cs="Times New Roman"/>
          <w:sz w:val="24"/>
          <w:szCs w:val="24"/>
          <w:lang w:val="en-US"/>
        </w:rPr>
        <w:tab/>
      </w:r>
      <w:r w:rsidR="00404BB7" w:rsidRPr="00240A3A">
        <w:rPr>
          <w:rFonts w:ascii="Times New Roman" w:eastAsiaTheme="minorEastAsia" w:hAnsi="Times New Roman" w:cs="Times New Roman"/>
          <w:sz w:val="24"/>
          <w:szCs w:val="24"/>
          <w:lang w:val="en-US"/>
        </w:rPr>
        <w:t>(</w:t>
      </w:r>
      <w:r w:rsidR="0085734F">
        <w:rPr>
          <w:rFonts w:ascii="Times New Roman" w:eastAsiaTheme="minorEastAsia" w:hAnsi="Times New Roman" w:cs="Times New Roman"/>
          <w:sz w:val="24"/>
          <w:szCs w:val="24"/>
          <w:lang w:val="en-US"/>
        </w:rPr>
        <w:t>4</w:t>
      </w:r>
      <w:r w:rsidR="00404BB7" w:rsidRPr="00240A3A">
        <w:rPr>
          <w:rFonts w:ascii="Times New Roman" w:eastAsiaTheme="minorEastAsia" w:hAnsi="Times New Roman" w:cs="Times New Roman"/>
          <w:sz w:val="24"/>
          <w:szCs w:val="24"/>
          <w:lang w:val="en-US"/>
        </w:rPr>
        <w:t>)</w:t>
      </w:r>
    </w:p>
    <w:p w14:paraId="1AD645E3" w14:textId="4CA83189" w:rsidR="0072183B" w:rsidRDefault="00910489" w:rsidP="001E7571">
      <w:pPr>
        <w:spacing w:after="0" w:line="480" w:lineRule="auto"/>
        <w:jc w:val="both"/>
        <w:rPr>
          <w:rFonts w:ascii="Times New Roman" w:hAnsi="Times New Roman" w:cs="Times New Roman"/>
          <w:sz w:val="24"/>
          <w:szCs w:val="24"/>
          <w:lang w:val="en-US"/>
        </w:rPr>
      </w:pPr>
      <w:r w:rsidRPr="00240A3A">
        <w:rPr>
          <w:rFonts w:ascii="Times New Roman" w:hAnsi="Times New Roman" w:cs="Times New Roman"/>
          <w:sz w:val="24"/>
          <w:szCs w:val="24"/>
          <w:lang w:val="en-US"/>
        </w:rPr>
        <w:t>where the dependent variable</w:t>
      </w:r>
      <w:r w:rsidR="000A129D" w:rsidRPr="00240A3A">
        <w:rPr>
          <w:rFonts w:ascii="Times New Roman"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i,t</m:t>
            </m:r>
          </m:sub>
        </m:sSub>
      </m:oMath>
      <w:r w:rsidRPr="00240A3A">
        <w:rPr>
          <w:rFonts w:ascii="Times New Roman" w:hAnsi="Times New Roman" w:cs="Times New Roman"/>
          <w:i/>
          <w:iCs/>
          <w:sz w:val="16"/>
          <w:szCs w:val="16"/>
          <w:lang w:val="en-US"/>
        </w:rPr>
        <w:t xml:space="preserve"> </w:t>
      </w:r>
      <w:r w:rsidRPr="00240A3A">
        <w:rPr>
          <w:rFonts w:ascii="Times New Roman" w:hAnsi="Times New Roman" w:cs="Times New Roman"/>
          <w:sz w:val="24"/>
          <w:szCs w:val="24"/>
          <w:lang w:val="en-US"/>
        </w:rPr>
        <w:t>is</w:t>
      </w:r>
      <w:r w:rsidR="000A129D" w:rsidRPr="00240A3A">
        <w:rPr>
          <w:rFonts w:ascii="Times New Roman" w:hAnsi="Times New Roman" w:cs="Times New Roman"/>
          <w:i/>
          <w:sz w:val="24"/>
          <w:szCs w:val="24"/>
          <w:lang w:val="en-US"/>
        </w:rPr>
        <w:t xml:space="preserve"> </w:t>
      </w:r>
      <w:r w:rsidR="000A129D" w:rsidRPr="00240A3A">
        <w:rPr>
          <w:rFonts w:ascii="Times New Roman" w:hAnsi="Times New Roman" w:cs="Times New Roman"/>
          <w:sz w:val="24"/>
          <w:szCs w:val="24"/>
          <w:lang w:val="en-US"/>
        </w:rPr>
        <w:t>workplace misconduct</w:t>
      </w:r>
      <w:r w:rsidRPr="00240A3A">
        <w:rPr>
          <w:rFonts w:ascii="Times New Roman" w:hAnsi="Times New Roman" w:cs="Times New Roman"/>
          <w:sz w:val="24"/>
          <w:szCs w:val="24"/>
          <w:lang w:val="en-US"/>
        </w:rPr>
        <w:t xml:space="preserve"> by firm </w:t>
      </w:r>
      <w:proofErr w:type="spellStart"/>
      <w:r w:rsidRPr="00240A3A">
        <w:rPr>
          <w:rFonts w:ascii="Times New Roman" w:hAnsi="Times New Roman" w:cs="Times New Roman"/>
          <w:i/>
          <w:iCs/>
          <w:sz w:val="24"/>
          <w:szCs w:val="24"/>
          <w:lang w:val="en-US"/>
        </w:rPr>
        <w:t>i</w:t>
      </w:r>
      <w:proofErr w:type="spellEnd"/>
      <w:r w:rsidRPr="00240A3A">
        <w:rPr>
          <w:rFonts w:ascii="Times New Roman" w:hAnsi="Times New Roman" w:cs="Times New Roman"/>
          <w:i/>
          <w:iCs/>
          <w:sz w:val="24"/>
          <w:szCs w:val="24"/>
          <w:lang w:val="en-US"/>
        </w:rPr>
        <w:t xml:space="preserve"> </w:t>
      </w:r>
      <w:r w:rsidR="008E1BCF">
        <w:rPr>
          <w:rFonts w:ascii="Times New Roman" w:hAnsi="Times New Roman" w:cs="Times New Roman"/>
          <w:sz w:val="24"/>
          <w:szCs w:val="24"/>
          <w:lang w:val="en-US"/>
        </w:rPr>
        <w:t>in</w:t>
      </w:r>
      <w:r w:rsidRPr="00240A3A">
        <w:rPr>
          <w:rFonts w:ascii="Times New Roman" w:hAnsi="Times New Roman" w:cs="Times New Roman"/>
          <w:sz w:val="24"/>
          <w:szCs w:val="24"/>
          <w:lang w:val="en-US"/>
        </w:rPr>
        <w:t xml:space="preserve"> year </w:t>
      </w:r>
      <w:r w:rsidRPr="00240A3A">
        <w:rPr>
          <w:rFonts w:ascii="Times New Roman" w:hAnsi="Times New Roman" w:cs="Times New Roman"/>
          <w:i/>
          <w:iCs/>
          <w:sz w:val="24"/>
          <w:szCs w:val="24"/>
          <w:lang w:val="en-US"/>
        </w:rPr>
        <w:t>t</w:t>
      </w:r>
      <w:r w:rsidRPr="00240A3A">
        <w:rPr>
          <w:rFonts w:ascii="Times New Roman" w:hAnsi="Times New Roman" w:cs="Times New Roman"/>
          <w:sz w:val="24"/>
          <w:szCs w:val="24"/>
          <w:lang w:val="en-US"/>
        </w:rPr>
        <w:t xml:space="preserve">. </w:t>
      </w:r>
      <w:r w:rsidRPr="00240A3A">
        <w:rPr>
          <w:rFonts w:ascii="Times New Roman" w:hAnsi="Times New Roman" w:cs="Times New Roman"/>
          <w:i/>
          <w:sz w:val="24"/>
          <w:szCs w:val="24"/>
          <w:lang w:val="en-US"/>
        </w:rPr>
        <w:t>Post</w:t>
      </w:r>
      <w:r w:rsidRPr="00240A3A">
        <w:rPr>
          <w:rFonts w:ascii="Times New Roman" w:hAnsi="Times New Roman" w:cs="Times New Roman"/>
          <w:sz w:val="24"/>
          <w:szCs w:val="24"/>
          <w:lang w:val="en-US"/>
        </w:rPr>
        <w:t xml:space="preserve"> takes the value of </w:t>
      </w:r>
      <w:r w:rsidR="008D15EF" w:rsidRPr="00240A3A">
        <w:rPr>
          <w:rFonts w:ascii="Times New Roman" w:hAnsi="Times New Roman" w:cs="Times New Roman"/>
          <w:sz w:val="24"/>
          <w:szCs w:val="24"/>
          <w:lang w:val="en-US"/>
        </w:rPr>
        <w:t>one</w:t>
      </w:r>
      <w:r w:rsidRPr="00240A3A">
        <w:rPr>
          <w:rFonts w:ascii="Times New Roman" w:hAnsi="Times New Roman" w:cs="Times New Roman"/>
          <w:sz w:val="24"/>
          <w:szCs w:val="24"/>
          <w:lang w:val="en-US"/>
        </w:rPr>
        <w:t xml:space="preserve"> in the post-</w:t>
      </w:r>
      <w:r w:rsidR="00582922" w:rsidRPr="00240A3A">
        <w:rPr>
          <w:rFonts w:ascii="Times New Roman" w:hAnsi="Times New Roman" w:cs="Times New Roman"/>
          <w:sz w:val="24"/>
          <w:szCs w:val="24"/>
          <w:lang w:val="en-US"/>
        </w:rPr>
        <w:t>S</w:t>
      </w:r>
      <w:r w:rsidRPr="00240A3A">
        <w:rPr>
          <w:rFonts w:ascii="Times New Roman" w:hAnsi="Times New Roman" w:cs="Times New Roman"/>
          <w:sz w:val="24"/>
          <w:szCs w:val="24"/>
          <w:lang w:val="en-US"/>
        </w:rPr>
        <w:t>FAS 123R period (years 200</w:t>
      </w:r>
      <w:r w:rsidR="00582340" w:rsidRPr="00240A3A">
        <w:rPr>
          <w:rFonts w:ascii="Times New Roman" w:hAnsi="Times New Roman" w:cs="Times New Roman"/>
          <w:sz w:val="24"/>
          <w:szCs w:val="24"/>
          <w:lang w:val="en-US"/>
        </w:rPr>
        <w:t>6</w:t>
      </w:r>
      <w:r w:rsidR="008C4EC7" w:rsidRPr="00240A3A">
        <w:rPr>
          <w:rFonts w:ascii="Times New Roman" w:hAnsi="Times New Roman" w:cs="Times New Roman"/>
          <w:sz w:val="24"/>
          <w:szCs w:val="24"/>
          <w:lang w:val="en-US"/>
        </w:rPr>
        <w:t>-</w:t>
      </w:r>
      <w:r w:rsidRPr="00240A3A">
        <w:rPr>
          <w:rFonts w:ascii="Times New Roman" w:hAnsi="Times New Roman" w:cs="Times New Roman"/>
          <w:sz w:val="24"/>
          <w:szCs w:val="24"/>
          <w:lang w:val="en-US"/>
        </w:rPr>
        <w:t>200</w:t>
      </w:r>
      <w:r w:rsidR="00F06E86">
        <w:rPr>
          <w:rFonts w:ascii="Times New Roman" w:hAnsi="Times New Roman" w:cs="Times New Roman"/>
          <w:sz w:val="24"/>
          <w:szCs w:val="24"/>
          <w:lang w:val="en-US"/>
        </w:rPr>
        <w:t>8</w:t>
      </w:r>
      <w:r w:rsidRPr="00240A3A">
        <w:rPr>
          <w:rFonts w:ascii="Times New Roman" w:hAnsi="Times New Roman" w:cs="Times New Roman"/>
          <w:sz w:val="24"/>
          <w:szCs w:val="24"/>
          <w:lang w:val="en-US"/>
        </w:rPr>
        <w:t>), and zero in the pre-</w:t>
      </w:r>
      <w:r w:rsidR="00582922" w:rsidRPr="00240A3A">
        <w:rPr>
          <w:rFonts w:ascii="Times New Roman" w:hAnsi="Times New Roman" w:cs="Times New Roman"/>
          <w:sz w:val="24"/>
          <w:szCs w:val="24"/>
          <w:lang w:val="en-US"/>
        </w:rPr>
        <w:t>S</w:t>
      </w:r>
      <w:r w:rsidRPr="00240A3A">
        <w:rPr>
          <w:rFonts w:ascii="Times New Roman" w:hAnsi="Times New Roman" w:cs="Times New Roman"/>
          <w:sz w:val="24"/>
          <w:szCs w:val="24"/>
          <w:lang w:val="en-US"/>
        </w:rPr>
        <w:t>FAS 123R period (years 200</w:t>
      </w:r>
      <w:r w:rsidR="00F06E86">
        <w:rPr>
          <w:rFonts w:ascii="Times New Roman" w:hAnsi="Times New Roman" w:cs="Times New Roman"/>
          <w:sz w:val="24"/>
          <w:szCs w:val="24"/>
          <w:lang w:val="en-US"/>
        </w:rPr>
        <w:t>2</w:t>
      </w:r>
      <w:r w:rsidR="008C4EC7" w:rsidRPr="00240A3A">
        <w:rPr>
          <w:rFonts w:ascii="Times New Roman" w:hAnsi="Times New Roman" w:cs="Times New Roman"/>
          <w:sz w:val="24"/>
          <w:szCs w:val="24"/>
          <w:lang w:val="en-US"/>
        </w:rPr>
        <w:t>-</w:t>
      </w:r>
      <w:r w:rsidRPr="00240A3A">
        <w:rPr>
          <w:rFonts w:ascii="Times New Roman" w:hAnsi="Times New Roman" w:cs="Times New Roman"/>
          <w:sz w:val="24"/>
          <w:szCs w:val="24"/>
          <w:lang w:val="en-US"/>
        </w:rPr>
        <w:t>200</w:t>
      </w:r>
      <w:r w:rsidR="009A1A59" w:rsidRPr="00240A3A">
        <w:rPr>
          <w:rFonts w:ascii="Times New Roman" w:hAnsi="Times New Roman" w:cs="Times New Roman"/>
          <w:sz w:val="24"/>
          <w:szCs w:val="24"/>
          <w:lang w:val="en-US"/>
        </w:rPr>
        <w:t>4</w:t>
      </w:r>
      <w:r w:rsidRPr="00240A3A">
        <w:rPr>
          <w:rFonts w:ascii="Times New Roman" w:hAnsi="Times New Roman" w:cs="Times New Roman"/>
          <w:sz w:val="24"/>
          <w:szCs w:val="24"/>
          <w:lang w:val="en-US"/>
        </w:rPr>
        <w:t xml:space="preserve">). </w:t>
      </w:r>
      <w:r w:rsidR="001E7571" w:rsidRPr="00FE52E6">
        <w:rPr>
          <w:rFonts w:ascii="Times New Roman" w:hAnsi="Times New Roman" w:cs="Times New Roman"/>
          <w:i/>
          <w:sz w:val="24"/>
          <w:szCs w:val="24"/>
          <w:lang w:val="en-US"/>
        </w:rPr>
        <w:t>Treatment</w:t>
      </w:r>
      <w:r w:rsidR="001E7571">
        <w:rPr>
          <w:rFonts w:ascii="Times New Roman" w:hAnsi="Times New Roman" w:cs="Times New Roman"/>
          <w:sz w:val="24"/>
          <w:szCs w:val="24"/>
          <w:lang w:val="en-US"/>
        </w:rPr>
        <w:t xml:space="preserve"> </w:t>
      </w:r>
      <w:r w:rsidR="001E7571" w:rsidRPr="001E7571">
        <w:rPr>
          <w:rFonts w:ascii="Times New Roman" w:hAnsi="Times New Roman" w:cs="Times New Roman"/>
          <w:sz w:val="24"/>
          <w:szCs w:val="24"/>
          <w:lang w:val="en-US"/>
        </w:rPr>
        <w:t>equals</w:t>
      </w:r>
      <w:r w:rsidR="00D653E7">
        <w:rPr>
          <w:rFonts w:ascii="Times New Roman" w:hAnsi="Times New Roman" w:cs="Times New Roman"/>
          <w:sz w:val="24"/>
          <w:szCs w:val="24"/>
          <w:lang w:val="en-US"/>
        </w:rPr>
        <w:t xml:space="preserve"> to</w:t>
      </w:r>
      <w:r w:rsidR="001E7571" w:rsidRPr="001E7571">
        <w:rPr>
          <w:rFonts w:ascii="Times New Roman" w:hAnsi="Times New Roman" w:cs="Times New Roman"/>
          <w:sz w:val="24"/>
          <w:szCs w:val="24"/>
          <w:lang w:val="en-US"/>
        </w:rPr>
        <w:t xml:space="preserve"> one if the firm</w:t>
      </w:r>
      <w:r w:rsidR="00CC55D2">
        <w:rPr>
          <w:rFonts w:ascii="Times New Roman" w:hAnsi="Times New Roman" w:cs="Times New Roman"/>
          <w:sz w:val="24"/>
          <w:szCs w:val="24"/>
          <w:lang w:val="en-US"/>
        </w:rPr>
        <w:t xml:space="preserve"> has </w:t>
      </w:r>
      <w:r w:rsidR="00CC55D2" w:rsidRPr="00635BBA">
        <w:rPr>
          <w:rFonts w:ascii="Times New Roman" w:hAnsi="Times New Roman" w:cs="Times New Roman"/>
          <w:sz w:val="24"/>
          <w:szCs w:val="24"/>
          <w:lang w:val="en-US"/>
        </w:rPr>
        <w:t>pro forma option expenses in the top tercile</w:t>
      </w:r>
      <w:r w:rsidR="00CC55D2">
        <w:rPr>
          <w:rFonts w:ascii="Times New Roman" w:hAnsi="Times New Roman" w:cs="Times New Roman"/>
          <w:sz w:val="24"/>
          <w:szCs w:val="24"/>
          <w:lang w:val="en-US"/>
        </w:rPr>
        <w:t xml:space="preserve">, i.e., </w:t>
      </w:r>
      <w:r w:rsidR="00D653E7">
        <w:rPr>
          <w:rFonts w:ascii="Times New Roman" w:hAnsi="Times New Roman" w:cs="Times New Roman"/>
          <w:sz w:val="24"/>
          <w:szCs w:val="24"/>
          <w:lang w:val="en-US"/>
        </w:rPr>
        <w:t xml:space="preserve">highly affected by SFAS 123R </w:t>
      </w:r>
      <w:r w:rsidR="001E7571" w:rsidRPr="001E7571">
        <w:rPr>
          <w:rFonts w:ascii="Times New Roman" w:hAnsi="Times New Roman" w:cs="Times New Roman"/>
          <w:sz w:val="24"/>
          <w:szCs w:val="24"/>
          <w:lang w:val="en-US"/>
        </w:rPr>
        <w:t xml:space="preserve">, and zero if </w:t>
      </w:r>
      <w:r w:rsidR="00CC55D2">
        <w:rPr>
          <w:rFonts w:ascii="Times New Roman" w:hAnsi="Times New Roman" w:cs="Times New Roman"/>
          <w:sz w:val="24"/>
          <w:szCs w:val="24"/>
          <w:lang w:val="en-US"/>
        </w:rPr>
        <w:t xml:space="preserve"> the firm has </w:t>
      </w:r>
      <w:r w:rsidR="00CC55D2" w:rsidRPr="00635BBA">
        <w:rPr>
          <w:rFonts w:ascii="Times New Roman" w:hAnsi="Times New Roman" w:cs="Times New Roman"/>
          <w:sz w:val="24"/>
          <w:szCs w:val="24"/>
          <w:lang w:val="en-US"/>
        </w:rPr>
        <w:t>pro forma option expenses</w:t>
      </w:r>
      <w:r w:rsidR="00CC55D2" w:rsidRPr="00240A3A">
        <w:rPr>
          <w:rFonts w:ascii="Times New Roman" w:hAnsi="Times New Roman" w:cs="Times New Roman"/>
          <w:sz w:val="24"/>
          <w:szCs w:val="24"/>
          <w:lang w:val="en-US"/>
        </w:rPr>
        <w:t xml:space="preserve"> </w:t>
      </w:r>
      <w:r w:rsidR="00CC55D2">
        <w:rPr>
          <w:rFonts w:ascii="Times New Roman" w:hAnsi="Times New Roman" w:cs="Times New Roman"/>
          <w:sz w:val="24"/>
          <w:szCs w:val="24"/>
          <w:lang w:val="en-US"/>
        </w:rPr>
        <w:t>in the bottom tercile, i.e.,</w:t>
      </w:r>
      <w:r w:rsidR="00CC55D2" w:rsidRPr="001E7571">
        <w:rPr>
          <w:rFonts w:ascii="Times New Roman" w:hAnsi="Times New Roman" w:cs="Times New Roman"/>
          <w:sz w:val="24"/>
          <w:szCs w:val="24"/>
          <w:lang w:val="en-US"/>
        </w:rPr>
        <w:t xml:space="preserve"> </w:t>
      </w:r>
      <w:r w:rsidR="00D653E7">
        <w:rPr>
          <w:rFonts w:ascii="Times New Roman" w:hAnsi="Times New Roman" w:cs="Times New Roman"/>
          <w:sz w:val="24"/>
          <w:szCs w:val="24"/>
          <w:lang w:val="en-US"/>
        </w:rPr>
        <w:t>not affected much by SFAS 123R</w:t>
      </w:r>
      <w:r w:rsidR="001E7571" w:rsidRPr="001E7571">
        <w:rPr>
          <w:rFonts w:ascii="Times New Roman" w:hAnsi="Times New Roman" w:cs="Times New Roman"/>
          <w:sz w:val="24"/>
          <w:szCs w:val="24"/>
          <w:lang w:val="en-US"/>
        </w:rPr>
        <w:t>.</w:t>
      </w:r>
      <w:r w:rsidR="001E7571">
        <w:rPr>
          <w:rFonts w:ascii="Times New Roman" w:hAnsi="Times New Roman" w:cs="Times New Roman"/>
          <w:sz w:val="24"/>
          <w:szCs w:val="24"/>
          <w:lang w:val="en-US"/>
        </w:rPr>
        <w:t xml:space="preserve"> </w:t>
      </w:r>
      <w:r w:rsidRPr="00240A3A">
        <w:rPr>
          <w:rFonts w:ascii="Times New Roman" w:hAnsi="Times New Roman" w:cs="Times New Roman"/>
          <w:sz w:val="24"/>
          <w:szCs w:val="24"/>
          <w:lang w:val="en-US"/>
        </w:rPr>
        <w:t>Our main variable of interest is</w:t>
      </w:r>
      <w:r w:rsidR="00947B13" w:rsidRPr="00240A3A">
        <w:rPr>
          <w:rFonts w:ascii="Times New Roman" w:hAnsi="Times New Roman" w:cs="Times New Roman"/>
          <w:sz w:val="24"/>
          <w:szCs w:val="24"/>
          <w:lang w:val="en-US"/>
        </w:rPr>
        <w:t xml:space="preserve"> </w:t>
      </w:r>
      <m:oMath>
        <m:r>
          <w:rPr>
            <w:rFonts w:ascii="Cambria Math" w:hAnsi="Cambria Math" w:cs="Times New Roman"/>
            <w:sz w:val="24"/>
            <w:szCs w:val="24"/>
            <w:lang w:val="en-US"/>
          </w:rPr>
          <m:t>Treatment*Post</m:t>
        </m:r>
      </m:oMath>
      <w:r w:rsidRPr="00240A3A">
        <w:rPr>
          <w:rFonts w:ascii="Times New Roman" w:eastAsiaTheme="minorEastAsia" w:hAnsi="Times New Roman" w:cs="Times New Roman"/>
          <w:sz w:val="24"/>
          <w:szCs w:val="24"/>
          <w:lang w:val="en-US"/>
        </w:rPr>
        <w:t xml:space="preserve">. We expect </w:t>
      </w:r>
      <w:r w:rsidR="00030B1E">
        <w:rPr>
          <w:rFonts w:ascii="Times New Roman" w:eastAsiaTheme="minorEastAsia" w:hAnsi="Times New Roman" w:cs="Times New Roman"/>
          <w:sz w:val="24"/>
          <w:szCs w:val="24"/>
          <w:lang w:val="en-US"/>
        </w:rPr>
        <w:t xml:space="preserve">the coefficient on </w:t>
      </w:r>
      <w:r w:rsidRPr="00240A3A">
        <w:rPr>
          <w:rFonts w:ascii="Times New Roman" w:eastAsiaTheme="minorEastAsia" w:hAnsi="Times New Roman" w:cs="Times New Roman"/>
          <w:sz w:val="24"/>
          <w:szCs w:val="24"/>
          <w:lang w:val="en-US"/>
        </w:rPr>
        <w:t xml:space="preserve">this variable to be positive and significant. </w:t>
      </w:r>
      <w:r w:rsidR="001C128D" w:rsidRPr="00240A3A">
        <w:rPr>
          <w:rFonts w:ascii="Times New Roman" w:hAnsi="Times New Roman" w:cs="Times New Roman"/>
          <w:sz w:val="24"/>
          <w:szCs w:val="24"/>
          <w:lang w:val="en-US"/>
        </w:rPr>
        <w:t xml:space="preserve">In Eq. </w:t>
      </w:r>
      <w:r w:rsidR="004D7BCA" w:rsidRPr="00240A3A">
        <w:rPr>
          <w:rFonts w:ascii="Times New Roman" w:hAnsi="Times New Roman" w:cs="Times New Roman"/>
          <w:sz w:val="24"/>
          <w:szCs w:val="24"/>
          <w:lang w:val="en-US"/>
        </w:rPr>
        <w:t>(</w:t>
      </w:r>
      <w:r w:rsidR="0085734F">
        <w:rPr>
          <w:rFonts w:ascii="Times New Roman" w:hAnsi="Times New Roman" w:cs="Times New Roman"/>
          <w:sz w:val="24"/>
          <w:szCs w:val="24"/>
          <w:lang w:val="en-US"/>
        </w:rPr>
        <w:t>4</w:t>
      </w:r>
      <w:r w:rsidR="004D7BCA" w:rsidRPr="00240A3A">
        <w:rPr>
          <w:rFonts w:ascii="Times New Roman" w:hAnsi="Times New Roman" w:cs="Times New Roman"/>
          <w:sz w:val="24"/>
          <w:szCs w:val="24"/>
          <w:lang w:val="en-US"/>
        </w:rPr>
        <w:t>) we include the same controls as in Eq. (1)</w:t>
      </w:r>
      <w:r w:rsidR="004F4309" w:rsidRPr="00240A3A">
        <w:rPr>
          <w:rFonts w:ascii="Times New Roman" w:hAnsi="Times New Roman" w:cs="Times New Roman"/>
          <w:sz w:val="24"/>
          <w:szCs w:val="24"/>
          <w:lang w:val="en-US"/>
        </w:rPr>
        <w:t xml:space="preserve">, firm </w:t>
      </w:r>
      <w:r w:rsidRPr="00240A3A">
        <w:rPr>
          <w:rFonts w:ascii="Times New Roman" w:hAnsi="Times New Roman" w:cs="Times New Roman"/>
          <w:sz w:val="24"/>
          <w:szCs w:val="24"/>
          <w:lang w:val="en-US"/>
        </w:rPr>
        <w:t xml:space="preserve">and </w:t>
      </w:r>
      <w:r w:rsidR="004F4309" w:rsidRPr="00240A3A">
        <w:rPr>
          <w:rFonts w:ascii="Times New Roman" w:hAnsi="Times New Roman" w:cs="Times New Roman"/>
          <w:sz w:val="24"/>
          <w:szCs w:val="24"/>
          <w:lang w:val="en-US"/>
        </w:rPr>
        <w:t xml:space="preserve">year </w:t>
      </w:r>
      <w:r w:rsidRPr="00240A3A">
        <w:rPr>
          <w:rFonts w:ascii="Times New Roman" w:hAnsi="Times New Roman" w:cs="Times New Roman"/>
          <w:sz w:val="24"/>
          <w:szCs w:val="24"/>
          <w:lang w:val="en-US"/>
        </w:rPr>
        <w:t>fixed effects.</w:t>
      </w:r>
      <w:r w:rsidR="008E1BCF" w:rsidRPr="008E1BCF">
        <w:rPr>
          <w:rStyle w:val="FootnoteReference"/>
          <w:rFonts w:ascii="Times New Roman" w:hAnsi="Times New Roman" w:cs="Times New Roman"/>
          <w:sz w:val="24"/>
          <w:szCs w:val="24"/>
          <w:lang w:val="en-US"/>
        </w:rPr>
        <w:t xml:space="preserve"> </w:t>
      </w:r>
      <w:r w:rsidR="008E1BCF" w:rsidRPr="00240A3A">
        <w:rPr>
          <w:rStyle w:val="FootnoteReference"/>
          <w:rFonts w:ascii="Times New Roman" w:hAnsi="Times New Roman" w:cs="Times New Roman"/>
          <w:sz w:val="24"/>
          <w:szCs w:val="24"/>
          <w:lang w:val="en-US"/>
        </w:rPr>
        <w:footnoteReference w:id="13"/>
      </w:r>
      <w:r w:rsidRPr="00240A3A">
        <w:rPr>
          <w:rFonts w:ascii="Times New Roman" w:hAnsi="Times New Roman" w:cs="Times New Roman"/>
          <w:sz w:val="24"/>
          <w:szCs w:val="24"/>
          <w:lang w:val="en-US"/>
        </w:rPr>
        <w:t xml:space="preserve"> Standard errors are clustered by firm.</w:t>
      </w:r>
    </w:p>
    <w:p w14:paraId="32FD4CA9" w14:textId="48B17456" w:rsidR="00E73FB7" w:rsidRPr="004F0267" w:rsidRDefault="00005623" w:rsidP="004F0267">
      <w:pPr>
        <w:spacing w:after="0" w:line="480" w:lineRule="auto"/>
        <w:jc w:val="center"/>
        <w:rPr>
          <w:rFonts w:ascii="Times New Roman" w:hAnsi="Times New Roman" w:cs="Times New Roman"/>
          <w:b/>
          <w:caps/>
          <w:sz w:val="24"/>
          <w:szCs w:val="24"/>
          <w:lang w:val="en-US"/>
        </w:rPr>
      </w:pPr>
      <w:r w:rsidRPr="008F12FA">
        <w:rPr>
          <w:rFonts w:ascii="Times New Roman" w:hAnsi="Times New Roman" w:cs="Times New Roman"/>
          <w:b/>
          <w:sz w:val="24"/>
          <w:szCs w:val="24"/>
          <w:lang w:val="en-US"/>
        </w:rPr>
        <w:t>V</w:t>
      </w:r>
      <w:r w:rsidR="00AE5F1E" w:rsidRPr="004F0267">
        <w:rPr>
          <w:rFonts w:ascii="Times New Roman" w:hAnsi="Times New Roman" w:cs="Times New Roman"/>
          <w:b/>
          <w:caps/>
          <w:sz w:val="24"/>
          <w:szCs w:val="24"/>
          <w:lang w:val="en-US"/>
        </w:rPr>
        <w:t xml:space="preserve">. </w:t>
      </w:r>
      <w:r w:rsidR="00E73FB7" w:rsidRPr="004F0267">
        <w:rPr>
          <w:rFonts w:ascii="Times New Roman" w:hAnsi="Times New Roman" w:cs="Times New Roman"/>
          <w:b/>
          <w:caps/>
          <w:sz w:val="24"/>
          <w:szCs w:val="24"/>
          <w:lang w:val="en-US"/>
        </w:rPr>
        <w:t>Results</w:t>
      </w:r>
    </w:p>
    <w:p w14:paraId="4932F24C" w14:textId="4EE49B62" w:rsidR="00324CED" w:rsidRDefault="00774D07" w:rsidP="00786A4A">
      <w:pPr>
        <w:spacing w:after="0" w:line="480" w:lineRule="auto"/>
        <w:ind w:firstLine="720"/>
        <w:jc w:val="both"/>
        <w:rPr>
          <w:rFonts w:ascii="Times New Roman" w:hAnsi="Times New Roman" w:cs="Times New Roman"/>
          <w:sz w:val="24"/>
          <w:szCs w:val="24"/>
          <w:lang w:val="en-US"/>
        </w:rPr>
      </w:pPr>
      <w:r w:rsidRPr="00565919">
        <w:rPr>
          <w:rFonts w:ascii="Times New Roman" w:hAnsi="Times New Roman" w:cs="Times New Roman"/>
          <w:sz w:val="24"/>
          <w:szCs w:val="24"/>
          <w:lang w:val="en-US"/>
        </w:rPr>
        <w:t>To</w:t>
      </w:r>
      <w:r w:rsidR="00324CED" w:rsidRPr="00565919">
        <w:rPr>
          <w:rFonts w:ascii="Times New Roman" w:hAnsi="Times New Roman" w:cs="Times New Roman"/>
          <w:sz w:val="24"/>
          <w:szCs w:val="24"/>
          <w:lang w:val="en-US"/>
        </w:rPr>
        <w:t xml:space="preserve"> test whether </w:t>
      </w:r>
      <w:r w:rsidR="004D7BCA" w:rsidRPr="00565919">
        <w:rPr>
          <w:rFonts w:ascii="Times New Roman" w:hAnsi="Times New Roman" w:cs="Times New Roman"/>
          <w:sz w:val="24"/>
          <w:szCs w:val="24"/>
          <w:lang w:val="en-US"/>
        </w:rPr>
        <w:t xml:space="preserve">CEO </w:t>
      </w:r>
      <w:proofErr w:type="spellStart"/>
      <w:r w:rsidR="00565919" w:rsidRPr="00565919">
        <w:rPr>
          <w:rFonts w:ascii="Times New Roman" w:hAnsi="Times New Roman" w:cs="Times New Roman"/>
          <w:sz w:val="24"/>
          <w:szCs w:val="24"/>
          <w:lang w:val="en-US"/>
        </w:rPr>
        <w:t>vega</w:t>
      </w:r>
      <w:proofErr w:type="spellEnd"/>
      <w:r w:rsidR="00565919" w:rsidRPr="00565919">
        <w:rPr>
          <w:rFonts w:ascii="Times New Roman" w:hAnsi="Times New Roman" w:cs="Times New Roman"/>
          <w:sz w:val="24"/>
          <w:szCs w:val="24"/>
          <w:lang w:val="en-US"/>
        </w:rPr>
        <w:t xml:space="preserve"> is</w:t>
      </w:r>
      <w:r w:rsidR="00324CED" w:rsidRPr="00565919">
        <w:rPr>
          <w:rFonts w:ascii="Times New Roman" w:hAnsi="Times New Roman" w:cs="Times New Roman"/>
          <w:sz w:val="24"/>
          <w:szCs w:val="24"/>
          <w:lang w:val="en-US"/>
        </w:rPr>
        <w:t xml:space="preserve"> positively related </w:t>
      </w:r>
      <w:r w:rsidR="004D7BCA" w:rsidRPr="00565919">
        <w:rPr>
          <w:rFonts w:ascii="Times New Roman" w:hAnsi="Times New Roman" w:cs="Times New Roman"/>
          <w:sz w:val="24"/>
          <w:szCs w:val="24"/>
          <w:lang w:val="en-US"/>
        </w:rPr>
        <w:t xml:space="preserve">to </w:t>
      </w:r>
      <w:r w:rsidR="00324CED" w:rsidRPr="00565919">
        <w:rPr>
          <w:rFonts w:ascii="Times New Roman" w:hAnsi="Times New Roman" w:cs="Times New Roman"/>
          <w:sz w:val="24"/>
          <w:szCs w:val="24"/>
          <w:lang w:val="en-US"/>
        </w:rPr>
        <w:t>workplace misconduct, we conduct three types of analyses. First, we test</w:t>
      </w:r>
      <w:r w:rsidRPr="00565919">
        <w:rPr>
          <w:rFonts w:ascii="Times New Roman" w:hAnsi="Times New Roman" w:cs="Times New Roman"/>
          <w:sz w:val="24"/>
          <w:szCs w:val="24"/>
          <w:lang w:val="en-US"/>
        </w:rPr>
        <w:t xml:space="preserve"> for</w:t>
      </w:r>
      <w:r w:rsidR="00324CED" w:rsidRPr="00565919">
        <w:rPr>
          <w:rFonts w:ascii="Times New Roman" w:hAnsi="Times New Roman" w:cs="Times New Roman"/>
          <w:sz w:val="24"/>
          <w:szCs w:val="24"/>
          <w:lang w:val="en-US"/>
        </w:rPr>
        <w:t xml:space="preserve"> the relationship between </w:t>
      </w:r>
      <w:r w:rsidR="00565919" w:rsidRPr="00565919">
        <w:rPr>
          <w:rFonts w:ascii="Times New Roman" w:hAnsi="Times New Roman" w:cs="Times New Roman"/>
          <w:sz w:val="24"/>
          <w:szCs w:val="24"/>
          <w:lang w:val="en-US"/>
        </w:rPr>
        <w:t xml:space="preserve">CEO </w:t>
      </w:r>
      <w:proofErr w:type="spellStart"/>
      <w:r w:rsidR="00565919" w:rsidRPr="00565919">
        <w:rPr>
          <w:rFonts w:ascii="Times New Roman" w:hAnsi="Times New Roman" w:cs="Times New Roman"/>
          <w:sz w:val="24"/>
          <w:szCs w:val="24"/>
          <w:lang w:val="en-US"/>
        </w:rPr>
        <w:t>vega</w:t>
      </w:r>
      <w:proofErr w:type="spellEnd"/>
      <w:r w:rsidR="00324CED" w:rsidRPr="00565919">
        <w:rPr>
          <w:rFonts w:ascii="Times New Roman" w:hAnsi="Times New Roman" w:cs="Times New Roman"/>
          <w:sz w:val="24"/>
          <w:szCs w:val="24"/>
          <w:lang w:val="en-US"/>
        </w:rPr>
        <w:t xml:space="preserve"> and workplace misconduct </w:t>
      </w:r>
      <w:r w:rsidR="00565919" w:rsidRPr="00565919">
        <w:rPr>
          <w:rFonts w:ascii="Times New Roman" w:hAnsi="Times New Roman" w:cs="Times New Roman"/>
          <w:sz w:val="24"/>
          <w:szCs w:val="24"/>
          <w:lang w:val="en-US"/>
        </w:rPr>
        <w:t xml:space="preserve">for the full sample </w:t>
      </w:r>
      <w:r w:rsidR="00324CED" w:rsidRPr="00565919">
        <w:rPr>
          <w:rFonts w:ascii="Times New Roman" w:hAnsi="Times New Roman" w:cs="Times New Roman"/>
          <w:sz w:val="24"/>
          <w:szCs w:val="24"/>
          <w:lang w:val="en-US"/>
        </w:rPr>
        <w:t xml:space="preserve">using regression analysis. Second, to </w:t>
      </w:r>
      <w:r w:rsidR="004578B2">
        <w:rPr>
          <w:rFonts w:ascii="Times New Roman" w:hAnsi="Times New Roman" w:cs="Times New Roman"/>
          <w:sz w:val="24"/>
          <w:szCs w:val="24"/>
          <w:lang w:val="en-US"/>
        </w:rPr>
        <w:t xml:space="preserve">address the possibility that our results are driven by firm specific characteristics other than CEO </w:t>
      </w:r>
      <w:proofErr w:type="spellStart"/>
      <w:r w:rsidR="004578B2">
        <w:rPr>
          <w:rFonts w:ascii="Times New Roman" w:hAnsi="Times New Roman" w:cs="Times New Roman"/>
          <w:sz w:val="24"/>
          <w:szCs w:val="24"/>
          <w:lang w:val="en-US"/>
        </w:rPr>
        <w:t>vega</w:t>
      </w:r>
      <w:proofErr w:type="spellEnd"/>
      <w:r w:rsidR="004578B2">
        <w:rPr>
          <w:rFonts w:ascii="Times New Roman" w:hAnsi="Times New Roman" w:cs="Times New Roman"/>
          <w:sz w:val="24"/>
          <w:szCs w:val="24"/>
          <w:lang w:val="en-US"/>
        </w:rPr>
        <w:t xml:space="preserve"> </w:t>
      </w:r>
      <w:r w:rsidR="00324CED" w:rsidRPr="00565919">
        <w:rPr>
          <w:rFonts w:ascii="Times New Roman" w:hAnsi="Times New Roman" w:cs="Times New Roman"/>
          <w:sz w:val="24"/>
          <w:szCs w:val="24"/>
          <w:lang w:val="en-US"/>
        </w:rPr>
        <w:t xml:space="preserve">we run tests for matched samples. Finally, we use a quasi-natural experiment </w:t>
      </w:r>
      <w:r w:rsidR="00582922" w:rsidRPr="00565919">
        <w:rPr>
          <w:rFonts w:ascii="Times New Roman" w:hAnsi="Times New Roman" w:cs="Times New Roman"/>
          <w:sz w:val="24"/>
          <w:szCs w:val="24"/>
          <w:lang w:val="en-US"/>
        </w:rPr>
        <w:t xml:space="preserve">where we </w:t>
      </w:r>
      <w:r w:rsidR="00324CED" w:rsidRPr="00565919">
        <w:rPr>
          <w:rFonts w:ascii="Times New Roman" w:hAnsi="Times New Roman" w:cs="Times New Roman"/>
          <w:sz w:val="24"/>
          <w:szCs w:val="24"/>
          <w:lang w:val="en-US"/>
        </w:rPr>
        <w:t xml:space="preserve">employ </w:t>
      </w:r>
      <w:r w:rsidR="00582922" w:rsidRPr="00565919">
        <w:rPr>
          <w:rFonts w:ascii="Times New Roman" w:hAnsi="Times New Roman" w:cs="Times New Roman"/>
          <w:sz w:val="24"/>
          <w:szCs w:val="24"/>
          <w:lang w:val="en-US"/>
        </w:rPr>
        <w:t xml:space="preserve">a </w:t>
      </w:r>
      <w:r w:rsidR="00324CED" w:rsidRPr="00565919">
        <w:rPr>
          <w:rFonts w:ascii="Times New Roman" w:hAnsi="Times New Roman" w:cs="Times New Roman"/>
          <w:sz w:val="24"/>
          <w:szCs w:val="24"/>
          <w:lang w:val="en-US"/>
        </w:rPr>
        <w:t>difference-in</w:t>
      </w:r>
      <w:r w:rsidR="00582922" w:rsidRPr="00565919">
        <w:rPr>
          <w:rFonts w:ascii="Times New Roman" w:hAnsi="Times New Roman" w:cs="Times New Roman"/>
          <w:sz w:val="24"/>
          <w:szCs w:val="24"/>
          <w:lang w:val="en-US"/>
        </w:rPr>
        <w:t>-</w:t>
      </w:r>
      <w:r w:rsidR="00324CED" w:rsidRPr="00565919">
        <w:rPr>
          <w:rFonts w:ascii="Times New Roman" w:hAnsi="Times New Roman" w:cs="Times New Roman"/>
          <w:sz w:val="24"/>
          <w:szCs w:val="24"/>
          <w:lang w:val="en-US"/>
        </w:rPr>
        <w:t>difference</w:t>
      </w:r>
      <w:r w:rsidR="00C075C7">
        <w:rPr>
          <w:rFonts w:ascii="Times New Roman" w:hAnsi="Times New Roman" w:cs="Times New Roman"/>
          <w:sz w:val="24"/>
          <w:szCs w:val="24"/>
          <w:lang w:val="en-US"/>
        </w:rPr>
        <w:t>s</w:t>
      </w:r>
      <w:r w:rsidR="00324CED" w:rsidRPr="00565919">
        <w:rPr>
          <w:rFonts w:ascii="Times New Roman" w:hAnsi="Times New Roman" w:cs="Times New Roman"/>
          <w:sz w:val="24"/>
          <w:szCs w:val="24"/>
          <w:lang w:val="en-US"/>
        </w:rPr>
        <w:t xml:space="preserve"> methodology to </w:t>
      </w:r>
      <w:r w:rsidR="007547F8" w:rsidRPr="00565919">
        <w:rPr>
          <w:rFonts w:ascii="Times New Roman" w:hAnsi="Times New Roman" w:cs="Times New Roman"/>
          <w:sz w:val="24"/>
          <w:szCs w:val="24"/>
          <w:lang w:val="en-US"/>
        </w:rPr>
        <w:t>impute</w:t>
      </w:r>
      <w:r w:rsidR="00DF1E60" w:rsidRPr="00565919">
        <w:rPr>
          <w:rFonts w:ascii="Times New Roman" w:hAnsi="Times New Roman" w:cs="Times New Roman"/>
          <w:sz w:val="24"/>
          <w:szCs w:val="24"/>
          <w:lang w:val="en-US"/>
        </w:rPr>
        <w:t xml:space="preserve"> the</w:t>
      </w:r>
      <w:r w:rsidR="007547F8" w:rsidRPr="00565919">
        <w:rPr>
          <w:rFonts w:ascii="Times New Roman" w:hAnsi="Times New Roman" w:cs="Times New Roman"/>
          <w:sz w:val="24"/>
          <w:szCs w:val="24"/>
          <w:lang w:val="en-US"/>
        </w:rPr>
        <w:t xml:space="preserve"> </w:t>
      </w:r>
      <w:r w:rsidR="00DF1E60" w:rsidRPr="00565919">
        <w:rPr>
          <w:rFonts w:ascii="Times New Roman" w:hAnsi="Times New Roman" w:cs="Times New Roman"/>
          <w:sz w:val="24"/>
          <w:szCs w:val="24"/>
          <w:lang w:val="en-US"/>
        </w:rPr>
        <w:t xml:space="preserve">effect </w:t>
      </w:r>
      <w:r w:rsidR="001D66AD" w:rsidRPr="00565919">
        <w:rPr>
          <w:rFonts w:ascii="Times New Roman" w:hAnsi="Times New Roman" w:cs="Times New Roman"/>
          <w:sz w:val="24"/>
          <w:szCs w:val="24"/>
          <w:lang w:val="en-US"/>
        </w:rPr>
        <w:t>of</w:t>
      </w:r>
      <w:r w:rsidR="007547F8" w:rsidRPr="00565919">
        <w:rPr>
          <w:rFonts w:ascii="Times New Roman" w:hAnsi="Times New Roman" w:cs="Times New Roman"/>
          <w:sz w:val="24"/>
          <w:szCs w:val="24"/>
          <w:lang w:val="en-US"/>
        </w:rPr>
        <w:t xml:space="preserve"> </w:t>
      </w:r>
      <w:r w:rsidR="00DF1E60" w:rsidRPr="00565919">
        <w:rPr>
          <w:rFonts w:ascii="Times New Roman" w:hAnsi="Times New Roman" w:cs="Times New Roman"/>
          <w:i/>
          <w:sz w:val="24"/>
          <w:szCs w:val="24"/>
          <w:lang w:val="en-US"/>
        </w:rPr>
        <w:t>V</w:t>
      </w:r>
      <w:r w:rsidR="007547F8" w:rsidRPr="00565919">
        <w:rPr>
          <w:rFonts w:ascii="Times New Roman" w:hAnsi="Times New Roman" w:cs="Times New Roman"/>
          <w:i/>
          <w:sz w:val="24"/>
          <w:szCs w:val="24"/>
          <w:lang w:val="en-US"/>
        </w:rPr>
        <w:t>ega</w:t>
      </w:r>
      <w:r w:rsidR="007547F8" w:rsidRPr="00565919">
        <w:rPr>
          <w:rFonts w:ascii="Times New Roman" w:hAnsi="Times New Roman" w:cs="Times New Roman"/>
          <w:sz w:val="24"/>
          <w:szCs w:val="24"/>
          <w:lang w:val="en-US"/>
        </w:rPr>
        <w:t xml:space="preserve"> </w:t>
      </w:r>
      <w:r w:rsidR="001D66AD" w:rsidRPr="00565919">
        <w:rPr>
          <w:rFonts w:ascii="Times New Roman" w:hAnsi="Times New Roman" w:cs="Times New Roman"/>
          <w:sz w:val="24"/>
          <w:szCs w:val="24"/>
          <w:lang w:val="en-US"/>
        </w:rPr>
        <w:t xml:space="preserve">on </w:t>
      </w:r>
      <w:r w:rsidR="007547F8" w:rsidRPr="00565919">
        <w:rPr>
          <w:rFonts w:ascii="Times New Roman" w:hAnsi="Times New Roman" w:cs="Times New Roman"/>
          <w:sz w:val="24"/>
          <w:szCs w:val="24"/>
          <w:lang w:val="en-US"/>
        </w:rPr>
        <w:t>workplace misconduct</w:t>
      </w:r>
      <w:r w:rsidR="00324CED" w:rsidRPr="00565919">
        <w:rPr>
          <w:rFonts w:ascii="Times New Roman" w:hAnsi="Times New Roman" w:cs="Times New Roman"/>
          <w:sz w:val="24"/>
          <w:szCs w:val="24"/>
          <w:lang w:val="en-US"/>
        </w:rPr>
        <w:t>.</w:t>
      </w:r>
      <w:r w:rsidR="009E6D55">
        <w:rPr>
          <w:rFonts w:ascii="Times New Roman" w:hAnsi="Times New Roman" w:cs="Times New Roman"/>
          <w:sz w:val="24"/>
          <w:szCs w:val="24"/>
          <w:lang w:val="en-US"/>
        </w:rPr>
        <w:t xml:space="preserve"> </w:t>
      </w:r>
    </w:p>
    <w:p w14:paraId="7272D9A8" w14:textId="77777777" w:rsidR="00891D31" w:rsidRDefault="00891D31" w:rsidP="00786A4A">
      <w:pPr>
        <w:spacing w:after="0" w:line="480" w:lineRule="auto"/>
        <w:ind w:firstLine="720"/>
        <w:jc w:val="both"/>
        <w:rPr>
          <w:rFonts w:ascii="Times New Roman" w:hAnsi="Times New Roman" w:cs="Times New Roman"/>
          <w:sz w:val="24"/>
          <w:szCs w:val="24"/>
          <w:lang w:val="en-US"/>
        </w:rPr>
      </w:pPr>
    </w:p>
    <w:p w14:paraId="00DC8C1D" w14:textId="77777777" w:rsidR="00891D31" w:rsidRDefault="00891D31" w:rsidP="00786A4A">
      <w:pPr>
        <w:spacing w:after="0" w:line="480" w:lineRule="auto"/>
        <w:ind w:firstLine="720"/>
        <w:jc w:val="both"/>
        <w:rPr>
          <w:rFonts w:ascii="Times New Roman" w:hAnsi="Times New Roman" w:cs="Times New Roman"/>
          <w:sz w:val="24"/>
          <w:szCs w:val="24"/>
          <w:lang w:val="en-US"/>
        </w:rPr>
      </w:pPr>
    </w:p>
    <w:p w14:paraId="42861A09" w14:textId="7FB0AE71" w:rsidR="00324CED" w:rsidRPr="00240A3A" w:rsidRDefault="00324CED" w:rsidP="00324CED">
      <w:pPr>
        <w:spacing w:after="0" w:line="480" w:lineRule="auto"/>
        <w:rPr>
          <w:rFonts w:ascii="Times New Roman" w:hAnsi="Times New Roman" w:cs="Times New Roman"/>
          <w:iCs/>
          <w:sz w:val="24"/>
          <w:szCs w:val="24"/>
          <w:lang w:val="en-US"/>
        </w:rPr>
      </w:pPr>
      <w:r w:rsidRPr="00240A3A">
        <w:rPr>
          <w:rFonts w:ascii="Times New Roman" w:hAnsi="Times New Roman" w:cs="Times New Roman"/>
          <w:i/>
          <w:sz w:val="24"/>
          <w:szCs w:val="24"/>
          <w:lang w:val="en-US"/>
        </w:rPr>
        <w:lastRenderedPageBreak/>
        <w:t>5.1. Unmatched</w:t>
      </w:r>
      <w:r w:rsidR="00500013">
        <w:rPr>
          <w:rFonts w:ascii="Times New Roman" w:hAnsi="Times New Roman" w:cs="Times New Roman"/>
          <w:i/>
          <w:sz w:val="24"/>
          <w:szCs w:val="24"/>
          <w:lang w:val="en-US"/>
        </w:rPr>
        <w:t xml:space="preserve"> </w:t>
      </w:r>
      <w:r w:rsidRPr="00240A3A">
        <w:rPr>
          <w:rFonts w:ascii="Times New Roman" w:hAnsi="Times New Roman" w:cs="Times New Roman"/>
          <w:i/>
          <w:sz w:val="24"/>
          <w:szCs w:val="24"/>
          <w:lang w:val="en-US"/>
        </w:rPr>
        <w:t>sample tests</w:t>
      </w:r>
    </w:p>
    <w:p w14:paraId="029D3DE2" w14:textId="40D26B59" w:rsidR="004E1A14" w:rsidRPr="00240A3A" w:rsidRDefault="00324CED" w:rsidP="00786A4A">
      <w:pPr>
        <w:pStyle w:val="Default"/>
        <w:spacing w:line="480" w:lineRule="auto"/>
        <w:ind w:firstLine="720"/>
        <w:jc w:val="both"/>
        <w:rPr>
          <w:iCs/>
          <w:color w:val="auto"/>
          <w:lang w:val="en-US"/>
        </w:rPr>
      </w:pPr>
      <w:r w:rsidRPr="00240A3A">
        <w:rPr>
          <w:iCs/>
          <w:color w:val="auto"/>
          <w:lang w:val="en-US"/>
        </w:rPr>
        <w:t xml:space="preserve">Table </w:t>
      </w:r>
      <w:r w:rsidR="00A85564">
        <w:rPr>
          <w:iCs/>
          <w:color w:val="auto"/>
          <w:lang w:val="en-US"/>
        </w:rPr>
        <w:t>4</w:t>
      </w:r>
      <w:r w:rsidRPr="00240A3A">
        <w:rPr>
          <w:iCs/>
          <w:color w:val="auto"/>
          <w:lang w:val="en-US"/>
        </w:rPr>
        <w:t xml:space="preserve"> shows the results when we</w:t>
      </w:r>
      <w:r w:rsidR="003D0E58" w:rsidRPr="00240A3A">
        <w:rPr>
          <w:iCs/>
          <w:color w:val="auto"/>
          <w:lang w:val="en-US"/>
        </w:rPr>
        <w:t xml:space="preserve"> examine the relation between</w:t>
      </w:r>
      <w:r w:rsidR="003647E9" w:rsidRPr="00240A3A">
        <w:rPr>
          <w:iCs/>
          <w:color w:val="auto"/>
          <w:lang w:val="en-US"/>
        </w:rPr>
        <w:t xml:space="preserve"> CEO risk taking incentives and the incidence of workplace violations using Eq.</w:t>
      </w:r>
      <w:r w:rsidR="001C128D" w:rsidRPr="00240A3A">
        <w:rPr>
          <w:iCs/>
          <w:color w:val="auto"/>
          <w:lang w:val="en-US"/>
        </w:rPr>
        <w:t xml:space="preserve"> </w:t>
      </w:r>
      <w:r w:rsidR="003647E9" w:rsidRPr="00240A3A">
        <w:rPr>
          <w:iCs/>
          <w:color w:val="auto"/>
          <w:lang w:val="en-US"/>
        </w:rPr>
        <w:t xml:space="preserve">(1). We first run this test as an OLS regression where we use the natural </w:t>
      </w:r>
      <w:r w:rsidR="00473742" w:rsidRPr="00240A3A">
        <w:rPr>
          <w:iCs/>
          <w:color w:val="auto"/>
          <w:lang w:val="en-US"/>
        </w:rPr>
        <w:t>log</w:t>
      </w:r>
      <w:r w:rsidR="003647E9" w:rsidRPr="00240A3A">
        <w:rPr>
          <w:iCs/>
          <w:color w:val="auto"/>
          <w:lang w:val="en-US"/>
        </w:rPr>
        <w:t xml:space="preserve"> transformation</w:t>
      </w:r>
      <w:r w:rsidR="003D0E58" w:rsidRPr="00240A3A">
        <w:rPr>
          <w:iCs/>
          <w:color w:val="auto"/>
          <w:lang w:val="en-US"/>
        </w:rPr>
        <w:t xml:space="preserve"> </w:t>
      </w:r>
      <w:r w:rsidR="003647E9" w:rsidRPr="00240A3A">
        <w:rPr>
          <w:iCs/>
          <w:color w:val="auto"/>
          <w:lang w:val="en-US"/>
        </w:rPr>
        <w:t xml:space="preserve">of </w:t>
      </w:r>
      <w:r w:rsidR="001C128D" w:rsidRPr="00240A3A">
        <w:rPr>
          <w:i/>
          <w:iCs/>
          <w:color w:val="auto"/>
          <w:lang w:val="en-US"/>
        </w:rPr>
        <w:t>Violations</w:t>
      </w:r>
      <w:r w:rsidR="001C128D" w:rsidRPr="00240A3A">
        <w:rPr>
          <w:iCs/>
          <w:color w:val="auto"/>
          <w:lang w:val="en-US"/>
        </w:rPr>
        <w:t xml:space="preserve"> </w:t>
      </w:r>
      <w:r w:rsidR="003647E9" w:rsidRPr="00240A3A">
        <w:rPr>
          <w:iCs/>
          <w:color w:val="auto"/>
          <w:lang w:val="en-US"/>
        </w:rPr>
        <w:t>a</w:t>
      </w:r>
      <w:r w:rsidR="00E2681E" w:rsidRPr="00240A3A">
        <w:rPr>
          <w:iCs/>
          <w:color w:val="auto"/>
          <w:lang w:val="en-US"/>
        </w:rPr>
        <w:t>s</w:t>
      </w:r>
      <w:r w:rsidR="003647E9" w:rsidRPr="00240A3A">
        <w:rPr>
          <w:iCs/>
          <w:color w:val="auto"/>
          <w:lang w:val="en-US"/>
        </w:rPr>
        <w:t xml:space="preserve"> the dependent </w:t>
      </w:r>
      <w:r w:rsidR="00774D07" w:rsidRPr="00240A3A">
        <w:rPr>
          <w:iCs/>
          <w:color w:val="auto"/>
          <w:lang w:val="en-US"/>
        </w:rPr>
        <w:t>variable</w:t>
      </w:r>
      <w:r w:rsidR="00C201D0">
        <w:rPr>
          <w:iCs/>
          <w:color w:val="auto"/>
          <w:lang w:val="en-US"/>
        </w:rPr>
        <w:t>. W</w:t>
      </w:r>
      <w:r w:rsidR="0082614F" w:rsidRPr="00240A3A">
        <w:rPr>
          <w:iCs/>
          <w:color w:val="auto"/>
          <w:lang w:val="en-US"/>
        </w:rPr>
        <w:t xml:space="preserve">e present </w:t>
      </w:r>
      <w:r w:rsidR="00C201D0">
        <w:rPr>
          <w:iCs/>
          <w:color w:val="auto"/>
          <w:lang w:val="en-US"/>
        </w:rPr>
        <w:t>the results for this analysis</w:t>
      </w:r>
      <w:r w:rsidR="0082614F" w:rsidRPr="00240A3A">
        <w:rPr>
          <w:iCs/>
          <w:color w:val="auto"/>
          <w:lang w:val="en-US"/>
        </w:rPr>
        <w:t xml:space="preserve"> in column </w:t>
      </w:r>
      <w:r w:rsidR="004E1A14" w:rsidRPr="00240A3A">
        <w:rPr>
          <w:iCs/>
          <w:color w:val="auto"/>
          <w:lang w:val="en-US"/>
        </w:rPr>
        <w:t>(1)</w:t>
      </w:r>
      <w:r w:rsidR="0082614F" w:rsidRPr="00240A3A">
        <w:rPr>
          <w:iCs/>
          <w:color w:val="auto"/>
          <w:lang w:val="en-US"/>
        </w:rPr>
        <w:t xml:space="preserve">. In column </w:t>
      </w:r>
      <w:r w:rsidR="004E1A14" w:rsidRPr="00240A3A">
        <w:rPr>
          <w:iCs/>
          <w:color w:val="auto"/>
          <w:lang w:val="en-US"/>
        </w:rPr>
        <w:t>(2)</w:t>
      </w:r>
      <w:r w:rsidR="0082614F" w:rsidRPr="00240A3A">
        <w:rPr>
          <w:iCs/>
          <w:color w:val="auto"/>
          <w:lang w:val="en-US"/>
        </w:rPr>
        <w:t xml:space="preserve"> we show the results whe</w:t>
      </w:r>
      <w:r w:rsidR="00C201D0">
        <w:rPr>
          <w:iCs/>
          <w:color w:val="auto"/>
          <w:lang w:val="en-US"/>
        </w:rPr>
        <w:t>n</w:t>
      </w:r>
      <w:r w:rsidR="004E1A14" w:rsidRPr="00240A3A">
        <w:rPr>
          <w:iCs/>
          <w:color w:val="auto"/>
          <w:lang w:val="en-US"/>
        </w:rPr>
        <w:t xml:space="preserve"> </w:t>
      </w:r>
      <w:r w:rsidR="003647E9" w:rsidRPr="00240A3A">
        <w:rPr>
          <w:iCs/>
          <w:color w:val="auto"/>
          <w:lang w:val="en-US"/>
        </w:rPr>
        <w:t>we estimate</w:t>
      </w:r>
      <w:r w:rsidRPr="00240A3A">
        <w:rPr>
          <w:iCs/>
          <w:color w:val="auto"/>
          <w:lang w:val="en-US"/>
        </w:rPr>
        <w:t xml:space="preserve"> Eq. (1) </w:t>
      </w:r>
      <w:r w:rsidR="003647E9" w:rsidRPr="00240A3A">
        <w:rPr>
          <w:iCs/>
          <w:color w:val="auto"/>
          <w:lang w:val="en-US"/>
        </w:rPr>
        <w:t>as a</w:t>
      </w:r>
      <w:r w:rsidRPr="00240A3A">
        <w:rPr>
          <w:iCs/>
          <w:color w:val="auto"/>
          <w:lang w:val="en-US"/>
        </w:rPr>
        <w:t xml:space="preserve"> Poisson regression </w:t>
      </w:r>
      <w:r w:rsidR="003647E9" w:rsidRPr="00240A3A">
        <w:rPr>
          <w:iCs/>
          <w:color w:val="auto"/>
          <w:lang w:val="en-US"/>
        </w:rPr>
        <w:t xml:space="preserve">where the dependent variable is the count </w:t>
      </w:r>
      <w:r w:rsidRPr="00240A3A">
        <w:rPr>
          <w:iCs/>
          <w:color w:val="auto"/>
          <w:lang w:val="en-US"/>
        </w:rPr>
        <w:t xml:space="preserve">of </w:t>
      </w:r>
      <w:r w:rsidR="00BC3159" w:rsidRPr="0006010A">
        <w:rPr>
          <w:iCs/>
          <w:color w:val="auto"/>
          <w:lang w:val="en-US"/>
        </w:rPr>
        <w:t>v</w:t>
      </w:r>
      <w:r w:rsidRPr="0006010A">
        <w:rPr>
          <w:iCs/>
          <w:color w:val="auto"/>
          <w:lang w:val="en-US"/>
        </w:rPr>
        <w:t>iolations</w:t>
      </w:r>
      <w:r w:rsidRPr="00240A3A">
        <w:rPr>
          <w:iCs/>
          <w:color w:val="auto"/>
          <w:lang w:val="en-US"/>
        </w:rPr>
        <w:t>.</w:t>
      </w:r>
    </w:p>
    <w:p w14:paraId="1018AB99" w14:textId="3329E794" w:rsidR="00E515ED" w:rsidRPr="00240A3A" w:rsidRDefault="004E1A14" w:rsidP="008C4EC7">
      <w:pPr>
        <w:pStyle w:val="Default"/>
        <w:spacing w:line="480" w:lineRule="auto"/>
        <w:ind w:firstLine="720"/>
        <w:jc w:val="both"/>
        <w:rPr>
          <w:iCs/>
          <w:color w:val="auto"/>
          <w:lang w:val="en-US"/>
        </w:rPr>
      </w:pPr>
      <w:r w:rsidRPr="00240A3A">
        <w:rPr>
          <w:i/>
          <w:color w:val="auto"/>
          <w:lang w:val="en-US"/>
        </w:rPr>
        <w:t xml:space="preserve">Vega </w:t>
      </w:r>
      <w:r w:rsidRPr="00240A3A">
        <w:rPr>
          <w:iCs/>
          <w:color w:val="auto"/>
          <w:lang w:val="en-US"/>
        </w:rPr>
        <w:t xml:space="preserve">is consistently positive and significant while </w:t>
      </w:r>
      <w:r w:rsidRPr="00240A3A">
        <w:rPr>
          <w:i/>
          <w:color w:val="auto"/>
          <w:lang w:val="en-US"/>
        </w:rPr>
        <w:t xml:space="preserve">Delta </w:t>
      </w:r>
      <w:r w:rsidRPr="00240A3A">
        <w:rPr>
          <w:iCs/>
          <w:color w:val="auto"/>
          <w:lang w:val="en-US"/>
        </w:rPr>
        <w:t xml:space="preserve">is insignificant in </w:t>
      </w:r>
      <w:r w:rsidR="007547F8" w:rsidRPr="00240A3A">
        <w:rPr>
          <w:iCs/>
          <w:color w:val="auto"/>
          <w:lang w:val="en-US"/>
        </w:rPr>
        <w:t xml:space="preserve">both </w:t>
      </w:r>
      <w:r w:rsidR="00CF59C9">
        <w:rPr>
          <w:iCs/>
          <w:color w:val="auto"/>
          <w:lang w:val="en-US"/>
        </w:rPr>
        <w:t>specifications</w:t>
      </w:r>
      <w:r w:rsidRPr="00240A3A">
        <w:rPr>
          <w:iCs/>
          <w:color w:val="auto"/>
          <w:lang w:val="en-US"/>
        </w:rPr>
        <w:t xml:space="preserve">. Specifically, </w:t>
      </w:r>
      <w:r w:rsidRPr="00240A3A">
        <w:rPr>
          <w:i/>
          <w:color w:val="auto"/>
          <w:lang w:val="en-US"/>
        </w:rPr>
        <w:t xml:space="preserve">Vega </w:t>
      </w:r>
      <w:r w:rsidRPr="00240A3A">
        <w:rPr>
          <w:iCs/>
          <w:color w:val="auto"/>
          <w:lang w:val="en-US"/>
        </w:rPr>
        <w:t>is significant at the five percent level in specification (1) (t-</w:t>
      </w:r>
      <w:r w:rsidR="007547F8" w:rsidRPr="00240A3A">
        <w:rPr>
          <w:iCs/>
          <w:color w:val="auto"/>
          <w:lang w:val="en-US"/>
        </w:rPr>
        <w:t>stat.:</w:t>
      </w:r>
      <w:r w:rsidRPr="00240A3A">
        <w:rPr>
          <w:iCs/>
          <w:color w:val="auto"/>
          <w:lang w:val="en-US"/>
        </w:rPr>
        <w:t xml:space="preserve"> 2.0</w:t>
      </w:r>
      <w:r w:rsidR="0082614F" w:rsidRPr="00240A3A">
        <w:rPr>
          <w:iCs/>
          <w:color w:val="auto"/>
          <w:lang w:val="en-US"/>
        </w:rPr>
        <w:t>4</w:t>
      </w:r>
      <w:r w:rsidRPr="00240A3A">
        <w:rPr>
          <w:iCs/>
          <w:color w:val="auto"/>
          <w:lang w:val="en-US"/>
        </w:rPr>
        <w:t>) and specification (</w:t>
      </w:r>
      <w:r w:rsidR="0082614F" w:rsidRPr="00240A3A">
        <w:rPr>
          <w:iCs/>
          <w:color w:val="auto"/>
          <w:lang w:val="en-US"/>
        </w:rPr>
        <w:t>2</w:t>
      </w:r>
      <w:r w:rsidRPr="00240A3A">
        <w:rPr>
          <w:iCs/>
          <w:color w:val="auto"/>
          <w:lang w:val="en-US"/>
        </w:rPr>
        <w:t>) (</w:t>
      </w:r>
      <w:r w:rsidR="003C7F31" w:rsidRPr="00240A3A">
        <w:rPr>
          <w:iCs/>
          <w:color w:val="auto"/>
          <w:lang w:val="en-US"/>
        </w:rPr>
        <w:t>z</w:t>
      </w:r>
      <w:r w:rsidRPr="00240A3A">
        <w:rPr>
          <w:iCs/>
          <w:color w:val="auto"/>
          <w:lang w:val="en-US"/>
        </w:rPr>
        <w:t>-</w:t>
      </w:r>
      <w:r w:rsidR="007547F8" w:rsidRPr="00240A3A">
        <w:rPr>
          <w:iCs/>
          <w:color w:val="auto"/>
          <w:lang w:val="en-US"/>
        </w:rPr>
        <w:t xml:space="preserve">stat.: </w:t>
      </w:r>
      <w:r w:rsidRPr="00240A3A">
        <w:rPr>
          <w:iCs/>
          <w:color w:val="auto"/>
          <w:lang w:val="en-US"/>
        </w:rPr>
        <w:t>of 2.</w:t>
      </w:r>
      <w:r w:rsidR="0082614F" w:rsidRPr="00240A3A">
        <w:rPr>
          <w:iCs/>
          <w:color w:val="auto"/>
          <w:lang w:val="en-US"/>
        </w:rPr>
        <w:t>37</w:t>
      </w:r>
      <w:r w:rsidRPr="00240A3A">
        <w:rPr>
          <w:iCs/>
          <w:color w:val="auto"/>
          <w:lang w:val="en-US"/>
        </w:rPr>
        <w:t xml:space="preserve">). </w:t>
      </w:r>
      <w:r w:rsidR="00E2681E" w:rsidRPr="00240A3A">
        <w:rPr>
          <w:iCs/>
          <w:color w:val="auto"/>
          <w:lang w:val="en-US"/>
        </w:rPr>
        <w:t xml:space="preserve">The results are not only statistically significant but also economically significant. Specifically, the results of </w:t>
      </w:r>
      <w:r w:rsidRPr="00240A3A">
        <w:rPr>
          <w:iCs/>
          <w:color w:val="auto"/>
          <w:lang w:val="en-US"/>
        </w:rPr>
        <w:t xml:space="preserve">specification (1) </w:t>
      </w:r>
      <w:r w:rsidR="00712D8F">
        <w:rPr>
          <w:iCs/>
          <w:color w:val="auto"/>
          <w:lang w:val="en-US"/>
        </w:rPr>
        <w:t xml:space="preserve">suggest </w:t>
      </w:r>
      <w:r w:rsidRPr="00240A3A">
        <w:rPr>
          <w:iCs/>
          <w:color w:val="auto"/>
          <w:lang w:val="en-US"/>
        </w:rPr>
        <w:t>a</w:t>
      </w:r>
      <w:r w:rsidR="004E20D7" w:rsidRPr="00240A3A">
        <w:rPr>
          <w:iCs/>
          <w:color w:val="auto"/>
          <w:lang w:val="en-US"/>
        </w:rPr>
        <w:t xml:space="preserve"> one standard deviation increase in CEO </w:t>
      </w:r>
      <w:proofErr w:type="spellStart"/>
      <w:r w:rsidR="004E20D7" w:rsidRPr="00240A3A">
        <w:rPr>
          <w:iCs/>
          <w:color w:val="auto"/>
          <w:lang w:val="en-US"/>
        </w:rPr>
        <w:t>vega</w:t>
      </w:r>
      <w:proofErr w:type="spellEnd"/>
      <w:r w:rsidR="004E20D7" w:rsidRPr="00240A3A">
        <w:rPr>
          <w:iCs/>
          <w:color w:val="auto"/>
          <w:lang w:val="en-US"/>
        </w:rPr>
        <w:t xml:space="preserve"> is related to </w:t>
      </w:r>
      <w:r w:rsidR="0053599F">
        <w:rPr>
          <w:iCs/>
          <w:color w:val="auto"/>
          <w:lang w:val="en-US"/>
        </w:rPr>
        <w:t>a</w:t>
      </w:r>
      <w:r w:rsidR="004E20D7" w:rsidRPr="00240A3A">
        <w:rPr>
          <w:iCs/>
          <w:color w:val="auto"/>
          <w:lang w:val="en-US"/>
        </w:rPr>
        <w:t xml:space="preserve"> 6.7</w:t>
      </w:r>
      <w:r w:rsidR="009574BA">
        <w:rPr>
          <w:iCs/>
          <w:color w:val="auto"/>
          <w:lang w:val="en-US"/>
        </w:rPr>
        <w:t xml:space="preserve"> percent</w:t>
      </w:r>
      <w:r w:rsidR="004E20D7" w:rsidRPr="00240A3A">
        <w:rPr>
          <w:iCs/>
          <w:color w:val="auto"/>
          <w:lang w:val="en-US"/>
        </w:rPr>
        <w:t xml:space="preserve"> </w:t>
      </w:r>
      <w:r w:rsidR="0053599F">
        <w:rPr>
          <w:iCs/>
          <w:color w:val="auto"/>
          <w:lang w:val="en-US"/>
        </w:rPr>
        <w:t xml:space="preserve">increase </w:t>
      </w:r>
      <w:r w:rsidR="0064743E" w:rsidRPr="00240A3A">
        <w:rPr>
          <w:iCs/>
          <w:color w:val="auto"/>
          <w:lang w:val="en-US"/>
        </w:rPr>
        <w:t>in the number of violations for the mean observation in our sample</w:t>
      </w:r>
      <w:r w:rsidR="00E2681E" w:rsidRPr="00240A3A">
        <w:rPr>
          <w:iCs/>
          <w:color w:val="auto"/>
          <w:lang w:val="en-US"/>
        </w:rPr>
        <w:t>.</w:t>
      </w:r>
      <w:r w:rsidR="00E2681E" w:rsidRPr="00240A3A">
        <w:rPr>
          <w:rStyle w:val="FootnoteReference"/>
          <w:iCs/>
          <w:color w:val="auto"/>
          <w:lang w:val="en-US"/>
        </w:rPr>
        <w:footnoteReference w:id="14"/>
      </w:r>
      <w:r w:rsidR="00E2681E" w:rsidRPr="00240A3A">
        <w:rPr>
          <w:iCs/>
          <w:color w:val="auto"/>
          <w:lang w:val="en-US"/>
        </w:rPr>
        <w:t xml:space="preserve"> </w:t>
      </w:r>
    </w:p>
    <w:p w14:paraId="2E80A4E0" w14:textId="69A5DE99" w:rsidR="00573314" w:rsidRPr="00240A3A" w:rsidRDefault="00573314">
      <w:pPr>
        <w:pStyle w:val="Default"/>
        <w:spacing w:line="480" w:lineRule="auto"/>
        <w:ind w:firstLine="720"/>
        <w:jc w:val="both"/>
        <w:rPr>
          <w:iCs/>
          <w:color w:val="auto"/>
          <w:lang w:val="en-US"/>
        </w:rPr>
      </w:pPr>
      <w:r w:rsidRPr="00240A3A">
        <w:rPr>
          <w:iCs/>
          <w:color w:val="auto"/>
          <w:lang w:val="en-US"/>
        </w:rPr>
        <w:t>While the increase in the number of violations might appear small given the average number of violations in our sample, it is pertinent to note that the</w:t>
      </w:r>
      <w:r w:rsidR="00907755" w:rsidRPr="00240A3A">
        <w:rPr>
          <w:iCs/>
          <w:color w:val="auto"/>
          <w:lang w:val="en-US"/>
        </w:rPr>
        <w:t xml:space="preserve"> social</w:t>
      </w:r>
      <w:r w:rsidRPr="00240A3A">
        <w:rPr>
          <w:iCs/>
          <w:color w:val="auto"/>
          <w:lang w:val="en-US"/>
        </w:rPr>
        <w:t xml:space="preserve"> cost, in terms of penalties, legal liability</w:t>
      </w:r>
      <w:r w:rsidR="009A1A59" w:rsidRPr="00240A3A">
        <w:rPr>
          <w:iCs/>
          <w:color w:val="auto"/>
          <w:lang w:val="en-US"/>
        </w:rPr>
        <w:t>,</w:t>
      </w:r>
      <w:r w:rsidRPr="00240A3A">
        <w:rPr>
          <w:iCs/>
          <w:color w:val="auto"/>
          <w:lang w:val="en-US"/>
        </w:rPr>
        <w:t xml:space="preserve"> and reputational damage </w:t>
      </w:r>
      <w:r w:rsidR="00774D07" w:rsidRPr="00240A3A">
        <w:rPr>
          <w:iCs/>
          <w:color w:val="auto"/>
          <w:lang w:val="en-US"/>
        </w:rPr>
        <w:t xml:space="preserve">to companies </w:t>
      </w:r>
      <w:r w:rsidRPr="00240A3A">
        <w:rPr>
          <w:iCs/>
          <w:color w:val="auto"/>
          <w:lang w:val="en-US"/>
        </w:rPr>
        <w:t xml:space="preserve">is significant. While the total </w:t>
      </w:r>
      <w:r w:rsidR="00907755" w:rsidRPr="00240A3A">
        <w:rPr>
          <w:iCs/>
          <w:color w:val="auto"/>
          <w:lang w:val="en-US"/>
        </w:rPr>
        <w:t xml:space="preserve">social and economic </w:t>
      </w:r>
      <w:r w:rsidRPr="00240A3A">
        <w:rPr>
          <w:iCs/>
          <w:color w:val="auto"/>
          <w:lang w:val="en-US"/>
        </w:rPr>
        <w:t xml:space="preserve">cost of a violation is difficult to estimate, </w:t>
      </w:r>
      <w:r w:rsidR="009D1B15" w:rsidRPr="00240A3A">
        <w:rPr>
          <w:iCs/>
          <w:color w:val="auto"/>
          <w:lang w:val="en-US"/>
        </w:rPr>
        <w:t xml:space="preserve">the </w:t>
      </w:r>
      <w:r w:rsidRPr="00240A3A">
        <w:rPr>
          <w:iCs/>
          <w:color w:val="auto"/>
          <w:lang w:val="en-US"/>
        </w:rPr>
        <w:t>ILO (2013) estimate</w:t>
      </w:r>
      <w:r w:rsidR="008C4EC7" w:rsidRPr="00240A3A">
        <w:rPr>
          <w:iCs/>
          <w:color w:val="auto"/>
          <w:lang w:val="en-US"/>
        </w:rPr>
        <w:t>s</w:t>
      </w:r>
      <w:r w:rsidRPr="00240A3A">
        <w:rPr>
          <w:iCs/>
          <w:color w:val="auto"/>
          <w:lang w:val="en-US"/>
        </w:rPr>
        <w:t xml:space="preserve"> the total</w:t>
      </w:r>
      <w:r w:rsidR="008C4EC7" w:rsidRPr="00240A3A">
        <w:rPr>
          <w:iCs/>
          <w:color w:val="auto"/>
          <w:lang w:val="en-US"/>
        </w:rPr>
        <w:t xml:space="preserve"> global</w:t>
      </w:r>
      <w:r w:rsidRPr="00240A3A">
        <w:rPr>
          <w:iCs/>
          <w:color w:val="auto"/>
          <w:lang w:val="en-US"/>
        </w:rPr>
        <w:t xml:space="preserve"> cost of workplace misconduct at $2.8 trillion. </w:t>
      </w:r>
      <w:r w:rsidR="009A1A59" w:rsidRPr="00240A3A">
        <w:rPr>
          <w:iCs/>
          <w:color w:val="auto"/>
          <w:lang w:val="en-US"/>
        </w:rPr>
        <w:t>Assuming a linear relation between the number of violations and the cost of workplace misconduct, i</w:t>
      </w:r>
      <w:r w:rsidRPr="00240A3A">
        <w:rPr>
          <w:iCs/>
          <w:color w:val="auto"/>
          <w:lang w:val="en-US"/>
        </w:rPr>
        <w:t>f all firms increase</w:t>
      </w:r>
      <w:r w:rsidR="009A1A59" w:rsidRPr="00240A3A">
        <w:rPr>
          <w:iCs/>
          <w:color w:val="auto"/>
          <w:lang w:val="en-US"/>
        </w:rPr>
        <w:t>d</w:t>
      </w:r>
      <w:r w:rsidRPr="00240A3A">
        <w:rPr>
          <w:iCs/>
          <w:color w:val="auto"/>
          <w:lang w:val="en-US"/>
        </w:rPr>
        <w:t xml:space="preserve"> the number of violations by </w:t>
      </w:r>
      <w:r w:rsidR="0064743E" w:rsidRPr="00240A3A">
        <w:rPr>
          <w:iCs/>
          <w:color w:val="auto"/>
          <w:lang w:val="en-US"/>
        </w:rPr>
        <w:t>6.7</w:t>
      </w:r>
      <w:r w:rsidR="009574BA">
        <w:rPr>
          <w:iCs/>
          <w:color w:val="auto"/>
          <w:lang w:val="en-US"/>
        </w:rPr>
        <w:t xml:space="preserve"> percent</w:t>
      </w:r>
      <w:r w:rsidR="009A1A59" w:rsidRPr="00240A3A">
        <w:rPr>
          <w:iCs/>
          <w:color w:val="auto"/>
          <w:lang w:val="en-US"/>
        </w:rPr>
        <w:t xml:space="preserve">, </w:t>
      </w:r>
      <w:r w:rsidRPr="00240A3A">
        <w:rPr>
          <w:iCs/>
          <w:color w:val="auto"/>
          <w:lang w:val="en-US"/>
        </w:rPr>
        <w:t xml:space="preserve">then such an increase would translate </w:t>
      </w:r>
      <w:r w:rsidR="009A1A59" w:rsidRPr="00240A3A">
        <w:rPr>
          <w:iCs/>
          <w:color w:val="auto"/>
          <w:lang w:val="en-US"/>
        </w:rPr>
        <w:t>to a</w:t>
      </w:r>
      <w:r w:rsidR="00C201D0">
        <w:rPr>
          <w:iCs/>
          <w:color w:val="auto"/>
          <w:lang w:val="en-US"/>
        </w:rPr>
        <w:t>n increase</w:t>
      </w:r>
      <w:r w:rsidRPr="00240A3A">
        <w:rPr>
          <w:iCs/>
          <w:color w:val="auto"/>
          <w:lang w:val="en-US"/>
        </w:rPr>
        <w:t xml:space="preserve"> of $</w:t>
      </w:r>
      <w:r w:rsidR="0064743E" w:rsidRPr="00240A3A">
        <w:rPr>
          <w:iCs/>
          <w:color w:val="auto"/>
          <w:lang w:val="en-US"/>
        </w:rPr>
        <w:t xml:space="preserve">187 </w:t>
      </w:r>
      <w:r w:rsidRPr="00240A3A">
        <w:rPr>
          <w:iCs/>
          <w:color w:val="auto"/>
          <w:lang w:val="en-US"/>
        </w:rPr>
        <w:t xml:space="preserve">billion in the </w:t>
      </w:r>
      <w:r w:rsidR="00907755" w:rsidRPr="00240A3A">
        <w:rPr>
          <w:iCs/>
          <w:color w:val="auto"/>
          <w:lang w:val="en-US"/>
        </w:rPr>
        <w:t xml:space="preserve">economic </w:t>
      </w:r>
      <w:r w:rsidRPr="00240A3A">
        <w:rPr>
          <w:iCs/>
          <w:color w:val="auto"/>
          <w:lang w:val="en-US"/>
        </w:rPr>
        <w:t>cost of workplace misconduct.</w:t>
      </w:r>
    </w:p>
    <w:p w14:paraId="71B1359B" w14:textId="1B597883" w:rsidR="008A66DF" w:rsidRPr="00240A3A" w:rsidRDefault="00573314" w:rsidP="00D75B0B">
      <w:pPr>
        <w:pStyle w:val="Default"/>
        <w:spacing w:line="480" w:lineRule="auto"/>
        <w:ind w:firstLine="720"/>
        <w:jc w:val="both"/>
        <w:rPr>
          <w:iCs/>
          <w:color w:val="auto"/>
          <w:lang w:val="en-US"/>
        </w:rPr>
      </w:pPr>
      <w:r w:rsidRPr="00240A3A">
        <w:rPr>
          <w:iCs/>
          <w:color w:val="auto"/>
          <w:lang w:val="en-US"/>
        </w:rPr>
        <w:t>Finally</w:t>
      </w:r>
      <w:r w:rsidR="00E2681E" w:rsidRPr="00240A3A">
        <w:rPr>
          <w:iCs/>
          <w:color w:val="auto"/>
          <w:lang w:val="en-US"/>
        </w:rPr>
        <w:t>, t</w:t>
      </w:r>
      <w:r w:rsidR="00324CED" w:rsidRPr="00240A3A">
        <w:rPr>
          <w:iCs/>
          <w:color w:val="auto"/>
          <w:lang w:val="en-US"/>
        </w:rPr>
        <w:t>he</w:t>
      </w:r>
      <w:r w:rsidR="000D6F44" w:rsidRPr="00240A3A">
        <w:rPr>
          <w:iCs/>
          <w:color w:val="auto"/>
          <w:lang w:val="en-US"/>
        </w:rPr>
        <w:t xml:space="preserve"> insignificant</w:t>
      </w:r>
      <w:r w:rsidR="00324CED" w:rsidRPr="00240A3A">
        <w:rPr>
          <w:iCs/>
          <w:color w:val="auto"/>
          <w:lang w:val="en-US"/>
        </w:rPr>
        <w:t xml:space="preserve"> coefficients</w:t>
      </w:r>
      <w:r w:rsidR="00E2681E" w:rsidRPr="00240A3A">
        <w:rPr>
          <w:iCs/>
          <w:color w:val="auto"/>
          <w:lang w:val="en-US"/>
        </w:rPr>
        <w:t xml:space="preserve"> on both </w:t>
      </w:r>
      <w:r w:rsidR="00E2681E" w:rsidRPr="00240A3A">
        <w:rPr>
          <w:i/>
          <w:iCs/>
          <w:color w:val="auto"/>
          <w:lang w:val="en-US"/>
        </w:rPr>
        <w:t xml:space="preserve">Delta </w:t>
      </w:r>
      <w:r w:rsidR="00E2681E" w:rsidRPr="00240A3A">
        <w:rPr>
          <w:iCs/>
          <w:color w:val="auto"/>
          <w:lang w:val="en-US"/>
        </w:rPr>
        <w:t xml:space="preserve">and </w:t>
      </w:r>
      <w:proofErr w:type="spellStart"/>
      <w:r w:rsidR="00E2681E" w:rsidRPr="00240A3A">
        <w:rPr>
          <w:i/>
          <w:iCs/>
          <w:color w:val="auto"/>
          <w:lang w:val="en-US"/>
        </w:rPr>
        <w:t>CashComp</w:t>
      </w:r>
      <w:proofErr w:type="spellEnd"/>
      <w:r w:rsidR="00E2681E" w:rsidRPr="00240A3A">
        <w:rPr>
          <w:iCs/>
          <w:color w:val="auto"/>
          <w:lang w:val="en-US"/>
        </w:rPr>
        <w:t xml:space="preserve"> </w:t>
      </w:r>
      <w:r w:rsidR="000D6F44" w:rsidRPr="00240A3A">
        <w:rPr>
          <w:iCs/>
          <w:color w:val="auto"/>
          <w:lang w:val="en-US"/>
        </w:rPr>
        <w:t>suggest</w:t>
      </w:r>
      <w:r w:rsidR="00E2681E" w:rsidRPr="00240A3A">
        <w:rPr>
          <w:iCs/>
          <w:color w:val="auto"/>
          <w:lang w:val="en-US"/>
        </w:rPr>
        <w:t xml:space="preserve"> that</w:t>
      </w:r>
      <w:r w:rsidR="00324CED" w:rsidRPr="00240A3A">
        <w:rPr>
          <w:iCs/>
          <w:color w:val="auto"/>
          <w:lang w:val="en-US"/>
        </w:rPr>
        <w:t xml:space="preserve"> </w:t>
      </w:r>
      <w:r w:rsidR="00324CED" w:rsidRPr="00240A3A">
        <w:rPr>
          <w:i/>
          <w:iCs/>
          <w:color w:val="auto"/>
          <w:lang w:val="en-US"/>
        </w:rPr>
        <w:t>Vega</w:t>
      </w:r>
      <w:r w:rsidR="00324CED" w:rsidRPr="00240A3A">
        <w:rPr>
          <w:iCs/>
          <w:color w:val="auto"/>
          <w:lang w:val="en-US"/>
        </w:rPr>
        <w:t xml:space="preserve"> completely </w:t>
      </w:r>
      <w:r w:rsidR="00E2681E" w:rsidRPr="00240A3A">
        <w:rPr>
          <w:iCs/>
          <w:color w:val="auto"/>
          <w:lang w:val="en-US"/>
        </w:rPr>
        <w:t xml:space="preserve">captures the incentives arising from CEO compensation. These results are </w:t>
      </w:r>
      <w:r w:rsidR="003403C3" w:rsidRPr="00240A3A">
        <w:rPr>
          <w:iCs/>
          <w:color w:val="auto"/>
          <w:lang w:val="en-US"/>
        </w:rPr>
        <w:t>in line with prior literature, in particular</w:t>
      </w:r>
      <w:r w:rsidR="00786A4A" w:rsidRPr="00240A3A">
        <w:rPr>
          <w:iCs/>
          <w:color w:val="auto"/>
          <w:lang w:val="en-US"/>
        </w:rPr>
        <w:t>,</w:t>
      </w:r>
      <w:r w:rsidR="003403C3" w:rsidRPr="00240A3A">
        <w:rPr>
          <w:iCs/>
          <w:color w:val="auto"/>
          <w:lang w:val="en-US"/>
        </w:rPr>
        <w:t xml:space="preserve"> </w:t>
      </w:r>
      <w:r w:rsidR="003403C3" w:rsidRPr="00240A3A">
        <w:rPr>
          <w:lang w:val="en-US"/>
        </w:rPr>
        <w:t>Armstrong</w:t>
      </w:r>
      <w:r w:rsidR="00094BA9">
        <w:rPr>
          <w:lang w:val="en-US"/>
        </w:rPr>
        <w:t xml:space="preserve"> et al.</w:t>
      </w:r>
      <w:r w:rsidR="003403C3" w:rsidRPr="00240A3A">
        <w:rPr>
          <w:lang w:val="en-US"/>
        </w:rPr>
        <w:t xml:space="preserve"> (2013).</w:t>
      </w:r>
      <w:r w:rsidR="00E2681E" w:rsidRPr="00240A3A">
        <w:rPr>
          <w:iCs/>
          <w:color w:val="auto"/>
          <w:lang w:val="en-US"/>
        </w:rPr>
        <w:t xml:space="preserve"> </w:t>
      </w:r>
      <w:r w:rsidR="008A66DF" w:rsidRPr="00240A3A">
        <w:rPr>
          <w:iCs/>
          <w:color w:val="auto"/>
          <w:lang w:val="en-US"/>
        </w:rPr>
        <w:t xml:space="preserve">In </w:t>
      </w:r>
      <w:r w:rsidR="00454976" w:rsidRPr="00240A3A">
        <w:rPr>
          <w:iCs/>
          <w:color w:val="auto"/>
          <w:lang w:val="en-US"/>
        </w:rPr>
        <w:t xml:space="preserve">both </w:t>
      </w:r>
      <w:r w:rsidR="000D6F44" w:rsidRPr="00240A3A">
        <w:rPr>
          <w:iCs/>
          <w:color w:val="auto"/>
          <w:lang w:val="en-US"/>
        </w:rPr>
        <w:t>specifications</w:t>
      </w:r>
      <w:r w:rsidR="007770A8" w:rsidRPr="00240A3A">
        <w:rPr>
          <w:iCs/>
          <w:color w:val="auto"/>
          <w:lang w:val="en-US"/>
        </w:rPr>
        <w:t>,</w:t>
      </w:r>
      <w:r w:rsidR="008A66DF" w:rsidRPr="00240A3A">
        <w:rPr>
          <w:iCs/>
          <w:color w:val="auto"/>
          <w:lang w:val="en-US"/>
        </w:rPr>
        <w:t xml:space="preserve"> the</w:t>
      </w:r>
      <w:r w:rsidR="000D6F44" w:rsidRPr="00240A3A">
        <w:rPr>
          <w:iCs/>
          <w:color w:val="auto"/>
          <w:lang w:val="en-US"/>
        </w:rPr>
        <w:t xml:space="preserve"> size of the firm </w:t>
      </w:r>
      <w:r w:rsidR="000D6F44" w:rsidRPr="00240A3A">
        <w:rPr>
          <w:iCs/>
          <w:color w:val="auto"/>
          <w:lang w:val="en-US"/>
        </w:rPr>
        <w:lastRenderedPageBreak/>
        <w:t>and the</w:t>
      </w:r>
      <w:r w:rsidR="008A66DF" w:rsidRPr="00240A3A">
        <w:rPr>
          <w:iCs/>
          <w:color w:val="auto"/>
          <w:lang w:val="en-US"/>
        </w:rPr>
        <w:t xml:space="preserve"> </w:t>
      </w:r>
      <w:r w:rsidR="00A1433B" w:rsidRPr="00240A3A">
        <w:rPr>
          <w:iCs/>
          <w:color w:val="auto"/>
          <w:lang w:val="en-US"/>
        </w:rPr>
        <w:t xml:space="preserve">number of employees </w:t>
      </w:r>
      <w:r w:rsidR="00774D07">
        <w:rPr>
          <w:iCs/>
          <w:color w:val="auto"/>
          <w:lang w:val="en-US"/>
        </w:rPr>
        <w:t>are</w:t>
      </w:r>
      <w:r w:rsidR="00FA6C5C" w:rsidRPr="00240A3A">
        <w:rPr>
          <w:iCs/>
          <w:color w:val="auto"/>
          <w:lang w:val="en-US"/>
        </w:rPr>
        <w:t xml:space="preserve"> </w:t>
      </w:r>
      <w:r w:rsidR="003403C3" w:rsidRPr="00240A3A">
        <w:rPr>
          <w:iCs/>
          <w:color w:val="auto"/>
          <w:lang w:val="en-US"/>
        </w:rPr>
        <w:t xml:space="preserve">positively </w:t>
      </w:r>
      <w:r w:rsidR="008A66DF" w:rsidRPr="00240A3A">
        <w:rPr>
          <w:iCs/>
          <w:color w:val="auto"/>
          <w:lang w:val="en-US"/>
        </w:rPr>
        <w:t xml:space="preserve">related to </w:t>
      </w:r>
      <w:r w:rsidR="007770A8" w:rsidRPr="00240A3A">
        <w:rPr>
          <w:iCs/>
          <w:color w:val="auto"/>
          <w:lang w:val="en-US"/>
        </w:rPr>
        <w:t xml:space="preserve">the </w:t>
      </w:r>
      <w:r w:rsidR="00A1433B" w:rsidRPr="00240A3A">
        <w:rPr>
          <w:iCs/>
          <w:color w:val="auto"/>
          <w:lang w:val="en-US"/>
        </w:rPr>
        <w:t xml:space="preserve">number of violations suggesting that the </w:t>
      </w:r>
      <w:r w:rsidR="00E3574A">
        <w:rPr>
          <w:iCs/>
          <w:color w:val="auto"/>
          <w:lang w:val="en-US"/>
        </w:rPr>
        <w:t>larger</w:t>
      </w:r>
      <w:r w:rsidR="00A1433B" w:rsidRPr="00240A3A">
        <w:rPr>
          <w:iCs/>
          <w:color w:val="auto"/>
          <w:lang w:val="en-US"/>
        </w:rPr>
        <w:t xml:space="preserve"> the</w:t>
      </w:r>
      <w:r w:rsidR="000D6F44" w:rsidRPr="00240A3A">
        <w:rPr>
          <w:iCs/>
          <w:color w:val="auto"/>
          <w:lang w:val="en-US"/>
        </w:rPr>
        <w:t xml:space="preserve"> size of the firm and the greater the</w:t>
      </w:r>
      <w:r w:rsidR="00A1433B" w:rsidRPr="00240A3A">
        <w:rPr>
          <w:iCs/>
          <w:color w:val="auto"/>
          <w:lang w:val="en-US"/>
        </w:rPr>
        <w:t xml:space="preserve"> number of </w:t>
      </w:r>
      <w:r w:rsidR="00582922" w:rsidRPr="00240A3A">
        <w:rPr>
          <w:iCs/>
          <w:color w:val="auto"/>
          <w:lang w:val="en-US"/>
        </w:rPr>
        <w:t>employees,</w:t>
      </w:r>
      <w:r w:rsidR="00A1433B" w:rsidRPr="00240A3A">
        <w:rPr>
          <w:iCs/>
          <w:color w:val="auto"/>
          <w:lang w:val="en-US"/>
        </w:rPr>
        <w:t xml:space="preserve"> the greater the incidence of workplace violations. </w:t>
      </w:r>
    </w:p>
    <w:p w14:paraId="05CDEB7C" w14:textId="527106C4" w:rsidR="006D5EDE" w:rsidRPr="00240A3A" w:rsidRDefault="00245C1C" w:rsidP="00DA7C76">
      <w:pPr>
        <w:pStyle w:val="Default"/>
        <w:spacing w:line="480" w:lineRule="auto"/>
        <w:ind w:firstLine="720"/>
        <w:jc w:val="both"/>
        <w:rPr>
          <w:iCs/>
          <w:color w:val="auto"/>
          <w:lang w:val="en-US"/>
        </w:rPr>
      </w:pPr>
      <w:r>
        <w:rPr>
          <w:iCs/>
          <w:lang w:val="en-US"/>
        </w:rPr>
        <w:t>Next</w:t>
      </w:r>
      <w:r w:rsidR="00A1433B" w:rsidRPr="00240A3A">
        <w:rPr>
          <w:iCs/>
          <w:lang w:val="en-US"/>
        </w:rPr>
        <w:t xml:space="preserve">, we examine the relation between </w:t>
      </w:r>
      <w:r w:rsidR="00A1433B" w:rsidRPr="00240A3A">
        <w:rPr>
          <w:i/>
          <w:iCs/>
          <w:lang w:val="en-US"/>
        </w:rPr>
        <w:t xml:space="preserve">Vega </w:t>
      </w:r>
      <w:r w:rsidR="00A1433B" w:rsidRPr="00240A3A">
        <w:rPr>
          <w:iCs/>
          <w:lang w:val="en-US"/>
        </w:rPr>
        <w:t xml:space="preserve">and the severity of workplace violations. </w:t>
      </w:r>
      <w:r w:rsidR="008315CE" w:rsidRPr="00240A3A">
        <w:rPr>
          <w:iCs/>
          <w:lang w:val="en-US"/>
        </w:rPr>
        <w:t xml:space="preserve">Table </w:t>
      </w:r>
      <w:r w:rsidR="00A85564">
        <w:rPr>
          <w:iCs/>
          <w:lang w:val="en-US"/>
        </w:rPr>
        <w:t>5</w:t>
      </w:r>
      <w:r w:rsidR="008315CE" w:rsidRPr="00240A3A">
        <w:rPr>
          <w:iCs/>
          <w:lang w:val="en-US"/>
        </w:rPr>
        <w:t xml:space="preserve"> present</w:t>
      </w:r>
      <w:r w:rsidR="00A74FB7" w:rsidRPr="00240A3A">
        <w:rPr>
          <w:iCs/>
          <w:lang w:val="en-US"/>
        </w:rPr>
        <w:t>s</w:t>
      </w:r>
      <w:r w:rsidR="008315CE" w:rsidRPr="00240A3A">
        <w:rPr>
          <w:iCs/>
          <w:lang w:val="en-US"/>
        </w:rPr>
        <w:t xml:space="preserve"> </w:t>
      </w:r>
      <w:r w:rsidR="00A74FB7" w:rsidRPr="00240A3A">
        <w:rPr>
          <w:iCs/>
          <w:lang w:val="en-US"/>
        </w:rPr>
        <w:t xml:space="preserve">the </w:t>
      </w:r>
      <w:r w:rsidR="008315CE" w:rsidRPr="00240A3A">
        <w:rPr>
          <w:iCs/>
          <w:lang w:val="en-US"/>
        </w:rPr>
        <w:t xml:space="preserve">results </w:t>
      </w:r>
      <w:r w:rsidR="00A1433B" w:rsidRPr="00240A3A">
        <w:rPr>
          <w:iCs/>
          <w:lang w:val="en-US"/>
        </w:rPr>
        <w:t xml:space="preserve">for these tests. </w:t>
      </w:r>
      <w:r w:rsidR="00774D07">
        <w:rPr>
          <w:iCs/>
          <w:lang w:val="en-US"/>
        </w:rPr>
        <w:t>Like</w:t>
      </w:r>
      <w:r w:rsidR="003C7F31" w:rsidRPr="00240A3A">
        <w:rPr>
          <w:iCs/>
          <w:lang w:val="en-US"/>
        </w:rPr>
        <w:t xml:space="preserve"> Table </w:t>
      </w:r>
      <w:r w:rsidR="00A85564">
        <w:rPr>
          <w:iCs/>
          <w:lang w:val="en-US"/>
        </w:rPr>
        <w:t>4</w:t>
      </w:r>
      <w:r w:rsidR="003C7F31" w:rsidRPr="00240A3A">
        <w:rPr>
          <w:iCs/>
          <w:lang w:val="en-US"/>
        </w:rPr>
        <w:t xml:space="preserve">, </w:t>
      </w:r>
      <w:r w:rsidR="00365983" w:rsidRPr="00240A3A">
        <w:rPr>
          <w:iCs/>
          <w:lang w:val="en-US"/>
        </w:rPr>
        <w:t xml:space="preserve">in column (1) </w:t>
      </w:r>
      <w:r w:rsidR="00A1433B" w:rsidRPr="00240A3A">
        <w:rPr>
          <w:iCs/>
          <w:lang w:val="en-US"/>
        </w:rPr>
        <w:t>we present the results for</w:t>
      </w:r>
      <w:r w:rsidR="008315CE" w:rsidRPr="00240A3A">
        <w:rPr>
          <w:iCs/>
          <w:lang w:val="en-US"/>
        </w:rPr>
        <w:t xml:space="preserve"> Eq. (1) using OLS regression</w:t>
      </w:r>
      <w:r w:rsidR="009A1A59" w:rsidRPr="00240A3A">
        <w:rPr>
          <w:iCs/>
          <w:lang w:val="en-US"/>
        </w:rPr>
        <w:t>,</w:t>
      </w:r>
      <w:r w:rsidR="0082614F" w:rsidRPr="00240A3A">
        <w:rPr>
          <w:iCs/>
          <w:lang w:val="en-US"/>
        </w:rPr>
        <w:t xml:space="preserve"> </w:t>
      </w:r>
      <w:r w:rsidR="00E87956" w:rsidRPr="00240A3A">
        <w:rPr>
          <w:iCs/>
          <w:lang w:val="en-US"/>
        </w:rPr>
        <w:t>and in column (2) we present the results for Eq. (1)</w:t>
      </w:r>
      <w:r w:rsidR="0082614F" w:rsidRPr="00240A3A">
        <w:rPr>
          <w:iCs/>
          <w:lang w:val="en-US"/>
        </w:rPr>
        <w:t xml:space="preserve"> using </w:t>
      </w:r>
      <w:r w:rsidR="00A1433B" w:rsidRPr="00240A3A">
        <w:rPr>
          <w:iCs/>
          <w:lang w:val="en-US"/>
        </w:rPr>
        <w:t>Poisson regression</w:t>
      </w:r>
      <w:r w:rsidR="00E87956" w:rsidRPr="00240A3A">
        <w:rPr>
          <w:iCs/>
          <w:lang w:val="en-US"/>
        </w:rPr>
        <w:t xml:space="preserve">. </w:t>
      </w:r>
      <w:r w:rsidR="007871E5" w:rsidRPr="00240A3A">
        <w:rPr>
          <w:iCs/>
          <w:color w:val="auto"/>
          <w:lang w:val="en-US"/>
        </w:rPr>
        <w:t>The coefficient o</w:t>
      </w:r>
      <w:r w:rsidR="00765996">
        <w:rPr>
          <w:iCs/>
          <w:color w:val="auto"/>
          <w:lang w:val="en-US"/>
        </w:rPr>
        <w:t>n</w:t>
      </w:r>
      <w:r w:rsidR="007871E5" w:rsidRPr="00240A3A">
        <w:rPr>
          <w:iCs/>
          <w:color w:val="auto"/>
          <w:lang w:val="en-US"/>
        </w:rPr>
        <w:t xml:space="preserve"> the main variable of interest, i.e.</w:t>
      </w:r>
      <w:r w:rsidR="000D0CE0">
        <w:rPr>
          <w:iCs/>
          <w:color w:val="auto"/>
          <w:lang w:val="en-US"/>
        </w:rPr>
        <w:t>,</w:t>
      </w:r>
      <w:r w:rsidR="007871E5" w:rsidRPr="00240A3A">
        <w:rPr>
          <w:iCs/>
          <w:color w:val="auto"/>
          <w:lang w:val="en-US"/>
        </w:rPr>
        <w:t xml:space="preserve"> </w:t>
      </w:r>
      <w:r w:rsidR="007871E5" w:rsidRPr="00240A3A">
        <w:rPr>
          <w:i/>
          <w:iCs/>
          <w:color w:val="auto"/>
          <w:lang w:val="en-US"/>
        </w:rPr>
        <w:t>Vega</w:t>
      </w:r>
      <w:r w:rsidR="007871E5" w:rsidRPr="00240A3A">
        <w:rPr>
          <w:iCs/>
          <w:color w:val="auto"/>
          <w:lang w:val="en-US"/>
        </w:rPr>
        <w:t xml:space="preserve">, is positive and statistically significant </w:t>
      </w:r>
      <w:r w:rsidR="003C7F31" w:rsidRPr="00240A3A">
        <w:rPr>
          <w:iCs/>
          <w:color w:val="auto"/>
          <w:lang w:val="en-US"/>
        </w:rPr>
        <w:t xml:space="preserve">in </w:t>
      </w:r>
      <w:r w:rsidR="00E3574A">
        <w:rPr>
          <w:iCs/>
          <w:color w:val="auto"/>
          <w:lang w:val="en-US"/>
        </w:rPr>
        <w:t>both</w:t>
      </w:r>
      <w:r w:rsidR="003C7F31" w:rsidRPr="00240A3A">
        <w:rPr>
          <w:iCs/>
          <w:color w:val="auto"/>
          <w:lang w:val="en-US"/>
        </w:rPr>
        <w:t xml:space="preserve"> spec</w:t>
      </w:r>
      <w:r w:rsidR="008C4EC7" w:rsidRPr="00240A3A">
        <w:rPr>
          <w:iCs/>
          <w:color w:val="auto"/>
          <w:lang w:val="en-US"/>
        </w:rPr>
        <w:t>i</w:t>
      </w:r>
      <w:r w:rsidR="003C7F31" w:rsidRPr="00240A3A">
        <w:rPr>
          <w:iCs/>
          <w:color w:val="auto"/>
          <w:lang w:val="en-US"/>
        </w:rPr>
        <w:t>fications. Specifically</w:t>
      </w:r>
      <w:r w:rsidR="003C7F31" w:rsidRPr="00240A3A">
        <w:rPr>
          <w:i/>
          <w:color w:val="auto"/>
          <w:lang w:val="en-US"/>
        </w:rPr>
        <w:t>,</w:t>
      </w:r>
      <w:r w:rsidR="003C7F31" w:rsidRPr="00240A3A">
        <w:rPr>
          <w:iCs/>
          <w:color w:val="auto"/>
          <w:lang w:val="en-US"/>
        </w:rPr>
        <w:t xml:space="preserve"> </w:t>
      </w:r>
      <w:r w:rsidR="003C7F31" w:rsidRPr="00240A3A">
        <w:rPr>
          <w:i/>
          <w:color w:val="auto"/>
          <w:lang w:val="en-US"/>
        </w:rPr>
        <w:t xml:space="preserve">Vega </w:t>
      </w:r>
      <w:r w:rsidR="003C7F31" w:rsidRPr="00240A3A">
        <w:rPr>
          <w:iCs/>
          <w:color w:val="auto"/>
          <w:lang w:val="en-US"/>
        </w:rPr>
        <w:t>is significant at</w:t>
      </w:r>
      <w:r w:rsidR="007871E5" w:rsidRPr="00240A3A">
        <w:rPr>
          <w:iCs/>
          <w:color w:val="auto"/>
          <w:lang w:val="en-US"/>
        </w:rPr>
        <w:t xml:space="preserve"> </w:t>
      </w:r>
      <w:r w:rsidR="001B16D2" w:rsidRPr="00240A3A">
        <w:rPr>
          <w:iCs/>
          <w:color w:val="auto"/>
          <w:lang w:val="en-US"/>
        </w:rPr>
        <w:t xml:space="preserve">the </w:t>
      </w:r>
      <w:r w:rsidR="00E354BF" w:rsidRPr="00240A3A">
        <w:rPr>
          <w:iCs/>
          <w:color w:val="auto"/>
          <w:lang w:val="en-US"/>
        </w:rPr>
        <w:t xml:space="preserve">ten </w:t>
      </w:r>
      <w:r w:rsidR="00A1433B" w:rsidRPr="00240A3A">
        <w:rPr>
          <w:iCs/>
          <w:color w:val="auto"/>
          <w:lang w:val="en-US"/>
        </w:rPr>
        <w:t>percent</w:t>
      </w:r>
      <w:r w:rsidR="007871E5" w:rsidRPr="00240A3A">
        <w:rPr>
          <w:iCs/>
          <w:color w:val="auto"/>
          <w:lang w:val="en-US"/>
        </w:rPr>
        <w:t xml:space="preserve"> level (t-</w:t>
      </w:r>
      <w:r w:rsidR="00E354BF" w:rsidRPr="00240A3A">
        <w:rPr>
          <w:iCs/>
          <w:color w:val="auto"/>
          <w:lang w:val="en-US"/>
        </w:rPr>
        <w:t>stat.: 1.69</w:t>
      </w:r>
      <w:r w:rsidR="007871E5" w:rsidRPr="00240A3A">
        <w:rPr>
          <w:iCs/>
          <w:color w:val="auto"/>
          <w:lang w:val="en-US"/>
        </w:rPr>
        <w:t xml:space="preserve">) in the OLS model </w:t>
      </w:r>
      <w:r w:rsidR="003C7F31" w:rsidRPr="00240A3A">
        <w:rPr>
          <w:iCs/>
          <w:color w:val="auto"/>
          <w:lang w:val="en-US"/>
        </w:rPr>
        <w:t xml:space="preserve">in column (1) </w:t>
      </w:r>
      <w:r w:rsidR="007871E5" w:rsidRPr="00240A3A">
        <w:rPr>
          <w:iCs/>
          <w:color w:val="auto"/>
          <w:lang w:val="en-US"/>
        </w:rPr>
        <w:t xml:space="preserve">and at </w:t>
      </w:r>
      <w:r w:rsidR="00191F58" w:rsidRPr="00240A3A">
        <w:rPr>
          <w:iCs/>
          <w:color w:val="auto"/>
          <w:lang w:val="en-US"/>
        </w:rPr>
        <w:t xml:space="preserve">the </w:t>
      </w:r>
      <w:r w:rsidR="00E354BF" w:rsidRPr="00240A3A">
        <w:rPr>
          <w:iCs/>
          <w:color w:val="auto"/>
          <w:lang w:val="en-US"/>
        </w:rPr>
        <w:t xml:space="preserve">five </w:t>
      </w:r>
      <w:r w:rsidR="00A1433B" w:rsidRPr="00240A3A">
        <w:rPr>
          <w:iCs/>
          <w:color w:val="auto"/>
          <w:lang w:val="en-US"/>
        </w:rPr>
        <w:t>percent</w:t>
      </w:r>
      <w:r w:rsidR="007871E5" w:rsidRPr="00240A3A">
        <w:rPr>
          <w:iCs/>
          <w:color w:val="auto"/>
          <w:lang w:val="en-US"/>
        </w:rPr>
        <w:t xml:space="preserve"> level (z-stat</w:t>
      </w:r>
      <w:r w:rsidR="00E354BF" w:rsidRPr="00240A3A">
        <w:rPr>
          <w:iCs/>
          <w:color w:val="auto"/>
          <w:lang w:val="en-US"/>
        </w:rPr>
        <w:t>.:</w:t>
      </w:r>
      <w:r w:rsidR="007871E5" w:rsidRPr="00240A3A">
        <w:rPr>
          <w:iCs/>
          <w:color w:val="auto"/>
          <w:lang w:val="en-US"/>
        </w:rPr>
        <w:t xml:space="preserve"> </w:t>
      </w:r>
      <w:r w:rsidR="00E354BF" w:rsidRPr="00240A3A">
        <w:rPr>
          <w:iCs/>
          <w:color w:val="auto"/>
          <w:lang w:val="en-US"/>
        </w:rPr>
        <w:t>2.21</w:t>
      </w:r>
      <w:r w:rsidR="007871E5" w:rsidRPr="00240A3A">
        <w:rPr>
          <w:iCs/>
          <w:color w:val="auto"/>
          <w:lang w:val="en-US"/>
        </w:rPr>
        <w:t>) in the Poisson model</w:t>
      </w:r>
      <w:r w:rsidR="003C7F31" w:rsidRPr="00240A3A">
        <w:rPr>
          <w:iCs/>
          <w:color w:val="auto"/>
          <w:lang w:val="en-US"/>
        </w:rPr>
        <w:t xml:space="preserve"> in column (</w:t>
      </w:r>
      <w:r w:rsidR="00E354BF" w:rsidRPr="00240A3A">
        <w:rPr>
          <w:iCs/>
          <w:color w:val="auto"/>
          <w:lang w:val="en-US"/>
        </w:rPr>
        <w:t>2</w:t>
      </w:r>
      <w:r w:rsidR="003C7F31" w:rsidRPr="00240A3A">
        <w:rPr>
          <w:iCs/>
          <w:color w:val="auto"/>
          <w:lang w:val="en-US"/>
        </w:rPr>
        <w:t>)</w:t>
      </w:r>
      <w:r w:rsidR="007871E5" w:rsidRPr="00240A3A">
        <w:rPr>
          <w:iCs/>
          <w:color w:val="auto"/>
          <w:lang w:val="en-US"/>
        </w:rPr>
        <w:t>.</w:t>
      </w:r>
      <w:r w:rsidR="00733B86" w:rsidRPr="00240A3A">
        <w:rPr>
          <w:iCs/>
          <w:color w:val="auto"/>
          <w:lang w:val="en-US"/>
        </w:rPr>
        <w:t xml:space="preserve"> T</w:t>
      </w:r>
      <w:r w:rsidR="00016DA2" w:rsidRPr="00240A3A">
        <w:rPr>
          <w:iCs/>
          <w:color w:val="auto"/>
          <w:lang w:val="en-US"/>
        </w:rPr>
        <w:t>he economic significance of these results suggest</w:t>
      </w:r>
      <w:r w:rsidR="00786A4A" w:rsidRPr="00240A3A">
        <w:rPr>
          <w:iCs/>
          <w:color w:val="auto"/>
          <w:lang w:val="en-US"/>
        </w:rPr>
        <w:t>s</w:t>
      </w:r>
      <w:r w:rsidR="00016DA2" w:rsidRPr="00240A3A">
        <w:rPr>
          <w:iCs/>
          <w:color w:val="auto"/>
          <w:lang w:val="en-US"/>
        </w:rPr>
        <w:t xml:space="preserve"> </w:t>
      </w:r>
      <w:r w:rsidR="00E354BF" w:rsidRPr="00240A3A">
        <w:rPr>
          <w:iCs/>
          <w:color w:val="auto"/>
          <w:lang w:val="en-US"/>
        </w:rPr>
        <w:t xml:space="preserve">that </w:t>
      </w:r>
      <w:r w:rsidR="00E3574A">
        <w:rPr>
          <w:iCs/>
          <w:color w:val="auto"/>
          <w:lang w:val="en-US"/>
        </w:rPr>
        <w:t xml:space="preserve">a </w:t>
      </w:r>
      <w:r w:rsidR="00E354BF" w:rsidRPr="00240A3A">
        <w:rPr>
          <w:iCs/>
          <w:color w:val="auto"/>
          <w:lang w:val="en-US"/>
        </w:rPr>
        <w:t>one standard deviation increase in CEO Vega</w:t>
      </w:r>
      <w:r w:rsidR="00037B8B" w:rsidRPr="00240A3A">
        <w:rPr>
          <w:iCs/>
          <w:color w:val="auto"/>
          <w:lang w:val="en-US"/>
        </w:rPr>
        <w:t xml:space="preserve"> </w:t>
      </w:r>
      <w:r w:rsidR="00765996">
        <w:rPr>
          <w:iCs/>
          <w:color w:val="auto"/>
          <w:lang w:val="en-US"/>
        </w:rPr>
        <w:t xml:space="preserve">is related to </w:t>
      </w:r>
      <w:r w:rsidR="0053599F">
        <w:rPr>
          <w:iCs/>
          <w:color w:val="auto"/>
          <w:lang w:val="en-US"/>
        </w:rPr>
        <w:t>a 5.5</w:t>
      </w:r>
      <w:r w:rsidR="009574BA">
        <w:rPr>
          <w:iCs/>
          <w:color w:val="auto"/>
          <w:lang w:val="en-US"/>
        </w:rPr>
        <w:t xml:space="preserve"> percent</w:t>
      </w:r>
      <w:r w:rsidR="0053599F">
        <w:rPr>
          <w:iCs/>
          <w:color w:val="auto"/>
          <w:lang w:val="en-US"/>
        </w:rPr>
        <w:t xml:space="preserve"> </w:t>
      </w:r>
      <w:r w:rsidR="00765996">
        <w:rPr>
          <w:iCs/>
          <w:color w:val="auto"/>
          <w:lang w:val="en-US"/>
        </w:rPr>
        <w:t>increase in</w:t>
      </w:r>
      <w:r w:rsidR="00765996" w:rsidRPr="00240A3A">
        <w:rPr>
          <w:iCs/>
          <w:color w:val="auto"/>
          <w:lang w:val="en-US"/>
        </w:rPr>
        <w:t xml:space="preserve"> </w:t>
      </w:r>
      <w:r w:rsidR="00037B8B" w:rsidRPr="00240A3A">
        <w:rPr>
          <w:iCs/>
          <w:color w:val="auto"/>
          <w:lang w:val="en-US"/>
        </w:rPr>
        <w:t>the dollar value of penalties for the average firm in our sample.</w:t>
      </w:r>
      <w:r w:rsidR="00A02FCE" w:rsidRPr="00240A3A">
        <w:rPr>
          <w:rStyle w:val="FootnoteReference"/>
          <w:iCs/>
          <w:color w:val="auto"/>
          <w:lang w:val="en-US"/>
        </w:rPr>
        <w:footnoteReference w:id="15"/>
      </w:r>
      <w:r w:rsidR="00016DA2" w:rsidRPr="00240A3A">
        <w:rPr>
          <w:iCs/>
          <w:color w:val="auto"/>
          <w:lang w:val="en-US"/>
        </w:rPr>
        <w:t xml:space="preserve"> </w:t>
      </w:r>
    </w:p>
    <w:p w14:paraId="2D073A55" w14:textId="58937340" w:rsidR="00910489" w:rsidRPr="00240A3A" w:rsidRDefault="00910489" w:rsidP="00EB7A61">
      <w:pPr>
        <w:spacing w:after="0" w:line="480" w:lineRule="auto"/>
        <w:rPr>
          <w:rFonts w:ascii="Times New Roman" w:hAnsi="Times New Roman" w:cs="Times New Roman"/>
          <w:i/>
          <w:sz w:val="24"/>
          <w:szCs w:val="24"/>
          <w:lang w:val="en-US"/>
        </w:rPr>
      </w:pPr>
      <w:r w:rsidRPr="00240A3A">
        <w:rPr>
          <w:rFonts w:ascii="Times New Roman" w:hAnsi="Times New Roman" w:cs="Times New Roman"/>
          <w:i/>
          <w:sz w:val="24"/>
          <w:szCs w:val="24"/>
          <w:lang w:val="en-US"/>
        </w:rPr>
        <w:t>5.2. Matched</w:t>
      </w:r>
      <w:r w:rsidR="00500013">
        <w:rPr>
          <w:rFonts w:ascii="Times New Roman" w:hAnsi="Times New Roman" w:cs="Times New Roman"/>
          <w:i/>
          <w:sz w:val="24"/>
          <w:szCs w:val="24"/>
          <w:lang w:val="en-US"/>
        </w:rPr>
        <w:t xml:space="preserve"> </w:t>
      </w:r>
      <w:r w:rsidRPr="00240A3A">
        <w:rPr>
          <w:rFonts w:ascii="Times New Roman" w:hAnsi="Times New Roman" w:cs="Times New Roman"/>
          <w:i/>
          <w:sz w:val="24"/>
          <w:szCs w:val="24"/>
          <w:lang w:val="en-US"/>
        </w:rPr>
        <w:t>sample tests</w:t>
      </w:r>
    </w:p>
    <w:p w14:paraId="7BBBC8C4" w14:textId="47D99A7B" w:rsidR="00CE0BED" w:rsidRPr="00AC6B6D" w:rsidRDefault="00A07124" w:rsidP="006F34EE">
      <w:pPr>
        <w:pStyle w:val="Default"/>
        <w:spacing w:line="480" w:lineRule="auto"/>
        <w:ind w:firstLine="720"/>
        <w:jc w:val="both"/>
        <w:rPr>
          <w:i/>
          <w:iCs/>
          <w:lang w:val="en-US"/>
        </w:rPr>
      </w:pPr>
      <w:r w:rsidRPr="00240A3A">
        <w:rPr>
          <w:iCs/>
          <w:color w:val="auto"/>
          <w:lang w:val="en-US"/>
        </w:rPr>
        <w:t>T</w:t>
      </w:r>
      <w:r w:rsidR="00A02FCE" w:rsidRPr="00240A3A">
        <w:rPr>
          <w:iCs/>
          <w:color w:val="auto"/>
          <w:lang w:val="en-US"/>
        </w:rPr>
        <w:t xml:space="preserve">o attenuate the possibility that our results are driven by a correlated omitted variable we run </w:t>
      </w:r>
      <w:r w:rsidR="00245C1C">
        <w:rPr>
          <w:iCs/>
          <w:color w:val="auto"/>
          <w:lang w:val="en-US"/>
        </w:rPr>
        <w:t>a matched sample analysis</w:t>
      </w:r>
      <w:r w:rsidR="00A02FCE" w:rsidRPr="00240A3A">
        <w:rPr>
          <w:iCs/>
          <w:color w:val="auto"/>
          <w:lang w:val="en-US"/>
        </w:rPr>
        <w:t xml:space="preserve">. </w:t>
      </w:r>
      <w:r w:rsidR="00037B8B" w:rsidRPr="00240A3A">
        <w:rPr>
          <w:iCs/>
          <w:color w:val="auto"/>
          <w:lang w:val="en-US"/>
        </w:rPr>
        <w:t>Specifically, given the continuous nature of our treatment, i.e.</w:t>
      </w:r>
      <w:r w:rsidR="00245C1C">
        <w:rPr>
          <w:iCs/>
          <w:color w:val="auto"/>
          <w:lang w:val="en-US"/>
        </w:rPr>
        <w:t>,</w:t>
      </w:r>
      <w:r w:rsidR="00037B8B" w:rsidRPr="00240A3A">
        <w:rPr>
          <w:iCs/>
          <w:color w:val="auto"/>
          <w:lang w:val="en-US"/>
        </w:rPr>
        <w:t xml:space="preserve"> </w:t>
      </w:r>
      <w:r w:rsidR="00037B8B" w:rsidRPr="00240A3A">
        <w:rPr>
          <w:i/>
          <w:color w:val="auto"/>
          <w:lang w:val="en-US"/>
        </w:rPr>
        <w:t xml:space="preserve">Vega, </w:t>
      </w:r>
      <w:r w:rsidR="00037B8B" w:rsidRPr="00240A3A">
        <w:rPr>
          <w:iCs/>
          <w:color w:val="auto"/>
          <w:lang w:val="en-US"/>
        </w:rPr>
        <w:t xml:space="preserve">we follow </w:t>
      </w:r>
      <w:r w:rsidR="00037B8B" w:rsidRPr="00240A3A">
        <w:rPr>
          <w:lang w:val="en-US"/>
        </w:rPr>
        <w:t>Armstrong</w:t>
      </w:r>
      <w:r w:rsidR="00BC3337">
        <w:rPr>
          <w:lang w:val="en-US"/>
        </w:rPr>
        <w:t xml:space="preserve"> et al.</w:t>
      </w:r>
      <w:r w:rsidR="00037B8B" w:rsidRPr="00240A3A">
        <w:rPr>
          <w:lang w:val="en-US"/>
        </w:rPr>
        <w:t xml:space="preserve"> (2010) and Armstrong, </w:t>
      </w:r>
      <w:r w:rsidR="00094BA9">
        <w:rPr>
          <w:lang w:val="en-US"/>
        </w:rPr>
        <w:t>et al.</w:t>
      </w:r>
      <w:r w:rsidR="00037B8B" w:rsidRPr="00240A3A">
        <w:rPr>
          <w:lang w:val="en-US"/>
        </w:rPr>
        <w:t xml:space="preserve"> (2013), and apply </w:t>
      </w:r>
      <w:r w:rsidR="00245C1C">
        <w:rPr>
          <w:lang w:val="en-US"/>
        </w:rPr>
        <w:t>a</w:t>
      </w:r>
      <w:r w:rsidR="00037B8B" w:rsidRPr="00240A3A">
        <w:rPr>
          <w:lang w:val="en-US"/>
        </w:rPr>
        <w:t xml:space="preserve"> non-bipartite matching procedure. </w:t>
      </w:r>
      <w:r w:rsidR="00250B70" w:rsidRPr="00240A3A">
        <w:rPr>
          <w:lang w:val="en-US"/>
        </w:rPr>
        <w:t xml:space="preserve">As explained in Section 4.1, we first estimate an ordered logistic propensity-score model </w:t>
      </w:r>
      <w:r w:rsidR="002767E7" w:rsidRPr="00240A3A">
        <w:rPr>
          <w:lang w:val="en-US"/>
        </w:rPr>
        <w:t xml:space="preserve">where we regress quintiles of </w:t>
      </w:r>
      <w:r w:rsidR="002767E7" w:rsidRPr="00240A3A">
        <w:rPr>
          <w:i/>
          <w:iCs/>
          <w:lang w:val="en-US"/>
        </w:rPr>
        <w:t xml:space="preserve">Vega </w:t>
      </w:r>
      <w:r w:rsidR="002767E7" w:rsidRPr="00240A3A">
        <w:rPr>
          <w:lang w:val="en-US"/>
        </w:rPr>
        <w:t xml:space="preserve">on the </w:t>
      </w:r>
      <w:r w:rsidR="00BE157C" w:rsidRPr="00240A3A">
        <w:rPr>
          <w:lang w:val="en-US"/>
        </w:rPr>
        <w:t>independent variables</w:t>
      </w:r>
      <w:r w:rsidR="002767E7" w:rsidRPr="00240A3A">
        <w:rPr>
          <w:lang w:val="en-US"/>
        </w:rPr>
        <w:t xml:space="preserve"> in Eq. (1)</w:t>
      </w:r>
      <w:r w:rsidR="00776D3D" w:rsidRPr="00240A3A">
        <w:rPr>
          <w:lang w:val="en-US"/>
        </w:rPr>
        <w:t xml:space="preserve"> for each </w:t>
      </w:r>
      <w:r w:rsidR="00774D07">
        <w:rPr>
          <w:lang w:val="en-US"/>
        </w:rPr>
        <w:t xml:space="preserve">year </w:t>
      </w:r>
      <w:r w:rsidR="00776D3D" w:rsidRPr="00240A3A">
        <w:rPr>
          <w:lang w:val="en-US"/>
        </w:rPr>
        <w:t>in our sample period</w:t>
      </w:r>
      <w:r w:rsidR="002767E7" w:rsidRPr="00240A3A">
        <w:rPr>
          <w:lang w:val="en-US"/>
        </w:rPr>
        <w:t xml:space="preserve">. </w:t>
      </w:r>
      <w:r w:rsidR="008711DB">
        <w:rPr>
          <w:lang w:val="en-US"/>
        </w:rPr>
        <w:t xml:space="preserve">We apply </w:t>
      </w:r>
      <w:r w:rsidR="00B0726D">
        <w:rPr>
          <w:lang w:val="en-US"/>
        </w:rPr>
        <w:t>an</w:t>
      </w:r>
      <w:r w:rsidR="008711DB">
        <w:rPr>
          <w:lang w:val="en-US"/>
        </w:rPr>
        <w:t xml:space="preserve"> ordered logistic model </w:t>
      </w:r>
      <w:r w:rsidR="00245C1C">
        <w:rPr>
          <w:lang w:val="en-US"/>
        </w:rPr>
        <w:t>to</w:t>
      </w:r>
      <w:r w:rsidR="002767E7" w:rsidRPr="00240A3A">
        <w:rPr>
          <w:lang w:val="en-US"/>
        </w:rPr>
        <w:t xml:space="preserve"> estimate the probability that a CEO receives a certain level of </w:t>
      </w:r>
      <w:r w:rsidR="002767E7" w:rsidRPr="00240A3A">
        <w:rPr>
          <w:i/>
          <w:iCs/>
          <w:lang w:val="en-US"/>
        </w:rPr>
        <w:t xml:space="preserve">Vega </w:t>
      </w:r>
      <w:r w:rsidR="004248D1">
        <w:rPr>
          <w:iCs/>
          <w:lang w:val="en-US"/>
        </w:rPr>
        <w:t xml:space="preserve">(e.g. </w:t>
      </w:r>
      <w:proofErr w:type="spellStart"/>
      <w:r w:rsidR="004248D1" w:rsidRPr="00B0726D">
        <w:rPr>
          <w:i/>
          <w:iCs/>
          <w:lang w:val="en-US"/>
        </w:rPr>
        <w:t>VegaQuintile</w:t>
      </w:r>
      <w:proofErr w:type="spellEnd"/>
      <w:r w:rsidR="004248D1">
        <w:rPr>
          <w:iCs/>
          <w:lang w:val="en-US"/>
        </w:rPr>
        <w:t xml:space="preserve"> 1 as opposed to </w:t>
      </w:r>
      <w:proofErr w:type="spellStart"/>
      <w:r w:rsidR="004248D1" w:rsidRPr="00F23879">
        <w:rPr>
          <w:i/>
          <w:iCs/>
          <w:lang w:val="en-US"/>
        </w:rPr>
        <w:t>V</w:t>
      </w:r>
      <w:r w:rsidR="004248D1">
        <w:rPr>
          <w:i/>
          <w:iCs/>
          <w:lang w:val="en-US"/>
        </w:rPr>
        <w:t>ega</w:t>
      </w:r>
      <w:r w:rsidR="004248D1" w:rsidRPr="00F23879">
        <w:rPr>
          <w:i/>
          <w:iCs/>
          <w:lang w:val="en-US"/>
        </w:rPr>
        <w:t>Quintile</w:t>
      </w:r>
      <w:proofErr w:type="spellEnd"/>
      <w:r w:rsidR="004248D1">
        <w:rPr>
          <w:i/>
          <w:iCs/>
          <w:lang w:val="en-US"/>
        </w:rPr>
        <w:t xml:space="preserve"> 2</w:t>
      </w:r>
      <w:r w:rsidR="004248D1">
        <w:rPr>
          <w:iCs/>
          <w:lang w:val="en-US"/>
        </w:rPr>
        <w:t xml:space="preserve">) </w:t>
      </w:r>
      <w:r w:rsidR="002767E7" w:rsidRPr="00240A3A">
        <w:rPr>
          <w:lang w:val="en-US"/>
        </w:rPr>
        <w:t xml:space="preserve">as a function of the </w:t>
      </w:r>
      <w:r w:rsidR="00BE157C" w:rsidRPr="00240A3A">
        <w:rPr>
          <w:lang w:val="en-US"/>
        </w:rPr>
        <w:t>independent variables</w:t>
      </w:r>
      <w:r w:rsidR="002767E7" w:rsidRPr="00240A3A">
        <w:rPr>
          <w:lang w:val="en-US"/>
        </w:rPr>
        <w:t xml:space="preserve"> in Eq. (1). Panel A of Table </w:t>
      </w:r>
      <w:r w:rsidR="00A85564">
        <w:rPr>
          <w:lang w:val="en-US"/>
        </w:rPr>
        <w:t>6</w:t>
      </w:r>
      <w:r w:rsidR="00A85564" w:rsidRPr="00240A3A">
        <w:rPr>
          <w:lang w:val="en-US"/>
        </w:rPr>
        <w:t xml:space="preserve"> </w:t>
      </w:r>
      <w:r w:rsidR="002767E7" w:rsidRPr="00240A3A">
        <w:rPr>
          <w:lang w:val="en-US"/>
        </w:rPr>
        <w:t xml:space="preserve">presents the results of the </w:t>
      </w:r>
      <w:r w:rsidR="002767E7" w:rsidRPr="00AC6B6D">
        <w:rPr>
          <w:lang w:val="en-US"/>
        </w:rPr>
        <w:t>ordered logistic propen</w:t>
      </w:r>
      <w:r w:rsidR="00776D3D" w:rsidRPr="00AC6B6D">
        <w:rPr>
          <w:lang w:val="en-US"/>
        </w:rPr>
        <w:t xml:space="preserve">sity-score model. </w:t>
      </w:r>
      <w:r w:rsidR="0071055C" w:rsidRPr="00E3524C">
        <w:rPr>
          <w:lang w:val="en-US"/>
        </w:rPr>
        <w:t>The</w:t>
      </w:r>
      <w:r w:rsidR="00BE157C" w:rsidRPr="00E3524C">
        <w:rPr>
          <w:lang w:val="en-US"/>
        </w:rPr>
        <w:t xml:space="preserve"> size of the average z-statistics suggest</w:t>
      </w:r>
      <w:r w:rsidR="009A1A59" w:rsidRPr="00E3524C">
        <w:rPr>
          <w:lang w:val="en-US"/>
        </w:rPr>
        <w:t>s</w:t>
      </w:r>
      <w:r w:rsidR="00BE157C" w:rsidRPr="00E3524C">
        <w:rPr>
          <w:lang w:val="en-US"/>
        </w:rPr>
        <w:t xml:space="preserve"> that </w:t>
      </w:r>
      <w:r w:rsidR="009A1A59" w:rsidRPr="00E3524C">
        <w:rPr>
          <w:i/>
          <w:lang w:val="en-US"/>
        </w:rPr>
        <w:t xml:space="preserve">Delta, </w:t>
      </w:r>
      <w:proofErr w:type="spellStart"/>
      <w:r w:rsidR="009A1A59" w:rsidRPr="00E3524C">
        <w:rPr>
          <w:i/>
          <w:lang w:val="en-US"/>
        </w:rPr>
        <w:t>CashComp</w:t>
      </w:r>
      <w:proofErr w:type="spellEnd"/>
      <w:r w:rsidR="009A1A59" w:rsidRPr="00E3524C">
        <w:rPr>
          <w:i/>
          <w:lang w:val="en-US"/>
        </w:rPr>
        <w:t>,</w:t>
      </w:r>
      <w:r w:rsidR="009A1A59" w:rsidRPr="00E3524C">
        <w:rPr>
          <w:lang w:val="en-US"/>
        </w:rPr>
        <w:t xml:space="preserve"> </w:t>
      </w:r>
      <w:r w:rsidR="009A1A59" w:rsidRPr="00E3524C">
        <w:rPr>
          <w:i/>
          <w:lang w:val="en-US"/>
        </w:rPr>
        <w:t xml:space="preserve">Leverage, </w:t>
      </w:r>
      <w:proofErr w:type="spellStart"/>
      <w:r w:rsidR="009A1A59" w:rsidRPr="00E3524C">
        <w:rPr>
          <w:i/>
          <w:lang w:val="en-US"/>
        </w:rPr>
        <w:t>FirmSize</w:t>
      </w:r>
      <w:proofErr w:type="spellEnd"/>
      <w:r w:rsidR="00AC6B6D" w:rsidRPr="00E3524C">
        <w:rPr>
          <w:i/>
          <w:lang w:val="en-US"/>
        </w:rPr>
        <w:t xml:space="preserve">, </w:t>
      </w:r>
      <w:r w:rsidR="009A1A59" w:rsidRPr="00E3524C">
        <w:rPr>
          <w:lang w:val="en-US"/>
        </w:rPr>
        <w:t xml:space="preserve">and </w:t>
      </w:r>
      <w:r w:rsidR="009A1A59" w:rsidRPr="00E3524C">
        <w:rPr>
          <w:i/>
          <w:lang w:val="en-US"/>
        </w:rPr>
        <w:t>Employees</w:t>
      </w:r>
      <w:r w:rsidR="009A1A59" w:rsidRPr="00E3524C">
        <w:rPr>
          <w:lang w:val="en-US"/>
        </w:rPr>
        <w:t xml:space="preserve"> </w:t>
      </w:r>
      <w:r w:rsidR="00BE157C" w:rsidRPr="00E3524C">
        <w:rPr>
          <w:lang w:val="en-US"/>
        </w:rPr>
        <w:t xml:space="preserve">are </w:t>
      </w:r>
      <w:r w:rsidR="0071055C" w:rsidRPr="00E3524C">
        <w:rPr>
          <w:lang w:val="en-US"/>
        </w:rPr>
        <w:t xml:space="preserve">positively related </w:t>
      </w:r>
      <w:r w:rsidR="00AC6B6D" w:rsidRPr="00E3524C">
        <w:rPr>
          <w:lang w:val="en-US"/>
        </w:rPr>
        <w:t xml:space="preserve">and </w:t>
      </w:r>
      <w:proofErr w:type="spellStart"/>
      <w:r w:rsidR="00AC6B6D" w:rsidRPr="00AC6B6D">
        <w:rPr>
          <w:rFonts w:eastAsia="Times New Roman"/>
          <w:i/>
          <w:iCs/>
          <w:lang w:val="en-US" w:eastAsia="zh-CN"/>
        </w:rPr>
        <w:t>AssetTurnover</w:t>
      </w:r>
      <w:proofErr w:type="spellEnd"/>
      <w:r w:rsidR="00AC6B6D" w:rsidRPr="00E3524C">
        <w:rPr>
          <w:lang w:val="en-US"/>
        </w:rPr>
        <w:t xml:space="preserve">, </w:t>
      </w:r>
      <w:r w:rsidR="00AC6B6D" w:rsidRPr="00AC6B6D">
        <w:rPr>
          <w:rFonts w:eastAsia="Times New Roman"/>
          <w:i/>
          <w:iCs/>
          <w:lang w:val="en-US" w:eastAsia="zh-CN"/>
        </w:rPr>
        <w:t>Market-</w:t>
      </w:r>
      <w:r w:rsidR="00AC6B6D" w:rsidRPr="00AC6B6D">
        <w:rPr>
          <w:rFonts w:eastAsia="Times New Roman"/>
          <w:i/>
          <w:iCs/>
          <w:lang w:val="en-US" w:eastAsia="zh-CN"/>
        </w:rPr>
        <w:lastRenderedPageBreak/>
        <w:t>to-book</w:t>
      </w:r>
      <w:r w:rsidR="00AC6B6D" w:rsidRPr="00E3524C">
        <w:rPr>
          <w:lang w:val="en-US"/>
        </w:rPr>
        <w:t xml:space="preserve">, </w:t>
      </w:r>
      <w:r w:rsidR="00AC6B6D" w:rsidRPr="00AC6B6D">
        <w:rPr>
          <w:rFonts w:eastAsia="Times New Roman"/>
          <w:i/>
          <w:iCs/>
          <w:lang w:val="en-US" w:eastAsia="zh-CN"/>
        </w:rPr>
        <w:t>Tangibility</w:t>
      </w:r>
      <w:r w:rsidR="00AC6B6D" w:rsidRPr="00E3524C">
        <w:rPr>
          <w:lang w:val="en-US"/>
        </w:rPr>
        <w:t xml:space="preserve">, </w:t>
      </w:r>
      <w:r w:rsidR="00AC6B6D" w:rsidRPr="00AC6B6D">
        <w:rPr>
          <w:rFonts w:eastAsia="Times New Roman"/>
          <w:i/>
          <w:iCs/>
          <w:lang w:val="en-US" w:eastAsia="zh-CN"/>
        </w:rPr>
        <w:t>Capex</w:t>
      </w:r>
      <w:r w:rsidR="00AC6B6D" w:rsidRPr="00E3524C">
        <w:rPr>
          <w:lang w:val="en-US"/>
        </w:rPr>
        <w:t xml:space="preserve">, </w:t>
      </w:r>
      <w:r w:rsidR="00AC6B6D" w:rsidRPr="00AC6B6D">
        <w:rPr>
          <w:rFonts w:eastAsia="Times New Roman"/>
          <w:i/>
          <w:iCs/>
          <w:lang w:val="en-US" w:eastAsia="zh-CN"/>
        </w:rPr>
        <w:t>RET</w:t>
      </w:r>
      <w:r w:rsidR="00AC6B6D" w:rsidRPr="00E3524C">
        <w:rPr>
          <w:lang w:val="en-US"/>
        </w:rPr>
        <w:t>,</w:t>
      </w:r>
      <w:r w:rsidR="009964CB">
        <w:rPr>
          <w:lang w:val="en-US"/>
        </w:rPr>
        <w:t xml:space="preserve"> </w:t>
      </w:r>
      <w:proofErr w:type="spellStart"/>
      <w:r w:rsidR="00AC6B6D" w:rsidRPr="00AC6B6D">
        <w:rPr>
          <w:rFonts w:eastAsia="Times New Roman"/>
          <w:i/>
          <w:iCs/>
          <w:lang w:val="en-US" w:eastAsia="zh-CN"/>
        </w:rPr>
        <w:t>CEOage</w:t>
      </w:r>
      <w:proofErr w:type="spellEnd"/>
      <w:r w:rsidR="00155940">
        <w:rPr>
          <w:rFonts w:eastAsia="Times New Roman"/>
          <w:i/>
          <w:iCs/>
          <w:lang w:val="en-US" w:eastAsia="zh-CN"/>
        </w:rPr>
        <w:t>,</w:t>
      </w:r>
      <w:r w:rsidR="00AC6B6D" w:rsidRPr="00E3524C">
        <w:rPr>
          <w:lang w:val="en-US"/>
        </w:rPr>
        <w:t xml:space="preserve"> </w:t>
      </w:r>
      <w:r w:rsidR="00155940">
        <w:rPr>
          <w:lang w:val="en-US"/>
        </w:rPr>
        <w:t xml:space="preserve">and </w:t>
      </w:r>
      <w:proofErr w:type="spellStart"/>
      <w:r w:rsidR="00155940" w:rsidRPr="0006010A">
        <w:rPr>
          <w:i/>
          <w:lang w:val="en-US"/>
        </w:rPr>
        <w:t>CEOtenure</w:t>
      </w:r>
      <w:proofErr w:type="spellEnd"/>
      <w:r w:rsidR="00155940">
        <w:rPr>
          <w:lang w:val="en-US"/>
        </w:rPr>
        <w:t xml:space="preserve"> </w:t>
      </w:r>
      <w:r w:rsidR="00AC6B6D">
        <w:rPr>
          <w:lang w:val="en-US"/>
        </w:rPr>
        <w:t xml:space="preserve">are negatively </w:t>
      </w:r>
      <w:r w:rsidR="00E3524C">
        <w:rPr>
          <w:lang w:val="en-US"/>
        </w:rPr>
        <w:t xml:space="preserve">related </w:t>
      </w:r>
      <w:r w:rsidR="0071055C" w:rsidRPr="00E3524C">
        <w:rPr>
          <w:lang w:val="en-US"/>
        </w:rPr>
        <w:t xml:space="preserve">to </w:t>
      </w:r>
      <w:r w:rsidR="00BE157C" w:rsidRPr="00E3524C">
        <w:rPr>
          <w:lang w:val="en-US"/>
        </w:rPr>
        <w:t xml:space="preserve">the level of CEO </w:t>
      </w:r>
      <w:proofErr w:type="spellStart"/>
      <w:r w:rsidR="00BE157C" w:rsidRPr="00E3524C">
        <w:rPr>
          <w:lang w:val="en-US"/>
        </w:rPr>
        <w:t>vega</w:t>
      </w:r>
      <w:proofErr w:type="spellEnd"/>
      <w:r w:rsidR="0071055C" w:rsidRPr="00E3524C">
        <w:rPr>
          <w:i/>
          <w:iCs/>
          <w:lang w:val="en-US"/>
        </w:rPr>
        <w:t>.</w:t>
      </w:r>
      <w:r w:rsidR="0071055C" w:rsidRPr="00AC6B6D">
        <w:rPr>
          <w:i/>
          <w:iCs/>
          <w:lang w:val="en-US"/>
        </w:rPr>
        <w:t xml:space="preserve"> </w:t>
      </w:r>
      <w:r w:rsidR="00420A5B" w:rsidRPr="00AC6B6D">
        <w:rPr>
          <w:lang w:val="en-US"/>
        </w:rPr>
        <w:t>Further</w:t>
      </w:r>
      <w:r w:rsidR="009A1A59" w:rsidRPr="00AC6B6D">
        <w:rPr>
          <w:lang w:val="en-US"/>
        </w:rPr>
        <w:t>,</w:t>
      </w:r>
      <w:r w:rsidR="00420A5B" w:rsidRPr="00AC6B6D">
        <w:rPr>
          <w:lang w:val="en-US"/>
        </w:rPr>
        <w:t xml:space="preserve"> the average p</w:t>
      </w:r>
      <w:r w:rsidR="009A1A59" w:rsidRPr="00AC6B6D">
        <w:rPr>
          <w:lang w:val="en-US"/>
        </w:rPr>
        <w:t>se</w:t>
      </w:r>
      <w:r w:rsidR="00420A5B" w:rsidRPr="00AC6B6D">
        <w:rPr>
          <w:lang w:val="en-US"/>
        </w:rPr>
        <w:t xml:space="preserve">udo </w:t>
      </w:r>
      <w:r w:rsidR="00AC6B6D">
        <w:rPr>
          <w:lang w:val="en-US"/>
        </w:rPr>
        <w:t>R</w:t>
      </w:r>
      <w:r w:rsidR="00420A5B" w:rsidRPr="00AC6B6D">
        <w:rPr>
          <w:lang w:val="en-US"/>
        </w:rPr>
        <w:t>-square for this analysis</w:t>
      </w:r>
      <w:r w:rsidR="00BE157C" w:rsidRPr="00AC6B6D">
        <w:rPr>
          <w:lang w:val="en-US"/>
        </w:rPr>
        <w:t xml:space="preserve"> is comparable to Armstrong</w:t>
      </w:r>
      <w:r w:rsidR="00BC3337">
        <w:rPr>
          <w:lang w:val="en-US"/>
        </w:rPr>
        <w:t xml:space="preserve"> et al.</w:t>
      </w:r>
      <w:r w:rsidR="00BE157C" w:rsidRPr="00AC6B6D">
        <w:rPr>
          <w:lang w:val="en-US"/>
        </w:rPr>
        <w:t xml:space="preserve"> (2010) and</w:t>
      </w:r>
      <w:r w:rsidR="00420A5B" w:rsidRPr="00AC6B6D">
        <w:rPr>
          <w:lang w:val="en-US"/>
        </w:rPr>
        <w:t xml:space="preserve"> suggests that the control variables explain 2</w:t>
      </w:r>
      <w:r w:rsidR="009A1A59" w:rsidRPr="00AC6B6D">
        <w:rPr>
          <w:lang w:val="en-US"/>
        </w:rPr>
        <w:t>8</w:t>
      </w:r>
      <w:r w:rsidR="00420A5B" w:rsidRPr="00AC6B6D">
        <w:rPr>
          <w:lang w:val="en-US"/>
        </w:rPr>
        <w:t xml:space="preserve">% of the probability that a CEO receives a certain level of </w:t>
      </w:r>
      <w:r w:rsidR="00420A5B" w:rsidRPr="00AC6B6D">
        <w:rPr>
          <w:i/>
          <w:iCs/>
          <w:lang w:val="en-US"/>
        </w:rPr>
        <w:t>Vega.</w:t>
      </w:r>
    </w:p>
    <w:p w14:paraId="3C0273E1" w14:textId="7B1C7DDA" w:rsidR="00FC6707" w:rsidRPr="006C2862" w:rsidRDefault="00420A5B" w:rsidP="006F34EE">
      <w:pPr>
        <w:pStyle w:val="Default"/>
        <w:spacing w:line="480" w:lineRule="auto"/>
        <w:ind w:firstLine="720"/>
        <w:jc w:val="both"/>
        <w:rPr>
          <w:lang w:val="en-US"/>
        </w:rPr>
      </w:pPr>
      <w:r w:rsidRPr="00AC6B6D">
        <w:rPr>
          <w:lang w:val="en-US"/>
        </w:rPr>
        <w:t xml:space="preserve">Using the propensity scores from the ordered logistic regressions we </w:t>
      </w:r>
      <w:r w:rsidR="00BC75DC" w:rsidRPr="00AC6B6D">
        <w:rPr>
          <w:lang w:val="en-US"/>
        </w:rPr>
        <w:t xml:space="preserve">match treatment observations with control observations </w:t>
      </w:r>
      <w:r w:rsidR="00AC6B6D">
        <w:rPr>
          <w:lang w:val="en-US"/>
        </w:rPr>
        <w:t xml:space="preserve">using non-bipartite matching </w:t>
      </w:r>
      <w:r w:rsidR="00BC75DC" w:rsidRPr="00AC6B6D">
        <w:rPr>
          <w:lang w:val="en-US"/>
        </w:rPr>
        <w:t xml:space="preserve">to reduce the differences in </w:t>
      </w:r>
      <w:r w:rsidR="008711DB">
        <w:rPr>
          <w:lang w:val="en-US"/>
        </w:rPr>
        <w:t>estimated propensity score</w:t>
      </w:r>
      <w:r w:rsidR="00245C1C">
        <w:rPr>
          <w:lang w:val="en-US"/>
        </w:rPr>
        <w:t>s</w:t>
      </w:r>
      <w:r w:rsidR="00BC75DC" w:rsidRPr="00AC6B6D">
        <w:rPr>
          <w:lang w:val="en-US"/>
        </w:rPr>
        <w:t xml:space="preserve"> while maximi</w:t>
      </w:r>
      <w:r w:rsidR="009A1A59" w:rsidRPr="00AC6B6D">
        <w:rPr>
          <w:lang w:val="en-US"/>
        </w:rPr>
        <w:t>z</w:t>
      </w:r>
      <w:r w:rsidR="00BC75DC" w:rsidRPr="00AC6B6D">
        <w:rPr>
          <w:lang w:val="en-US"/>
        </w:rPr>
        <w:t xml:space="preserve">ing the difference </w:t>
      </w:r>
      <w:r w:rsidR="008711DB">
        <w:rPr>
          <w:lang w:val="en-US"/>
        </w:rPr>
        <w:t>in</w:t>
      </w:r>
      <w:r w:rsidR="008711DB" w:rsidRPr="00AC6B6D">
        <w:rPr>
          <w:lang w:val="en-US"/>
        </w:rPr>
        <w:t xml:space="preserve"> </w:t>
      </w:r>
      <w:r w:rsidR="00BC75DC" w:rsidRPr="00AC6B6D">
        <w:rPr>
          <w:lang w:val="en-US"/>
        </w:rPr>
        <w:t>our treatment</w:t>
      </w:r>
      <w:r w:rsidR="008711DB">
        <w:rPr>
          <w:lang w:val="en-US"/>
        </w:rPr>
        <w:t xml:space="preserve"> variable</w:t>
      </w:r>
      <w:r w:rsidR="00BC75DC" w:rsidRPr="00AC6B6D">
        <w:rPr>
          <w:lang w:val="en-US"/>
        </w:rPr>
        <w:t xml:space="preserve">, i.e. </w:t>
      </w:r>
      <w:proofErr w:type="spellStart"/>
      <w:r w:rsidR="00BC75DC" w:rsidRPr="00AC6B6D">
        <w:rPr>
          <w:i/>
          <w:iCs/>
          <w:lang w:val="en-US"/>
        </w:rPr>
        <w:t>Vega</w:t>
      </w:r>
      <w:r w:rsidR="00C81102">
        <w:rPr>
          <w:i/>
          <w:iCs/>
          <w:lang w:val="en-US"/>
        </w:rPr>
        <w:t>Quintile</w:t>
      </w:r>
      <w:proofErr w:type="spellEnd"/>
      <w:r w:rsidR="00BC75DC" w:rsidRPr="00AC6B6D">
        <w:rPr>
          <w:i/>
          <w:iCs/>
          <w:lang w:val="en-US"/>
        </w:rPr>
        <w:t xml:space="preserve">. </w:t>
      </w:r>
      <w:r w:rsidR="0023493A" w:rsidRPr="00AC6B6D">
        <w:rPr>
          <w:lang w:val="en-US"/>
        </w:rPr>
        <w:t xml:space="preserve">As shown in Panel B of Table </w:t>
      </w:r>
      <w:r w:rsidR="00A85564">
        <w:rPr>
          <w:lang w:val="en-US"/>
        </w:rPr>
        <w:t>6</w:t>
      </w:r>
      <w:r w:rsidR="0023493A" w:rsidRPr="00AC6B6D">
        <w:rPr>
          <w:lang w:val="en-US"/>
        </w:rPr>
        <w:t xml:space="preserve">, we successfully match </w:t>
      </w:r>
      <w:r w:rsidR="009A1A59" w:rsidRPr="00AC6B6D">
        <w:rPr>
          <w:lang w:val="en-US"/>
        </w:rPr>
        <w:t>5,953</w:t>
      </w:r>
      <w:r w:rsidR="0023493A" w:rsidRPr="00AC6B6D">
        <w:rPr>
          <w:lang w:val="en-US"/>
        </w:rPr>
        <w:t xml:space="preserve"> observations.</w:t>
      </w:r>
      <w:r w:rsidR="00E3524C">
        <w:rPr>
          <w:lang w:val="en-US"/>
        </w:rPr>
        <w:t xml:space="preserve"> </w:t>
      </w:r>
      <w:r w:rsidR="0023493A" w:rsidRPr="00AC6B6D">
        <w:rPr>
          <w:lang w:val="en-US"/>
        </w:rPr>
        <w:t>Test</w:t>
      </w:r>
      <w:r w:rsidR="00E3524C">
        <w:rPr>
          <w:lang w:val="en-US"/>
        </w:rPr>
        <w:t>s</w:t>
      </w:r>
      <w:r w:rsidR="0023493A" w:rsidRPr="00AC6B6D">
        <w:rPr>
          <w:lang w:val="en-US"/>
        </w:rPr>
        <w:t xml:space="preserve"> for differences in means s</w:t>
      </w:r>
      <w:r w:rsidR="00304CD7">
        <w:rPr>
          <w:lang w:val="en-US"/>
        </w:rPr>
        <w:t>u</w:t>
      </w:r>
      <w:r w:rsidR="0023493A" w:rsidRPr="00AC6B6D">
        <w:rPr>
          <w:lang w:val="en-US"/>
        </w:rPr>
        <w:t>ggest</w:t>
      </w:r>
      <w:r w:rsidR="00B92AD8">
        <w:rPr>
          <w:lang w:val="en-US"/>
        </w:rPr>
        <w:t xml:space="preserve"> no significant difference in most control variables between the treatment and control </w:t>
      </w:r>
      <w:r w:rsidR="009964CB">
        <w:rPr>
          <w:lang w:val="en-US"/>
        </w:rPr>
        <w:t>groups</w:t>
      </w:r>
      <w:r w:rsidR="006F1881" w:rsidRPr="00AC6B6D">
        <w:rPr>
          <w:lang w:val="en-US"/>
        </w:rPr>
        <w:t>.</w:t>
      </w:r>
      <w:r w:rsidR="00C61FA0" w:rsidRPr="00AC6B6D">
        <w:rPr>
          <w:lang w:val="en-US"/>
        </w:rPr>
        <w:t xml:space="preserve"> Exceptions are </w:t>
      </w:r>
      <w:proofErr w:type="spellStart"/>
      <w:r w:rsidR="009A1A59" w:rsidRPr="006C2862">
        <w:rPr>
          <w:i/>
          <w:lang w:val="en-US"/>
        </w:rPr>
        <w:t>CEOage</w:t>
      </w:r>
      <w:proofErr w:type="spellEnd"/>
      <w:r w:rsidR="009A1A59" w:rsidRPr="006C2862">
        <w:rPr>
          <w:lang w:val="en-US"/>
        </w:rPr>
        <w:t xml:space="preserve"> and </w:t>
      </w:r>
      <w:proofErr w:type="spellStart"/>
      <w:r w:rsidR="00C61FA0" w:rsidRPr="006C2862">
        <w:rPr>
          <w:i/>
          <w:iCs/>
          <w:lang w:val="en-US"/>
        </w:rPr>
        <w:t>CEOtenure</w:t>
      </w:r>
      <w:proofErr w:type="spellEnd"/>
      <w:r w:rsidR="009A1A59" w:rsidRPr="006C2862">
        <w:rPr>
          <w:i/>
          <w:iCs/>
          <w:lang w:val="en-US"/>
        </w:rPr>
        <w:t xml:space="preserve"> </w:t>
      </w:r>
      <w:r w:rsidR="00C61FA0" w:rsidRPr="006C2862">
        <w:rPr>
          <w:lang w:val="en-US"/>
        </w:rPr>
        <w:t xml:space="preserve">where we find that the </w:t>
      </w:r>
      <w:r w:rsidR="009A1A59" w:rsidRPr="006C2862">
        <w:rPr>
          <w:lang w:val="en-US"/>
        </w:rPr>
        <w:t>control</w:t>
      </w:r>
      <w:r w:rsidR="00C61FA0" w:rsidRPr="006C2862">
        <w:rPr>
          <w:lang w:val="en-US"/>
        </w:rPr>
        <w:t xml:space="preserve"> group </w:t>
      </w:r>
      <w:r w:rsidR="009A1A59" w:rsidRPr="006C2862">
        <w:rPr>
          <w:lang w:val="en-US"/>
        </w:rPr>
        <w:t xml:space="preserve">is managed by older and </w:t>
      </w:r>
      <w:r w:rsidR="00E3524C">
        <w:rPr>
          <w:lang w:val="en-US"/>
        </w:rPr>
        <w:t>longer</w:t>
      </w:r>
      <w:r w:rsidR="009A1A59" w:rsidRPr="006C2862">
        <w:rPr>
          <w:lang w:val="en-US"/>
        </w:rPr>
        <w:t xml:space="preserve"> tenured CEOs </w:t>
      </w:r>
      <w:r w:rsidR="00B92AD8">
        <w:rPr>
          <w:lang w:val="en-US"/>
        </w:rPr>
        <w:t>relative to</w:t>
      </w:r>
      <w:r w:rsidR="00B92AD8" w:rsidRPr="006C2862">
        <w:rPr>
          <w:lang w:val="en-US"/>
        </w:rPr>
        <w:t xml:space="preserve"> </w:t>
      </w:r>
      <w:r w:rsidR="009A1A59" w:rsidRPr="006C2862">
        <w:rPr>
          <w:lang w:val="en-US"/>
        </w:rPr>
        <w:t>the treatment</w:t>
      </w:r>
      <w:r w:rsidR="00C61FA0" w:rsidRPr="006C2862">
        <w:rPr>
          <w:lang w:val="en-US"/>
        </w:rPr>
        <w:t xml:space="preserve"> group. </w:t>
      </w:r>
    </w:p>
    <w:p w14:paraId="2AF0697A" w14:textId="56F1D091" w:rsidR="00157AD5" w:rsidRPr="006C2862" w:rsidRDefault="00157AD5" w:rsidP="006F34EE">
      <w:pPr>
        <w:pStyle w:val="Default"/>
        <w:spacing w:line="480" w:lineRule="auto"/>
        <w:ind w:firstLine="720"/>
        <w:jc w:val="both"/>
        <w:rPr>
          <w:lang w:val="en-US"/>
        </w:rPr>
      </w:pPr>
      <w:r w:rsidRPr="006C2862">
        <w:rPr>
          <w:lang w:val="en-US"/>
        </w:rPr>
        <w:t xml:space="preserve">Panel C </w:t>
      </w:r>
      <w:r w:rsidRPr="003F06C8">
        <w:rPr>
          <w:lang w:val="en-US"/>
        </w:rPr>
        <w:t xml:space="preserve">of Table </w:t>
      </w:r>
      <w:r w:rsidR="00A85564" w:rsidRPr="003F06C8">
        <w:rPr>
          <w:lang w:val="en-US"/>
        </w:rPr>
        <w:t>6</w:t>
      </w:r>
      <w:r w:rsidR="00A85564" w:rsidRPr="006C2862">
        <w:rPr>
          <w:lang w:val="en-US"/>
        </w:rPr>
        <w:t xml:space="preserve"> </w:t>
      </w:r>
      <w:r w:rsidRPr="006C2862">
        <w:rPr>
          <w:lang w:val="en-US"/>
        </w:rPr>
        <w:t>shows the results for the regression analysis using the non-</w:t>
      </w:r>
      <w:r w:rsidR="009A1A59" w:rsidRPr="006C2862">
        <w:rPr>
          <w:lang w:val="en-US"/>
        </w:rPr>
        <w:t>b</w:t>
      </w:r>
      <w:r w:rsidRPr="006C2862">
        <w:rPr>
          <w:lang w:val="en-US"/>
        </w:rPr>
        <w:t xml:space="preserve">ipartite matched sample. </w:t>
      </w:r>
      <w:r w:rsidR="00C12517" w:rsidRPr="006C2862">
        <w:rPr>
          <w:lang w:val="en-US"/>
        </w:rPr>
        <w:t xml:space="preserve">In columns (1) and (2) we present the results for OLS and Poisson regressions when </w:t>
      </w:r>
      <w:r w:rsidR="00BC3159">
        <w:rPr>
          <w:lang w:val="en-US"/>
        </w:rPr>
        <w:t>the number of violations is</w:t>
      </w:r>
      <w:r w:rsidR="00C12517" w:rsidRPr="006C2862">
        <w:rPr>
          <w:lang w:val="en-US"/>
        </w:rPr>
        <w:t xml:space="preserve"> the dependent variable and in columns (3) and (4) we present the results for OLS and Poisson regressions when</w:t>
      </w:r>
      <w:r w:rsidR="009A1A59" w:rsidRPr="006C2862">
        <w:rPr>
          <w:lang w:val="en-US"/>
        </w:rPr>
        <w:t xml:space="preserve"> </w:t>
      </w:r>
      <w:r w:rsidR="00BC3159" w:rsidRPr="00155940">
        <w:rPr>
          <w:lang w:val="en-US"/>
        </w:rPr>
        <w:t xml:space="preserve">the value of </w:t>
      </w:r>
      <w:r w:rsidR="00BC3159" w:rsidRPr="00BC3159">
        <w:rPr>
          <w:lang w:val="en-US"/>
        </w:rPr>
        <w:t>penalties is</w:t>
      </w:r>
      <w:r w:rsidR="00C12517" w:rsidRPr="006C2862">
        <w:rPr>
          <w:lang w:val="en-US"/>
        </w:rPr>
        <w:t xml:space="preserve"> the dependent variable. </w:t>
      </w:r>
      <w:r w:rsidR="00E3524C">
        <w:rPr>
          <w:lang w:val="en-US"/>
        </w:rPr>
        <w:t>As in</w:t>
      </w:r>
      <w:r w:rsidR="00C12517" w:rsidRPr="006C2862">
        <w:rPr>
          <w:lang w:val="en-US"/>
        </w:rPr>
        <w:t xml:space="preserve"> the baseline regressions </w:t>
      </w:r>
      <w:r w:rsidR="00C12517" w:rsidRPr="006C2862">
        <w:rPr>
          <w:i/>
          <w:iCs/>
          <w:lang w:val="en-US"/>
        </w:rPr>
        <w:t xml:space="preserve">Vega </w:t>
      </w:r>
      <w:r w:rsidR="00C12517" w:rsidRPr="006C2862">
        <w:rPr>
          <w:lang w:val="en-US"/>
        </w:rPr>
        <w:t xml:space="preserve">is positive and significant in all specifications. Specifically, </w:t>
      </w:r>
      <w:r w:rsidR="00C12517" w:rsidRPr="006C2862">
        <w:rPr>
          <w:i/>
          <w:iCs/>
          <w:lang w:val="en-US"/>
        </w:rPr>
        <w:t xml:space="preserve">Vega </w:t>
      </w:r>
      <w:r w:rsidR="00503D98" w:rsidRPr="006C2862">
        <w:rPr>
          <w:lang w:val="en-US"/>
        </w:rPr>
        <w:t xml:space="preserve">is significant at the </w:t>
      </w:r>
      <w:r w:rsidR="00E3524C">
        <w:rPr>
          <w:lang w:val="en-US"/>
        </w:rPr>
        <w:t>five percent</w:t>
      </w:r>
      <w:r w:rsidR="00503D98" w:rsidRPr="006C2862">
        <w:rPr>
          <w:lang w:val="en-US"/>
        </w:rPr>
        <w:t xml:space="preserve"> level (t-stat.:</w:t>
      </w:r>
      <w:r w:rsidR="00CA0D38" w:rsidRPr="006C2862">
        <w:rPr>
          <w:lang w:val="en-US"/>
        </w:rPr>
        <w:t xml:space="preserve"> </w:t>
      </w:r>
      <w:r w:rsidR="00503D98" w:rsidRPr="006C2862">
        <w:rPr>
          <w:lang w:val="en-US"/>
        </w:rPr>
        <w:t>2.</w:t>
      </w:r>
      <w:r w:rsidR="009A1A59" w:rsidRPr="006C2862">
        <w:rPr>
          <w:lang w:val="en-US"/>
        </w:rPr>
        <w:t>28</w:t>
      </w:r>
      <w:r w:rsidR="00503D98" w:rsidRPr="006C2862">
        <w:rPr>
          <w:lang w:val="en-US"/>
        </w:rPr>
        <w:t xml:space="preserve">) in the OLS regression and significant at the </w:t>
      </w:r>
      <w:r w:rsidR="00E3524C">
        <w:rPr>
          <w:lang w:val="en-US"/>
        </w:rPr>
        <w:t>one percent</w:t>
      </w:r>
      <w:r w:rsidR="00503D98" w:rsidRPr="006C2862">
        <w:rPr>
          <w:lang w:val="en-US"/>
        </w:rPr>
        <w:t xml:space="preserve"> level (z-stat.: </w:t>
      </w:r>
      <w:r w:rsidR="00CA0D38" w:rsidRPr="006C2862">
        <w:rPr>
          <w:lang w:val="en-US"/>
        </w:rPr>
        <w:t>2.92</w:t>
      </w:r>
      <w:r w:rsidR="00503D98" w:rsidRPr="006C2862">
        <w:rPr>
          <w:lang w:val="en-US"/>
        </w:rPr>
        <w:t xml:space="preserve">) in the Poisson regression when the number of violations is the dependent variable. </w:t>
      </w:r>
      <w:r w:rsidR="00CA0D38" w:rsidRPr="006C2862">
        <w:rPr>
          <w:lang w:val="en-US"/>
        </w:rPr>
        <w:t>Further</w:t>
      </w:r>
      <w:r w:rsidR="00EA6652" w:rsidRPr="006C2862">
        <w:rPr>
          <w:lang w:val="en-US"/>
        </w:rPr>
        <w:t xml:space="preserve">, </w:t>
      </w:r>
      <w:r w:rsidR="00EA6652" w:rsidRPr="006C2862">
        <w:rPr>
          <w:i/>
          <w:iCs/>
          <w:lang w:val="en-US"/>
        </w:rPr>
        <w:t xml:space="preserve">Vega </w:t>
      </w:r>
      <w:r w:rsidR="00EA6652" w:rsidRPr="006C2862">
        <w:rPr>
          <w:lang w:val="en-US"/>
        </w:rPr>
        <w:t xml:space="preserve">is significant at the </w:t>
      </w:r>
      <w:r w:rsidR="0081118A">
        <w:rPr>
          <w:lang w:val="en-US"/>
        </w:rPr>
        <w:t xml:space="preserve">ten percent </w:t>
      </w:r>
      <w:r w:rsidR="00EA6652" w:rsidRPr="006C2862">
        <w:rPr>
          <w:lang w:val="en-US"/>
        </w:rPr>
        <w:t xml:space="preserve">level </w:t>
      </w:r>
      <w:r w:rsidR="00CA0D38" w:rsidRPr="006C2862">
        <w:rPr>
          <w:lang w:val="en-US"/>
        </w:rPr>
        <w:t xml:space="preserve">(t-stat.: 1.84) </w:t>
      </w:r>
      <w:r w:rsidR="00EA6652" w:rsidRPr="006C2862">
        <w:rPr>
          <w:lang w:val="en-US"/>
        </w:rPr>
        <w:t>for the OLS</w:t>
      </w:r>
      <w:r w:rsidR="00CA0D38" w:rsidRPr="006C2862">
        <w:rPr>
          <w:lang w:val="en-US"/>
        </w:rPr>
        <w:t xml:space="preserve"> regression and at </w:t>
      </w:r>
      <w:r w:rsidR="004D10E3">
        <w:rPr>
          <w:lang w:val="en-US"/>
        </w:rPr>
        <w:t xml:space="preserve">the </w:t>
      </w:r>
      <w:r w:rsidR="0081118A">
        <w:rPr>
          <w:lang w:val="en-US"/>
        </w:rPr>
        <w:t>five percent</w:t>
      </w:r>
      <w:r w:rsidR="00CA0D38" w:rsidRPr="006C2862">
        <w:rPr>
          <w:lang w:val="en-US"/>
        </w:rPr>
        <w:t xml:space="preserve"> level (z-stat.: 2.52) </w:t>
      </w:r>
      <w:r w:rsidR="0081118A">
        <w:rPr>
          <w:lang w:val="en-US"/>
        </w:rPr>
        <w:t>for the</w:t>
      </w:r>
      <w:r w:rsidR="00CA0D38" w:rsidRPr="006C2862">
        <w:rPr>
          <w:lang w:val="en-US"/>
        </w:rPr>
        <w:t xml:space="preserve"> </w:t>
      </w:r>
      <w:r w:rsidR="00EA6652" w:rsidRPr="006C2862">
        <w:rPr>
          <w:lang w:val="en-US"/>
        </w:rPr>
        <w:t xml:space="preserve">Poisson regression when </w:t>
      </w:r>
      <w:r w:rsidR="00BC3159">
        <w:rPr>
          <w:lang w:val="en-US"/>
        </w:rPr>
        <w:t>p</w:t>
      </w:r>
      <w:r w:rsidR="0081118A" w:rsidRPr="00BC3159">
        <w:rPr>
          <w:lang w:val="en-US"/>
        </w:rPr>
        <w:t>enalties</w:t>
      </w:r>
      <w:r w:rsidR="0081118A">
        <w:rPr>
          <w:lang w:val="en-US"/>
        </w:rPr>
        <w:t xml:space="preserve"> is</w:t>
      </w:r>
      <w:r w:rsidR="00EA6652" w:rsidRPr="006C2862">
        <w:rPr>
          <w:lang w:val="en-US"/>
        </w:rPr>
        <w:t xml:space="preserve"> the dependent variable. Taken together these results support the notion that </w:t>
      </w:r>
      <w:r w:rsidR="00EA6652" w:rsidRPr="006C2862">
        <w:rPr>
          <w:i/>
          <w:iCs/>
          <w:lang w:val="en-US"/>
        </w:rPr>
        <w:t>Vega</w:t>
      </w:r>
      <w:r w:rsidR="00CA0D38" w:rsidRPr="006C2862">
        <w:rPr>
          <w:i/>
          <w:iCs/>
          <w:lang w:val="en-US"/>
        </w:rPr>
        <w:t xml:space="preserve">, </w:t>
      </w:r>
      <w:r w:rsidR="00CA0D38" w:rsidRPr="006C2862">
        <w:rPr>
          <w:iCs/>
          <w:lang w:val="en-US"/>
        </w:rPr>
        <w:t>as opposed to a correlated omitted variable,</w:t>
      </w:r>
      <w:r w:rsidR="00EA6652" w:rsidRPr="006C2862">
        <w:rPr>
          <w:lang w:val="en-US"/>
        </w:rPr>
        <w:t xml:space="preserve"> is driving </w:t>
      </w:r>
      <w:r w:rsidR="0081118A">
        <w:rPr>
          <w:lang w:val="en-US"/>
        </w:rPr>
        <w:t xml:space="preserve">the </w:t>
      </w:r>
      <w:r w:rsidR="00CA0D38" w:rsidRPr="006C2862">
        <w:rPr>
          <w:lang w:val="en-US"/>
        </w:rPr>
        <w:t>baseline results.</w:t>
      </w:r>
    </w:p>
    <w:p w14:paraId="09558E59" w14:textId="4E91C425" w:rsidR="00910489" w:rsidRPr="006C2862" w:rsidRDefault="00910489" w:rsidP="00EB7A61">
      <w:pPr>
        <w:spacing w:after="0" w:line="480" w:lineRule="auto"/>
        <w:rPr>
          <w:rFonts w:ascii="Times New Roman" w:hAnsi="Times New Roman" w:cs="Times New Roman"/>
          <w:i/>
          <w:sz w:val="24"/>
          <w:szCs w:val="24"/>
          <w:lang w:val="en-US"/>
        </w:rPr>
      </w:pPr>
      <w:r w:rsidRPr="006C2862">
        <w:rPr>
          <w:rFonts w:ascii="Times New Roman" w:hAnsi="Times New Roman" w:cs="Times New Roman"/>
          <w:i/>
          <w:sz w:val="24"/>
          <w:szCs w:val="24"/>
          <w:lang w:val="en-US"/>
        </w:rPr>
        <w:t>5.3. Identification strategy</w:t>
      </w:r>
    </w:p>
    <w:p w14:paraId="27C348CC" w14:textId="181A73E4" w:rsidR="00900C1B" w:rsidRPr="006C2862" w:rsidRDefault="00900C1B" w:rsidP="000924AD">
      <w:pPr>
        <w:pStyle w:val="Default"/>
        <w:spacing w:line="480" w:lineRule="auto"/>
        <w:ind w:firstLine="720"/>
        <w:jc w:val="both"/>
        <w:rPr>
          <w:color w:val="auto"/>
          <w:lang w:val="en-US"/>
        </w:rPr>
      </w:pPr>
      <w:r w:rsidRPr="006C2862">
        <w:rPr>
          <w:color w:val="auto"/>
          <w:lang w:val="en-US"/>
        </w:rPr>
        <w:t>In this subsection</w:t>
      </w:r>
      <w:r w:rsidR="00A74FB7" w:rsidRPr="006C2862">
        <w:rPr>
          <w:color w:val="auto"/>
          <w:lang w:val="en-US"/>
        </w:rPr>
        <w:t>,</w:t>
      </w:r>
      <w:r w:rsidRPr="006C2862">
        <w:rPr>
          <w:color w:val="auto"/>
          <w:lang w:val="en-US"/>
        </w:rPr>
        <w:t xml:space="preserve"> we present the results </w:t>
      </w:r>
      <w:r w:rsidR="00001EE4" w:rsidRPr="006C2862">
        <w:rPr>
          <w:color w:val="auto"/>
          <w:lang w:val="en-US"/>
        </w:rPr>
        <w:t xml:space="preserve">for </w:t>
      </w:r>
      <w:r w:rsidRPr="006C2862">
        <w:rPr>
          <w:color w:val="auto"/>
          <w:lang w:val="en-US"/>
        </w:rPr>
        <w:t>a quasi-natural experiment</w:t>
      </w:r>
      <w:r w:rsidR="009D5A30">
        <w:rPr>
          <w:color w:val="auto"/>
          <w:lang w:val="en-US"/>
        </w:rPr>
        <w:t>, i.e.</w:t>
      </w:r>
      <w:r w:rsidRPr="006C2862">
        <w:rPr>
          <w:color w:val="auto"/>
          <w:lang w:val="en-US"/>
        </w:rPr>
        <w:t xml:space="preserve"> the introduction of </w:t>
      </w:r>
      <w:r w:rsidR="00356F82" w:rsidRPr="006C2862">
        <w:rPr>
          <w:color w:val="auto"/>
          <w:lang w:val="en-US"/>
        </w:rPr>
        <w:t>S</w:t>
      </w:r>
      <w:r w:rsidRPr="006C2862">
        <w:rPr>
          <w:color w:val="auto"/>
          <w:lang w:val="en-US"/>
        </w:rPr>
        <w:t xml:space="preserve">FAS 123R discussed in </w:t>
      </w:r>
      <w:r w:rsidR="00001EE4" w:rsidRPr="006C2862">
        <w:rPr>
          <w:color w:val="auto"/>
          <w:lang w:val="en-US"/>
        </w:rPr>
        <w:t xml:space="preserve">Section </w:t>
      </w:r>
      <w:r w:rsidRPr="006C2862">
        <w:rPr>
          <w:color w:val="auto"/>
          <w:lang w:val="en-US"/>
        </w:rPr>
        <w:t xml:space="preserve">4.2. </w:t>
      </w:r>
      <w:r w:rsidR="009D5A30">
        <w:rPr>
          <w:color w:val="auto"/>
          <w:lang w:val="en-US"/>
        </w:rPr>
        <w:t xml:space="preserve">Prior literature (e.g. </w:t>
      </w:r>
      <w:r w:rsidR="009D5A30" w:rsidRPr="00EA25A1">
        <w:rPr>
          <w:lang w:val="en-US"/>
        </w:rPr>
        <w:t>Carter, Lynch and Tuna 2007; Hayes</w:t>
      </w:r>
      <w:r w:rsidR="00024071">
        <w:rPr>
          <w:lang w:val="en-US"/>
        </w:rPr>
        <w:t xml:space="preserve"> </w:t>
      </w:r>
      <w:r w:rsidR="00024071">
        <w:rPr>
          <w:lang w:val="en-US"/>
        </w:rPr>
        <w:lastRenderedPageBreak/>
        <w:t xml:space="preserve">et al. </w:t>
      </w:r>
      <w:r w:rsidR="009D5A30" w:rsidRPr="00EA25A1">
        <w:rPr>
          <w:lang w:val="en-US"/>
        </w:rPr>
        <w:t>2012; and Bakke</w:t>
      </w:r>
      <w:r w:rsidR="00BC3337">
        <w:rPr>
          <w:lang w:val="en-US"/>
        </w:rPr>
        <w:t xml:space="preserve"> et al.</w:t>
      </w:r>
      <w:r w:rsidR="009D5A30" w:rsidRPr="00EA25A1">
        <w:rPr>
          <w:lang w:val="en-US"/>
        </w:rPr>
        <w:t xml:space="preserve"> 2016)</w:t>
      </w:r>
      <w:r w:rsidR="009D5A30">
        <w:rPr>
          <w:lang w:val="en-US"/>
        </w:rPr>
        <w:t xml:space="preserve"> document</w:t>
      </w:r>
      <w:r w:rsidR="0027044E">
        <w:rPr>
          <w:lang w:val="en-US"/>
        </w:rPr>
        <w:t>s</w:t>
      </w:r>
      <w:r w:rsidR="009D5A30">
        <w:rPr>
          <w:lang w:val="en-US"/>
        </w:rPr>
        <w:t xml:space="preserve"> </w:t>
      </w:r>
      <w:r w:rsidR="009D5A30" w:rsidRPr="006C2862">
        <w:rPr>
          <w:color w:val="auto"/>
          <w:lang w:val="en-US"/>
        </w:rPr>
        <w:t>a significant drop in</w:t>
      </w:r>
      <w:r w:rsidR="009D5A30" w:rsidRPr="006C2862">
        <w:rPr>
          <w:i/>
          <w:color w:val="auto"/>
          <w:lang w:val="en-US"/>
        </w:rPr>
        <w:t xml:space="preserve"> Vega</w:t>
      </w:r>
      <w:r w:rsidR="009D5A30" w:rsidRPr="006C2862">
        <w:rPr>
          <w:color w:val="auto"/>
          <w:lang w:val="en-US"/>
        </w:rPr>
        <w:t xml:space="preserve"> </w:t>
      </w:r>
      <w:r w:rsidR="009D5A30">
        <w:rPr>
          <w:color w:val="auto"/>
          <w:lang w:val="en-US"/>
        </w:rPr>
        <w:t xml:space="preserve">following the </w:t>
      </w:r>
      <w:r w:rsidRPr="006C2862">
        <w:rPr>
          <w:color w:val="auto"/>
          <w:lang w:val="en-US"/>
        </w:rPr>
        <w:t xml:space="preserve">introduction of </w:t>
      </w:r>
      <w:r w:rsidR="00356F82" w:rsidRPr="006C2862">
        <w:rPr>
          <w:color w:val="auto"/>
          <w:lang w:val="en-US"/>
        </w:rPr>
        <w:t>S</w:t>
      </w:r>
      <w:r w:rsidRPr="006C2862">
        <w:rPr>
          <w:color w:val="auto"/>
          <w:lang w:val="en-US"/>
        </w:rPr>
        <w:t xml:space="preserve">FAS 123R. </w:t>
      </w:r>
      <w:r w:rsidR="00E9026F">
        <w:rPr>
          <w:color w:val="auto"/>
          <w:lang w:val="en-US"/>
        </w:rPr>
        <w:t>Similarly, i</w:t>
      </w:r>
      <w:r w:rsidRPr="006C2862">
        <w:rPr>
          <w:color w:val="auto"/>
          <w:lang w:val="en-US"/>
        </w:rPr>
        <w:t xml:space="preserve">n </w:t>
      </w:r>
      <w:proofErr w:type="spellStart"/>
      <w:r w:rsidRPr="006C2862">
        <w:rPr>
          <w:color w:val="auto"/>
          <w:lang w:val="en-US"/>
        </w:rPr>
        <w:t>untabulated</w:t>
      </w:r>
      <w:proofErr w:type="spellEnd"/>
      <w:r w:rsidRPr="006C2862">
        <w:rPr>
          <w:color w:val="auto"/>
          <w:lang w:val="en-US"/>
        </w:rPr>
        <w:t xml:space="preserve"> results</w:t>
      </w:r>
      <w:r w:rsidR="00A74FB7" w:rsidRPr="006C2862">
        <w:rPr>
          <w:color w:val="auto"/>
          <w:lang w:val="en-US"/>
        </w:rPr>
        <w:t>,</w:t>
      </w:r>
      <w:r w:rsidRPr="006C2862">
        <w:rPr>
          <w:color w:val="auto"/>
          <w:lang w:val="en-US"/>
        </w:rPr>
        <w:t xml:space="preserve"> we also find </w:t>
      </w:r>
      <w:r w:rsidR="00A74FB7" w:rsidRPr="006C2862">
        <w:rPr>
          <w:color w:val="auto"/>
          <w:lang w:val="en-US"/>
        </w:rPr>
        <w:t xml:space="preserve">a </w:t>
      </w:r>
      <w:r w:rsidR="004178AF" w:rsidRPr="006C2862">
        <w:rPr>
          <w:color w:val="auto"/>
          <w:lang w:val="en-US"/>
        </w:rPr>
        <w:t xml:space="preserve">large and </w:t>
      </w:r>
      <w:r w:rsidRPr="006C2862">
        <w:rPr>
          <w:color w:val="auto"/>
          <w:lang w:val="en-US"/>
        </w:rPr>
        <w:t xml:space="preserve">significant drop in </w:t>
      </w:r>
      <w:r w:rsidRPr="006C2862">
        <w:rPr>
          <w:i/>
          <w:color w:val="auto"/>
          <w:lang w:val="en-US"/>
        </w:rPr>
        <w:t xml:space="preserve">Vega </w:t>
      </w:r>
      <w:r w:rsidRPr="006C2862">
        <w:rPr>
          <w:color w:val="auto"/>
          <w:lang w:val="en-US"/>
        </w:rPr>
        <w:t xml:space="preserve">in the period </w:t>
      </w:r>
      <w:r w:rsidR="009D5A30">
        <w:rPr>
          <w:color w:val="auto"/>
          <w:lang w:val="en-US"/>
        </w:rPr>
        <w:t>following the introduction of</w:t>
      </w:r>
      <w:r w:rsidR="009D5A30" w:rsidRPr="006C2862">
        <w:rPr>
          <w:color w:val="auto"/>
          <w:lang w:val="en-US"/>
        </w:rPr>
        <w:t xml:space="preserve"> </w:t>
      </w:r>
      <w:r w:rsidR="00356F82" w:rsidRPr="006C2862">
        <w:rPr>
          <w:color w:val="auto"/>
          <w:lang w:val="en-US"/>
        </w:rPr>
        <w:t>S</w:t>
      </w:r>
      <w:r w:rsidRPr="006C2862">
        <w:rPr>
          <w:color w:val="auto"/>
          <w:lang w:val="en-US"/>
        </w:rPr>
        <w:t xml:space="preserve">FAS 123R. </w:t>
      </w:r>
    </w:p>
    <w:p w14:paraId="055B63C8" w14:textId="6E699528" w:rsidR="007C13D3" w:rsidRPr="006C2862" w:rsidRDefault="00EC0FEC" w:rsidP="006370E7">
      <w:pPr>
        <w:pStyle w:val="Default"/>
        <w:spacing w:line="480" w:lineRule="auto"/>
        <w:jc w:val="both"/>
        <w:rPr>
          <w:color w:val="auto"/>
          <w:lang w:val="en-US"/>
        </w:rPr>
      </w:pPr>
      <w:r w:rsidRPr="006C2862">
        <w:rPr>
          <w:color w:val="auto"/>
          <w:lang w:val="en-US"/>
        </w:rPr>
        <w:tab/>
      </w:r>
      <w:r w:rsidR="00001EE4" w:rsidRPr="006C2862">
        <w:rPr>
          <w:color w:val="auto"/>
          <w:lang w:val="en-US"/>
        </w:rPr>
        <w:t>As discussed in Section 4.2 our treatment group</w:t>
      </w:r>
      <w:r w:rsidR="00E9026F">
        <w:rPr>
          <w:color w:val="auto"/>
          <w:lang w:val="en-US"/>
        </w:rPr>
        <w:t xml:space="preserve"> consists</w:t>
      </w:r>
      <w:r w:rsidR="00001EE4" w:rsidRPr="006C2862">
        <w:rPr>
          <w:color w:val="auto"/>
          <w:lang w:val="en-US"/>
        </w:rPr>
        <w:t xml:space="preserve"> </w:t>
      </w:r>
      <w:r w:rsidR="009809E1" w:rsidRPr="00240A3A">
        <w:rPr>
          <w:lang w:val="en-US"/>
        </w:rPr>
        <w:t xml:space="preserve">of firms </w:t>
      </w:r>
      <w:r w:rsidR="009809E1" w:rsidRPr="008B748F">
        <w:rPr>
          <w:lang w:val="en-US"/>
        </w:rPr>
        <w:t>with pro forma option expenses in the top tercile</w:t>
      </w:r>
      <w:r w:rsidR="009809E1" w:rsidRPr="00240A3A">
        <w:rPr>
          <w:lang w:val="en-US"/>
        </w:rPr>
        <w:t xml:space="preserve">, while the control group consists of firms </w:t>
      </w:r>
      <w:r w:rsidR="009809E1">
        <w:rPr>
          <w:lang w:val="en-US"/>
        </w:rPr>
        <w:t>in the bottom tercile</w:t>
      </w:r>
      <w:r w:rsidR="009809E1" w:rsidRPr="00240A3A">
        <w:rPr>
          <w:lang w:val="en-US"/>
        </w:rPr>
        <w:t>.</w:t>
      </w:r>
      <w:r w:rsidR="00865428" w:rsidRPr="006C2862">
        <w:rPr>
          <w:color w:val="auto"/>
          <w:lang w:val="en-US"/>
        </w:rPr>
        <w:t xml:space="preserve"> </w:t>
      </w:r>
      <w:r w:rsidR="007C13D3" w:rsidRPr="006C2862">
        <w:rPr>
          <w:color w:val="auto"/>
          <w:lang w:val="en-US"/>
        </w:rPr>
        <w:t xml:space="preserve">Panel A of Table </w:t>
      </w:r>
      <w:r w:rsidR="00A85564">
        <w:rPr>
          <w:color w:val="auto"/>
          <w:lang w:val="en-US"/>
        </w:rPr>
        <w:t>7</w:t>
      </w:r>
      <w:r w:rsidR="00A85564" w:rsidRPr="006C2862">
        <w:rPr>
          <w:color w:val="auto"/>
          <w:lang w:val="en-US"/>
        </w:rPr>
        <w:t xml:space="preserve"> </w:t>
      </w:r>
      <w:r w:rsidR="007C13D3" w:rsidRPr="006C2862">
        <w:rPr>
          <w:color w:val="auto"/>
          <w:lang w:val="en-US"/>
        </w:rPr>
        <w:t>shows descriptive statistics for the treatment</w:t>
      </w:r>
      <w:r w:rsidR="009809E1">
        <w:rPr>
          <w:color w:val="auto"/>
          <w:lang w:val="en-US"/>
        </w:rPr>
        <w:t xml:space="preserve"> </w:t>
      </w:r>
      <w:r w:rsidR="009809E1">
        <w:rPr>
          <w:lang w:val="en-US"/>
        </w:rPr>
        <w:t xml:space="preserve">and control </w:t>
      </w:r>
      <w:r w:rsidR="007C13D3" w:rsidRPr="006C2862">
        <w:rPr>
          <w:color w:val="auto"/>
          <w:lang w:val="en-US"/>
        </w:rPr>
        <w:t xml:space="preserve">groups. </w:t>
      </w:r>
      <w:r w:rsidR="009809E1">
        <w:rPr>
          <w:color w:val="auto"/>
          <w:lang w:val="en-US"/>
        </w:rPr>
        <w:t>We</w:t>
      </w:r>
      <w:r w:rsidR="007C13D3" w:rsidRPr="006C2862">
        <w:rPr>
          <w:color w:val="auto"/>
          <w:lang w:val="en-US"/>
        </w:rPr>
        <w:t xml:space="preserve"> have a balanced sample where </w:t>
      </w:r>
      <w:r w:rsidR="009809E1">
        <w:rPr>
          <w:color w:val="auto"/>
          <w:lang w:val="en-US"/>
        </w:rPr>
        <w:t xml:space="preserve">both groups </w:t>
      </w:r>
      <w:r w:rsidR="00E71ED2">
        <w:rPr>
          <w:color w:val="auto"/>
          <w:lang w:val="en-US"/>
        </w:rPr>
        <w:t>consist</w:t>
      </w:r>
      <w:r w:rsidR="009809E1">
        <w:rPr>
          <w:color w:val="auto"/>
          <w:lang w:val="en-US"/>
        </w:rPr>
        <w:t xml:space="preserve"> of 924</w:t>
      </w:r>
      <w:r w:rsidR="005D2873">
        <w:rPr>
          <w:color w:val="auto"/>
          <w:lang w:val="en-US"/>
        </w:rPr>
        <w:t xml:space="preserve"> observations</w:t>
      </w:r>
      <w:r w:rsidR="007C13D3" w:rsidRPr="006C2862">
        <w:rPr>
          <w:color w:val="auto"/>
          <w:lang w:val="en-US"/>
        </w:rPr>
        <w:t>.</w:t>
      </w:r>
      <w:r w:rsidR="009809E1">
        <w:rPr>
          <w:color w:val="auto"/>
          <w:lang w:val="en-US"/>
        </w:rPr>
        <w:t xml:space="preserve"> </w:t>
      </w:r>
      <w:r w:rsidR="007C13D3" w:rsidRPr="006C2862">
        <w:rPr>
          <w:color w:val="auto"/>
          <w:lang w:val="en-US"/>
        </w:rPr>
        <w:t xml:space="preserve">Further, in </w:t>
      </w:r>
      <w:proofErr w:type="spellStart"/>
      <w:r w:rsidR="007C13D3" w:rsidRPr="006C2862">
        <w:rPr>
          <w:color w:val="auto"/>
          <w:lang w:val="en-US"/>
        </w:rPr>
        <w:t>untabulated</w:t>
      </w:r>
      <w:proofErr w:type="spellEnd"/>
      <w:r w:rsidR="007C13D3" w:rsidRPr="006C2862">
        <w:rPr>
          <w:color w:val="auto"/>
          <w:lang w:val="en-US"/>
        </w:rPr>
        <w:t xml:space="preserve"> results</w:t>
      </w:r>
      <w:r w:rsidR="00A21306" w:rsidRPr="006C2862">
        <w:rPr>
          <w:color w:val="auto"/>
          <w:lang w:val="en-US"/>
        </w:rPr>
        <w:t>,</w:t>
      </w:r>
      <w:r w:rsidR="007C13D3" w:rsidRPr="006C2862">
        <w:rPr>
          <w:color w:val="auto"/>
          <w:lang w:val="en-US"/>
        </w:rPr>
        <w:t xml:space="preserve"> we test for the parallel trend assumption </w:t>
      </w:r>
      <w:r w:rsidR="009809E1">
        <w:rPr>
          <w:color w:val="auto"/>
          <w:lang w:val="en-US"/>
        </w:rPr>
        <w:t xml:space="preserve">for the pre-treatment period </w:t>
      </w:r>
      <w:r w:rsidR="007C13D3" w:rsidRPr="006C2862">
        <w:rPr>
          <w:color w:val="auto"/>
          <w:lang w:val="en-US"/>
        </w:rPr>
        <w:t xml:space="preserve">with respect to the number and severity of violations and find that the assumption holds for both </w:t>
      </w:r>
      <w:r w:rsidR="007C13D3" w:rsidRPr="006C2862">
        <w:rPr>
          <w:i/>
          <w:iCs/>
          <w:color w:val="auto"/>
          <w:lang w:val="en-US"/>
        </w:rPr>
        <w:t xml:space="preserve">Violations </w:t>
      </w:r>
      <w:r w:rsidR="007C13D3" w:rsidRPr="006C2862">
        <w:rPr>
          <w:color w:val="auto"/>
          <w:lang w:val="en-US"/>
        </w:rPr>
        <w:t xml:space="preserve">and </w:t>
      </w:r>
      <w:r w:rsidR="007C13D3" w:rsidRPr="006C2862">
        <w:rPr>
          <w:i/>
          <w:iCs/>
          <w:color w:val="auto"/>
          <w:lang w:val="en-US"/>
        </w:rPr>
        <w:t>Penalties</w:t>
      </w:r>
      <w:r w:rsidR="00144586">
        <w:rPr>
          <w:i/>
          <w:iCs/>
          <w:color w:val="auto"/>
          <w:lang w:val="en-US"/>
        </w:rPr>
        <w:t xml:space="preserve">. </w:t>
      </w:r>
      <w:r w:rsidR="009809E1">
        <w:rPr>
          <w:iCs/>
          <w:color w:val="auto"/>
          <w:lang w:val="en-US"/>
        </w:rPr>
        <w:t xml:space="preserve">Also, the </w:t>
      </w:r>
      <w:r w:rsidR="009809E1" w:rsidRPr="009809E1">
        <w:rPr>
          <w:iCs/>
          <w:color w:val="auto"/>
          <w:lang w:val="en-US"/>
        </w:rPr>
        <w:t>Granger causality test</w:t>
      </w:r>
      <w:r w:rsidR="009809E1">
        <w:rPr>
          <w:iCs/>
          <w:color w:val="auto"/>
          <w:lang w:val="en-US"/>
        </w:rPr>
        <w:t xml:space="preserve"> indicate</w:t>
      </w:r>
      <w:r w:rsidR="004C4211">
        <w:rPr>
          <w:iCs/>
          <w:color w:val="auto"/>
          <w:lang w:val="en-US"/>
        </w:rPr>
        <w:t>s</w:t>
      </w:r>
      <w:r w:rsidR="009809E1">
        <w:rPr>
          <w:iCs/>
          <w:color w:val="auto"/>
          <w:lang w:val="en-US"/>
        </w:rPr>
        <w:t xml:space="preserve"> that there was n</w:t>
      </w:r>
      <w:r w:rsidR="009809E1" w:rsidRPr="009809E1">
        <w:rPr>
          <w:iCs/>
          <w:color w:val="auto"/>
          <w:lang w:val="en-US"/>
        </w:rPr>
        <w:t xml:space="preserve">o effect in anticipation of </w:t>
      </w:r>
      <w:r w:rsidR="005E6D98">
        <w:rPr>
          <w:iCs/>
          <w:color w:val="auto"/>
          <w:lang w:val="en-US"/>
        </w:rPr>
        <w:t xml:space="preserve">the </w:t>
      </w:r>
      <w:r w:rsidR="009809E1" w:rsidRPr="009809E1">
        <w:rPr>
          <w:iCs/>
          <w:color w:val="auto"/>
          <w:lang w:val="en-US"/>
        </w:rPr>
        <w:t>treatment</w:t>
      </w:r>
      <w:r w:rsidR="009809E1">
        <w:rPr>
          <w:iCs/>
          <w:color w:val="auto"/>
          <w:lang w:val="en-US"/>
        </w:rPr>
        <w:t xml:space="preserve"> with p-value</w:t>
      </w:r>
      <w:r w:rsidR="00144586">
        <w:rPr>
          <w:iCs/>
          <w:color w:val="auto"/>
          <w:lang w:val="en-US"/>
        </w:rPr>
        <w:t>s</w:t>
      </w:r>
      <w:r w:rsidR="009809E1">
        <w:rPr>
          <w:iCs/>
          <w:color w:val="auto"/>
          <w:lang w:val="en-US"/>
        </w:rPr>
        <w:t xml:space="preserve"> of </w:t>
      </w:r>
      <w:r w:rsidR="009809E1" w:rsidRPr="009809E1">
        <w:rPr>
          <w:iCs/>
          <w:color w:val="auto"/>
          <w:lang w:val="en-US"/>
        </w:rPr>
        <w:t>0.3112</w:t>
      </w:r>
      <w:r w:rsidR="009809E1">
        <w:rPr>
          <w:iCs/>
          <w:color w:val="auto"/>
          <w:lang w:val="en-US"/>
        </w:rPr>
        <w:t xml:space="preserve"> for </w:t>
      </w:r>
      <w:r w:rsidR="009809E1" w:rsidRPr="006C2862">
        <w:rPr>
          <w:i/>
          <w:iCs/>
          <w:color w:val="auto"/>
          <w:lang w:val="en-US"/>
        </w:rPr>
        <w:t xml:space="preserve">Violations </w:t>
      </w:r>
      <w:r w:rsidR="009809E1" w:rsidRPr="006C2862">
        <w:rPr>
          <w:color w:val="auto"/>
          <w:lang w:val="en-US"/>
        </w:rPr>
        <w:t>and</w:t>
      </w:r>
      <w:r w:rsidR="009809E1">
        <w:rPr>
          <w:color w:val="auto"/>
          <w:lang w:val="en-US"/>
        </w:rPr>
        <w:t xml:space="preserve"> </w:t>
      </w:r>
      <w:r w:rsidR="009809E1" w:rsidRPr="009809E1">
        <w:rPr>
          <w:color w:val="auto"/>
          <w:lang w:val="en-US"/>
        </w:rPr>
        <w:t>0.</w:t>
      </w:r>
      <w:r w:rsidR="005E6D98" w:rsidRPr="009809E1">
        <w:rPr>
          <w:color w:val="auto"/>
          <w:lang w:val="en-US"/>
        </w:rPr>
        <w:t>4327</w:t>
      </w:r>
      <w:r w:rsidR="005E6D98">
        <w:rPr>
          <w:color w:val="auto"/>
          <w:lang w:val="en-US"/>
        </w:rPr>
        <w:t xml:space="preserve"> for </w:t>
      </w:r>
      <w:r w:rsidR="009809E1" w:rsidRPr="006C2862">
        <w:rPr>
          <w:i/>
          <w:iCs/>
          <w:color w:val="auto"/>
          <w:lang w:val="en-US"/>
        </w:rPr>
        <w:t>Penalties</w:t>
      </w:r>
      <w:r w:rsidR="009809E1">
        <w:rPr>
          <w:iCs/>
          <w:color w:val="auto"/>
          <w:lang w:val="en-US"/>
        </w:rPr>
        <w:t xml:space="preserve">. Both tests support the validity of our </w:t>
      </w:r>
      <w:r w:rsidR="009809E1" w:rsidRPr="006C2862">
        <w:rPr>
          <w:color w:val="auto"/>
          <w:lang w:val="en-US"/>
        </w:rPr>
        <w:t xml:space="preserve">difference-in-differences </w:t>
      </w:r>
      <w:r w:rsidR="009809E1">
        <w:rPr>
          <w:color w:val="auto"/>
          <w:lang w:val="en-US"/>
        </w:rPr>
        <w:t xml:space="preserve">tests. To </w:t>
      </w:r>
      <w:r w:rsidR="009809E1" w:rsidRPr="006C2862">
        <w:rPr>
          <w:color w:val="auto"/>
          <w:lang w:val="en-US"/>
        </w:rPr>
        <w:t xml:space="preserve">ensure that </w:t>
      </w:r>
      <w:r w:rsidR="009809E1">
        <w:rPr>
          <w:color w:val="auto"/>
          <w:lang w:val="en-US"/>
        </w:rPr>
        <w:t>unobservable differences in firm characteristics</w:t>
      </w:r>
      <w:r w:rsidR="009809E1" w:rsidRPr="006C2862">
        <w:rPr>
          <w:color w:val="auto"/>
          <w:lang w:val="en-US"/>
        </w:rPr>
        <w:t xml:space="preserve"> </w:t>
      </w:r>
      <w:r w:rsidR="00144586">
        <w:rPr>
          <w:color w:val="auto"/>
          <w:lang w:val="en-US"/>
        </w:rPr>
        <w:t>do</w:t>
      </w:r>
      <w:r w:rsidR="009809E1" w:rsidRPr="006C2862">
        <w:rPr>
          <w:color w:val="auto"/>
          <w:lang w:val="en-US"/>
        </w:rPr>
        <w:t xml:space="preserve"> not unduly influence our analysis</w:t>
      </w:r>
      <w:r w:rsidR="00144586">
        <w:rPr>
          <w:color w:val="auto"/>
          <w:lang w:val="en-US"/>
        </w:rPr>
        <w:t>,</w:t>
      </w:r>
      <w:r w:rsidR="009809E1" w:rsidRPr="006C2862">
        <w:rPr>
          <w:color w:val="auto"/>
          <w:lang w:val="en-US"/>
        </w:rPr>
        <w:t xml:space="preserve"> </w:t>
      </w:r>
      <w:r w:rsidR="00144586">
        <w:rPr>
          <w:color w:val="auto"/>
          <w:lang w:val="en-US"/>
        </w:rPr>
        <w:t>as in</w:t>
      </w:r>
      <w:r w:rsidR="009809E1" w:rsidRPr="006C2862">
        <w:rPr>
          <w:color w:val="auto"/>
          <w:lang w:val="en-US"/>
        </w:rPr>
        <w:t xml:space="preserve"> our baseline regression</w:t>
      </w:r>
      <w:r w:rsidR="00144586">
        <w:rPr>
          <w:color w:val="auto"/>
          <w:lang w:val="en-US"/>
        </w:rPr>
        <w:t>,</w:t>
      </w:r>
      <w:r w:rsidR="009809E1" w:rsidRPr="006C2862">
        <w:rPr>
          <w:color w:val="auto"/>
          <w:lang w:val="en-US"/>
        </w:rPr>
        <w:t xml:space="preserve"> we include firm fixed effects in our difference-in-differences analysis.</w:t>
      </w:r>
    </w:p>
    <w:p w14:paraId="20E8CA69" w14:textId="29428BBD" w:rsidR="00510843" w:rsidRDefault="007C13D3" w:rsidP="000569E1">
      <w:pPr>
        <w:pStyle w:val="Default"/>
        <w:spacing w:line="480" w:lineRule="auto"/>
        <w:jc w:val="both"/>
        <w:rPr>
          <w:rFonts w:asciiTheme="majorBidi" w:eastAsia="Times New Roman" w:hAnsiTheme="majorBidi" w:cstheme="majorBidi"/>
          <w:iCs/>
          <w:color w:val="auto"/>
          <w:lang w:val="en-US"/>
        </w:rPr>
      </w:pPr>
      <w:r w:rsidRPr="006C2862">
        <w:rPr>
          <w:color w:val="auto"/>
          <w:lang w:val="en-US"/>
        </w:rPr>
        <w:tab/>
        <w:t xml:space="preserve">Panel B of Table </w:t>
      </w:r>
      <w:r w:rsidR="00A85564">
        <w:rPr>
          <w:color w:val="auto"/>
          <w:lang w:val="en-US"/>
        </w:rPr>
        <w:t>7</w:t>
      </w:r>
      <w:r w:rsidR="00A85564" w:rsidRPr="006C2862">
        <w:rPr>
          <w:color w:val="auto"/>
          <w:lang w:val="en-US"/>
        </w:rPr>
        <w:t xml:space="preserve"> </w:t>
      </w:r>
      <w:r w:rsidRPr="006C2862">
        <w:rPr>
          <w:color w:val="auto"/>
          <w:lang w:val="en-US"/>
        </w:rPr>
        <w:t xml:space="preserve">shows the results for the difference-in-differences regression. </w:t>
      </w:r>
      <w:r w:rsidR="00F64D39" w:rsidRPr="006C2862">
        <w:rPr>
          <w:color w:val="auto"/>
          <w:lang w:val="en-US"/>
        </w:rPr>
        <w:t xml:space="preserve">In column (1) we show the results when </w:t>
      </w:r>
      <w:proofErr w:type="gramStart"/>
      <w:r w:rsidR="00F64D39" w:rsidRPr="006C2862">
        <w:rPr>
          <w:i/>
          <w:iCs/>
          <w:color w:val="auto"/>
          <w:lang w:val="en-US"/>
        </w:rPr>
        <w:t>ln(</w:t>
      </w:r>
      <w:proofErr w:type="gramEnd"/>
      <w:r w:rsidR="00F64D39" w:rsidRPr="006C2862">
        <w:rPr>
          <w:i/>
          <w:iCs/>
          <w:color w:val="auto"/>
          <w:lang w:val="en-US"/>
        </w:rPr>
        <w:t xml:space="preserve">Violations) </w:t>
      </w:r>
      <w:r w:rsidR="00F64D39" w:rsidRPr="006C2862">
        <w:rPr>
          <w:color w:val="auto"/>
          <w:lang w:val="en-US"/>
        </w:rPr>
        <w:t xml:space="preserve">is the dependent variable and in column (2) we show the results when </w:t>
      </w:r>
      <w:r w:rsidR="00F64D39" w:rsidRPr="006C2862">
        <w:rPr>
          <w:i/>
          <w:iCs/>
          <w:color w:val="auto"/>
          <w:lang w:val="en-US"/>
        </w:rPr>
        <w:t xml:space="preserve">ln(Penalties) </w:t>
      </w:r>
      <w:r w:rsidR="00F64D39" w:rsidRPr="006C2862">
        <w:rPr>
          <w:color w:val="auto"/>
          <w:lang w:val="en-US"/>
        </w:rPr>
        <w:t>is the dependent variable.</w:t>
      </w:r>
      <w:r w:rsidR="004178AF" w:rsidRPr="006C2862">
        <w:rPr>
          <w:rFonts w:asciiTheme="majorBidi" w:eastAsia="Times New Roman" w:hAnsiTheme="majorBidi" w:cstheme="majorBidi"/>
          <w:color w:val="auto"/>
          <w:lang w:val="en-US"/>
        </w:rPr>
        <w:t xml:space="preserve"> </w:t>
      </w:r>
      <w:r w:rsidR="00ED0C86" w:rsidRPr="006C2862">
        <w:rPr>
          <w:rFonts w:asciiTheme="majorBidi" w:eastAsia="Times New Roman" w:hAnsiTheme="majorBidi" w:cstheme="majorBidi"/>
          <w:i/>
          <w:iCs/>
          <w:color w:val="auto"/>
          <w:lang w:val="en-US"/>
        </w:rPr>
        <w:t>Treatment</w:t>
      </w:r>
      <w:r w:rsidR="0081118A">
        <w:rPr>
          <w:rFonts w:asciiTheme="majorBidi" w:eastAsia="Times New Roman" w:hAnsiTheme="majorBidi" w:cstheme="majorBidi"/>
          <w:i/>
          <w:iCs/>
          <w:color w:val="auto"/>
          <w:lang w:val="en-US"/>
        </w:rPr>
        <w:t>*</w:t>
      </w:r>
      <w:r w:rsidR="004178AF" w:rsidRPr="006C2862">
        <w:rPr>
          <w:rFonts w:asciiTheme="majorBidi" w:eastAsia="Times New Roman" w:hAnsiTheme="majorBidi" w:cstheme="majorBidi"/>
          <w:i/>
          <w:iCs/>
          <w:color w:val="auto"/>
          <w:lang w:val="en-US"/>
        </w:rPr>
        <w:t>Post</w:t>
      </w:r>
      <w:r w:rsidR="004178AF" w:rsidRPr="006C2862">
        <w:rPr>
          <w:rFonts w:asciiTheme="majorBidi" w:eastAsia="Times New Roman" w:hAnsiTheme="majorBidi" w:cstheme="majorBidi"/>
          <w:iCs/>
          <w:color w:val="auto"/>
          <w:lang w:val="en-US"/>
        </w:rPr>
        <w:t xml:space="preserve"> captures the average </w:t>
      </w:r>
      <w:r w:rsidR="0009253D">
        <w:rPr>
          <w:rFonts w:asciiTheme="majorBidi" w:eastAsia="Times New Roman" w:hAnsiTheme="majorBidi" w:cstheme="majorBidi"/>
          <w:iCs/>
          <w:color w:val="auto"/>
          <w:lang w:val="en-US"/>
        </w:rPr>
        <w:t xml:space="preserve">incremental </w:t>
      </w:r>
      <w:r w:rsidR="004178AF" w:rsidRPr="006C2862">
        <w:rPr>
          <w:rFonts w:asciiTheme="majorBidi" w:eastAsia="Times New Roman" w:hAnsiTheme="majorBidi" w:cstheme="majorBidi"/>
          <w:iCs/>
          <w:color w:val="auto"/>
          <w:lang w:val="en-US"/>
        </w:rPr>
        <w:t xml:space="preserve">effect of </w:t>
      </w:r>
      <w:r w:rsidR="00B12341" w:rsidRPr="006C2862">
        <w:rPr>
          <w:rFonts w:asciiTheme="majorBidi" w:eastAsia="Times New Roman" w:hAnsiTheme="majorBidi" w:cstheme="majorBidi"/>
          <w:iCs/>
          <w:color w:val="auto"/>
          <w:lang w:val="en-US"/>
        </w:rPr>
        <w:t xml:space="preserve">the introduction of SFAS 123R </w:t>
      </w:r>
      <w:r w:rsidR="00356F82" w:rsidRPr="006C2862">
        <w:rPr>
          <w:rFonts w:asciiTheme="majorBidi" w:eastAsia="Times New Roman" w:hAnsiTheme="majorBidi" w:cstheme="majorBidi"/>
          <w:iCs/>
          <w:color w:val="auto"/>
          <w:lang w:val="en-US"/>
        </w:rPr>
        <w:t xml:space="preserve">for </w:t>
      </w:r>
      <w:r w:rsidR="004178AF" w:rsidRPr="006C2862">
        <w:rPr>
          <w:rFonts w:asciiTheme="majorBidi" w:eastAsia="Times New Roman" w:hAnsiTheme="majorBidi" w:cstheme="majorBidi"/>
          <w:iCs/>
          <w:color w:val="auto"/>
          <w:lang w:val="en-US"/>
        </w:rPr>
        <w:t>treated firms</w:t>
      </w:r>
      <w:r w:rsidR="00510843" w:rsidRPr="006C2862">
        <w:rPr>
          <w:rFonts w:asciiTheme="majorBidi" w:eastAsia="Times New Roman" w:hAnsiTheme="majorBidi" w:cstheme="majorBidi"/>
          <w:iCs/>
          <w:color w:val="auto"/>
          <w:lang w:val="en-US"/>
        </w:rPr>
        <w:t xml:space="preserve"> (</w:t>
      </w:r>
      <w:r w:rsidR="00356F82" w:rsidRPr="006C2862">
        <w:rPr>
          <w:rFonts w:asciiTheme="majorBidi" w:eastAsia="Times New Roman" w:hAnsiTheme="majorBidi" w:cstheme="majorBidi"/>
          <w:iCs/>
          <w:color w:val="auto"/>
          <w:lang w:val="en-US"/>
        </w:rPr>
        <w:t xml:space="preserve">firms that </w:t>
      </w:r>
      <w:r w:rsidR="00510843" w:rsidRPr="006C2862">
        <w:rPr>
          <w:rFonts w:asciiTheme="majorBidi" w:eastAsia="Times New Roman" w:hAnsiTheme="majorBidi" w:cstheme="majorBidi"/>
          <w:iCs/>
          <w:color w:val="auto"/>
          <w:lang w:val="en-US"/>
        </w:rPr>
        <w:t>award CEOs with</w:t>
      </w:r>
      <w:r w:rsidR="00356F82" w:rsidRPr="006C2862">
        <w:rPr>
          <w:rFonts w:asciiTheme="majorBidi" w:eastAsia="Times New Roman" w:hAnsiTheme="majorBidi" w:cstheme="majorBidi"/>
          <w:iCs/>
          <w:color w:val="auto"/>
          <w:lang w:val="en-US"/>
        </w:rPr>
        <w:t xml:space="preserve"> stock</w:t>
      </w:r>
      <w:r w:rsidR="00510843" w:rsidRPr="006C2862">
        <w:rPr>
          <w:rFonts w:asciiTheme="majorBidi" w:eastAsia="Times New Roman" w:hAnsiTheme="majorBidi" w:cstheme="majorBidi"/>
          <w:iCs/>
          <w:color w:val="auto"/>
          <w:lang w:val="en-US"/>
        </w:rPr>
        <w:t xml:space="preserve"> options)</w:t>
      </w:r>
      <w:r w:rsidR="004178AF" w:rsidRPr="006C2862">
        <w:rPr>
          <w:rFonts w:asciiTheme="majorBidi" w:eastAsia="Times New Roman" w:hAnsiTheme="majorBidi" w:cstheme="majorBidi"/>
          <w:iCs/>
          <w:color w:val="auto"/>
          <w:lang w:val="en-US"/>
        </w:rPr>
        <w:t xml:space="preserve"> relative to control firms</w:t>
      </w:r>
      <w:r w:rsidR="00510843" w:rsidRPr="006C2862">
        <w:rPr>
          <w:rFonts w:asciiTheme="majorBidi" w:eastAsia="Times New Roman" w:hAnsiTheme="majorBidi" w:cstheme="majorBidi"/>
          <w:iCs/>
          <w:color w:val="auto"/>
          <w:lang w:val="en-US"/>
        </w:rPr>
        <w:t xml:space="preserve"> (</w:t>
      </w:r>
      <w:r w:rsidR="00356F82" w:rsidRPr="006C2862">
        <w:rPr>
          <w:rFonts w:asciiTheme="majorBidi" w:eastAsia="Times New Roman" w:hAnsiTheme="majorBidi" w:cstheme="majorBidi"/>
          <w:iCs/>
          <w:color w:val="auto"/>
          <w:lang w:val="en-US"/>
        </w:rPr>
        <w:t xml:space="preserve">firms that do </w:t>
      </w:r>
      <w:r w:rsidR="00510843" w:rsidRPr="006C2862">
        <w:rPr>
          <w:rFonts w:asciiTheme="majorBidi" w:eastAsia="Times New Roman" w:hAnsiTheme="majorBidi" w:cstheme="majorBidi"/>
          <w:iCs/>
          <w:color w:val="auto"/>
          <w:lang w:val="en-US"/>
        </w:rPr>
        <w:t xml:space="preserve">not award </w:t>
      </w:r>
      <w:r w:rsidR="00356F82" w:rsidRPr="006C2862">
        <w:rPr>
          <w:rFonts w:asciiTheme="majorBidi" w:eastAsia="Times New Roman" w:hAnsiTheme="majorBidi" w:cstheme="majorBidi"/>
          <w:iCs/>
          <w:color w:val="auto"/>
          <w:lang w:val="en-US"/>
        </w:rPr>
        <w:t>CEOs with stock options</w:t>
      </w:r>
      <w:r w:rsidR="00510843" w:rsidRPr="006C2862">
        <w:rPr>
          <w:rFonts w:asciiTheme="majorBidi" w:eastAsia="Times New Roman" w:hAnsiTheme="majorBidi" w:cstheme="majorBidi"/>
          <w:iCs/>
          <w:color w:val="auto"/>
          <w:lang w:val="en-US"/>
        </w:rPr>
        <w:t>)</w:t>
      </w:r>
      <w:r w:rsidR="004178AF" w:rsidRPr="006C2862">
        <w:rPr>
          <w:rFonts w:asciiTheme="majorBidi" w:eastAsia="Times New Roman" w:hAnsiTheme="majorBidi" w:cstheme="majorBidi"/>
          <w:iCs/>
          <w:color w:val="auto"/>
          <w:lang w:val="en-US"/>
        </w:rPr>
        <w:t xml:space="preserve">. </w:t>
      </w:r>
      <w:r w:rsidR="00B12341">
        <w:rPr>
          <w:rFonts w:asciiTheme="majorBidi" w:eastAsia="Times New Roman" w:hAnsiTheme="majorBidi" w:cstheme="majorBidi"/>
          <w:iCs/>
          <w:color w:val="auto"/>
          <w:lang w:val="en-US"/>
        </w:rPr>
        <w:t>T</w:t>
      </w:r>
      <w:r w:rsidR="00510843" w:rsidRPr="006C2862">
        <w:rPr>
          <w:rFonts w:asciiTheme="majorBidi" w:eastAsia="Times New Roman" w:hAnsiTheme="majorBidi" w:cstheme="majorBidi"/>
          <w:iCs/>
          <w:color w:val="auto"/>
          <w:lang w:val="en-US"/>
        </w:rPr>
        <w:t xml:space="preserve">he coefficient on </w:t>
      </w:r>
      <w:r w:rsidR="00510843" w:rsidRPr="006C2862">
        <w:rPr>
          <w:rFonts w:asciiTheme="majorBidi" w:eastAsia="Times New Roman" w:hAnsiTheme="majorBidi" w:cstheme="majorBidi"/>
          <w:i/>
          <w:iCs/>
          <w:color w:val="auto"/>
          <w:lang w:val="en-US"/>
        </w:rPr>
        <w:t>Treatment</w:t>
      </w:r>
      <w:r w:rsidR="00156277" w:rsidRPr="006C2862">
        <w:rPr>
          <w:rFonts w:asciiTheme="majorBidi" w:eastAsia="Times New Roman" w:hAnsiTheme="majorBidi" w:cstheme="majorBidi"/>
          <w:i/>
          <w:iCs/>
          <w:color w:val="auto"/>
          <w:lang w:val="en-US"/>
        </w:rPr>
        <w:t>*</w:t>
      </w:r>
      <w:r w:rsidR="00510843" w:rsidRPr="006C2862">
        <w:rPr>
          <w:rFonts w:asciiTheme="majorBidi" w:eastAsia="Times New Roman" w:hAnsiTheme="majorBidi" w:cstheme="majorBidi"/>
          <w:i/>
          <w:iCs/>
          <w:color w:val="auto"/>
          <w:lang w:val="en-US"/>
        </w:rPr>
        <w:t>Post</w:t>
      </w:r>
      <w:r w:rsidR="00510843" w:rsidRPr="006C2862">
        <w:rPr>
          <w:rFonts w:asciiTheme="majorBidi" w:eastAsia="Times New Roman" w:hAnsiTheme="majorBidi" w:cstheme="majorBidi"/>
          <w:iCs/>
          <w:color w:val="auto"/>
          <w:lang w:val="en-US"/>
        </w:rPr>
        <w:t xml:space="preserve"> is negative and significant </w:t>
      </w:r>
      <w:r w:rsidR="00510843" w:rsidRPr="006C2862">
        <w:rPr>
          <w:iCs/>
          <w:color w:val="auto"/>
          <w:lang w:val="en-US"/>
        </w:rPr>
        <w:t>(t-</w:t>
      </w:r>
      <w:r w:rsidR="009D0521" w:rsidRPr="006C2862">
        <w:rPr>
          <w:iCs/>
          <w:color w:val="auto"/>
          <w:lang w:val="en-US"/>
        </w:rPr>
        <w:t xml:space="preserve">stat. </w:t>
      </w:r>
      <w:r w:rsidR="00510843" w:rsidRPr="006C2862">
        <w:rPr>
          <w:iCs/>
          <w:color w:val="auto"/>
          <w:lang w:val="en-US"/>
        </w:rPr>
        <w:t>of -</w:t>
      </w:r>
      <w:r w:rsidR="00F170F9">
        <w:rPr>
          <w:iCs/>
          <w:color w:val="auto"/>
          <w:lang w:val="en-US"/>
        </w:rPr>
        <w:t>2.05</w:t>
      </w:r>
      <w:r w:rsidR="000569E1" w:rsidRPr="006C2862">
        <w:rPr>
          <w:iCs/>
          <w:color w:val="auto"/>
          <w:lang w:val="en-US"/>
        </w:rPr>
        <w:t xml:space="preserve"> in c</w:t>
      </w:r>
      <w:r w:rsidR="00510843" w:rsidRPr="006C2862">
        <w:rPr>
          <w:iCs/>
          <w:color w:val="auto"/>
          <w:lang w:val="en-US"/>
        </w:rPr>
        <w:t>olumn (1) and -</w:t>
      </w:r>
      <w:r w:rsidR="00F170F9">
        <w:rPr>
          <w:iCs/>
          <w:color w:val="auto"/>
          <w:lang w:val="en-US"/>
        </w:rPr>
        <w:t>2.44</w:t>
      </w:r>
      <w:r w:rsidR="009D0521" w:rsidRPr="006C2862">
        <w:rPr>
          <w:iCs/>
          <w:color w:val="auto"/>
          <w:lang w:val="en-US"/>
        </w:rPr>
        <w:t xml:space="preserve"> </w:t>
      </w:r>
      <w:r w:rsidR="000569E1" w:rsidRPr="006C2862">
        <w:rPr>
          <w:iCs/>
          <w:color w:val="auto"/>
          <w:lang w:val="en-US"/>
        </w:rPr>
        <w:t>in c</w:t>
      </w:r>
      <w:r w:rsidR="00510843" w:rsidRPr="006C2862">
        <w:rPr>
          <w:iCs/>
          <w:color w:val="auto"/>
          <w:lang w:val="en-US"/>
        </w:rPr>
        <w:t>olumn (2))</w:t>
      </w:r>
      <w:r w:rsidR="00510843" w:rsidRPr="006C2862">
        <w:rPr>
          <w:rFonts w:asciiTheme="majorBidi" w:eastAsia="Times New Roman" w:hAnsiTheme="majorBidi" w:cstheme="majorBidi"/>
          <w:iCs/>
          <w:color w:val="auto"/>
          <w:lang w:val="en-US"/>
        </w:rPr>
        <w:t xml:space="preserve"> in </w:t>
      </w:r>
      <w:r w:rsidR="00C11585" w:rsidRPr="006C2862">
        <w:rPr>
          <w:rFonts w:asciiTheme="majorBidi" w:eastAsia="Times New Roman" w:hAnsiTheme="majorBidi" w:cstheme="majorBidi"/>
          <w:iCs/>
          <w:color w:val="auto"/>
          <w:lang w:val="en-US"/>
        </w:rPr>
        <w:t xml:space="preserve">both </w:t>
      </w:r>
      <w:r w:rsidR="0009253D">
        <w:rPr>
          <w:rFonts w:asciiTheme="majorBidi" w:eastAsia="Times New Roman" w:hAnsiTheme="majorBidi" w:cstheme="majorBidi"/>
          <w:iCs/>
          <w:color w:val="auto"/>
          <w:lang w:val="en-US"/>
        </w:rPr>
        <w:t>specifications</w:t>
      </w:r>
      <w:r w:rsidR="0009253D" w:rsidRPr="006C2862">
        <w:rPr>
          <w:rFonts w:asciiTheme="majorBidi" w:eastAsia="Times New Roman" w:hAnsiTheme="majorBidi" w:cstheme="majorBidi"/>
          <w:iCs/>
          <w:color w:val="auto"/>
          <w:lang w:val="en-US"/>
        </w:rPr>
        <w:t xml:space="preserve"> </w:t>
      </w:r>
      <w:r w:rsidR="00C11585" w:rsidRPr="006C2862">
        <w:rPr>
          <w:rFonts w:asciiTheme="majorBidi" w:eastAsia="Times New Roman" w:hAnsiTheme="majorBidi" w:cstheme="majorBidi"/>
          <w:iCs/>
          <w:color w:val="auto"/>
          <w:lang w:val="en-US"/>
        </w:rPr>
        <w:t xml:space="preserve">suggesting that the reduction in </w:t>
      </w:r>
      <w:r w:rsidR="00C11585" w:rsidRPr="006C2862">
        <w:rPr>
          <w:rFonts w:asciiTheme="majorBidi" w:eastAsia="Times New Roman" w:hAnsiTheme="majorBidi" w:cstheme="majorBidi"/>
          <w:i/>
          <w:iCs/>
          <w:color w:val="auto"/>
          <w:lang w:val="en-US"/>
        </w:rPr>
        <w:t xml:space="preserve">Vega </w:t>
      </w:r>
      <w:r w:rsidR="00156277" w:rsidRPr="006C2862">
        <w:rPr>
          <w:rFonts w:asciiTheme="majorBidi" w:eastAsia="Times New Roman" w:hAnsiTheme="majorBidi" w:cstheme="majorBidi"/>
          <w:iCs/>
          <w:color w:val="auto"/>
          <w:lang w:val="en-US"/>
        </w:rPr>
        <w:t xml:space="preserve">following the </w:t>
      </w:r>
      <w:r w:rsidR="0009253D">
        <w:rPr>
          <w:rFonts w:asciiTheme="majorBidi" w:eastAsia="Times New Roman" w:hAnsiTheme="majorBidi" w:cstheme="majorBidi"/>
          <w:iCs/>
          <w:color w:val="auto"/>
          <w:lang w:val="en-US"/>
        </w:rPr>
        <w:t>introduction</w:t>
      </w:r>
      <w:r w:rsidR="0009253D" w:rsidRPr="006C2862">
        <w:rPr>
          <w:rFonts w:asciiTheme="majorBidi" w:eastAsia="Times New Roman" w:hAnsiTheme="majorBidi" w:cstheme="majorBidi"/>
          <w:iCs/>
          <w:color w:val="auto"/>
          <w:lang w:val="en-US"/>
        </w:rPr>
        <w:t xml:space="preserve"> </w:t>
      </w:r>
      <w:r w:rsidR="00156277" w:rsidRPr="006C2862">
        <w:rPr>
          <w:rFonts w:asciiTheme="majorBidi" w:eastAsia="Times New Roman" w:hAnsiTheme="majorBidi" w:cstheme="majorBidi"/>
          <w:iCs/>
          <w:color w:val="auto"/>
          <w:lang w:val="en-US"/>
        </w:rPr>
        <w:t>of</w:t>
      </w:r>
      <w:r w:rsidR="00C11585" w:rsidRPr="006C2862">
        <w:rPr>
          <w:rFonts w:asciiTheme="majorBidi" w:eastAsia="Times New Roman" w:hAnsiTheme="majorBidi" w:cstheme="majorBidi"/>
          <w:iCs/>
          <w:color w:val="auto"/>
          <w:lang w:val="en-US"/>
        </w:rPr>
        <w:t xml:space="preserve"> SFAS 123R resulted in a reduction in the incidence and severity of workplace violations</w:t>
      </w:r>
      <w:r w:rsidR="0009253D">
        <w:rPr>
          <w:rFonts w:asciiTheme="majorBidi" w:eastAsia="Times New Roman" w:hAnsiTheme="majorBidi" w:cstheme="majorBidi"/>
          <w:iCs/>
          <w:color w:val="auto"/>
          <w:lang w:val="en-US"/>
        </w:rPr>
        <w:t xml:space="preserve"> for treated firms relative to control firms.</w:t>
      </w:r>
    </w:p>
    <w:p w14:paraId="6995AEE7" w14:textId="77777777" w:rsidR="00891D31" w:rsidRDefault="00891D31" w:rsidP="000569E1">
      <w:pPr>
        <w:pStyle w:val="Default"/>
        <w:spacing w:line="480" w:lineRule="auto"/>
        <w:jc w:val="both"/>
        <w:rPr>
          <w:rFonts w:asciiTheme="majorBidi" w:eastAsia="Times New Roman" w:hAnsiTheme="majorBidi" w:cstheme="majorBidi"/>
          <w:iCs/>
          <w:color w:val="auto"/>
          <w:lang w:val="en-US"/>
        </w:rPr>
      </w:pPr>
    </w:p>
    <w:p w14:paraId="44C6A250" w14:textId="77777777" w:rsidR="00891D31" w:rsidRPr="00B12341" w:rsidRDefault="00891D31" w:rsidP="000569E1">
      <w:pPr>
        <w:pStyle w:val="Default"/>
        <w:spacing w:line="480" w:lineRule="auto"/>
        <w:jc w:val="both"/>
        <w:rPr>
          <w:rFonts w:asciiTheme="majorBidi" w:eastAsia="Times New Roman" w:hAnsiTheme="majorBidi" w:cstheme="majorBidi"/>
          <w:iCs/>
          <w:color w:val="auto"/>
          <w:lang w:val="en-US"/>
        </w:rPr>
      </w:pPr>
    </w:p>
    <w:p w14:paraId="114E281E" w14:textId="3E7EE4BD" w:rsidR="002C7003" w:rsidRPr="006C2862" w:rsidRDefault="00C9033D" w:rsidP="00E77AD0">
      <w:pPr>
        <w:spacing w:after="0" w:line="480" w:lineRule="auto"/>
        <w:rPr>
          <w:rFonts w:ascii="Times New Roman" w:hAnsi="Times New Roman" w:cs="Times New Roman"/>
          <w:i/>
          <w:sz w:val="24"/>
          <w:szCs w:val="24"/>
          <w:lang w:val="en-US"/>
        </w:rPr>
      </w:pPr>
      <w:r w:rsidRPr="006C2862">
        <w:rPr>
          <w:rFonts w:ascii="Times New Roman" w:hAnsi="Times New Roman" w:cs="Times New Roman"/>
          <w:i/>
          <w:sz w:val="24"/>
          <w:szCs w:val="24"/>
          <w:lang w:val="en-US"/>
        </w:rPr>
        <w:lastRenderedPageBreak/>
        <w:t>5.4</w:t>
      </w:r>
      <w:r w:rsidR="00947B13" w:rsidRPr="006C2862">
        <w:rPr>
          <w:rFonts w:ascii="Times New Roman" w:hAnsi="Times New Roman" w:cs="Times New Roman"/>
          <w:i/>
          <w:sz w:val="24"/>
          <w:szCs w:val="24"/>
          <w:lang w:val="en-US"/>
        </w:rPr>
        <w:t xml:space="preserve">. </w:t>
      </w:r>
      <w:r w:rsidR="00673C5A">
        <w:rPr>
          <w:rFonts w:ascii="Times New Roman" w:hAnsi="Times New Roman" w:cs="Times New Roman"/>
          <w:i/>
          <w:sz w:val="24"/>
          <w:szCs w:val="24"/>
          <w:lang w:val="en-US"/>
        </w:rPr>
        <w:t>Examining the mechanism</w:t>
      </w:r>
      <w:r w:rsidR="00673C5A" w:rsidRPr="006C2862">
        <w:rPr>
          <w:rFonts w:ascii="Times New Roman" w:hAnsi="Times New Roman" w:cs="Times New Roman"/>
          <w:i/>
          <w:sz w:val="24"/>
          <w:szCs w:val="24"/>
          <w:lang w:val="en-US"/>
        </w:rPr>
        <w:t xml:space="preserve"> </w:t>
      </w:r>
      <w:r w:rsidR="00F4548D" w:rsidRPr="006C2862">
        <w:rPr>
          <w:rFonts w:ascii="Times New Roman" w:hAnsi="Times New Roman" w:cs="Times New Roman"/>
          <w:i/>
          <w:sz w:val="24"/>
          <w:szCs w:val="24"/>
          <w:lang w:val="en-US"/>
        </w:rPr>
        <w:t xml:space="preserve">for the relation between CEO </w:t>
      </w:r>
      <w:proofErr w:type="spellStart"/>
      <w:r w:rsidR="00F4548D" w:rsidRPr="006C2862">
        <w:rPr>
          <w:rFonts w:ascii="Times New Roman" w:hAnsi="Times New Roman" w:cs="Times New Roman"/>
          <w:i/>
          <w:sz w:val="24"/>
          <w:szCs w:val="24"/>
          <w:lang w:val="en-US"/>
        </w:rPr>
        <w:t>vega</w:t>
      </w:r>
      <w:proofErr w:type="spellEnd"/>
      <w:r w:rsidR="00F4548D" w:rsidRPr="006C2862">
        <w:rPr>
          <w:rFonts w:ascii="Times New Roman" w:hAnsi="Times New Roman" w:cs="Times New Roman"/>
          <w:i/>
          <w:sz w:val="24"/>
          <w:szCs w:val="24"/>
          <w:lang w:val="en-US"/>
        </w:rPr>
        <w:t xml:space="preserve"> and workplace violations</w:t>
      </w:r>
    </w:p>
    <w:p w14:paraId="0FC2E83B" w14:textId="0255E1DE" w:rsidR="00C860A5" w:rsidRPr="006C2862" w:rsidRDefault="00AE1210" w:rsidP="006F60A7">
      <w:pPr>
        <w:spacing w:after="0" w:line="480" w:lineRule="auto"/>
        <w:ind w:firstLine="720"/>
        <w:jc w:val="both"/>
        <w:rPr>
          <w:rFonts w:ascii="Times New Roman" w:hAnsi="Times New Roman" w:cs="Times New Roman"/>
          <w:i/>
          <w:sz w:val="24"/>
          <w:szCs w:val="24"/>
          <w:lang w:val="en-US"/>
        </w:rPr>
      </w:pPr>
      <w:r w:rsidRPr="006C2862">
        <w:rPr>
          <w:rFonts w:ascii="Times New Roman" w:hAnsi="Times New Roman" w:cs="Times New Roman"/>
          <w:sz w:val="24"/>
          <w:szCs w:val="24"/>
          <w:lang w:val="en-US"/>
        </w:rPr>
        <w:t xml:space="preserve">In this section, we </w:t>
      </w:r>
      <w:r w:rsidR="00C8161B">
        <w:rPr>
          <w:rFonts w:ascii="Times New Roman" w:hAnsi="Times New Roman" w:cs="Times New Roman"/>
          <w:sz w:val="24"/>
          <w:szCs w:val="24"/>
          <w:lang w:val="en-US"/>
        </w:rPr>
        <w:t xml:space="preserve">aim to </w:t>
      </w:r>
      <w:r w:rsidR="00C8161B" w:rsidRPr="0081118A">
        <w:rPr>
          <w:rFonts w:ascii="Times New Roman" w:hAnsi="Times New Roman" w:cs="Times New Roman"/>
          <w:sz w:val="24"/>
          <w:szCs w:val="24"/>
          <w:lang w:val="en-US"/>
        </w:rPr>
        <w:t xml:space="preserve">provide corroborating evidence that the mechanism linking </w:t>
      </w:r>
      <w:r w:rsidR="00C8161B" w:rsidRPr="0081118A">
        <w:rPr>
          <w:rFonts w:ascii="Times New Roman" w:hAnsi="Times New Roman" w:cs="Times New Roman"/>
          <w:i/>
          <w:sz w:val="24"/>
          <w:szCs w:val="24"/>
          <w:lang w:val="en-US"/>
        </w:rPr>
        <w:t>Vega</w:t>
      </w:r>
      <w:r w:rsidR="00C8161B" w:rsidRPr="0081118A">
        <w:rPr>
          <w:rFonts w:ascii="Times New Roman" w:hAnsi="Times New Roman" w:cs="Times New Roman"/>
          <w:sz w:val="24"/>
          <w:szCs w:val="24"/>
          <w:lang w:val="en-US"/>
        </w:rPr>
        <w:t xml:space="preserve"> and workplace misconduct is related to CEO actions</w:t>
      </w:r>
      <w:r w:rsidR="00C8161B">
        <w:rPr>
          <w:rFonts w:ascii="Times New Roman" w:hAnsi="Times New Roman" w:cs="Times New Roman"/>
          <w:sz w:val="24"/>
          <w:szCs w:val="24"/>
          <w:lang w:val="en-US"/>
        </w:rPr>
        <w:t xml:space="preserve"> </w:t>
      </w:r>
      <w:r w:rsidR="00A35B5E">
        <w:rPr>
          <w:rFonts w:ascii="Times New Roman" w:hAnsi="Times New Roman" w:cs="Times New Roman"/>
          <w:sz w:val="24"/>
          <w:szCs w:val="24"/>
          <w:lang w:val="en-US"/>
        </w:rPr>
        <w:t>that are motivated by</w:t>
      </w:r>
      <w:r w:rsidR="009A3855">
        <w:rPr>
          <w:rFonts w:ascii="Times New Roman" w:hAnsi="Times New Roman" w:cs="Times New Roman"/>
          <w:sz w:val="24"/>
          <w:szCs w:val="24"/>
          <w:lang w:val="en-US"/>
        </w:rPr>
        <w:t xml:space="preserve"> excessive risk</w:t>
      </w:r>
      <w:r w:rsidR="00A35B5E">
        <w:rPr>
          <w:rFonts w:ascii="Times New Roman" w:hAnsi="Times New Roman" w:cs="Times New Roman"/>
          <w:sz w:val="24"/>
          <w:szCs w:val="24"/>
          <w:lang w:val="en-US"/>
        </w:rPr>
        <w:t xml:space="preserve"> taking and </w:t>
      </w:r>
      <w:r w:rsidR="00C8161B">
        <w:rPr>
          <w:rFonts w:ascii="Times New Roman" w:hAnsi="Times New Roman" w:cs="Times New Roman"/>
          <w:sz w:val="24"/>
          <w:szCs w:val="24"/>
          <w:lang w:val="en-US"/>
        </w:rPr>
        <w:t xml:space="preserve">that affect </w:t>
      </w:r>
      <w:r w:rsidR="001718B8">
        <w:rPr>
          <w:rFonts w:ascii="Times New Roman" w:hAnsi="Times New Roman" w:cs="Times New Roman"/>
          <w:sz w:val="24"/>
          <w:szCs w:val="24"/>
          <w:lang w:val="en-US"/>
        </w:rPr>
        <w:t>employees</w:t>
      </w:r>
      <w:r w:rsidR="00C8161B">
        <w:rPr>
          <w:rFonts w:ascii="Times New Roman" w:hAnsi="Times New Roman" w:cs="Times New Roman"/>
          <w:sz w:val="24"/>
          <w:szCs w:val="24"/>
          <w:lang w:val="en-US"/>
        </w:rPr>
        <w:t xml:space="preserve"> directly or indirectly</w:t>
      </w:r>
      <w:r w:rsidR="00C8161B" w:rsidRPr="0081118A">
        <w:rPr>
          <w:rFonts w:ascii="Times New Roman" w:hAnsi="Times New Roman" w:cs="Times New Roman"/>
          <w:sz w:val="24"/>
          <w:szCs w:val="24"/>
          <w:lang w:val="en-US"/>
        </w:rPr>
        <w:t>.</w:t>
      </w:r>
      <w:r w:rsidR="00C8161B">
        <w:rPr>
          <w:rFonts w:eastAsia="Times New Roman"/>
        </w:rPr>
        <w:t xml:space="preserve"> </w:t>
      </w:r>
      <w:r w:rsidR="00C8161B" w:rsidRPr="006C2862">
        <w:rPr>
          <w:rFonts w:ascii="Times New Roman" w:hAnsi="Times New Roman" w:cs="Times New Roman"/>
          <w:sz w:val="24"/>
          <w:szCs w:val="24"/>
          <w:lang w:val="en-US"/>
        </w:rPr>
        <w:t xml:space="preserve"> </w:t>
      </w:r>
      <w:r w:rsidR="00F4548D" w:rsidRPr="006C2862">
        <w:rPr>
          <w:rFonts w:ascii="Times New Roman" w:hAnsi="Times New Roman" w:cs="Times New Roman"/>
          <w:sz w:val="24"/>
          <w:szCs w:val="24"/>
          <w:lang w:val="en-US"/>
        </w:rPr>
        <w:t xml:space="preserve">Specifically, we test for two possible channels </w:t>
      </w:r>
      <w:r w:rsidR="00B86402" w:rsidRPr="006C2862">
        <w:rPr>
          <w:rFonts w:ascii="Times New Roman" w:hAnsi="Times New Roman" w:cs="Times New Roman"/>
          <w:sz w:val="24"/>
          <w:szCs w:val="24"/>
          <w:lang w:val="en-US"/>
        </w:rPr>
        <w:t xml:space="preserve">for this relation. In the first channel, which we refer to as the </w:t>
      </w:r>
      <w:r w:rsidR="00B86402" w:rsidRPr="006C2862">
        <w:rPr>
          <w:rFonts w:ascii="Times New Roman" w:hAnsi="Times New Roman" w:cs="Times New Roman"/>
          <w:i/>
          <w:iCs/>
          <w:sz w:val="24"/>
          <w:szCs w:val="24"/>
          <w:lang w:val="en-US"/>
        </w:rPr>
        <w:t>direct</w:t>
      </w:r>
      <w:r w:rsidR="00B86402" w:rsidRPr="006C2862">
        <w:rPr>
          <w:rFonts w:ascii="Times New Roman" w:hAnsi="Times New Roman" w:cs="Times New Roman"/>
          <w:sz w:val="24"/>
          <w:szCs w:val="24"/>
          <w:lang w:val="en-US"/>
        </w:rPr>
        <w:t xml:space="preserve"> channel, CEO risk taking incentives </w:t>
      </w:r>
      <w:r w:rsidR="006C2862">
        <w:rPr>
          <w:rFonts w:ascii="Times New Roman" w:hAnsi="Times New Roman" w:cs="Times New Roman"/>
          <w:sz w:val="24"/>
          <w:szCs w:val="24"/>
          <w:lang w:val="en-US"/>
        </w:rPr>
        <w:t>encourage</w:t>
      </w:r>
      <w:r w:rsidR="00B86402" w:rsidRPr="006C2862">
        <w:rPr>
          <w:rFonts w:ascii="Times New Roman" w:hAnsi="Times New Roman" w:cs="Times New Roman"/>
          <w:sz w:val="24"/>
          <w:szCs w:val="24"/>
          <w:lang w:val="en-US"/>
        </w:rPr>
        <w:t xml:space="preserve"> CEO</w:t>
      </w:r>
      <w:r w:rsidR="0081118A">
        <w:rPr>
          <w:rFonts w:ascii="Times New Roman" w:hAnsi="Times New Roman" w:cs="Times New Roman"/>
          <w:sz w:val="24"/>
          <w:szCs w:val="24"/>
          <w:lang w:val="en-US"/>
        </w:rPr>
        <w:t>s</w:t>
      </w:r>
      <w:r w:rsidR="00B86402" w:rsidRPr="006C2862">
        <w:rPr>
          <w:rFonts w:ascii="Times New Roman" w:hAnsi="Times New Roman" w:cs="Times New Roman"/>
          <w:sz w:val="24"/>
          <w:szCs w:val="24"/>
          <w:lang w:val="en-US"/>
        </w:rPr>
        <w:t xml:space="preserve"> to</w:t>
      </w:r>
      <w:r w:rsidR="006F60A7">
        <w:rPr>
          <w:rFonts w:ascii="Times New Roman" w:hAnsi="Times New Roman" w:cs="Times New Roman"/>
          <w:sz w:val="24"/>
          <w:szCs w:val="24"/>
          <w:lang w:val="en-US"/>
        </w:rPr>
        <w:t xml:space="preserve"> </w:t>
      </w:r>
      <w:r w:rsidR="00B86402" w:rsidRPr="006C2862">
        <w:rPr>
          <w:rFonts w:ascii="Times New Roman" w:hAnsi="Times New Roman" w:cs="Times New Roman"/>
          <w:sz w:val="24"/>
          <w:szCs w:val="24"/>
          <w:lang w:val="en-US"/>
        </w:rPr>
        <w:t>reduce</w:t>
      </w:r>
      <w:r w:rsidR="00E7254D" w:rsidRPr="006C2862">
        <w:rPr>
          <w:rFonts w:ascii="Times New Roman" w:hAnsi="Times New Roman" w:cs="Times New Roman"/>
          <w:sz w:val="24"/>
          <w:szCs w:val="24"/>
          <w:lang w:val="en-US"/>
        </w:rPr>
        <w:t xml:space="preserve"> </w:t>
      </w:r>
      <w:r w:rsidR="00E7254D" w:rsidRPr="00FE52E6">
        <w:rPr>
          <w:rFonts w:ascii="Times New Roman" w:hAnsi="Times New Roman" w:cs="Times New Roman"/>
          <w:sz w:val="24"/>
          <w:szCs w:val="24"/>
          <w:lang w:val="en-US"/>
        </w:rPr>
        <w:t>safety-related expenditures</w:t>
      </w:r>
      <w:r w:rsidR="00B86402" w:rsidRPr="006C2862">
        <w:rPr>
          <w:rFonts w:ascii="Times New Roman" w:hAnsi="Times New Roman" w:cs="Times New Roman"/>
          <w:sz w:val="24"/>
          <w:szCs w:val="24"/>
          <w:lang w:val="en-US"/>
        </w:rPr>
        <w:t xml:space="preserve"> such as health and safety equipment</w:t>
      </w:r>
      <w:r w:rsidR="008165EC">
        <w:rPr>
          <w:rFonts w:ascii="Times New Roman" w:hAnsi="Times New Roman" w:cs="Times New Roman"/>
          <w:sz w:val="24"/>
          <w:szCs w:val="24"/>
          <w:lang w:val="en-US"/>
        </w:rPr>
        <w:t xml:space="preserve"> that </w:t>
      </w:r>
      <w:r w:rsidR="008362CD">
        <w:rPr>
          <w:rFonts w:ascii="Times New Roman" w:hAnsi="Times New Roman" w:cs="Times New Roman"/>
          <w:sz w:val="24"/>
          <w:szCs w:val="24"/>
          <w:lang w:val="en-US"/>
        </w:rPr>
        <w:t xml:space="preserve">directly </w:t>
      </w:r>
      <w:r w:rsidR="008165EC">
        <w:rPr>
          <w:rFonts w:ascii="Times New Roman" w:hAnsi="Times New Roman" w:cs="Times New Roman"/>
          <w:sz w:val="24"/>
          <w:szCs w:val="24"/>
          <w:lang w:val="en-US"/>
        </w:rPr>
        <w:t>lead to workplace violations</w:t>
      </w:r>
      <w:r w:rsidR="00E7254D" w:rsidRPr="00471046">
        <w:rPr>
          <w:rFonts w:ascii="Times New Roman" w:hAnsi="Times New Roman" w:cs="Times New Roman"/>
          <w:sz w:val="24"/>
          <w:szCs w:val="24"/>
          <w:lang w:val="en-US"/>
        </w:rPr>
        <w:t xml:space="preserve">. </w:t>
      </w:r>
      <w:r w:rsidR="00B86402" w:rsidRPr="004F0267">
        <w:rPr>
          <w:rFonts w:ascii="Times New Roman" w:hAnsi="Times New Roman" w:cs="Times New Roman"/>
          <w:sz w:val="24"/>
          <w:szCs w:val="24"/>
          <w:lang w:val="en-US"/>
        </w:rPr>
        <w:t>In t</w:t>
      </w:r>
      <w:r w:rsidR="00F56CFB" w:rsidRPr="004F0267">
        <w:rPr>
          <w:rFonts w:ascii="Times New Roman" w:hAnsi="Times New Roman" w:cs="Times New Roman"/>
          <w:sz w:val="24"/>
          <w:szCs w:val="24"/>
          <w:lang w:val="en-US"/>
        </w:rPr>
        <w:t>he</w:t>
      </w:r>
      <w:r w:rsidR="00B86402" w:rsidRPr="004F0267">
        <w:rPr>
          <w:rFonts w:ascii="Times New Roman" w:hAnsi="Times New Roman" w:cs="Times New Roman"/>
          <w:sz w:val="24"/>
          <w:szCs w:val="24"/>
          <w:lang w:val="en-US"/>
        </w:rPr>
        <w:t xml:space="preserve"> second channel, which we refer to as the</w:t>
      </w:r>
      <w:r w:rsidR="00F56CFB" w:rsidRPr="004F0267">
        <w:rPr>
          <w:rFonts w:ascii="Times New Roman" w:hAnsi="Times New Roman" w:cs="Times New Roman"/>
          <w:sz w:val="24"/>
          <w:szCs w:val="24"/>
          <w:lang w:val="en-US"/>
        </w:rPr>
        <w:t xml:space="preserve"> </w:t>
      </w:r>
      <w:r w:rsidR="00F56CFB" w:rsidRPr="004F0267">
        <w:rPr>
          <w:rFonts w:ascii="Times New Roman" w:hAnsi="Times New Roman" w:cs="Times New Roman"/>
          <w:i/>
          <w:sz w:val="24"/>
          <w:szCs w:val="24"/>
          <w:lang w:val="en-US"/>
        </w:rPr>
        <w:t>indirect channel</w:t>
      </w:r>
      <w:r w:rsidR="00B86402" w:rsidRPr="004F0267">
        <w:rPr>
          <w:rFonts w:ascii="Times New Roman" w:hAnsi="Times New Roman" w:cs="Times New Roman"/>
          <w:i/>
          <w:sz w:val="24"/>
          <w:szCs w:val="24"/>
          <w:lang w:val="en-US"/>
        </w:rPr>
        <w:t xml:space="preserve">, </w:t>
      </w:r>
      <w:r w:rsidR="00B86402" w:rsidRPr="004F0267">
        <w:rPr>
          <w:rFonts w:ascii="Times New Roman" w:hAnsi="Times New Roman" w:cs="Times New Roman"/>
          <w:iCs/>
          <w:sz w:val="24"/>
          <w:szCs w:val="24"/>
          <w:lang w:val="en-US"/>
        </w:rPr>
        <w:t>CEOs</w:t>
      </w:r>
      <w:r w:rsidR="00B20F4C" w:rsidRPr="004F0267">
        <w:rPr>
          <w:rFonts w:ascii="Times New Roman" w:hAnsi="Times New Roman" w:cs="Times New Roman"/>
          <w:iCs/>
          <w:sz w:val="24"/>
          <w:szCs w:val="24"/>
          <w:lang w:val="en-US"/>
        </w:rPr>
        <w:t xml:space="preserve"> risk taking incentives foster</w:t>
      </w:r>
      <w:r w:rsidR="00B86402" w:rsidRPr="004F0267">
        <w:rPr>
          <w:rFonts w:ascii="Times New Roman" w:hAnsi="Times New Roman" w:cs="Times New Roman"/>
          <w:iCs/>
          <w:sz w:val="24"/>
          <w:szCs w:val="24"/>
          <w:lang w:val="en-US"/>
        </w:rPr>
        <w:t xml:space="preserve"> </w:t>
      </w:r>
      <w:r w:rsidR="00A63EF5" w:rsidRPr="004F0267">
        <w:rPr>
          <w:rFonts w:ascii="Times New Roman" w:hAnsi="Times New Roman" w:cs="Times New Roman"/>
          <w:iCs/>
          <w:sz w:val="24"/>
          <w:szCs w:val="24"/>
          <w:lang w:val="en-US"/>
        </w:rPr>
        <w:t xml:space="preserve">an </w:t>
      </w:r>
      <w:r w:rsidR="008165EC" w:rsidRPr="004F0267">
        <w:rPr>
          <w:rFonts w:ascii="Times New Roman" w:hAnsi="Times New Roman" w:cs="Times New Roman"/>
          <w:iCs/>
          <w:sz w:val="24"/>
          <w:szCs w:val="24"/>
          <w:lang w:val="en-US"/>
        </w:rPr>
        <w:t xml:space="preserve">increase </w:t>
      </w:r>
      <w:r w:rsidR="00EA6E72" w:rsidRPr="004F0267">
        <w:rPr>
          <w:rFonts w:ascii="Times New Roman" w:hAnsi="Times New Roman" w:cs="Times New Roman"/>
          <w:iCs/>
          <w:sz w:val="24"/>
          <w:szCs w:val="24"/>
          <w:lang w:val="en-US"/>
        </w:rPr>
        <w:t xml:space="preserve">in </w:t>
      </w:r>
      <w:r w:rsidR="008362CD" w:rsidRPr="004F0267">
        <w:rPr>
          <w:rFonts w:ascii="Times New Roman" w:hAnsi="Times New Roman" w:cs="Times New Roman"/>
          <w:iCs/>
          <w:sz w:val="24"/>
          <w:szCs w:val="24"/>
          <w:lang w:val="en-US"/>
        </w:rPr>
        <w:t xml:space="preserve">employees’ </w:t>
      </w:r>
      <w:r w:rsidR="008165EC" w:rsidRPr="004F0267">
        <w:rPr>
          <w:rFonts w:ascii="Times New Roman" w:hAnsi="Times New Roman" w:cs="Times New Roman"/>
          <w:iCs/>
          <w:sz w:val="24"/>
          <w:szCs w:val="24"/>
          <w:lang w:val="en-US"/>
        </w:rPr>
        <w:t>workloads</w:t>
      </w:r>
      <w:r w:rsidR="006F60A7" w:rsidRPr="004F0267">
        <w:rPr>
          <w:rFonts w:ascii="Times New Roman" w:hAnsi="Times New Roman" w:cs="Times New Roman"/>
          <w:iCs/>
          <w:sz w:val="24"/>
          <w:szCs w:val="24"/>
          <w:lang w:val="en-US"/>
        </w:rPr>
        <w:t xml:space="preserve"> </w:t>
      </w:r>
      <w:r w:rsidR="00301A20" w:rsidRPr="004F0267">
        <w:rPr>
          <w:rFonts w:ascii="Times New Roman" w:hAnsi="Times New Roman" w:cs="Times New Roman"/>
          <w:iCs/>
          <w:sz w:val="24"/>
          <w:szCs w:val="24"/>
          <w:lang w:val="en-US"/>
        </w:rPr>
        <w:t xml:space="preserve">by </w:t>
      </w:r>
      <w:r w:rsidR="008362CD" w:rsidRPr="004F0267">
        <w:rPr>
          <w:rFonts w:ascii="Times New Roman" w:hAnsi="Times New Roman" w:cs="Times New Roman"/>
          <w:sz w:val="24"/>
          <w:szCs w:val="24"/>
          <w:lang w:val="en-US"/>
        </w:rPr>
        <w:t>reducing the workforce or increasing production</w:t>
      </w:r>
      <w:r w:rsidR="00471046" w:rsidRPr="004F0267">
        <w:rPr>
          <w:rFonts w:ascii="Times New Roman" w:hAnsi="Times New Roman" w:cs="Times New Roman"/>
          <w:sz w:val="24"/>
          <w:szCs w:val="24"/>
          <w:lang w:val="en-US"/>
        </w:rPr>
        <w:t xml:space="preserve"> per employee</w:t>
      </w:r>
      <w:r w:rsidR="006C2862" w:rsidRPr="004F0267">
        <w:rPr>
          <w:rFonts w:ascii="Times New Roman" w:hAnsi="Times New Roman" w:cs="Times New Roman"/>
          <w:sz w:val="24"/>
          <w:szCs w:val="24"/>
          <w:lang w:val="en-US"/>
        </w:rPr>
        <w:t>.</w:t>
      </w:r>
      <w:r w:rsidR="008165EC" w:rsidRPr="004F0267">
        <w:rPr>
          <w:rFonts w:ascii="Times New Roman" w:hAnsi="Times New Roman" w:cs="Times New Roman"/>
          <w:sz w:val="24"/>
          <w:szCs w:val="24"/>
          <w:lang w:val="en-US"/>
        </w:rPr>
        <w:t xml:space="preserve"> This leads to</w:t>
      </w:r>
      <w:r w:rsidR="00673C5A" w:rsidRPr="004F0267">
        <w:rPr>
          <w:rFonts w:ascii="Times New Roman" w:hAnsi="Times New Roman" w:cs="Times New Roman"/>
          <w:sz w:val="24"/>
          <w:szCs w:val="24"/>
          <w:lang w:val="en-US"/>
        </w:rPr>
        <w:t xml:space="preserve"> an increase in</w:t>
      </w:r>
      <w:r w:rsidR="008165EC" w:rsidRPr="004F0267">
        <w:rPr>
          <w:rFonts w:ascii="Times New Roman" w:hAnsi="Times New Roman" w:cs="Times New Roman"/>
          <w:sz w:val="24"/>
          <w:szCs w:val="24"/>
          <w:lang w:val="en-US"/>
        </w:rPr>
        <w:t xml:space="preserve"> workplace violations</w:t>
      </w:r>
      <w:r w:rsidR="008165EC" w:rsidRPr="00471046">
        <w:rPr>
          <w:rFonts w:ascii="Times New Roman" w:hAnsi="Times New Roman" w:cs="Times New Roman"/>
          <w:sz w:val="24"/>
          <w:szCs w:val="24"/>
          <w:lang w:val="en-US"/>
        </w:rPr>
        <w:t>.</w:t>
      </w:r>
      <w:r w:rsidR="008165EC">
        <w:rPr>
          <w:rFonts w:ascii="Times New Roman" w:hAnsi="Times New Roman" w:cs="Times New Roman"/>
          <w:sz w:val="24"/>
          <w:szCs w:val="24"/>
          <w:lang w:val="en-US"/>
        </w:rPr>
        <w:t xml:space="preserve"> </w:t>
      </w:r>
    </w:p>
    <w:p w14:paraId="039811C2" w14:textId="50306F4F" w:rsidR="00C860A5" w:rsidRPr="006C2862" w:rsidRDefault="00175B14" w:rsidP="00977A22">
      <w:pPr>
        <w:spacing w:line="480" w:lineRule="auto"/>
        <w:ind w:firstLine="720"/>
        <w:jc w:val="both"/>
        <w:rPr>
          <w:rFonts w:asciiTheme="majorBidi" w:hAnsiTheme="majorBidi" w:cstheme="majorBidi"/>
          <w:sz w:val="24"/>
          <w:szCs w:val="24"/>
          <w:lang w:val="en-US"/>
        </w:rPr>
      </w:pPr>
      <w:r w:rsidRPr="006C2862">
        <w:rPr>
          <w:rFonts w:ascii="Times New Roman" w:hAnsi="Times New Roman" w:cs="Times New Roman"/>
          <w:sz w:val="24"/>
          <w:szCs w:val="24"/>
          <w:lang w:val="en-US"/>
        </w:rPr>
        <w:t>To</w:t>
      </w:r>
      <w:r w:rsidR="00985FE3" w:rsidRPr="006C2862">
        <w:rPr>
          <w:rFonts w:ascii="Times New Roman" w:hAnsi="Times New Roman" w:cs="Times New Roman"/>
          <w:sz w:val="24"/>
          <w:szCs w:val="24"/>
          <w:lang w:val="en-US"/>
        </w:rPr>
        <w:t xml:space="preserve"> test the </w:t>
      </w:r>
      <w:r w:rsidR="00985FE3" w:rsidRPr="006C2862">
        <w:rPr>
          <w:rFonts w:ascii="Times New Roman" w:hAnsi="Times New Roman" w:cs="Times New Roman"/>
          <w:i/>
          <w:sz w:val="24"/>
          <w:szCs w:val="24"/>
          <w:lang w:val="en-US"/>
        </w:rPr>
        <w:t>direct channel</w:t>
      </w:r>
      <w:r w:rsidR="0081118A">
        <w:rPr>
          <w:rFonts w:ascii="Times New Roman" w:hAnsi="Times New Roman" w:cs="Times New Roman"/>
          <w:i/>
          <w:sz w:val="24"/>
          <w:szCs w:val="24"/>
          <w:lang w:val="en-US"/>
        </w:rPr>
        <w:t>,</w:t>
      </w:r>
      <w:r w:rsidR="00985FE3" w:rsidRPr="006C2862">
        <w:rPr>
          <w:rFonts w:ascii="Times New Roman" w:hAnsi="Times New Roman" w:cs="Times New Roman"/>
          <w:sz w:val="24"/>
          <w:szCs w:val="24"/>
          <w:lang w:val="en-US"/>
        </w:rPr>
        <w:t xml:space="preserve"> we examine if the relation </w:t>
      </w:r>
      <w:r w:rsidR="00E71ED2">
        <w:rPr>
          <w:rFonts w:ascii="Times New Roman" w:hAnsi="Times New Roman" w:cs="Times New Roman"/>
          <w:sz w:val="24"/>
          <w:szCs w:val="24"/>
          <w:lang w:val="en-US"/>
        </w:rPr>
        <w:t xml:space="preserve">between CEO </w:t>
      </w:r>
      <w:proofErr w:type="spellStart"/>
      <w:r w:rsidR="00E71ED2">
        <w:rPr>
          <w:rFonts w:ascii="Times New Roman" w:hAnsi="Times New Roman" w:cs="Times New Roman"/>
          <w:sz w:val="24"/>
          <w:szCs w:val="24"/>
          <w:lang w:val="en-US"/>
        </w:rPr>
        <w:t>vega</w:t>
      </w:r>
      <w:proofErr w:type="spellEnd"/>
      <w:r w:rsidR="00E71ED2">
        <w:rPr>
          <w:rFonts w:ascii="Times New Roman" w:hAnsi="Times New Roman" w:cs="Times New Roman"/>
          <w:sz w:val="24"/>
          <w:szCs w:val="24"/>
          <w:lang w:val="en-US"/>
        </w:rPr>
        <w:t xml:space="preserve"> and workplace misconduct </w:t>
      </w:r>
      <w:r w:rsidR="00985FE3" w:rsidRPr="006C2862">
        <w:rPr>
          <w:rFonts w:ascii="Times New Roman" w:hAnsi="Times New Roman" w:cs="Times New Roman"/>
          <w:sz w:val="24"/>
          <w:szCs w:val="24"/>
          <w:lang w:val="en-US"/>
        </w:rPr>
        <w:t xml:space="preserve">is </w:t>
      </w:r>
      <w:r w:rsidR="009A529B">
        <w:rPr>
          <w:rFonts w:ascii="Times New Roman" w:hAnsi="Times New Roman" w:cs="Times New Roman"/>
          <w:sz w:val="24"/>
          <w:szCs w:val="24"/>
          <w:lang w:val="en-US"/>
        </w:rPr>
        <w:t>a function of the reduction in</w:t>
      </w:r>
      <w:r w:rsidR="00985FE3" w:rsidRPr="006C2862">
        <w:rPr>
          <w:rFonts w:ascii="Times New Roman" w:hAnsi="Times New Roman" w:cs="Times New Roman"/>
          <w:sz w:val="24"/>
          <w:szCs w:val="24"/>
          <w:lang w:val="en-US"/>
        </w:rPr>
        <w:t xml:space="preserve"> </w:t>
      </w:r>
      <w:r w:rsidR="00977A22" w:rsidRPr="006C2862">
        <w:rPr>
          <w:rFonts w:asciiTheme="majorBidi" w:hAnsiTheme="majorBidi" w:cstheme="majorBidi"/>
          <w:sz w:val="24"/>
          <w:szCs w:val="24"/>
          <w:lang w:val="en-US"/>
        </w:rPr>
        <w:t>safety-related expenditures</w:t>
      </w:r>
      <w:r w:rsidR="00985FE3" w:rsidRPr="006C2862">
        <w:rPr>
          <w:rFonts w:ascii="Times New Roman" w:hAnsi="Times New Roman" w:cs="Times New Roman"/>
          <w:sz w:val="24"/>
          <w:szCs w:val="24"/>
          <w:lang w:val="en-US"/>
        </w:rPr>
        <w:t xml:space="preserve">. </w:t>
      </w:r>
      <w:r w:rsidR="00C860A5" w:rsidRPr="006C2862">
        <w:rPr>
          <w:rFonts w:asciiTheme="majorBidi" w:hAnsiTheme="majorBidi" w:cstheme="majorBidi"/>
          <w:sz w:val="24"/>
          <w:szCs w:val="24"/>
          <w:lang w:val="en-US"/>
        </w:rPr>
        <w:t xml:space="preserve">In conducting </w:t>
      </w:r>
      <w:r w:rsidR="00985FE3" w:rsidRPr="006C2862">
        <w:rPr>
          <w:rFonts w:asciiTheme="majorBidi" w:hAnsiTheme="majorBidi" w:cstheme="majorBidi"/>
          <w:sz w:val="24"/>
          <w:szCs w:val="24"/>
          <w:lang w:val="en-US"/>
        </w:rPr>
        <w:t xml:space="preserve">this </w:t>
      </w:r>
      <w:r w:rsidR="0081118A" w:rsidRPr="006C2862">
        <w:rPr>
          <w:rFonts w:asciiTheme="majorBidi" w:hAnsiTheme="majorBidi" w:cstheme="majorBidi"/>
          <w:sz w:val="24"/>
          <w:szCs w:val="24"/>
          <w:lang w:val="en-US"/>
        </w:rPr>
        <w:t>test,</w:t>
      </w:r>
      <w:r w:rsidR="00C860A5" w:rsidRPr="006C2862">
        <w:rPr>
          <w:rFonts w:asciiTheme="majorBidi" w:hAnsiTheme="majorBidi" w:cstheme="majorBidi"/>
          <w:sz w:val="24"/>
          <w:szCs w:val="24"/>
          <w:lang w:val="en-US"/>
        </w:rPr>
        <w:t xml:space="preserve"> we face </w:t>
      </w:r>
      <w:r w:rsidR="009E5366" w:rsidRPr="006C2862">
        <w:rPr>
          <w:rFonts w:asciiTheme="majorBidi" w:hAnsiTheme="majorBidi" w:cstheme="majorBidi"/>
          <w:sz w:val="24"/>
          <w:szCs w:val="24"/>
          <w:lang w:val="en-US"/>
        </w:rPr>
        <w:t xml:space="preserve">the </w:t>
      </w:r>
      <w:r w:rsidR="00C860A5" w:rsidRPr="006C2862">
        <w:rPr>
          <w:rFonts w:asciiTheme="majorBidi" w:hAnsiTheme="majorBidi" w:cstheme="majorBidi"/>
          <w:sz w:val="24"/>
          <w:szCs w:val="24"/>
          <w:lang w:val="en-US"/>
        </w:rPr>
        <w:t xml:space="preserve">empirical challenge of identifying </w:t>
      </w:r>
      <w:r w:rsidR="00985FE3" w:rsidRPr="006C2862">
        <w:rPr>
          <w:rFonts w:asciiTheme="majorBidi" w:hAnsiTheme="majorBidi" w:cstheme="majorBidi"/>
          <w:sz w:val="24"/>
          <w:szCs w:val="24"/>
          <w:lang w:val="en-US"/>
        </w:rPr>
        <w:t>safety-related</w:t>
      </w:r>
      <w:r w:rsidR="00C860A5" w:rsidRPr="006C2862">
        <w:rPr>
          <w:rFonts w:asciiTheme="majorBidi" w:hAnsiTheme="majorBidi" w:cstheme="majorBidi"/>
          <w:sz w:val="24"/>
          <w:szCs w:val="24"/>
          <w:lang w:val="en-US"/>
        </w:rPr>
        <w:t xml:space="preserve"> expenditures since </w:t>
      </w:r>
      <w:r w:rsidR="009E5366" w:rsidRPr="006C2862">
        <w:rPr>
          <w:rFonts w:asciiTheme="majorBidi" w:hAnsiTheme="majorBidi" w:cstheme="majorBidi"/>
          <w:sz w:val="24"/>
          <w:szCs w:val="24"/>
          <w:lang w:val="en-US"/>
        </w:rPr>
        <w:t>firms are not required to separately disclose this information</w:t>
      </w:r>
      <w:r w:rsidR="00D979B7" w:rsidRPr="006C2862">
        <w:rPr>
          <w:rFonts w:asciiTheme="majorBidi" w:hAnsiTheme="majorBidi" w:cstheme="majorBidi"/>
          <w:sz w:val="24"/>
          <w:szCs w:val="24"/>
          <w:lang w:val="en-US"/>
        </w:rPr>
        <w:t xml:space="preserve"> in their financial statements</w:t>
      </w:r>
      <w:r w:rsidR="00C860A5" w:rsidRPr="006C2862">
        <w:rPr>
          <w:rFonts w:asciiTheme="majorBidi" w:hAnsiTheme="majorBidi" w:cstheme="majorBidi"/>
          <w:sz w:val="24"/>
          <w:szCs w:val="24"/>
          <w:lang w:val="en-US"/>
        </w:rPr>
        <w:t xml:space="preserve">. </w:t>
      </w:r>
      <w:r w:rsidR="00670DE9">
        <w:rPr>
          <w:rFonts w:asciiTheme="majorBidi" w:hAnsiTheme="majorBidi" w:cstheme="majorBidi"/>
          <w:sz w:val="24"/>
          <w:szCs w:val="24"/>
          <w:lang w:val="en-US"/>
        </w:rPr>
        <w:t>To address</w:t>
      </w:r>
      <w:r w:rsidRPr="006C2862">
        <w:rPr>
          <w:rFonts w:asciiTheme="majorBidi" w:hAnsiTheme="majorBidi" w:cstheme="majorBidi"/>
          <w:sz w:val="24"/>
          <w:szCs w:val="24"/>
          <w:lang w:val="en-US"/>
        </w:rPr>
        <w:t xml:space="preserve"> this </w:t>
      </w:r>
      <w:r w:rsidR="0081118A" w:rsidRPr="006C2862">
        <w:rPr>
          <w:rFonts w:asciiTheme="majorBidi" w:hAnsiTheme="majorBidi" w:cstheme="majorBidi"/>
          <w:sz w:val="24"/>
          <w:szCs w:val="24"/>
          <w:lang w:val="en-US"/>
        </w:rPr>
        <w:t>challenge,</w:t>
      </w:r>
      <w:r w:rsidRPr="006C2862">
        <w:rPr>
          <w:rFonts w:asciiTheme="majorBidi" w:hAnsiTheme="majorBidi" w:cstheme="majorBidi"/>
          <w:sz w:val="24"/>
          <w:szCs w:val="24"/>
          <w:lang w:val="en-US"/>
        </w:rPr>
        <w:t xml:space="preserve"> we follow the </w:t>
      </w:r>
      <w:r w:rsidR="009E5366" w:rsidRPr="006C2862">
        <w:rPr>
          <w:rFonts w:asciiTheme="majorBidi" w:hAnsiTheme="majorBidi" w:cstheme="majorBidi"/>
          <w:sz w:val="24"/>
          <w:szCs w:val="24"/>
          <w:lang w:val="en-US"/>
        </w:rPr>
        <w:t>procedure set out</w:t>
      </w:r>
      <w:r w:rsidRPr="006C2862">
        <w:rPr>
          <w:rFonts w:asciiTheme="majorBidi" w:hAnsiTheme="majorBidi" w:cstheme="majorBidi"/>
          <w:sz w:val="24"/>
          <w:szCs w:val="24"/>
          <w:lang w:val="en-US"/>
        </w:rPr>
        <w:t xml:space="preserve"> in Caskey and Ozel (2017) and Roychowdhury (2006)</w:t>
      </w:r>
      <w:r w:rsidR="00670DE9">
        <w:rPr>
          <w:rFonts w:asciiTheme="majorBidi" w:hAnsiTheme="majorBidi" w:cstheme="majorBidi"/>
          <w:sz w:val="24"/>
          <w:szCs w:val="24"/>
          <w:lang w:val="en-US"/>
        </w:rPr>
        <w:t>,</w:t>
      </w:r>
      <w:r w:rsidRPr="006C2862">
        <w:rPr>
          <w:rFonts w:asciiTheme="majorBidi" w:hAnsiTheme="majorBidi" w:cstheme="majorBidi"/>
          <w:sz w:val="24"/>
          <w:szCs w:val="24"/>
          <w:lang w:val="en-US"/>
        </w:rPr>
        <w:t xml:space="preserve"> </w:t>
      </w:r>
      <w:r w:rsidR="00670DE9">
        <w:rPr>
          <w:rFonts w:asciiTheme="majorBidi" w:hAnsiTheme="majorBidi" w:cstheme="majorBidi"/>
          <w:sz w:val="24"/>
          <w:szCs w:val="24"/>
          <w:lang w:val="en-US"/>
        </w:rPr>
        <w:t>and</w:t>
      </w:r>
      <w:r w:rsidRPr="006C2862">
        <w:rPr>
          <w:rFonts w:asciiTheme="majorBidi" w:hAnsiTheme="majorBidi" w:cstheme="majorBidi"/>
          <w:sz w:val="24"/>
          <w:szCs w:val="24"/>
          <w:lang w:val="en-US"/>
        </w:rPr>
        <w:t xml:space="preserve"> estimate</w:t>
      </w:r>
      <w:r w:rsidR="00C860A5" w:rsidRPr="006C2862">
        <w:rPr>
          <w:rFonts w:asciiTheme="majorBidi" w:hAnsiTheme="majorBidi" w:cstheme="majorBidi"/>
          <w:sz w:val="24"/>
          <w:szCs w:val="24"/>
          <w:lang w:val="en-US"/>
        </w:rPr>
        <w:t xml:space="preserve"> cuts </w:t>
      </w:r>
      <w:r w:rsidR="00985FE3" w:rsidRPr="006C2862">
        <w:rPr>
          <w:rFonts w:asciiTheme="majorBidi" w:hAnsiTheme="majorBidi" w:cstheme="majorBidi"/>
          <w:sz w:val="24"/>
          <w:szCs w:val="24"/>
          <w:lang w:val="en-US"/>
        </w:rPr>
        <w:t xml:space="preserve">to </w:t>
      </w:r>
      <w:r w:rsidR="00C860A5" w:rsidRPr="006C2862">
        <w:rPr>
          <w:rFonts w:asciiTheme="majorBidi" w:hAnsiTheme="majorBidi" w:cstheme="majorBidi"/>
          <w:sz w:val="24"/>
          <w:szCs w:val="24"/>
          <w:lang w:val="en-US"/>
        </w:rPr>
        <w:t>abnormal discretionary expenses per employee (</w:t>
      </w:r>
      <w:proofErr w:type="spellStart"/>
      <w:r w:rsidR="00C860A5" w:rsidRPr="006C2862">
        <w:rPr>
          <w:rFonts w:asciiTheme="majorBidi" w:hAnsiTheme="majorBidi" w:cstheme="majorBidi"/>
          <w:i/>
          <w:iCs/>
          <w:sz w:val="24"/>
          <w:szCs w:val="24"/>
          <w:lang w:val="en-US"/>
        </w:rPr>
        <w:t>AbDiscExpCuts</w:t>
      </w:r>
      <w:proofErr w:type="spellEnd"/>
      <w:r w:rsidR="00C860A5" w:rsidRPr="006C2862">
        <w:rPr>
          <w:rFonts w:asciiTheme="majorBidi" w:hAnsiTheme="majorBidi" w:cstheme="majorBidi"/>
          <w:sz w:val="24"/>
          <w:szCs w:val="24"/>
          <w:lang w:val="en-US"/>
        </w:rPr>
        <w:t>)</w:t>
      </w:r>
      <w:r w:rsidRPr="006C2862">
        <w:rPr>
          <w:rFonts w:asciiTheme="majorBidi" w:hAnsiTheme="majorBidi" w:cstheme="majorBidi"/>
          <w:sz w:val="24"/>
          <w:szCs w:val="24"/>
          <w:lang w:val="en-US"/>
        </w:rPr>
        <w:t xml:space="preserve"> </w:t>
      </w:r>
      <w:r w:rsidR="009E5366" w:rsidRPr="006C2862">
        <w:rPr>
          <w:rFonts w:asciiTheme="majorBidi" w:hAnsiTheme="majorBidi" w:cstheme="majorBidi"/>
          <w:sz w:val="24"/>
          <w:szCs w:val="24"/>
          <w:lang w:val="en-US"/>
        </w:rPr>
        <w:t>using the residuals from the pooled OLS regression model in Eq. (</w:t>
      </w:r>
      <w:r w:rsidR="006D3717">
        <w:rPr>
          <w:rFonts w:asciiTheme="majorBidi" w:hAnsiTheme="majorBidi" w:cstheme="majorBidi"/>
          <w:sz w:val="24"/>
          <w:szCs w:val="24"/>
          <w:lang w:val="en-US"/>
        </w:rPr>
        <w:t>5</w:t>
      </w:r>
      <w:r w:rsidR="009E5366" w:rsidRPr="006C2862">
        <w:rPr>
          <w:rFonts w:asciiTheme="majorBidi" w:hAnsiTheme="majorBidi" w:cstheme="majorBidi"/>
          <w:sz w:val="24"/>
          <w:szCs w:val="24"/>
          <w:lang w:val="en-US"/>
        </w:rPr>
        <w:t>)</w:t>
      </w:r>
      <w:r w:rsidRPr="006C2862">
        <w:rPr>
          <w:rFonts w:asciiTheme="majorBidi" w:hAnsiTheme="majorBidi" w:cstheme="majorBidi"/>
          <w:sz w:val="24"/>
          <w:szCs w:val="24"/>
          <w:lang w:val="en-US"/>
        </w:rPr>
        <w:t>.</w:t>
      </w:r>
      <w:r w:rsidR="00DC2003" w:rsidRPr="006C2862">
        <w:rPr>
          <w:rFonts w:asciiTheme="majorBidi" w:hAnsiTheme="majorBidi" w:cstheme="majorBidi"/>
          <w:sz w:val="24"/>
          <w:szCs w:val="24"/>
          <w:lang w:val="en-US"/>
        </w:rPr>
        <w:t xml:space="preserve"> </w:t>
      </w:r>
    </w:p>
    <w:p w14:paraId="7BEDEF6D" w14:textId="7A013242" w:rsidR="00C860A5" w:rsidRPr="006C2862" w:rsidRDefault="00000000" w:rsidP="006D3717">
      <w:pPr>
        <w:spacing w:line="480" w:lineRule="auto"/>
        <w:jc w:val="right"/>
        <w:rPr>
          <w:rFonts w:asciiTheme="majorBidi" w:hAnsiTheme="majorBidi" w:cstheme="majorBidi"/>
          <w:sz w:val="24"/>
          <w:szCs w:val="24"/>
          <w:lang w:val="en-US"/>
        </w:rPr>
      </w:pPr>
      <m:oMath>
        <m:f>
          <m:fPr>
            <m:ctrlPr>
              <w:rPr>
                <w:rFonts w:ascii="Cambria Math" w:eastAsiaTheme="minorEastAsia" w:hAnsi="Cambria Math" w:cstheme="majorBidi"/>
                <w:i/>
                <w:sz w:val="24"/>
                <w:szCs w:val="24"/>
                <w:lang w:val="en-US" w:eastAsia="zh-CN"/>
              </w:rPr>
            </m:ctrlPr>
          </m:fPr>
          <m:num>
            <m:sSub>
              <m:sSubPr>
                <m:ctrlPr>
                  <w:rPr>
                    <w:rFonts w:ascii="Cambria Math" w:eastAsiaTheme="minorEastAsia" w:hAnsi="Cambria Math" w:cstheme="majorBidi"/>
                    <w:i/>
                    <w:sz w:val="24"/>
                    <w:szCs w:val="24"/>
                    <w:lang w:val="en-US" w:eastAsia="zh-CN"/>
                  </w:rPr>
                </m:ctrlPr>
              </m:sSubPr>
              <m:e>
                <m:r>
                  <w:rPr>
                    <w:rFonts w:ascii="Cambria Math" w:hAnsi="Cambria Math" w:cstheme="majorBidi"/>
                    <w:sz w:val="24"/>
                    <w:szCs w:val="24"/>
                    <w:lang w:val="en-US"/>
                  </w:rPr>
                  <m:t>SGA</m:t>
                </m:r>
              </m:e>
              <m:sub>
                <m:r>
                  <w:rPr>
                    <w:rFonts w:ascii="Cambria Math" w:hAnsi="Cambria Math" w:cstheme="majorBidi"/>
                    <w:sz w:val="24"/>
                    <w:szCs w:val="24"/>
                    <w:lang w:val="en-US"/>
                  </w:rPr>
                  <m:t>i,t</m:t>
                </m:r>
              </m:sub>
            </m:sSub>
          </m:num>
          <m:den>
            <m:sSub>
              <m:sSubPr>
                <m:ctrlPr>
                  <w:rPr>
                    <w:rFonts w:ascii="Cambria Math" w:eastAsiaTheme="minorEastAsia" w:hAnsi="Cambria Math" w:cstheme="majorBidi"/>
                    <w:i/>
                    <w:sz w:val="24"/>
                    <w:szCs w:val="24"/>
                    <w:lang w:val="en-US" w:eastAsia="zh-CN"/>
                  </w:rPr>
                </m:ctrlPr>
              </m:sSubPr>
              <m:e>
                <m:r>
                  <w:rPr>
                    <w:rFonts w:ascii="Cambria Math" w:hAnsi="Cambria Math" w:cstheme="majorBidi"/>
                    <w:sz w:val="24"/>
                    <w:szCs w:val="24"/>
                    <w:lang w:val="en-US"/>
                  </w:rPr>
                  <m:t>Emp</m:t>
                </m:r>
              </m:e>
              <m:sub>
                <m:r>
                  <w:rPr>
                    <w:rFonts w:ascii="Cambria Math" w:hAnsi="Cambria Math" w:cstheme="majorBidi"/>
                    <w:sz w:val="24"/>
                    <w:szCs w:val="24"/>
                    <w:lang w:val="en-US"/>
                  </w:rPr>
                  <m:t>i,t-1</m:t>
                </m:r>
              </m:sub>
            </m:sSub>
          </m:den>
        </m:f>
        <m:r>
          <w:rPr>
            <w:rFonts w:ascii="Cambria Math" w:hAnsi="Cambria Math" w:cstheme="majorBidi"/>
            <w:sz w:val="24"/>
            <w:szCs w:val="24"/>
            <w:lang w:val="en-US"/>
          </w:rPr>
          <m:t>=</m:t>
        </m:r>
        <m:sSub>
          <m:sSubPr>
            <m:ctrlPr>
              <w:rPr>
                <w:rFonts w:ascii="Cambria Math" w:eastAsiaTheme="minorEastAsia" w:hAnsi="Cambria Math" w:cstheme="majorBidi"/>
                <w:i/>
                <w:sz w:val="24"/>
                <w:szCs w:val="24"/>
                <w:lang w:val="en-US" w:eastAsia="zh-CN"/>
              </w:rPr>
            </m:ctrlPr>
          </m:sSubPr>
          <m:e>
            <m:r>
              <w:rPr>
                <w:rFonts w:ascii="Cambria Math" w:hAnsi="Cambria Math" w:cstheme="majorBidi"/>
                <w:sz w:val="24"/>
                <w:szCs w:val="24"/>
                <w:lang w:val="en-US"/>
              </w:rPr>
              <m:t>β</m:t>
            </m:r>
          </m:e>
          <m:sub>
            <m:r>
              <w:rPr>
                <w:rFonts w:ascii="Cambria Math" w:hAnsi="Cambria Math" w:cstheme="majorBidi"/>
                <w:sz w:val="24"/>
                <w:szCs w:val="24"/>
                <w:lang w:val="en-US"/>
              </w:rPr>
              <m:t>0</m:t>
            </m:r>
          </m:sub>
        </m:sSub>
        <m:r>
          <w:rPr>
            <w:rFonts w:ascii="Cambria Math" w:hAnsi="Cambria Math" w:cstheme="majorBidi"/>
            <w:sz w:val="24"/>
            <w:szCs w:val="24"/>
            <w:lang w:val="en-US"/>
          </w:rPr>
          <m:t>+</m:t>
        </m:r>
        <m:sSub>
          <m:sSubPr>
            <m:ctrlPr>
              <w:rPr>
                <w:rFonts w:ascii="Cambria Math" w:eastAsiaTheme="minorEastAsia" w:hAnsi="Cambria Math" w:cstheme="majorBidi"/>
                <w:i/>
                <w:sz w:val="24"/>
                <w:szCs w:val="24"/>
                <w:lang w:val="en-US" w:eastAsia="zh-CN"/>
              </w:rPr>
            </m:ctrlPr>
          </m:sSubPr>
          <m:e>
            <m:r>
              <w:rPr>
                <w:rFonts w:ascii="Cambria Math" w:hAnsi="Cambria Math" w:cstheme="majorBidi"/>
                <w:sz w:val="24"/>
                <w:szCs w:val="24"/>
                <w:lang w:val="en-US"/>
              </w:rPr>
              <m:t>β</m:t>
            </m:r>
          </m:e>
          <m:sub>
            <m:r>
              <w:rPr>
                <w:rFonts w:ascii="Cambria Math" w:hAnsi="Cambria Math" w:cstheme="majorBidi"/>
                <w:sz w:val="24"/>
                <w:szCs w:val="24"/>
                <w:lang w:val="en-US"/>
              </w:rPr>
              <m:t>1</m:t>
            </m:r>
          </m:sub>
        </m:sSub>
        <m:f>
          <m:fPr>
            <m:ctrlPr>
              <w:rPr>
                <w:rFonts w:ascii="Cambria Math" w:eastAsiaTheme="minorEastAsia" w:hAnsi="Cambria Math" w:cstheme="majorBidi"/>
                <w:i/>
                <w:sz w:val="24"/>
                <w:szCs w:val="24"/>
                <w:lang w:val="en-US" w:eastAsia="zh-CN"/>
              </w:rPr>
            </m:ctrlPr>
          </m:fPr>
          <m:num>
            <m:r>
              <w:rPr>
                <w:rFonts w:ascii="Cambria Math" w:hAnsi="Cambria Math" w:cstheme="majorBidi"/>
                <w:sz w:val="24"/>
                <w:szCs w:val="24"/>
                <w:lang w:val="en-US"/>
              </w:rPr>
              <m:t>1</m:t>
            </m:r>
          </m:num>
          <m:den>
            <m:sSub>
              <m:sSubPr>
                <m:ctrlPr>
                  <w:rPr>
                    <w:rFonts w:ascii="Cambria Math" w:eastAsiaTheme="minorEastAsia" w:hAnsi="Cambria Math" w:cstheme="majorBidi"/>
                    <w:i/>
                    <w:sz w:val="24"/>
                    <w:szCs w:val="24"/>
                    <w:lang w:val="en-US" w:eastAsia="zh-CN"/>
                  </w:rPr>
                </m:ctrlPr>
              </m:sSubPr>
              <m:e>
                <m:r>
                  <w:rPr>
                    <w:rFonts w:ascii="Cambria Math" w:hAnsi="Cambria Math" w:cstheme="majorBidi"/>
                    <w:sz w:val="24"/>
                    <w:szCs w:val="24"/>
                    <w:lang w:val="en-US"/>
                  </w:rPr>
                  <m:t>Emp</m:t>
                </m:r>
              </m:e>
              <m:sub>
                <m:r>
                  <w:rPr>
                    <w:rFonts w:ascii="Cambria Math" w:hAnsi="Cambria Math" w:cstheme="majorBidi"/>
                    <w:sz w:val="24"/>
                    <w:szCs w:val="24"/>
                    <w:lang w:val="en-US"/>
                  </w:rPr>
                  <m:t>i,t-1</m:t>
                </m:r>
              </m:sub>
            </m:sSub>
          </m:den>
        </m:f>
        <m:r>
          <w:rPr>
            <w:rFonts w:ascii="Cambria Math" w:hAnsi="Cambria Math" w:cstheme="majorBidi"/>
            <w:sz w:val="24"/>
            <w:szCs w:val="24"/>
            <w:lang w:val="en-US"/>
          </w:rPr>
          <m:t>+</m:t>
        </m:r>
        <m:sSub>
          <m:sSubPr>
            <m:ctrlPr>
              <w:rPr>
                <w:rFonts w:ascii="Cambria Math" w:eastAsiaTheme="minorEastAsia" w:hAnsi="Cambria Math" w:cstheme="majorBidi"/>
                <w:i/>
                <w:sz w:val="24"/>
                <w:szCs w:val="24"/>
                <w:lang w:val="en-US" w:eastAsia="zh-CN"/>
              </w:rPr>
            </m:ctrlPr>
          </m:sSubPr>
          <m:e>
            <m:r>
              <w:rPr>
                <w:rFonts w:ascii="Cambria Math" w:hAnsi="Cambria Math" w:cstheme="majorBidi"/>
                <w:sz w:val="24"/>
                <w:szCs w:val="24"/>
                <w:lang w:val="en-US"/>
              </w:rPr>
              <m:t>β</m:t>
            </m:r>
          </m:e>
          <m:sub>
            <m:r>
              <w:rPr>
                <w:rFonts w:ascii="Cambria Math" w:hAnsi="Cambria Math" w:cstheme="majorBidi"/>
                <w:sz w:val="24"/>
                <w:szCs w:val="24"/>
                <w:lang w:val="en-US"/>
              </w:rPr>
              <m:t>2</m:t>
            </m:r>
          </m:sub>
        </m:sSub>
        <m:f>
          <m:fPr>
            <m:ctrlPr>
              <w:rPr>
                <w:rFonts w:ascii="Cambria Math" w:eastAsiaTheme="minorEastAsia" w:hAnsi="Cambria Math" w:cstheme="majorBidi"/>
                <w:i/>
                <w:sz w:val="24"/>
                <w:szCs w:val="24"/>
                <w:lang w:val="en-US" w:eastAsia="zh-CN"/>
              </w:rPr>
            </m:ctrlPr>
          </m:fPr>
          <m:num>
            <m:sSub>
              <m:sSubPr>
                <m:ctrlPr>
                  <w:rPr>
                    <w:rFonts w:ascii="Cambria Math" w:eastAsiaTheme="minorEastAsia" w:hAnsi="Cambria Math" w:cstheme="majorBidi"/>
                    <w:i/>
                    <w:sz w:val="24"/>
                    <w:szCs w:val="24"/>
                    <w:lang w:val="en-US" w:eastAsia="zh-CN"/>
                  </w:rPr>
                </m:ctrlPr>
              </m:sSubPr>
              <m:e>
                <m:r>
                  <w:rPr>
                    <w:rFonts w:ascii="Cambria Math" w:hAnsi="Cambria Math" w:cstheme="majorBidi"/>
                    <w:sz w:val="24"/>
                    <w:szCs w:val="24"/>
                    <w:lang w:val="en-US"/>
                  </w:rPr>
                  <m:t>Sales</m:t>
                </m:r>
              </m:e>
              <m:sub>
                <m:r>
                  <w:rPr>
                    <w:rFonts w:ascii="Cambria Math" w:hAnsi="Cambria Math" w:cstheme="majorBidi"/>
                    <w:sz w:val="24"/>
                    <w:szCs w:val="24"/>
                    <w:lang w:val="en-US"/>
                  </w:rPr>
                  <m:t>i,t-1</m:t>
                </m:r>
              </m:sub>
            </m:sSub>
          </m:num>
          <m:den>
            <m:sSub>
              <m:sSubPr>
                <m:ctrlPr>
                  <w:rPr>
                    <w:rFonts w:ascii="Cambria Math" w:eastAsiaTheme="minorEastAsia" w:hAnsi="Cambria Math" w:cstheme="majorBidi"/>
                    <w:i/>
                    <w:sz w:val="24"/>
                    <w:szCs w:val="24"/>
                    <w:lang w:val="en-US" w:eastAsia="zh-CN"/>
                  </w:rPr>
                </m:ctrlPr>
              </m:sSubPr>
              <m:e>
                <m:r>
                  <w:rPr>
                    <w:rFonts w:ascii="Cambria Math" w:hAnsi="Cambria Math" w:cstheme="majorBidi"/>
                    <w:sz w:val="24"/>
                    <w:szCs w:val="24"/>
                    <w:lang w:val="en-US"/>
                  </w:rPr>
                  <m:t>Emp</m:t>
                </m:r>
              </m:e>
              <m:sub>
                <m:r>
                  <w:rPr>
                    <w:rFonts w:ascii="Cambria Math" w:hAnsi="Cambria Math" w:cstheme="majorBidi"/>
                    <w:sz w:val="24"/>
                    <w:szCs w:val="24"/>
                    <w:lang w:val="en-US"/>
                  </w:rPr>
                  <m:t>i,t-1</m:t>
                </m:r>
              </m:sub>
            </m:sSub>
          </m:den>
        </m:f>
        <m:r>
          <w:rPr>
            <w:rFonts w:ascii="Cambria Math" w:hAnsi="Cambria Math" w:cstheme="majorBidi"/>
            <w:sz w:val="24"/>
            <w:szCs w:val="24"/>
            <w:lang w:val="en-US"/>
          </w:rPr>
          <m:t>+ FEs+</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i,t</m:t>
            </m:r>
          </m:sub>
        </m:sSub>
      </m:oMath>
      <w:r w:rsidR="006D3717">
        <w:rPr>
          <w:rFonts w:asciiTheme="majorBidi" w:eastAsiaTheme="minorEastAsia" w:hAnsiTheme="majorBidi" w:cstheme="majorBidi"/>
          <w:sz w:val="24"/>
          <w:szCs w:val="24"/>
          <w:lang w:val="en-US"/>
        </w:rPr>
        <w:tab/>
      </w:r>
      <w:r w:rsidR="00C860A5" w:rsidRPr="006C2862">
        <w:rPr>
          <w:rFonts w:asciiTheme="majorBidi" w:hAnsiTheme="majorBidi" w:cstheme="majorBidi"/>
          <w:sz w:val="24"/>
          <w:szCs w:val="24"/>
          <w:lang w:val="en-US"/>
        </w:rPr>
        <w:tab/>
        <w:t>(</w:t>
      </w:r>
      <w:r w:rsidR="006D3717">
        <w:rPr>
          <w:rFonts w:asciiTheme="majorBidi" w:hAnsiTheme="majorBidi" w:cstheme="majorBidi"/>
          <w:sz w:val="24"/>
          <w:szCs w:val="24"/>
          <w:lang w:val="en-US"/>
        </w:rPr>
        <w:t>5</w:t>
      </w:r>
      <w:r w:rsidR="00C860A5" w:rsidRPr="006C2862">
        <w:rPr>
          <w:rFonts w:asciiTheme="majorBidi" w:hAnsiTheme="majorBidi" w:cstheme="majorBidi"/>
          <w:sz w:val="24"/>
          <w:szCs w:val="24"/>
          <w:lang w:val="en-US"/>
        </w:rPr>
        <w:t>)</w:t>
      </w:r>
    </w:p>
    <w:p w14:paraId="192501AB" w14:textId="65BFC755" w:rsidR="00C860A5" w:rsidRPr="006C2862" w:rsidRDefault="00C860A5" w:rsidP="00F93120">
      <w:pPr>
        <w:spacing w:after="0" w:line="480" w:lineRule="auto"/>
        <w:jc w:val="both"/>
        <w:rPr>
          <w:rFonts w:asciiTheme="majorBidi" w:hAnsiTheme="majorBidi" w:cstheme="majorBidi"/>
          <w:sz w:val="24"/>
          <w:szCs w:val="24"/>
          <w:lang w:val="en-US"/>
        </w:rPr>
      </w:pPr>
      <w:r w:rsidRPr="006C2862">
        <w:rPr>
          <w:rFonts w:ascii="Times New Roman" w:hAnsi="Times New Roman" w:cs="Times New Roman"/>
          <w:sz w:val="24"/>
          <w:szCs w:val="24"/>
          <w:lang w:val="en-US"/>
        </w:rPr>
        <w:t xml:space="preserve">where </w:t>
      </w:r>
      <w:r w:rsidRPr="006C2862">
        <w:rPr>
          <w:rFonts w:ascii="Times New Roman" w:hAnsi="Times New Roman" w:cs="Times New Roman"/>
          <w:i/>
          <w:iCs/>
          <w:sz w:val="24"/>
          <w:szCs w:val="24"/>
          <w:lang w:val="en-US"/>
        </w:rPr>
        <w:t xml:space="preserve">SGA </w:t>
      </w:r>
      <w:r w:rsidRPr="006C2862">
        <w:rPr>
          <w:rFonts w:ascii="Times New Roman" w:hAnsi="Times New Roman" w:cs="Times New Roman"/>
          <w:sz w:val="24"/>
          <w:szCs w:val="24"/>
          <w:lang w:val="en-US"/>
        </w:rPr>
        <w:t>is selling</w:t>
      </w:r>
      <w:r w:rsidR="002065DB" w:rsidRPr="006C2862">
        <w:rPr>
          <w:rFonts w:ascii="Times New Roman" w:hAnsi="Times New Roman" w:cs="Times New Roman"/>
          <w:sz w:val="24"/>
          <w:szCs w:val="24"/>
          <w:lang w:val="en-US"/>
        </w:rPr>
        <w:t>,</w:t>
      </w:r>
      <w:r w:rsidRPr="006C2862">
        <w:rPr>
          <w:rFonts w:ascii="Times New Roman" w:hAnsi="Times New Roman" w:cs="Times New Roman"/>
          <w:sz w:val="24"/>
          <w:szCs w:val="24"/>
          <w:lang w:val="en-US"/>
        </w:rPr>
        <w:t xml:space="preserve"> general and administrative expenses, </w:t>
      </w:r>
      <w:r w:rsidRPr="006C2862">
        <w:rPr>
          <w:rFonts w:ascii="Times New Roman" w:hAnsi="Times New Roman" w:cs="Times New Roman"/>
          <w:i/>
          <w:iCs/>
          <w:sz w:val="24"/>
          <w:szCs w:val="24"/>
          <w:lang w:val="en-US"/>
        </w:rPr>
        <w:t>Emp</w:t>
      </w:r>
      <w:r w:rsidRPr="006C2862">
        <w:rPr>
          <w:rFonts w:ascii="Times New Roman" w:hAnsi="Times New Roman" w:cs="Times New Roman"/>
          <w:sz w:val="24"/>
          <w:szCs w:val="24"/>
          <w:lang w:val="en-US"/>
        </w:rPr>
        <w:t xml:space="preserve"> is</w:t>
      </w:r>
      <w:r w:rsidR="00670DE9">
        <w:rPr>
          <w:rFonts w:ascii="Times New Roman" w:hAnsi="Times New Roman" w:cs="Times New Roman"/>
          <w:sz w:val="24"/>
          <w:szCs w:val="24"/>
          <w:lang w:val="en-US"/>
        </w:rPr>
        <w:t xml:space="preserve"> the</w:t>
      </w:r>
      <w:r w:rsidR="00977A22" w:rsidRPr="006C2862">
        <w:rPr>
          <w:rFonts w:ascii="Times New Roman" w:hAnsi="Times New Roman" w:cs="Times New Roman"/>
          <w:sz w:val="24"/>
          <w:szCs w:val="24"/>
          <w:lang w:val="en-US"/>
        </w:rPr>
        <w:t xml:space="preserve"> </w:t>
      </w:r>
      <w:r w:rsidRPr="006C2862">
        <w:rPr>
          <w:rFonts w:ascii="Times New Roman" w:hAnsi="Times New Roman" w:cs="Times New Roman"/>
          <w:sz w:val="24"/>
          <w:szCs w:val="24"/>
          <w:lang w:val="en-US"/>
        </w:rPr>
        <w:t xml:space="preserve">number of employees, </w:t>
      </w:r>
      <w:r w:rsidR="009E5366" w:rsidRPr="006C2862">
        <w:rPr>
          <w:rFonts w:ascii="Times New Roman" w:hAnsi="Times New Roman" w:cs="Times New Roman"/>
          <w:sz w:val="24"/>
          <w:szCs w:val="24"/>
          <w:lang w:val="en-US"/>
        </w:rPr>
        <w:t xml:space="preserve">and </w:t>
      </w:r>
      <w:r w:rsidRPr="006C2862">
        <w:rPr>
          <w:rFonts w:ascii="Times New Roman" w:hAnsi="Times New Roman" w:cs="Times New Roman"/>
          <w:i/>
          <w:iCs/>
          <w:sz w:val="24"/>
          <w:szCs w:val="24"/>
          <w:lang w:val="en-US"/>
        </w:rPr>
        <w:t>Sales</w:t>
      </w:r>
      <w:r w:rsidRPr="006C2862">
        <w:rPr>
          <w:rFonts w:ascii="Times New Roman" w:hAnsi="Times New Roman" w:cs="Times New Roman"/>
          <w:sz w:val="24"/>
          <w:szCs w:val="24"/>
          <w:lang w:val="en-US"/>
        </w:rPr>
        <w:t xml:space="preserve"> is net turnover.</w:t>
      </w:r>
      <w:r w:rsidRPr="006C2862">
        <w:rPr>
          <w:rStyle w:val="FootnoteReference"/>
          <w:rFonts w:ascii="Times New Roman" w:hAnsi="Times New Roman" w:cs="Times New Roman"/>
          <w:sz w:val="24"/>
          <w:szCs w:val="24"/>
          <w:lang w:val="en-US"/>
        </w:rPr>
        <w:footnoteReference w:id="16"/>
      </w:r>
      <w:r w:rsidR="00635776" w:rsidRPr="006C2862">
        <w:rPr>
          <w:rFonts w:ascii="Times New Roman" w:hAnsi="Times New Roman" w:cs="Times New Roman"/>
          <w:sz w:val="24"/>
          <w:szCs w:val="24"/>
          <w:lang w:val="en-US"/>
        </w:rPr>
        <w:t xml:space="preserve"> </w:t>
      </w:r>
      <w:r w:rsidR="00F447E6" w:rsidRPr="006C2862">
        <w:rPr>
          <w:rFonts w:ascii="Times New Roman" w:hAnsi="Times New Roman" w:cs="Times New Roman"/>
          <w:sz w:val="24"/>
          <w:szCs w:val="24"/>
          <w:lang w:val="en-US"/>
        </w:rPr>
        <w:t>As</w:t>
      </w:r>
      <w:r w:rsidR="00156277" w:rsidRPr="006C2862">
        <w:rPr>
          <w:rFonts w:ascii="Times New Roman" w:hAnsi="Times New Roman" w:cs="Times New Roman"/>
          <w:sz w:val="24"/>
          <w:szCs w:val="24"/>
          <w:lang w:val="en-US"/>
        </w:rPr>
        <w:t xml:space="preserve"> a</w:t>
      </w:r>
      <w:r w:rsidR="00635776" w:rsidRPr="006C2862">
        <w:rPr>
          <w:rFonts w:ascii="Times New Roman" w:hAnsi="Times New Roman" w:cs="Times New Roman"/>
          <w:sz w:val="24"/>
          <w:szCs w:val="24"/>
          <w:lang w:val="en-US"/>
        </w:rPr>
        <w:t xml:space="preserve"> cut in expenses means </w:t>
      </w:r>
      <w:r w:rsidR="00F447E6" w:rsidRPr="006C2862">
        <w:rPr>
          <w:rFonts w:ascii="Times New Roman" w:hAnsi="Times New Roman" w:cs="Times New Roman"/>
          <w:sz w:val="24"/>
          <w:szCs w:val="24"/>
          <w:lang w:val="en-US"/>
        </w:rPr>
        <w:t>that</w:t>
      </w:r>
      <w:r w:rsidR="00635776" w:rsidRPr="006C2862">
        <w:rPr>
          <w:rFonts w:ascii="Times New Roman" w:hAnsi="Times New Roman" w:cs="Times New Roman"/>
          <w:sz w:val="24"/>
          <w:szCs w:val="24"/>
          <w:lang w:val="en-US"/>
        </w:rPr>
        <w:t xml:space="preserve"> abnormal discretionary </w:t>
      </w:r>
      <w:r w:rsidR="00B345D3" w:rsidRPr="006C2862">
        <w:rPr>
          <w:rFonts w:ascii="Times New Roman" w:hAnsi="Times New Roman" w:cs="Times New Roman"/>
          <w:sz w:val="24"/>
          <w:szCs w:val="24"/>
          <w:lang w:val="en-US"/>
        </w:rPr>
        <w:t>expenditure</w:t>
      </w:r>
      <w:r w:rsidR="00635776" w:rsidRPr="006C2862">
        <w:rPr>
          <w:rFonts w:ascii="Times New Roman" w:hAnsi="Times New Roman" w:cs="Times New Roman"/>
          <w:sz w:val="24"/>
          <w:szCs w:val="24"/>
          <w:lang w:val="en-US"/>
        </w:rPr>
        <w:t xml:space="preserve"> </w:t>
      </w:r>
      <w:r w:rsidR="005721F2" w:rsidRPr="006C2862">
        <w:rPr>
          <w:rFonts w:ascii="Times New Roman" w:hAnsi="Times New Roman" w:cs="Times New Roman"/>
          <w:sz w:val="24"/>
          <w:szCs w:val="24"/>
          <w:lang w:val="en-US"/>
        </w:rPr>
        <w:t>turn</w:t>
      </w:r>
      <w:r w:rsidR="00635776" w:rsidRPr="006C2862">
        <w:rPr>
          <w:rFonts w:ascii="Times New Roman" w:hAnsi="Times New Roman" w:cs="Times New Roman"/>
          <w:sz w:val="24"/>
          <w:szCs w:val="24"/>
          <w:lang w:val="en-US"/>
        </w:rPr>
        <w:t>s negative</w:t>
      </w:r>
      <w:r w:rsidR="00175B14" w:rsidRPr="006C2862">
        <w:rPr>
          <w:rFonts w:ascii="Times New Roman" w:hAnsi="Times New Roman" w:cs="Times New Roman"/>
          <w:sz w:val="24"/>
          <w:szCs w:val="24"/>
          <w:lang w:val="en-US"/>
        </w:rPr>
        <w:t>,</w:t>
      </w:r>
      <w:r w:rsidR="00635776" w:rsidRPr="006C2862">
        <w:rPr>
          <w:rFonts w:ascii="Times New Roman" w:hAnsi="Times New Roman" w:cs="Times New Roman"/>
          <w:sz w:val="24"/>
          <w:szCs w:val="24"/>
          <w:lang w:val="en-US"/>
        </w:rPr>
        <w:t xml:space="preserve"> we</w:t>
      </w:r>
      <w:r w:rsidR="00977A22" w:rsidRPr="006C2862">
        <w:rPr>
          <w:rFonts w:ascii="Times New Roman" w:hAnsi="Times New Roman" w:cs="Times New Roman"/>
          <w:sz w:val="24"/>
          <w:szCs w:val="24"/>
          <w:lang w:val="en-US"/>
        </w:rPr>
        <w:t xml:space="preserve"> multiply </w:t>
      </w:r>
      <w:r w:rsidR="00D9692C" w:rsidRPr="006C2862">
        <w:rPr>
          <w:rFonts w:ascii="Times New Roman" w:hAnsi="Times New Roman" w:cs="Times New Roman"/>
          <w:sz w:val="24"/>
          <w:szCs w:val="24"/>
          <w:lang w:val="en-US"/>
        </w:rPr>
        <w:t>the residuals</w:t>
      </w:r>
      <w:r w:rsidR="00977A22" w:rsidRPr="006C2862">
        <w:rPr>
          <w:rFonts w:ascii="Times New Roman" w:hAnsi="Times New Roman" w:cs="Times New Roman"/>
          <w:sz w:val="24"/>
          <w:szCs w:val="24"/>
          <w:lang w:val="en-US"/>
        </w:rPr>
        <w:t xml:space="preserve"> by minus one </w:t>
      </w:r>
      <w:r w:rsidR="00635776" w:rsidRPr="006C2862">
        <w:rPr>
          <w:rFonts w:ascii="Times New Roman" w:hAnsi="Times New Roman" w:cs="Times New Roman"/>
          <w:sz w:val="24"/>
          <w:szCs w:val="24"/>
          <w:lang w:val="en-US"/>
        </w:rPr>
        <w:t xml:space="preserve">to obtain </w:t>
      </w:r>
      <w:r w:rsidR="00D9692C" w:rsidRPr="006C2862">
        <w:rPr>
          <w:rFonts w:ascii="Times New Roman" w:hAnsi="Times New Roman" w:cs="Times New Roman"/>
          <w:sz w:val="24"/>
          <w:szCs w:val="24"/>
          <w:lang w:val="en-US"/>
        </w:rPr>
        <w:t xml:space="preserve">a </w:t>
      </w:r>
      <w:r w:rsidR="00635776" w:rsidRPr="006C2862">
        <w:rPr>
          <w:rFonts w:ascii="Times New Roman" w:hAnsi="Times New Roman" w:cs="Times New Roman"/>
          <w:sz w:val="24"/>
          <w:szCs w:val="24"/>
          <w:lang w:val="en-US"/>
        </w:rPr>
        <w:t>more intuitive measure</w:t>
      </w:r>
      <w:r w:rsidR="00D9692C" w:rsidRPr="006C2862">
        <w:rPr>
          <w:rFonts w:ascii="Times New Roman" w:hAnsi="Times New Roman" w:cs="Times New Roman"/>
          <w:sz w:val="24"/>
          <w:szCs w:val="24"/>
          <w:lang w:val="en-US"/>
        </w:rPr>
        <w:t xml:space="preserve"> for </w:t>
      </w:r>
      <w:proofErr w:type="spellStart"/>
      <w:r w:rsidR="00D9692C" w:rsidRPr="006C2862">
        <w:rPr>
          <w:rFonts w:asciiTheme="majorBidi" w:hAnsiTheme="majorBidi" w:cstheme="majorBidi"/>
          <w:i/>
          <w:iCs/>
          <w:sz w:val="24"/>
          <w:szCs w:val="24"/>
          <w:lang w:val="en-US"/>
        </w:rPr>
        <w:t>AbDiscExpCuts</w:t>
      </w:r>
      <w:proofErr w:type="spellEnd"/>
      <w:r w:rsidR="00635776" w:rsidRPr="006C2862">
        <w:rPr>
          <w:rFonts w:ascii="Times New Roman" w:hAnsi="Times New Roman" w:cs="Times New Roman"/>
          <w:sz w:val="24"/>
          <w:szCs w:val="24"/>
          <w:lang w:val="en-US"/>
        </w:rPr>
        <w:t xml:space="preserve">. </w:t>
      </w:r>
      <w:r w:rsidR="00670DE9">
        <w:rPr>
          <w:rFonts w:asciiTheme="majorBidi" w:hAnsiTheme="majorBidi" w:cstheme="majorBidi"/>
          <w:sz w:val="24"/>
          <w:szCs w:val="24"/>
          <w:lang w:val="en-US"/>
        </w:rPr>
        <w:t xml:space="preserve">Given </w:t>
      </w:r>
      <w:r w:rsidR="00F549A2">
        <w:rPr>
          <w:rFonts w:asciiTheme="majorBidi" w:hAnsiTheme="majorBidi" w:cstheme="majorBidi"/>
          <w:sz w:val="24"/>
          <w:szCs w:val="24"/>
          <w:lang w:val="en-US"/>
        </w:rPr>
        <w:t>we</w:t>
      </w:r>
      <w:r w:rsidR="00F97705" w:rsidRPr="006C2862">
        <w:rPr>
          <w:rFonts w:asciiTheme="majorBidi" w:hAnsiTheme="majorBidi" w:cstheme="majorBidi"/>
          <w:sz w:val="24"/>
          <w:szCs w:val="24"/>
          <w:lang w:val="en-US"/>
        </w:rPr>
        <w:t xml:space="preserve"> expect the effects of </w:t>
      </w:r>
      <w:r w:rsidR="00F93120">
        <w:rPr>
          <w:rFonts w:asciiTheme="majorBidi" w:hAnsiTheme="majorBidi" w:cstheme="majorBidi"/>
          <w:sz w:val="24"/>
          <w:szCs w:val="24"/>
          <w:lang w:val="en-US"/>
        </w:rPr>
        <w:t xml:space="preserve">CEO </w:t>
      </w:r>
      <w:proofErr w:type="spellStart"/>
      <w:r w:rsidR="00F93120">
        <w:rPr>
          <w:rFonts w:asciiTheme="majorBidi" w:hAnsiTheme="majorBidi" w:cstheme="majorBidi"/>
          <w:sz w:val="24"/>
          <w:szCs w:val="24"/>
          <w:lang w:val="en-US"/>
        </w:rPr>
        <w:t>vega</w:t>
      </w:r>
      <w:proofErr w:type="spellEnd"/>
      <w:r w:rsidRPr="006C2862">
        <w:rPr>
          <w:rFonts w:asciiTheme="majorBidi" w:hAnsiTheme="majorBidi" w:cstheme="majorBidi"/>
          <w:sz w:val="24"/>
          <w:szCs w:val="24"/>
          <w:lang w:val="en-US"/>
        </w:rPr>
        <w:t xml:space="preserve"> </w:t>
      </w:r>
      <w:r w:rsidR="00F97705" w:rsidRPr="006C2862">
        <w:rPr>
          <w:rFonts w:asciiTheme="majorBidi" w:hAnsiTheme="majorBidi" w:cstheme="majorBidi"/>
          <w:sz w:val="24"/>
          <w:szCs w:val="24"/>
          <w:lang w:val="en-US"/>
        </w:rPr>
        <w:t xml:space="preserve">on workplace misconduct </w:t>
      </w:r>
      <w:r w:rsidR="00E71ED2">
        <w:rPr>
          <w:rFonts w:asciiTheme="majorBidi" w:hAnsiTheme="majorBidi" w:cstheme="majorBidi"/>
          <w:sz w:val="24"/>
          <w:szCs w:val="24"/>
          <w:lang w:val="en-US"/>
        </w:rPr>
        <w:t>to</w:t>
      </w:r>
      <w:r w:rsidR="00F97705" w:rsidRPr="006C2862">
        <w:rPr>
          <w:rFonts w:asciiTheme="majorBidi" w:hAnsiTheme="majorBidi" w:cstheme="majorBidi"/>
          <w:sz w:val="24"/>
          <w:szCs w:val="24"/>
          <w:lang w:val="en-US"/>
        </w:rPr>
        <w:t xml:space="preserve"> be </w:t>
      </w:r>
      <w:r w:rsidR="00C97588">
        <w:rPr>
          <w:rFonts w:asciiTheme="majorBidi" w:hAnsiTheme="majorBidi" w:cstheme="majorBidi"/>
          <w:sz w:val="24"/>
          <w:szCs w:val="24"/>
          <w:lang w:val="en-US"/>
        </w:rPr>
        <w:t xml:space="preserve">a function of </w:t>
      </w:r>
      <w:r w:rsidR="00F97705" w:rsidRPr="006C2862">
        <w:rPr>
          <w:rFonts w:asciiTheme="majorBidi" w:hAnsiTheme="majorBidi" w:cstheme="majorBidi"/>
          <w:sz w:val="24"/>
          <w:szCs w:val="24"/>
          <w:lang w:val="en-US"/>
        </w:rPr>
        <w:t>safety-related expenditures</w:t>
      </w:r>
      <w:r w:rsidR="00C60817">
        <w:rPr>
          <w:rFonts w:asciiTheme="majorBidi" w:hAnsiTheme="majorBidi" w:cstheme="majorBidi"/>
          <w:sz w:val="24"/>
          <w:szCs w:val="24"/>
          <w:lang w:val="en-US"/>
        </w:rPr>
        <w:t>, w</w:t>
      </w:r>
      <w:r w:rsidR="00AC0440" w:rsidRPr="006C2862">
        <w:rPr>
          <w:rFonts w:asciiTheme="majorBidi" w:hAnsiTheme="majorBidi" w:cstheme="majorBidi"/>
          <w:sz w:val="24"/>
          <w:szCs w:val="24"/>
          <w:lang w:val="en-US"/>
        </w:rPr>
        <w:t>e</w:t>
      </w:r>
      <w:r w:rsidR="00977A22" w:rsidRPr="006C2862">
        <w:rPr>
          <w:rFonts w:asciiTheme="majorBidi" w:hAnsiTheme="majorBidi" w:cstheme="majorBidi"/>
          <w:sz w:val="24"/>
          <w:szCs w:val="24"/>
          <w:lang w:val="en-US"/>
        </w:rPr>
        <w:t xml:space="preserve"> include the interaction term </w:t>
      </w:r>
      <w:r w:rsidR="00977A22" w:rsidRPr="006C2862">
        <w:rPr>
          <w:rFonts w:asciiTheme="majorBidi" w:eastAsia="Times New Roman" w:hAnsiTheme="majorBidi" w:cstheme="majorBidi"/>
          <w:i/>
          <w:iCs/>
          <w:color w:val="000000"/>
          <w:sz w:val="24"/>
          <w:szCs w:val="24"/>
          <w:lang w:val="en-US" w:eastAsia="zh-CN"/>
        </w:rPr>
        <w:t>Vega</w:t>
      </w:r>
      <w:r w:rsidR="00F447E6" w:rsidRPr="006C2862">
        <w:rPr>
          <w:rFonts w:asciiTheme="majorBidi" w:eastAsia="Times New Roman" w:hAnsiTheme="majorBidi" w:cstheme="majorBidi"/>
          <w:i/>
          <w:iCs/>
          <w:sz w:val="24"/>
          <w:szCs w:val="24"/>
          <w:lang w:val="en-US"/>
        </w:rPr>
        <w:t>*</w:t>
      </w:r>
      <w:proofErr w:type="spellStart"/>
      <w:r w:rsidR="00977A22" w:rsidRPr="006C2862">
        <w:rPr>
          <w:rFonts w:asciiTheme="majorBidi" w:eastAsia="Times New Roman" w:hAnsiTheme="majorBidi" w:cstheme="majorBidi"/>
          <w:i/>
          <w:iCs/>
          <w:color w:val="000000"/>
          <w:sz w:val="24"/>
          <w:szCs w:val="24"/>
          <w:lang w:val="en-US" w:eastAsia="zh-CN"/>
        </w:rPr>
        <w:t>AbDiscExpCuts</w:t>
      </w:r>
      <w:proofErr w:type="spellEnd"/>
      <w:r w:rsidR="00977A22" w:rsidRPr="006C2862">
        <w:rPr>
          <w:rFonts w:asciiTheme="majorBidi" w:eastAsia="Times New Roman" w:hAnsiTheme="majorBidi" w:cstheme="majorBidi"/>
          <w:i/>
          <w:iCs/>
          <w:color w:val="000000"/>
          <w:sz w:val="24"/>
          <w:szCs w:val="24"/>
          <w:lang w:val="en-US" w:eastAsia="zh-CN"/>
        </w:rPr>
        <w:t xml:space="preserve"> </w:t>
      </w:r>
      <w:r w:rsidR="00977A22" w:rsidRPr="006C2862">
        <w:rPr>
          <w:rFonts w:asciiTheme="majorBidi" w:hAnsiTheme="majorBidi" w:cstheme="majorBidi"/>
          <w:sz w:val="24"/>
          <w:szCs w:val="24"/>
          <w:lang w:val="en-US"/>
        </w:rPr>
        <w:t xml:space="preserve">in </w:t>
      </w:r>
      <w:r w:rsidR="00977A22" w:rsidRPr="006C2862">
        <w:rPr>
          <w:rFonts w:asciiTheme="majorBidi" w:hAnsiTheme="majorBidi" w:cstheme="majorBidi"/>
          <w:sz w:val="24"/>
          <w:szCs w:val="24"/>
          <w:lang w:val="en-US"/>
        </w:rPr>
        <w:lastRenderedPageBreak/>
        <w:t>Eq. (1</w:t>
      </w:r>
      <w:r w:rsidR="0081118A" w:rsidRPr="006C2862">
        <w:rPr>
          <w:rFonts w:asciiTheme="majorBidi" w:hAnsiTheme="majorBidi" w:cstheme="majorBidi"/>
          <w:sz w:val="24"/>
          <w:szCs w:val="24"/>
          <w:lang w:val="en-US"/>
        </w:rPr>
        <w:t>) and</w:t>
      </w:r>
      <w:r w:rsidRPr="006C2862">
        <w:rPr>
          <w:rFonts w:asciiTheme="majorBidi" w:hAnsiTheme="majorBidi" w:cstheme="majorBidi"/>
          <w:sz w:val="24"/>
          <w:szCs w:val="24"/>
          <w:lang w:val="en-US"/>
        </w:rPr>
        <w:t xml:space="preserve"> </w:t>
      </w:r>
      <w:r w:rsidR="00977A22" w:rsidRPr="006C2862">
        <w:rPr>
          <w:rFonts w:asciiTheme="majorBidi" w:hAnsiTheme="majorBidi" w:cstheme="majorBidi"/>
          <w:sz w:val="24"/>
          <w:szCs w:val="24"/>
          <w:lang w:val="en-US"/>
        </w:rPr>
        <w:t>posit</w:t>
      </w:r>
      <w:r w:rsidRPr="006C2862">
        <w:rPr>
          <w:rFonts w:asciiTheme="majorBidi" w:hAnsiTheme="majorBidi" w:cstheme="majorBidi"/>
          <w:sz w:val="24"/>
          <w:szCs w:val="24"/>
          <w:lang w:val="en-US"/>
        </w:rPr>
        <w:t xml:space="preserve"> that </w:t>
      </w:r>
      <w:r w:rsidR="00C60817">
        <w:rPr>
          <w:rFonts w:asciiTheme="majorBidi" w:hAnsiTheme="majorBidi" w:cstheme="majorBidi"/>
          <w:sz w:val="24"/>
          <w:szCs w:val="24"/>
          <w:lang w:val="en-US"/>
        </w:rPr>
        <w:t>larger</w:t>
      </w:r>
      <w:r w:rsidR="00F97705" w:rsidRPr="006C2862">
        <w:rPr>
          <w:rFonts w:asciiTheme="majorBidi" w:hAnsiTheme="majorBidi" w:cstheme="majorBidi"/>
          <w:sz w:val="24"/>
          <w:szCs w:val="24"/>
          <w:lang w:val="en-US"/>
        </w:rPr>
        <w:t xml:space="preserve"> </w:t>
      </w:r>
      <w:r w:rsidRPr="006C2862">
        <w:rPr>
          <w:rFonts w:asciiTheme="majorBidi" w:hAnsiTheme="majorBidi" w:cstheme="majorBidi"/>
          <w:sz w:val="24"/>
          <w:szCs w:val="24"/>
          <w:lang w:val="en-US"/>
        </w:rPr>
        <w:t xml:space="preserve">cuts </w:t>
      </w:r>
      <w:r w:rsidR="00F97705" w:rsidRPr="006C2862">
        <w:rPr>
          <w:rFonts w:asciiTheme="majorBidi" w:hAnsiTheme="majorBidi" w:cstheme="majorBidi"/>
          <w:sz w:val="24"/>
          <w:szCs w:val="24"/>
          <w:lang w:val="en-US"/>
        </w:rPr>
        <w:t>to</w:t>
      </w:r>
      <w:r w:rsidRPr="006C2862">
        <w:rPr>
          <w:rFonts w:asciiTheme="majorBidi" w:hAnsiTheme="majorBidi" w:cstheme="majorBidi"/>
          <w:sz w:val="24"/>
          <w:szCs w:val="24"/>
          <w:lang w:val="en-US"/>
        </w:rPr>
        <w:t xml:space="preserve"> </w:t>
      </w:r>
      <w:r w:rsidR="00F97705" w:rsidRPr="006C2862">
        <w:rPr>
          <w:rFonts w:asciiTheme="majorBidi" w:hAnsiTheme="majorBidi" w:cstheme="majorBidi"/>
          <w:sz w:val="24"/>
          <w:szCs w:val="24"/>
          <w:lang w:val="en-US"/>
        </w:rPr>
        <w:t xml:space="preserve">safety-related </w:t>
      </w:r>
      <w:r w:rsidRPr="006C2862">
        <w:rPr>
          <w:rFonts w:asciiTheme="majorBidi" w:hAnsiTheme="majorBidi" w:cstheme="majorBidi"/>
          <w:sz w:val="24"/>
          <w:szCs w:val="24"/>
          <w:lang w:val="en-US"/>
        </w:rPr>
        <w:t xml:space="preserve">expenditures </w:t>
      </w:r>
      <w:r w:rsidR="00EA6632">
        <w:rPr>
          <w:rFonts w:asciiTheme="majorBidi" w:hAnsiTheme="majorBidi" w:cstheme="majorBidi"/>
          <w:sz w:val="24"/>
          <w:szCs w:val="24"/>
          <w:lang w:val="en-US"/>
        </w:rPr>
        <w:t>explain</w:t>
      </w:r>
      <w:r w:rsidR="00EA6632" w:rsidRPr="006C2862">
        <w:rPr>
          <w:rFonts w:asciiTheme="majorBidi" w:hAnsiTheme="majorBidi" w:cstheme="majorBidi"/>
          <w:sz w:val="24"/>
          <w:szCs w:val="24"/>
          <w:lang w:val="en-US"/>
        </w:rPr>
        <w:t xml:space="preserve"> </w:t>
      </w:r>
      <w:r w:rsidRPr="006C2862">
        <w:rPr>
          <w:rFonts w:asciiTheme="majorBidi" w:hAnsiTheme="majorBidi" w:cstheme="majorBidi"/>
          <w:sz w:val="24"/>
          <w:szCs w:val="24"/>
          <w:lang w:val="en-US"/>
        </w:rPr>
        <w:t xml:space="preserve">the positive association between </w:t>
      </w:r>
      <w:r w:rsidR="00F97705" w:rsidRPr="006C2862">
        <w:rPr>
          <w:rFonts w:asciiTheme="majorBidi" w:hAnsiTheme="majorBidi" w:cstheme="majorBidi"/>
          <w:i/>
          <w:sz w:val="24"/>
          <w:szCs w:val="24"/>
          <w:lang w:val="en-US"/>
        </w:rPr>
        <w:t>V</w:t>
      </w:r>
      <w:r w:rsidRPr="006C2862">
        <w:rPr>
          <w:rFonts w:asciiTheme="majorBidi" w:hAnsiTheme="majorBidi" w:cstheme="majorBidi"/>
          <w:i/>
          <w:sz w:val="24"/>
          <w:szCs w:val="24"/>
          <w:lang w:val="en-US"/>
        </w:rPr>
        <w:t>ega</w:t>
      </w:r>
      <w:r w:rsidRPr="006C2862">
        <w:rPr>
          <w:rFonts w:asciiTheme="majorBidi" w:hAnsiTheme="majorBidi" w:cstheme="majorBidi"/>
          <w:sz w:val="24"/>
          <w:szCs w:val="24"/>
          <w:lang w:val="en-US"/>
        </w:rPr>
        <w:t xml:space="preserve"> and workplace </w:t>
      </w:r>
      <w:r w:rsidR="00736C49" w:rsidRPr="006C2862">
        <w:rPr>
          <w:rFonts w:asciiTheme="majorBidi" w:hAnsiTheme="majorBidi" w:cstheme="majorBidi"/>
          <w:sz w:val="24"/>
          <w:szCs w:val="24"/>
          <w:lang w:val="en-US"/>
        </w:rPr>
        <w:t>violations</w:t>
      </w:r>
      <w:r w:rsidRPr="006C2862">
        <w:rPr>
          <w:rFonts w:asciiTheme="majorBidi" w:hAnsiTheme="majorBidi" w:cstheme="majorBidi"/>
          <w:sz w:val="24"/>
          <w:szCs w:val="24"/>
          <w:lang w:val="en-US"/>
        </w:rPr>
        <w:t>.</w:t>
      </w:r>
    </w:p>
    <w:p w14:paraId="4827449E" w14:textId="6AE52263" w:rsidR="006069E8" w:rsidRPr="00471046" w:rsidRDefault="00C860A5" w:rsidP="009D7068">
      <w:pPr>
        <w:spacing w:after="0" w:line="480" w:lineRule="auto"/>
        <w:ind w:firstLine="720"/>
        <w:jc w:val="both"/>
        <w:rPr>
          <w:rFonts w:ascii="Times New Roman" w:eastAsia="CMR12" w:hAnsi="Times New Roman" w:cs="Times New Roman"/>
          <w:sz w:val="24"/>
          <w:szCs w:val="24"/>
        </w:rPr>
      </w:pPr>
      <w:r w:rsidRPr="006C2862">
        <w:rPr>
          <w:rFonts w:asciiTheme="majorBidi" w:hAnsiTheme="majorBidi" w:cstheme="majorBidi"/>
          <w:sz w:val="24"/>
          <w:szCs w:val="24"/>
          <w:lang w:val="en-US"/>
        </w:rPr>
        <w:t xml:space="preserve">Table </w:t>
      </w:r>
      <w:r w:rsidR="00CA6985">
        <w:rPr>
          <w:rFonts w:asciiTheme="majorBidi" w:hAnsiTheme="majorBidi" w:cstheme="majorBidi"/>
          <w:sz w:val="24"/>
          <w:szCs w:val="24"/>
          <w:lang w:val="en-US"/>
        </w:rPr>
        <w:t>8</w:t>
      </w:r>
      <w:r w:rsidR="00CA6985" w:rsidRPr="006C2862">
        <w:rPr>
          <w:rFonts w:asciiTheme="majorBidi" w:hAnsiTheme="majorBidi" w:cstheme="majorBidi"/>
          <w:sz w:val="24"/>
          <w:szCs w:val="24"/>
          <w:lang w:val="en-US"/>
        </w:rPr>
        <w:t xml:space="preserve"> </w:t>
      </w:r>
      <w:r w:rsidRPr="006C2862">
        <w:rPr>
          <w:rFonts w:asciiTheme="majorBidi" w:hAnsiTheme="majorBidi" w:cstheme="majorBidi"/>
          <w:sz w:val="24"/>
          <w:szCs w:val="24"/>
          <w:lang w:val="en-US"/>
        </w:rPr>
        <w:t xml:space="preserve">reports </w:t>
      </w:r>
      <w:r w:rsidR="005D6DF9" w:rsidRPr="006C2862">
        <w:rPr>
          <w:rFonts w:asciiTheme="majorBidi" w:hAnsiTheme="majorBidi" w:cstheme="majorBidi"/>
          <w:sz w:val="24"/>
          <w:szCs w:val="24"/>
          <w:lang w:val="en-US"/>
        </w:rPr>
        <w:t>the results of</w:t>
      </w:r>
      <w:r w:rsidRPr="006C2862">
        <w:rPr>
          <w:rFonts w:asciiTheme="majorBidi" w:hAnsiTheme="majorBidi" w:cstheme="majorBidi"/>
          <w:sz w:val="24"/>
          <w:szCs w:val="24"/>
          <w:lang w:val="en-US"/>
        </w:rPr>
        <w:t xml:space="preserve"> </w:t>
      </w:r>
      <w:r w:rsidR="0076355B" w:rsidRPr="006C2862">
        <w:rPr>
          <w:rFonts w:asciiTheme="majorBidi" w:hAnsiTheme="majorBidi" w:cstheme="majorBidi"/>
          <w:sz w:val="24"/>
          <w:szCs w:val="24"/>
          <w:lang w:val="en-US"/>
        </w:rPr>
        <w:t>this test</w:t>
      </w:r>
      <w:r w:rsidR="00670DE9">
        <w:rPr>
          <w:rFonts w:asciiTheme="majorBidi" w:hAnsiTheme="majorBidi" w:cstheme="majorBidi"/>
          <w:sz w:val="24"/>
          <w:szCs w:val="24"/>
          <w:lang w:val="en-US"/>
        </w:rPr>
        <w:t>.</w:t>
      </w:r>
      <w:r w:rsidR="0076355B" w:rsidRPr="006C2862">
        <w:rPr>
          <w:rFonts w:asciiTheme="majorBidi" w:hAnsiTheme="majorBidi" w:cstheme="majorBidi"/>
          <w:sz w:val="24"/>
          <w:szCs w:val="24"/>
          <w:lang w:val="en-US"/>
        </w:rPr>
        <w:t xml:space="preserve"> </w:t>
      </w:r>
      <w:r w:rsidR="00670DE9">
        <w:rPr>
          <w:rFonts w:asciiTheme="majorBidi" w:hAnsiTheme="majorBidi" w:cstheme="majorBidi"/>
          <w:sz w:val="24"/>
          <w:szCs w:val="24"/>
          <w:lang w:val="en-US"/>
        </w:rPr>
        <w:t>T</w:t>
      </w:r>
      <w:r w:rsidR="0076355B" w:rsidRPr="006C2862">
        <w:rPr>
          <w:rFonts w:asciiTheme="majorBidi" w:hAnsiTheme="majorBidi" w:cstheme="majorBidi"/>
          <w:sz w:val="24"/>
          <w:szCs w:val="24"/>
          <w:lang w:val="en-US"/>
        </w:rPr>
        <w:t xml:space="preserve">he dependent variable in </w:t>
      </w:r>
      <w:r w:rsidR="00C24D09" w:rsidRPr="006C2862">
        <w:rPr>
          <w:rFonts w:asciiTheme="majorBidi" w:hAnsiTheme="majorBidi" w:cstheme="majorBidi"/>
          <w:sz w:val="24"/>
          <w:szCs w:val="24"/>
          <w:lang w:val="en-US"/>
        </w:rPr>
        <w:t>column</w:t>
      </w:r>
      <w:r w:rsidR="0076355B" w:rsidRPr="006C2862">
        <w:rPr>
          <w:rFonts w:asciiTheme="majorBidi" w:hAnsiTheme="majorBidi" w:cstheme="majorBidi"/>
          <w:sz w:val="24"/>
          <w:szCs w:val="24"/>
          <w:lang w:val="en-US"/>
        </w:rPr>
        <w:t xml:space="preserve"> (1) is </w:t>
      </w:r>
      <w:r w:rsidRPr="006C2862">
        <w:rPr>
          <w:rFonts w:asciiTheme="majorBidi" w:hAnsiTheme="majorBidi" w:cstheme="majorBidi"/>
          <w:sz w:val="24"/>
          <w:szCs w:val="24"/>
          <w:lang w:val="en-US"/>
        </w:rPr>
        <w:t xml:space="preserve">the number of violations </w:t>
      </w:r>
      <w:r w:rsidR="0076355B" w:rsidRPr="006C2862">
        <w:rPr>
          <w:rFonts w:asciiTheme="majorBidi" w:hAnsiTheme="majorBidi" w:cstheme="majorBidi"/>
          <w:sz w:val="24"/>
          <w:szCs w:val="24"/>
          <w:lang w:val="en-US"/>
        </w:rPr>
        <w:t xml:space="preserve">and the dependent variable in </w:t>
      </w:r>
      <w:r w:rsidR="00C24D09" w:rsidRPr="006C2862">
        <w:rPr>
          <w:rFonts w:asciiTheme="majorBidi" w:hAnsiTheme="majorBidi" w:cstheme="majorBidi"/>
          <w:sz w:val="24"/>
          <w:szCs w:val="24"/>
          <w:lang w:val="en-US"/>
        </w:rPr>
        <w:t xml:space="preserve">column </w:t>
      </w:r>
      <w:r w:rsidR="0076355B" w:rsidRPr="006C2862">
        <w:rPr>
          <w:rFonts w:asciiTheme="majorBidi" w:hAnsiTheme="majorBidi" w:cstheme="majorBidi"/>
          <w:sz w:val="24"/>
          <w:szCs w:val="24"/>
          <w:lang w:val="en-US"/>
        </w:rPr>
        <w:t>(2) is</w:t>
      </w:r>
      <w:r w:rsidRPr="006C2862">
        <w:rPr>
          <w:rFonts w:asciiTheme="majorBidi" w:hAnsiTheme="majorBidi" w:cstheme="majorBidi"/>
          <w:sz w:val="24"/>
          <w:szCs w:val="24"/>
          <w:lang w:val="en-US"/>
        </w:rPr>
        <w:t xml:space="preserve"> </w:t>
      </w:r>
      <w:r w:rsidR="005D6DF9" w:rsidRPr="006C2862">
        <w:rPr>
          <w:rFonts w:asciiTheme="majorBidi" w:hAnsiTheme="majorBidi" w:cstheme="majorBidi"/>
          <w:sz w:val="24"/>
          <w:szCs w:val="24"/>
          <w:lang w:val="en-US"/>
        </w:rPr>
        <w:t xml:space="preserve">the </w:t>
      </w:r>
      <w:r w:rsidR="0076355B" w:rsidRPr="006C2862">
        <w:rPr>
          <w:rFonts w:asciiTheme="majorBidi" w:hAnsiTheme="majorBidi" w:cstheme="majorBidi"/>
          <w:sz w:val="24"/>
          <w:szCs w:val="24"/>
          <w:lang w:val="en-US"/>
        </w:rPr>
        <w:t xml:space="preserve">value </w:t>
      </w:r>
      <w:r w:rsidRPr="006C2862">
        <w:rPr>
          <w:rFonts w:asciiTheme="majorBidi" w:hAnsiTheme="majorBidi" w:cstheme="majorBidi"/>
          <w:sz w:val="24"/>
          <w:szCs w:val="24"/>
          <w:lang w:val="en-US"/>
        </w:rPr>
        <w:t>of</w:t>
      </w:r>
      <w:r w:rsidR="0076355B" w:rsidRPr="006C2862">
        <w:rPr>
          <w:rFonts w:asciiTheme="majorBidi" w:hAnsiTheme="majorBidi" w:cstheme="majorBidi"/>
          <w:sz w:val="24"/>
          <w:szCs w:val="24"/>
          <w:lang w:val="en-US"/>
        </w:rPr>
        <w:t xml:space="preserve"> penalt</w:t>
      </w:r>
      <w:r w:rsidR="00DE0ADB" w:rsidRPr="006C2862">
        <w:rPr>
          <w:rFonts w:asciiTheme="majorBidi" w:hAnsiTheme="majorBidi" w:cstheme="majorBidi"/>
          <w:sz w:val="24"/>
          <w:szCs w:val="24"/>
          <w:lang w:val="en-US"/>
        </w:rPr>
        <w:t>ies</w:t>
      </w:r>
      <w:r w:rsidRPr="006C2862">
        <w:rPr>
          <w:rFonts w:asciiTheme="majorBidi" w:hAnsiTheme="majorBidi" w:cstheme="majorBidi"/>
          <w:sz w:val="24"/>
          <w:szCs w:val="24"/>
          <w:lang w:val="en-US"/>
        </w:rPr>
        <w:t>. The estimated coefficient o</w:t>
      </w:r>
      <w:r w:rsidR="00F549A2">
        <w:rPr>
          <w:rFonts w:asciiTheme="majorBidi" w:hAnsiTheme="majorBidi" w:cstheme="majorBidi"/>
          <w:sz w:val="24"/>
          <w:szCs w:val="24"/>
          <w:lang w:val="en-US"/>
        </w:rPr>
        <w:t>n</w:t>
      </w:r>
      <w:r w:rsidRPr="006C2862">
        <w:rPr>
          <w:rFonts w:asciiTheme="majorBidi" w:hAnsiTheme="majorBidi" w:cstheme="majorBidi"/>
          <w:sz w:val="24"/>
          <w:szCs w:val="24"/>
          <w:lang w:val="en-US"/>
        </w:rPr>
        <w:t xml:space="preserve"> the interaction term</w:t>
      </w:r>
      <w:r w:rsidR="00070616" w:rsidRPr="006C2862">
        <w:rPr>
          <w:rFonts w:asciiTheme="majorBidi" w:hAnsiTheme="majorBidi" w:cstheme="majorBidi"/>
          <w:sz w:val="24"/>
          <w:szCs w:val="24"/>
          <w:lang w:val="en-US"/>
        </w:rPr>
        <w:t xml:space="preserve"> is positive and statistically significant</w:t>
      </w:r>
      <w:r w:rsidRPr="006C2862">
        <w:rPr>
          <w:rFonts w:asciiTheme="majorBidi" w:hAnsiTheme="majorBidi" w:cstheme="majorBidi"/>
          <w:sz w:val="24"/>
          <w:szCs w:val="24"/>
          <w:lang w:val="en-US"/>
        </w:rPr>
        <w:t xml:space="preserve"> (</w:t>
      </w:r>
      <w:proofErr w:type="spellStart"/>
      <w:r w:rsidR="009E26EA" w:rsidRPr="006C2862">
        <w:rPr>
          <w:rFonts w:asciiTheme="majorBidi" w:hAnsiTheme="majorBidi" w:cstheme="majorBidi"/>
          <w:sz w:val="24"/>
          <w:szCs w:val="24"/>
          <w:lang w:val="en-US"/>
        </w:rPr>
        <w:t>coeff</w:t>
      </w:r>
      <w:proofErr w:type="spellEnd"/>
      <w:r w:rsidR="009E26EA" w:rsidRPr="006C2862">
        <w:rPr>
          <w:rFonts w:asciiTheme="majorBidi" w:hAnsiTheme="majorBidi" w:cstheme="majorBidi"/>
          <w:sz w:val="24"/>
          <w:szCs w:val="24"/>
          <w:lang w:val="en-US"/>
        </w:rPr>
        <w:t xml:space="preserve">: </w:t>
      </w:r>
      <w:r w:rsidRPr="006C2862">
        <w:rPr>
          <w:rFonts w:asciiTheme="majorBidi" w:hAnsiTheme="majorBidi" w:cstheme="majorBidi"/>
          <w:sz w:val="24"/>
          <w:szCs w:val="24"/>
          <w:lang w:val="en-US"/>
        </w:rPr>
        <w:t>0.</w:t>
      </w:r>
      <w:r w:rsidR="00A73E03" w:rsidRPr="006C2862">
        <w:rPr>
          <w:rFonts w:asciiTheme="majorBidi" w:hAnsiTheme="majorBidi" w:cstheme="majorBidi"/>
          <w:sz w:val="24"/>
          <w:szCs w:val="24"/>
          <w:lang w:val="en-US"/>
        </w:rPr>
        <w:t>06</w:t>
      </w:r>
      <w:r w:rsidR="00DE0ADB" w:rsidRPr="006C2862">
        <w:rPr>
          <w:rFonts w:asciiTheme="majorBidi" w:hAnsiTheme="majorBidi" w:cstheme="majorBidi"/>
          <w:sz w:val="24"/>
          <w:szCs w:val="24"/>
          <w:lang w:val="en-US"/>
        </w:rPr>
        <w:t>7</w:t>
      </w:r>
      <w:r w:rsidR="009E26EA" w:rsidRPr="006C2862">
        <w:rPr>
          <w:rFonts w:asciiTheme="majorBidi" w:hAnsiTheme="majorBidi" w:cstheme="majorBidi"/>
          <w:sz w:val="24"/>
          <w:szCs w:val="24"/>
          <w:lang w:val="en-US"/>
        </w:rPr>
        <w:t xml:space="preserve">; </w:t>
      </w:r>
      <w:r w:rsidR="00070616" w:rsidRPr="006C2862">
        <w:rPr>
          <w:rFonts w:asciiTheme="majorBidi" w:hAnsiTheme="majorBidi" w:cstheme="majorBidi"/>
          <w:sz w:val="24"/>
          <w:szCs w:val="24"/>
          <w:lang w:val="en-US"/>
        </w:rPr>
        <w:t>t-stat</w:t>
      </w:r>
      <w:r w:rsidR="00DE0ADB" w:rsidRPr="006C2862">
        <w:rPr>
          <w:rFonts w:asciiTheme="majorBidi" w:hAnsiTheme="majorBidi" w:cstheme="majorBidi"/>
          <w:sz w:val="24"/>
          <w:szCs w:val="24"/>
          <w:lang w:val="en-US"/>
        </w:rPr>
        <w:t>.</w:t>
      </w:r>
      <w:r w:rsidR="00070616" w:rsidRPr="006C2862">
        <w:rPr>
          <w:rFonts w:asciiTheme="majorBidi" w:hAnsiTheme="majorBidi" w:cstheme="majorBidi"/>
          <w:sz w:val="24"/>
          <w:szCs w:val="24"/>
          <w:lang w:val="en-US"/>
        </w:rPr>
        <w:t>:</w:t>
      </w:r>
      <w:r w:rsidR="00B06D36" w:rsidRPr="006C2862">
        <w:rPr>
          <w:rFonts w:asciiTheme="majorBidi" w:hAnsiTheme="majorBidi" w:cstheme="majorBidi"/>
          <w:sz w:val="24"/>
          <w:szCs w:val="24"/>
          <w:lang w:val="en-US"/>
        </w:rPr>
        <w:t xml:space="preserve"> </w:t>
      </w:r>
      <w:r w:rsidR="009E26EA" w:rsidRPr="006C2862">
        <w:rPr>
          <w:rFonts w:asciiTheme="majorBidi" w:hAnsiTheme="majorBidi" w:cstheme="majorBidi"/>
          <w:sz w:val="24"/>
          <w:szCs w:val="24"/>
          <w:lang w:val="en-US"/>
        </w:rPr>
        <w:t>2.</w:t>
      </w:r>
      <w:r w:rsidR="00DE0ADB" w:rsidRPr="006C2862">
        <w:rPr>
          <w:rFonts w:asciiTheme="majorBidi" w:hAnsiTheme="majorBidi" w:cstheme="majorBidi"/>
          <w:sz w:val="24"/>
          <w:szCs w:val="24"/>
          <w:lang w:val="en-US"/>
        </w:rPr>
        <w:t>73</w:t>
      </w:r>
      <w:r w:rsidRPr="006C2862">
        <w:rPr>
          <w:rFonts w:asciiTheme="majorBidi" w:hAnsiTheme="majorBidi" w:cstheme="majorBidi"/>
          <w:sz w:val="24"/>
          <w:szCs w:val="24"/>
          <w:lang w:val="en-US"/>
        </w:rPr>
        <w:t xml:space="preserve"> </w:t>
      </w:r>
      <w:r w:rsidR="009E26EA" w:rsidRPr="006C2862">
        <w:rPr>
          <w:rFonts w:asciiTheme="majorBidi" w:hAnsiTheme="majorBidi" w:cstheme="majorBidi"/>
          <w:sz w:val="24"/>
          <w:szCs w:val="24"/>
          <w:lang w:val="en-US"/>
        </w:rPr>
        <w:t>i</w:t>
      </w:r>
      <w:r w:rsidRPr="006C2862">
        <w:rPr>
          <w:rFonts w:asciiTheme="majorBidi" w:hAnsiTheme="majorBidi" w:cstheme="majorBidi"/>
          <w:sz w:val="24"/>
          <w:szCs w:val="24"/>
          <w:lang w:val="en-US"/>
        </w:rPr>
        <w:t xml:space="preserve">n </w:t>
      </w:r>
      <w:r w:rsidR="00C24D09" w:rsidRPr="006C2862">
        <w:rPr>
          <w:rFonts w:asciiTheme="majorBidi" w:hAnsiTheme="majorBidi" w:cstheme="majorBidi"/>
          <w:sz w:val="24"/>
          <w:szCs w:val="24"/>
          <w:lang w:val="en-US"/>
        </w:rPr>
        <w:t xml:space="preserve">column </w:t>
      </w:r>
      <w:r w:rsidR="0076355B" w:rsidRPr="006C2862">
        <w:rPr>
          <w:rFonts w:asciiTheme="majorBidi" w:hAnsiTheme="majorBidi" w:cstheme="majorBidi"/>
          <w:sz w:val="24"/>
          <w:szCs w:val="24"/>
          <w:lang w:val="en-US"/>
        </w:rPr>
        <w:t>(</w:t>
      </w:r>
      <w:r w:rsidRPr="006C2862">
        <w:rPr>
          <w:rFonts w:asciiTheme="majorBidi" w:hAnsiTheme="majorBidi" w:cstheme="majorBidi"/>
          <w:sz w:val="24"/>
          <w:szCs w:val="24"/>
          <w:lang w:val="en-US"/>
        </w:rPr>
        <w:t>1</w:t>
      </w:r>
      <w:r w:rsidR="0076355B" w:rsidRPr="006C2862">
        <w:rPr>
          <w:rFonts w:asciiTheme="majorBidi" w:hAnsiTheme="majorBidi" w:cstheme="majorBidi"/>
          <w:sz w:val="24"/>
          <w:szCs w:val="24"/>
          <w:lang w:val="en-US"/>
        </w:rPr>
        <w:t>)</w:t>
      </w:r>
      <w:r w:rsidR="009E26EA" w:rsidRPr="006C2862">
        <w:rPr>
          <w:rFonts w:asciiTheme="majorBidi" w:hAnsiTheme="majorBidi" w:cstheme="majorBidi"/>
          <w:sz w:val="24"/>
          <w:szCs w:val="24"/>
          <w:lang w:val="en-US"/>
        </w:rPr>
        <w:t xml:space="preserve"> and</w:t>
      </w:r>
      <w:r w:rsidRPr="006C2862">
        <w:rPr>
          <w:rFonts w:asciiTheme="majorBidi" w:hAnsiTheme="majorBidi" w:cstheme="majorBidi"/>
          <w:sz w:val="24"/>
          <w:szCs w:val="24"/>
          <w:lang w:val="en-US"/>
        </w:rPr>
        <w:t xml:space="preserve"> </w:t>
      </w:r>
      <w:proofErr w:type="spellStart"/>
      <w:r w:rsidR="009E26EA" w:rsidRPr="006C2862">
        <w:rPr>
          <w:rFonts w:asciiTheme="majorBidi" w:hAnsiTheme="majorBidi" w:cstheme="majorBidi"/>
          <w:sz w:val="24"/>
          <w:szCs w:val="24"/>
          <w:lang w:val="en-US"/>
        </w:rPr>
        <w:t>coeff</w:t>
      </w:r>
      <w:proofErr w:type="spellEnd"/>
      <w:r w:rsidR="009E26EA" w:rsidRPr="006C2862">
        <w:rPr>
          <w:rFonts w:asciiTheme="majorBidi" w:hAnsiTheme="majorBidi" w:cstheme="majorBidi"/>
          <w:sz w:val="24"/>
          <w:szCs w:val="24"/>
          <w:lang w:val="en-US"/>
        </w:rPr>
        <w:t>: 0.</w:t>
      </w:r>
      <w:r w:rsidR="00DE0ADB" w:rsidRPr="006C2862">
        <w:rPr>
          <w:rFonts w:asciiTheme="majorBidi" w:hAnsiTheme="majorBidi" w:cstheme="majorBidi"/>
          <w:sz w:val="24"/>
          <w:szCs w:val="24"/>
          <w:lang w:val="en-US"/>
        </w:rPr>
        <w:t>699</w:t>
      </w:r>
      <w:r w:rsidR="009E26EA" w:rsidRPr="006C2862">
        <w:rPr>
          <w:rFonts w:asciiTheme="majorBidi" w:hAnsiTheme="majorBidi" w:cstheme="majorBidi"/>
          <w:sz w:val="24"/>
          <w:szCs w:val="24"/>
          <w:lang w:val="en-US"/>
        </w:rPr>
        <w:t>; t-stat:</w:t>
      </w:r>
      <w:r w:rsidR="00B06D36" w:rsidRPr="006C2862">
        <w:rPr>
          <w:rFonts w:asciiTheme="majorBidi" w:hAnsiTheme="majorBidi" w:cstheme="majorBidi"/>
          <w:sz w:val="24"/>
          <w:szCs w:val="24"/>
          <w:lang w:val="en-US"/>
        </w:rPr>
        <w:t xml:space="preserve"> </w:t>
      </w:r>
      <w:r w:rsidR="00DE0ADB" w:rsidRPr="006C2862">
        <w:rPr>
          <w:rFonts w:asciiTheme="majorBidi" w:hAnsiTheme="majorBidi" w:cstheme="majorBidi"/>
          <w:sz w:val="24"/>
          <w:szCs w:val="24"/>
          <w:lang w:val="en-US"/>
        </w:rPr>
        <w:t>3.02</w:t>
      </w:r>
      <w:r w:rsidR="00A73E03" w:rsidRPr="006C2862">
        <w:rPr>
          <w:rFonts w:asciiTheme="majorBidi" w:hAnsiTheme="majorBidi" w:cstheme="majorBidi"/>
          <w:sz w:val="24"/>
          <w:szCs w:val="24"/>
          <w:lang w:val="en-US"/>
        </w:rPr>
        <w:t xml:space="preserve"> </w:t>
      </w:r>
      <w:r w:rsidR="009E26EA" w:rsidRPr="006C2862">
        <w:rPr>
          <w:rFonts w:asciiTheme="majorBidi" w:hAnsiTheme="majorBidi" w:cstheme="majorBidi"/>
          <w:sz w:val="24"/>
          <w:szCs w:val="24"/>
          <w:lang w:val="en-US"/>
        </w:rPr>
        <w:t xml:space="preserve">in </w:t>
      </w:r>
      <w:r w:rsidR="00C24D09" w:rsidRPr="006C2862">
        <w:rPr>
          <w:rFonts w:asciiTheme="majorBidi" w:hAnsiTheme="majorBidi" w:cstheme="majorBidi"/>
          <w:sz w:val="24"/>
          <w:szCs w:val="24"/>
          <w:lang w:val="en-US"/>
        </w:rPr>
        <w:t xml:space="preserve">column </w:t>
      </w:r>
      <w:r w:rsidR="0076355B" w:rsidRPr="006C2862">
        <w:rPr>
          <w:rFonts w:asciiTheme="majorBidi" w:hAnsiTheme="majorBidi" w:cstheme="majorBidi"/>
          <w:sz w:val="24"/>
          <w:szCs w:val="24"/>
          <w:lang w:val="en-US"/>
        </w:rPr>
        <w:t>(</w:t>
      </w:r>
      <w:r w:rsidRPr="006C2862">
        <w:rPr>
          <w:rFonts w:asciiTheme="majorBidi" w:hAnsiTheme="majorBidi" w:cstheme="majorBidi"/>
          <w:sz w:val="24"/>
          <w:szCs w:val="24"/>
          <w:lang w:val="en-US"/>
        </w:rPr>
        <w:t>2</w:t>
      </w:r>
      <w:r w:rsidR="0076355B" w:rsidRPr="006C2862">
        <w:rPr>
          <w:rFonts w:asciiTheme="majorBidi" w:hAnsiTheme="majorBidi" w:cstheme="majorBidi"/>
          <w:sz w:val="24"/>
          <w:szCs w:val="24"/>
          <w:lang w:val="en-US"/>
        </w:rPr>
        <w:t>)</w:t>
      </w:r>
      <w:r w:rsidRPr="006C2862">
        <w:rPr>
          <w:rFonts w:asciiTheme="majorBidi" w:hAnsiTheme="majorBidi" w:cstheme="majorBidi"/>
          <w:sz w:val="24"/>
          <w:szCs w:val="24"/>
          <w:lang w:val="en-US"/>
        </w:rPr>
        <w:t>)</w:t>
      </w:r>
      <w:r w:rsidR="00977A22" w:rsidRPr="006C2862">
        <w:rPr>
          <w:rFonts w:asciiTheme="majorBidi" w:hAnsiTheme="majorBidi" w:cstheme="majorBidi"/>
          <w:sz w:val="24"/>
          <w:szCs w:val="24"/>
          <w:lang w:val="en-US"/>
        </w:rPr>
        <w:t>. This result</w:t>
      </w:r>
      <w:r w:rsidRPr="006C2862">
        <w:rPr>
          <w:rFonts w:asciiTheme="majorBidi" w:hAnsiTheme="majorBidi" w:cstheme="majorBidi"/>
          <w:sz w:val="24"/>
          <w:szCs w:val="24"/>
          <w:lang w:val="en-US"/>
        </w:rPr>
        <w:t xml:space="preserve"> </w:t>
      </w:r>
      <w:r w:rsidR="0076355B" w:rsidRPr="006C2862">
        <w:rPr>
          <w:rFonts w:asciiTheme="majorBidi" w:hAnsiTheme="majorBidi" w:cstheme="majorBidi"/>
          <w:sz w:val="24"/>
          <w:szCs w:val="24"/>
          <w:lang w:val="en-US"/>
        </w:rPr>
        <w:t xml:space="preserve">shows </w:t>
      </w:r>
      <w:r w:rsidRPr="006C2862">
        <w:rPr>
          <w:rFonts w:asciiTheme="majorBidi" w:hAnsiTheme="majorBidi" w:cstheme="majorBidi"/>
          <w:sz w:val="24"/>
          <w:szCs w:val="24"/>
          <w:lang w:val="en-US"/>
        </w:rPr>
        <w:t xml:space="preserve">that the impact </w:t>
      </w:r>
      <w:r w:rsidR="00B52C6D" w:rsidRPr="006C2862">
        <w:rPr>
          <w:rFonts w:asciiTheme="majorBidi" w:hAnsiTheme="majorBidi" w:cstheme="majorBidi"/>
          <w:sz w:val="24"/>
          <w:szCs w:val="24"/>
          <w:lang w:val="en-US"/>
        </w:rPr>
        <w:t xml:space="preserve">of </w:t>
      </w:r>
      <w:r w:rsidR="00B52C6D" w:rsidRPr="006C2862">
        <w:rPr>
          <w:rFonts w:asciiTheme="majorBidi" w:hAnsiTheme="majorBidi" w:cstheme="majorBidi"/>
          <w:i/>
          <w:sz w:val="24"/>
          <w:szCs w:val="24"/>
          <w:lang w:val="en-US"/>
        </w:rPr>
        <w:t>V</w:t>
      </w:r>
      <w:r w:rsidRPr="006C2862">
        <w:rPr>
          <w:rFonts w:asciiTheme="majorBidi" w:hAnsiTheme="majorBidi" w:cstheme="majorBidi"/>
          <w:i/>
          <w:sz w:val="24"/>
          <w:szCs w:val="24"/>
          <w:lang w:val="en-US"/>
        </w:rPr>
        <w:t>ega</w:t>
      </w:r>
      <w:r w:rsidRPr="006C2862">
        <w:rPr>
          <w:rFonts w:asciiTheme="majorBidi" w:hAnsiTheme="majorBidi" w:cstheme="majorBidi"/>
          <w:sz w:val="24"/>
          <w:szCs w:val="24"/>
          <w:lang w:val="en-US"/>
        </w:rPr>
        <w:t xml:space="preserve"> </w:t>
      </w:r>
      <w:r w:rsidR="00B52C6D" w:rsidRPr="006C2862">
        <w:rPr>
          <w:rFonts w:asciiTheme="majorBidi" w:hAnsiTheme="majorBidi" w:cstheme="majorBidi"/>
          <w:sz w:val="24"/>
          <w:szCs w:val="24"/>
          <w:lang w:val="en-US"/>
        </w:rPr>
        <w:t xml:space="preserve">on </w:t>
      </w:r>
      <w:r w:rsidRPr="006C2862">
        <w:rPr>
          <w:rFonts w:asciiTheme="majorBidi" w:hAnsiTheme="majorBidi" w:cstheme="majorBidi"/>
          <w:sz w:val="24"/>
          <w:szCs w:val="24"/>
          <w:lang w:val="en-US"/>
        </w:rPr>
        <w:t xml:space="preserve">workplace violations is </w:t>
      </w:r>
      <w:r w:rsidR="009D7068">
        <w:rPr>
          <w:rFonts w:asciiTheme="majorBidi" w:hAnsiTheme="majorBidi" w:cstheme="majorBidi"/>
          <w:sz w:val="24"/>
          <w:szCs w:val="24"/>
          <w:lang w:val="en-US"/>
        </w:rPr>
        <w:t>a function of</w:t>
      </w:r>
      <w:r w:rsidRPr="006C2862">
        <w:rPr>
          <w:rFonts w:asciiTheme="majorBidi" w:hAnsiTheme="majorBidi" w:cstheme="majorBidi"/>
          <w:sz w:val="24"/>
          <w:szCs w:val="24"/>
          <w:lang w:val="en-US"/>
        </w:rPr>
        <w:t xml:space="preserve"> cuts </w:t>
      </w:r>
      <w:r w:rsidR="0076355B" w:rsidRPr="006C2862">
        <w:rPr>
          <w:rFonts w:asciiTheme="majorBidi" w:hAnsiTheme="majorBidi" w:cstheme="majorBidi"/>
          <w:sz w:val="24"/>
          <w:szCs w:val="24"/>
          <w:lang w:val="en-US"/>
        </w:rPr>
        <w:t xml:space="preserve">to </w:t>
      </w:r>
      <w:r w:rsidRPr="006C2862">
        <w:rPr>
          <w:rFonts w:asciiTheme="majorBidi" w:hAnsiTheme="majorBidi" w:cstheme="majorBidi"/>
          <w:sz w:val="24"/>
          <w:szCs w:val="24"/>
          <w:lang w:val="en-US"/>
        </w:rPr>
        <w:t xml:space="preserve">abnormal discretionary expenditures. </w:t>
      </w:r>
      <w:r w:rsidR="0076355B" w:rsidRPr="006C2862">
        <w:rPr>
          <w:rFonts w:asciiTheme="majorBidi" w:hAnsiTheme="majorBidi" w:cstheme="majorBidi"/>
          <w:sz w:val="24"/>
          <w:szCs w:val="24"/>
          <w:lang w:val="en-US"/>
        </w:rPr>
        <w:t>Further, this result suggests that a channel</w:t>
      </w:r>
      <w:r w:rsidRPr="006C2862">
        <w:rPr>
          <w:rFonts w:asciiTheme="majorBidi" w:hAnsiTheme="majorBidi" w:cstheme="majorBidi"/>
          <w:sz w:val="24"/>
          <w:szCs w:val="24"/>
          <w:lang w:val="en-US"/>
        </w:rPr>
        <w:t xml:space="preserve"> </w:t>
      </w:r>
      <w:r w:rsidR="00B52C6D" w:rsidRPr="006C2862">
        <w:rPr>
          <w:rFonts w:asciiTheme="majorBidi" w:hAnsiTheme="majorBidi" w:cstheme="majorBidi"/>
          <w:sz w:val="24"/>
          <w:szCs w:val="24"/>
          <w:lang w:val="en-US"/>
        </w:rPr>
        <w:t>through which</w:t>
      </w:r>
      <w:r w:rsidRPr="006C2862">
        <w:rPr>
          <w:rFonts w:asciiTheme="majorBidi" w:hAnsiTheme="majorBidi" w:cstheme="majorBidi"/>
          <w:sz w:val="24"/>
          <w:szCs w:val="24"/>
          <w:lang w:val="en-US"/>
        </w:rPr>
        <w:t xml:space="preserve"> higher</w:t>
      </w:r>
      <w:r w:rsidR="00B52C6D" w:rsidRPr="006C2862">
        <w:rPr>
          <w:rFonts w:asciiTheme="majorBidi" w:hAnsiTheme="majorBidi" w:cstheme="majorBidi"/>
          <w:sz w:val="24"/>
          <w:szCs w:val="24"/>
          <w:lang w:val="en-US"/>
        </w:rPr>
        <w:t xml:space="preserve"> CEO</w:t>
      </w:r>
      <w:r w:rsidRPr="006C2862">
        <w:rPr>
          <w:rFonts w:asciiTheme="majorBidi" w:hAnsiTheme="majorBidi" w:cstheme="majorBidi"/>
          <w:sz w:val="24"/>
          <w:szCs w:val="24"/>
          <w:lang w:val="en-US"/>
        </w:rPr>
        <w:t xml:space="preserve"> </w:t>
      </w:r>
      <w:r w:rsidR="00C301BC" w:rsidRPr="006C2862">
        <w:rPr>
          <w:rFonts w:asciiTheme="majorBidi" w:hAnsiTheme="majorBidi" w:cstheme="majorBidi"/>
          <w:sz w:val="24"/>
          <w:szCs w:val="24"/>
          <w:lang w:val="en-US"/>
        </w:rPr>
        <w:t>risk taking</w:t>
      </w:r>
      <w:r w:rsidR="00977A22" w:rsidRPr="006C2862">
        <w:rPr>
          <w:rFonts w:asciiTheme="majorBidi" w:hAnsiTheme="majorBidi" w:cstheme="majorBidi"/>
          <w:sz w:val="24"/>
          <w:szCs w:val="24"/>
          <w:lang w:val="en-US"/>
        </w:rPr>
        <w:t xml:space="preserve"> incentives</w:t>
      </w:r>
      <w:r w:rsidRPr="006C2862">
        <w:rPr>
          <w:rFonts w:asciiTheme="majorBidi" w:hAnsiTheme="majorBidi" w:cstheme="majorBidi"/>
          <w:sz w:val="24"/>
          <w:szCs w:val="24"/>
          <w:lang w:val="en-US"/>
        </w:rPr>
        <w:t xml:space="preserve"> </w:t>
      </w:r>
      <w:r w:rsidR="00B52C6D" w:rsidRPr="006C2862">
        <w:rPr>
          <w:rFonts w:asciiTheme="majorBidi" w:hAnsiTheme="majorBidi" w:cstheme="majorBidi"/>
          <w:sz w:val="24"/>
          <w:szCs w:val="24"/>
          <w:lang w:val="en-US"/>
        </w:rPr>
        <w:t>lead to workplace violations</w:t>
      </w:r>
      <w:r w:rsidR="0076355B" w:rsidRPr="006C2862">
        <w:rPr>
          <w:rFonts w:asciiTheme="majorBidi" w:hAnsiTheme="majorBidi" w:cstheme="majorBidi"/>
          <w:sz w:val="24"/>
          <w:szCs w:val="24"/>
          <w:lang w:val="en-US"/>
        </w:rPr>
        <w:t xml:space="preserve"> takes the form of a reduction </w:t>
      </w:r>
      <w:r w:rsidR="00B52C6D" w:rsidRPr="006C2862">
        <w:rPr>
          <w:rFonts w:asciiTheme="majorBidi" w:hAnsiTheme="majorBidi" w:cstheme="majorBidi"/>
          <w:sz w:val="24"/>
          <w:szCs w:val="24"/>
          <w:lang w:val="en-US"/>
        </w:rPr>
        <w:t xml:space="preserve">in </w:t>
      </w:r>
      <w:r w:rsidRPr="006C2862">
        <w:rPr>
          <w:rFonts w:asciiTheme="majorBidi" w:hAnsiTheme="majorBidi" w:cstheme="majorBidi"/>
          <w:sz w:val="24"/>
          <w:szCs w:val="24"/>
          <w:lang w:val="en-US"/>
        </w:rPr>
        <w:t>safety</w:t>
      </w:r>
      <w:r w:rsidR="00B52C6D" w:rsidRPr="006C2862">
        <w:rPr>
          <w:rFonts w:asciiTheme="majorBidi" w:hAnsiTheme="majorBidi" w:cstheme="majorBidi"/>
          <w:sz w:val="24"/>
          <w:szCs w:val="24"/>
          <w:lang w:val="en-US"/>
        </w:rPr>
        <w:t xml:space="preserve">-related </w:t>
      </w:r>
      <w:r w:rsidR="00F20CC6" w:rsidRPr="006C2862">
        <w:rPr>
          <w:rFonts w:asciiTheme="majorBidi" w:hAnsiTheme="majorBidi" w:cstheme="majorBidi"/>
          <w:sz w:val="24"/>
          <w:szCs w:val="24"/>
          <w:lang w:val="en-US"/>
        </w:rPr>
        <w:t>expenditure</w:t>
      </w:r>
      <w:r w:rsidRPr="006C2862">
        <w:rPr>
          <w:rFonts w:asciiTheme="majorBidi" w:hAnsiTheme="majorBidi" w:cstheme="majorBidi"/>
          <w:sz w:val="24"/>
          <w:szCs w:val="24"/>
          <w:lang w:val="en-US"/>
        </w:rPr>
        <w:t>.</w:t>
      </w:r>
      <w:r w:rsidR="00B52C6D" w:rsidRPr="00D864AC">
        <w:rPr>
          <w:rStyle w:val="FootnoteReference"/>
          <w:rFonts w:asciiTheme="majorBidi" w:hAnsiTheme="majorBidi" w:cstheme="majorBidi"/>
          <w:sz w:val="24"/>
          <w:szCs w:val="24"/>
          <w:lang w:val="en-US"/>
        </w:rPr>
        <w:footnoteReference w:id="17"/>
      </w:r>
      <w:r w:rsidR="0081118A">
        <w:rPr>
          <w:rFonts w:asciiTheme="majorBidi" w:hAnsiTheme="majorBidi" w:cstheme="majorBidi"/>
          <w:sz w:val="24"/>
          <w:szCs w:val="24"/>
          <w:lang w:val="en-US"/>
        </w:rPr>
        <w:t xml:space="preserve"> </w:t>
      </w:r>
      <w:r w:rsidR="006069E8" w:rsidRPr="00062179">
        <w:rPr>
          <w:rFonts w:ascii="Times New Roman" w:eastAsia="CMR12" w:hAnsi="Times New Roman" w:cs="Times New Roman"/>
          <w:sz w:val="24"/>
          <w:szCs w:val="24"/>
        </w:rPr>
        <w:t xml:space="preserve">The positive and insignificant </w:t>
      </w:r>
      <w:r w:rsidR="00062179">
        <w:rPr>
          <w:rFonts w:ascii="Times New Roman" w:eastAsia="CMR12" w:hAnsi="Times New Roman" w:cs="Times New Roman"/>
          <w:sz w:val="24"/>
          <w:szCs w:val="24"/>
        </w:rPr>
        <w:t>coefficient</w:t>
      </w:r>
      <w:r w:rsidR="006069E8" w:rsidRPr="00062179">
        <w:rPr>
          <w:rFonts w:ascii="Times New Roman" w:eastAsia="CMR12" w:hAnsi="Times New Roman" w:cs="Times New Roman"/>
          <w:sz w:val="24"/>
          <w:szCs w:val="24"/>
        </w:rPr>
        <w:t xml:space="preserve"> </w:t>
      </w:r>
      <w:r w:rsidR="006069E8">
        <w:rPr>
          <w:rFonts w:ascii="Times New Roman" w:eastAsia="CMR12" w:hAnsi="Times New Roman" w:cs="Times New Roman"/>
          <w:sz w:val="24"/>
          <w:szCs w:val="24"/>
        </w:rPr>
        <w:t>on</w:t>
      </w:r>
      <w:r w:rsidR="006069E8" w:rsidRPr="00062179">
        <w:rPr>
          <w:rFonts w:ascii="Times New Roman" w:eastAsia="CMR12" w:hAnsi="Times New Roman" w:cs="Times New Roman"/>
          <w:sz w:val="24"/>
          <w:szCs w:val="24"/>
        </w:rPr>
        <w:t xml:space="preserve"> </w:t>
      </w:r>
      <w:r w:rsidR="006069E8" w:rsidRPr="00062179">
        <w:rPr>
          <w:rFonts w:ascii="Times New Roman" w:eastAsia="CMR12" w:hAnsi="Times New Roman" w:cs="Times New Roman"/>
          <w:i/>
          <w:sz w:val="24"/>
          <w:szCs w:val="24"/>
        </w:rPr>
        <w:t>Vega</w:t>
      </w:r>
      <w:r w:rsidR="006069E8" w:rsidRPr="00062179">
        <w:rPr>
          <w:rFonts w:ascii="Times New Roman" w:eastAsia="CMR12" w:hAnsi="Times New Roman" w:cs="Times New Roman"/>
          <w:sz w:val="24"/>
          <w:szCs w:val="24"/>
        </w:rPr>
        <w:t xml:space="preserve"> </w:t>
      </w:r>
      <w:r w:rsidR="00062179">
        <w:rPr>
          <w:rFonts w:ascii="Times New Roman" w:hAnsi="Times New Roman" w:cs="Times New Roman"/>
          <w:color w:val="222222"/>
          <w:sz w:val="24"/>
          <w:szCs w:val="24"/>
          <w:shd w:val="clear" w:color="auto" w:fill="FFFFFF"/>
        </w:rPr>
        <w:t>suggests</w:t>
      </w:r>
      <w:r w:rsidR="006069E8" w:rsidRPr="00062179">
        <w:rPr>
          <w:rFonts w:ascii="Times New Roman" w:hAnsi="Times New Roman" w:cs="Times New Roman"/>
          <w:color w:val="222222"/>
          <w:sz w:val="24"/>
          <w:szCs w:val="24"/>
          <w:shd w:val="clear" w:color="auto" w:fill="FFFFFF"/>
        </w:rPr>
        <w:t xml:space="preserve"> that the effect of </w:t>
      </w:r>
      <w:r w:rsidR="006069E8" w:rsidRPr="00062179">
        <w:rPr>
          <w:rFonts w:ascii="Times New Roman" w:hAnsi="Times New Roman" w:cs="Times New Roman"/>
          <w:i/>
          <w:color w:val="222222"/>
          <w:sz w:val="24"/>
          <w:szCs w:val="24"/>
          <w:shd w:val="clear" w:color="auto" w:fill="FFFFFF"/>
        </w:rPr>
        <w:t>Vega</w:t>
      </w:r>
      <w:r w:rsidR="006069E8" w:rsidRPr="00062179">
        <w:rPr>
          <w:rFonts w:ascii="Times New Roman" w:hAnsi="Times New Roman" w:cs="Times New Roman"/>
          <w:color w:val="222222"/>
          <w:sz w:val="24"/>
          <w:szCs w:val="24"/>
          <w:shd w:val="clear" w:color="auto" w:fill="FFFFFF"/>
        </w:rPr>
        <w:t xml:space="preserve"> on </w:t>
      </w:r>
      <w:r w:rsidR="006069E8" w:rsidRPr="00062179">
        <w:rPr>
          <w:rFonts w:ascii="Times New Roman" w:hAnsi="Times New Roman" w:cs="Times New Roman"/>
          <w:i/>
          <w:color w:val="222222"/>
          <w:sz w:val="24"/>
          <w:szCs w:val="24"/>
          <w:shd w:val="clear" w:color="auto" w:fill="FFFFFF"/>
        </w:rPr>
        <w:t>Violations</w:t>
      </w:r>
      <w:r w:rsidR="006069E8" w:rsidRPr="00062179">
        <w:rPr>
          <w:rFonts w:ascii="Times New Roman" w:hAnsi="Times New Roman" w:cs="Times New Roman"/>
          <w:color w:val="222222"/>
          <w:sz w:val="24"/>
          <w:szCs w:val="24"/>
          <w:shd w:val="clear" w:color="auto" w:fill="FFFFFF"/>
        </w:rPr>
        <w:t xml:space="preserve"> when </w:t>
      </w:r>
      <w:proofErr w:type="spellStart"/>
      <w:r w:rsidR="006069E8" w:rsidRPr="006C2862">
        <w:rPr>
          <w:rFonts w:asciiTheme="majorBidi" w:eastAsia="Times New Roman" w:hAnsiTheme="majorBidi" w:cstheme="majorBidi"/>
          <w:i/>
          <w:iCs/>
          <w:color w:val="000000"/>
          <w:sz w:val="24"/>
          <w:szCs w:val="24"/>
          <w:lang w:val="en-US" w:eastAsia="zh-CN"/>
        </w:rPr>
        <w:t>AbDiscExpCuts</w:t>
      </w:r>
      <w:proofErr w:type="spellEnd"/>
      <w:r w:rsidR="006069E8" w:rsidRPr="006C2862">
        <w:rPr>
          <w:rFonts w:asciiTheme="majorBidi" w:eastAsia="Times New Roman" w:hAnsiTheme="majorBidi" w:cstheme="majorBidi"/>
          <w:i/>
          <w:iCs/>
          <w:color w:val="000000"/>
          <w:sz w:val="24"/>
          <w:szCs w:val="24"/>
          <w:lang w:val="en-US" w:eastAsia="zh-CN"/>
        </w:rPr>
        <w:t xml:space="preserve"> </w:t>
      </w:r>
      <w:r w:rsidR="006069E8" w:rsidRPr="00062179">
        <w:rPr>
          <w:rFonts w:ascii="Times New Roman" w:hAnsi="Times New Roman" w:cs="Times New Roman"/>
          <w:color w:val="222222"/>
          <w:sz w:val="24"/>
          <w:szCs w:val="24"/>
          <w:shd w:val="clear" w:color="auto" w:fill="FFFFFF"/>
        </w:rPr>
        <w:t xml:space="preserve">equals zero is not </w:t>
      </w:r>
      <w:r w:rsidR="006069E8" w:rsidRPr="00062179">
        <w:rPr>
          <w:rFonts w:ascii="Times New Roman" w:eastAsia="CharisSIL" w:hAnsi="Times New Roman" w:cs="Times New Roman"/>
          <w:sz w:val="24"/>
          <w:szCs w:val="24"/>
        </w:rPr>
        <w:t>statistically different from zero</w:t>
      </w:r>
      <w:r w:rsidR="006069E8" w:rsidRPr="00062179">
        <w:rPr>
          <w:rFonts w:ascii="Times New Roman" w:eastAsia="CMR12" w:hAnsi="Times New Roman" w:cs="Times New Roman"/>
          <w:sz w:val="24"/>
          <w:szCs w:val="24"/>
        </w:rPr>
        <w:t xml:space="preserve">. This is consistent with </w:t>
      </w:r>
      <w:r w:rsidR="00E37796">
        <w:rPr>
          <w:rFonts w:ascii="Times New Roman" w:eastAsia="CMR12" w:hAnsi="Times New Roman" w:cs="Times New Roman"/>
          <w:sz w:val="24"/>
          <w:szCs w:val="24"/>
        </w:rPr>
        <w:t>the</w:t>
      </w:r>
      <w:r w:rsidR="006069E8" w:rsidRPr="00062179">
        <w:rPr>
          <w:rFonts w:ascii="Times New Roman" w:eastAsia="CMR12" w:hAnsi="Times New Roman" w:cs="Times New Roman"/>
          <w:sz w:val="24"/>
          <w:szCs w:val="24"/>
        </w:rPr>
        <w:t xml:space="preserve"> </w:t>
      </w:r>
      <w:r w:rsidR="006069E8">
        <w:rPr>
          <w:rFonts w:ascii="Times New Roman" w:eastAsia="CMR12" w:hAnsi="Times New Roman" w:cs="Times New Roman"/>
          <w:sz w:val="24"/>
          <w:szCs w:val="24"/>
        </w:rPr>
        <w:t>conjecture</w:t>
      </w:r>
      <w:r w:rsidR="006069E8" w:rsidRPr="00062179">
        <w:rPr>
          <w:rFonts w:ascii="Times New Roman" w:eastAsia="CMR12" w:hAnsi="Times New Roman" w:cs="Times New Roman"/>
          <w:sz w:val="24"/>
          <w:szCs w:val="24"/>
        </w:rPr>
        <w:t xml:space="preserve"> that </w:t>
      </w:r>
      <w:r w:rsidR="00E37796">
        <w:rPr>
          <w:rFonts w:ascii="Times New Roman" w:eastAsia="CMR12" w:hAnsi="Times New Roman" w:cs="Times New Roman"/>
          <w:sz w:val="24"/>
          <w:szCs w:val="24"/>
        </w:rPr>
        <w:t>the reduction</w:t>
      </w:r>
      <w:r w:rsidR="006069E8">
        <w:rPr>
          <w:rFonts w:ascii="Times New Roman" w:eastAsia="CMR12" w:hAnsi="Times New Roman" w:cs="Times New Roman"/>
          <w:sz w:val="24"/>
          <w:szCs w:val="24"/>
        </w:rPr>
        <w:t xml:space="preserve"> </w:t>
      </w:r>
      <w:r w:rsidR="00E37796">
        <w:rPr>
          <w:rFonts w:ascii="Times New Roman" w:eastAsia="CMR12" w:hAnsi="Times New Roman" w:cs="Times New Roman"/>
          <w:sz w:val="24"/>
          <w:szCs w:val="24"/>
        </w:rPr>
        <w:t>in</w:t>
      </w:r>
      <w:r w:rsidR="006069E8">
        <w:rPr>
          <w:rFonts w:ascii="Times New Roman" w:eastAsia="CMR12" w:hAnsi="Times New Roman" w:cs="Times New Roman"/>
          <w:sz w:val="24"/>
          <w:szCs w:val="24"/>
        </w:rPr>
        <w:t xml:space="preserve"> health and safety</w:t>
      </w:r>
      <w:r w:rsidR="00E37796">
        <w:rPr>
          <w:rFonts w:ascii="Times New Roman" w:eastAsia="CMR12" w:hAnsi="Times New Roman" w:cs="Times New Roman"/>
          <w:sz w:val="24"/>
          <w:szCs w:val="24"/>
        </w:rPr>
        <w:t xml:space="preserve"> investment</w:t>
      </w:r>
      <w:r w:rsidR="00E53AA2">
        <w:rPr>
          <w:rFonts w:ascii="Times New Roman" w:eastAsia="CMR12" w:hAnsi="Times New Roman" w:cs="Times New Roman"/>
          <w:sz w:val="24"/>
          <w:szCs w:val="24"/>
        </w:rPr>
        <w:t xml:space="preserve"> </w:t>
      </w:r>
      <w:r w:rsidR="00062179">
        <w:rPr>
          <w:rFonts w:ascii="Times New Roman" w:eastAsia="CMR12" w:hAnsi="Times New Roman" w:cs="Times New Roman"/>
          <w:sz w:val="24"/>
          <w:szCs w:val="24"/>
        </w:rPr>
        <w:t>drives</w:t>
      </w:r>
      <w:r w:rsidR="006069E8">
        <w:rPr>
          <w:rFonts w:ascii="Times New Roman" w:eastAsia="CMR12" w:hAnsi="Times New Roman" w:cs="Times New Roman"/>
          <w:sz w:val="24"/>
          <w:szCs w:val="24"/>
        </w:rPr>
        <w:t xml:space="preserve"> the relationship between CEO equity incentives and workplace </w:t>
      </w:r>
      <w:r w:rsidR="006069E8" w:rsidRPr="00471046">
        <w:rPr>
          <w:rFonts w:ascii="Times New Roman" w:eastAsia="CMR12" w:hAnsi="Times New Roman" w:cs="Times New Roman"/>
          <w:sz w:val="24"/>
          <w:szCs w:val="24"/>
        </w:rPr>
        <w:t xml:space="preserve">misconduct. </w:t>
      </w:r>
    </w:p>
    <w:p w14:paraId="407EB0C3" w14:textId="49DCA66D" w:rsidR="008948A1" w:rsidRPr="00044213" w:rsidRDefault="00977A22" w:rsidP="00881E9C">
      <w:pPr>
        <w:spacing w:line="480" w:lineRule="auto"/>
        <w:ind w:firstLine="720"/>
        <w:jc w:val="both"/>
        <w:rPr>
          <w:rFonts w:asciiTheme="majorBidi" w:eastAsia="Times New Roman" w:hAnsiTheme="majorBidi" w:cstheme="majorBidi"/>
          <w:sz w:val="24"/>
          <w:szCs w:val="24"/>
          <w:lang w:val="en-US"/>
        </w:rPr>
      </w:pPr>
      <w:r w:rsidRPr="004F0267">
        <w:rPr>
          <w:rFonts w:ascii="Times New Roman" w:hAnsi="Times New Roman" w:cs="Times New Roman"/>
          <w:sz w:val="24"/>
          <w:szCs w:val="24"/>
          <w:lang w:val="en-US"/>
        </w:rPr>
        <w:t>To</w:t>
      </w:r>
      <w:r w:rsidR="006D5148" w:rsidRPr="004F0267">
        <w:rPr>
          <w:rFonts w:ascii="Times New Roman" w:hAnsi="Times New Roman" w:cs="Times New Roman"/>
          <w:sz w:val="24"/>
          <w:szCs w:val="24"/>
          <w:lang w:val="en-US"/>
        </w:rPr>
        <w:t xml:space="preserve"> test</w:t>
      </w:r>
      <w:r w:rsidR="00062179" w:rsidRPr="004F0267">
        <w:rPr>
          <w:rFonts w:ascii="Times New Roman" w:hAnsi="Times New Roman" w:cs="Times New Roman"/>
          <w:sz w:val="24"/>
          <w:szCs w:val="24"/>
          <w:lang w:val="en-US"/>
        </w:rPr>
        <w:t xml:space="preserve"> </w:t>
      </w:r>
      <w:r w:rsidR="006D5148" w:rsidRPr="004F0267">
        <w:rPr>
          <w:rFonts w:ascii="Times New Roman" w:hAnsi="Times New Roman" w:cs="Times New Roman"/>
          <w:sz w:val="24"/>
          <w:szCs w:val="24"/>
          <w:lang w:val="en-US"/>
        </w:rPr>
        <w:t xml:space="preserve">the </w:t>
      </w:r>
      <w:r w:rsidR="006D5148" w:rsidRPr="004F0267">
        <w:rPr>
          <w:rFonts w:ascii="Times New Roman" w:hAnsi="Times New Roman" w:cs="Times New Roman"/>
          <w:i/>
          <w:sz w:val="24"/>
          <w:szCs w:val="24"/>
          <w:lang w:val="en-US"/>
        </w:rPr>
        <w:t>indirect channel</w:t>
      </w:r>
      <w:r w:rsidR="00B345D3" w:rsidRPr="004F0267">
        <w:rPr>
          <w:rFonts w:ascii="Times New Roman" w:hAnsi="Times New Roman" w:cs="Times New Roman"/>
          <w:sz w:val="24"/>
          <w:szCs w:val="24"/>
          <w:lang w:val="en-US"/>
        </w:rPr>
        <w:t>,</w:t>
      </w:r>
      <w:r w:rsidR="0049139B" w:rsidRPr="004F0267">
        <w:rPr>
          <w:rFonts w:ascii="Times New Roman" w:hAnsi="Times New Roman" w:cs="Times New Roman"/>
          <w:sz w:val="24"/>
          <w:szCs w:val="24"/>
          <w:lang w:val="en-US"/>
        </w:rPr>
        <w:t xml:space="preserve"> we examine if the relation between CEO </w:t>
      </w:r>
      <w:proofErr w:type="spellStart"/>
      <w:r w:rsidR="0049139B" w:rsidRPr="004F0267">
        <w:rPr>
          <w:rFonts w:ascii="Times New Roman" w:hAnsi="Times New Roman" w:cs="Times New Roman"/>
          <w:sz w:val="24"/>
          <w:szCs w:val="24"/>
          <w:lang w:val="en-US"/>
        </w:rPr>
        <w:t>vega</w:t>
      </w:r>
      <w:proofErr w:type="spellEnd"/>
      <w:r w:rsidR="0049139B" w:rsidRPr="004F0267">
        <w:rPr>
          <w:rFonts w:ascii="Times New Roman" w:hAnsi="Times New Roman" w:cs="Times New Roman"/>
          <w:sz w:val="24"/>
          <w:szCs w:val="24"/>
          <w:lang w:val="en-US"/>
        </w:rPr>
        <w:t xml:space="preserve"> and workplace misconduct is a function of </w:t>
      </w:r>
      <w:r w:rsidR="00037507" w:rsidRPr="004F0267">
        <w:rPr>
          <w:rFonts w:ascii="Times New Roman" w:hAnsi="Times New Roman" w:cs="Times New Roman"/>
          <w:sz w:val="24"/>
          <w:szCs w:val="24"/>
          <w:lang w:val="en-US"/>
        </w:rPr>
        <w:t xml:space="preserve">increased </w:t>
      </w:r>
      <w:r w:rsidR="00936865" w:rsidRPr="004F0267">
        <w:rPr>
          <w:rFonts w:ascii="Times New Roman" w:hAnsi="Times New Roman" w:cs="Times New Roman"/>
          <w:sz w:val="24"/>
          <w:szCs w:val="24"/>
          <w:lang w:val="en-US"/>
        </w:rPr>
        <w:t>employee workload</w:t>
      </w:r>
      <w:r w:rsidR="0049139B" w:rsidRPr="004F0267">
        <w:rPr>
          <w:rFonts w:ascii="Times New Roman" w:hAnsi="Times New Roman" w:cs="Times New Roman"/>
          <w:sz w:val="24"/>
          <w:szCs w:val="24"/>
          <w:lang w:val="en-US"/>
        </w:rPr>
        <w:t xml:space="preserve">. </w:t>
      </w:r>
      <w:r w:rsidR="00FE69BA" w:rsidRPr="00471046">
        <w:rPr>
          <w:rFonts w:ascii="Times New Roman" w:hAnsi="Times New Roman" w:cs="Times New Roman"/>
          <w:sz w:val="24"/>
          <w:szCs w:val="24"/>
          <w:lang w:val="en-US"/>
        </w:rPr>
        <w:t>While</w:t>
      </w:r>
      <w:r w:rsidR="00FE69BA">
        <w:rPr>
          <w:rFonts w:ascii="Times New Roman" w:hAnsi="Times New Roman" w:cs="Times New Roman"/>
          <w:sz w:val="24"/>
          <w:szCs w:val="24"/>
          <w:lang w:val="en-US"/>
        </w:rPr>
        <w:t xml:space="preserve"> we are unable to measure the amount of hours worked by </w:t>
      </w:r>
      <w:r w:rsidR="00FE69BA" w:rsidRPr="00E162FB">
        <w:rPr>
          <w:rFonts w:ascii="Times New Roman" w:hAnsi="Times New Roman" w:cs="Times New Roman"/>
          <w:sz w:val="24"/>
          <w:szCs w:val="24"/>
          <w:lang w:val="en-US"/>
        </w:rPr>
        <w:t>employees, we use two variables to proxy for an increase in employee workload</w:t>
      </w:r>
      <w:r w:rsidR="00FE69BA" w:rsidRPr="00E162FB">
        <w:rPr>
          <w:rFonts w:asciiTheme="majorBidi" w:eastAsia="Times New Roman" w:hAnsiTheme="majorBidi" w:cstheme="majorBidi"/>
          <w:sz w:val="24"/>
          <w:szCs w:val="24"/>
          <w:lang w:val="en-US"/>
        </w:rPr>
        <w:t>.</w:t>
      </w:r>
      <w:r w:rsidR="00576D35" w:rsidRPr="00E162FB">
        <w:rPr>
          <w:rFonts w:asciiTheme="majorBidi" w:eastAsia="Times New Roman" w:hAnsiTheme="majorBidi" w:cstheme="majorBidi"/>
          <w:sz w:val="24"/>
          <w:szCs w:val="24"/>
          <w:lang w:val="en-US"/>
        </w:rPr>
        <w:t xml:space="preserve"> </w:t>
      </w:r>
      <w:r w:rsidR="00B20F4C" w:rsidRPr="00E162FB">
        <w:rPr>
          <w:rFonts w:asciiTheme="majorBidi" w:eastAsia="Times New Roman" w:hAnsiTheme="majorBidi" w:cstheme="majorBidi"/>
          <w:sz w:val="24"/>
          <w:szCs w:val="24"/>
          <w:lang w:val="en-US"/>
        </w:rPr>
        <w:t xml:space="preserve">First, we consider </w:t>
      </w:r>
      <w:r w:rsidR="00E162FB" w:rsidRPr="004F0267">
        <w:rPr>
          <w:rFonts w:asciiTheme="majorBidi" w:eastAsia="Times New Roman" w:hAnsiTheme="majorBidi" w:cstheme="majorBidi"/>
          <w:sz w:val="24"/>
          <w:szCs w:val="24"/>
          <w:lang w:val="en-US"/>
        </w:rPr>
        <w:t>the</w:t>
      </w:r>
      <w:r w:rsidR="00670DE9" w:rsidRPr="004F0267">
        <w:rPr>
          <w:rFonts w:asciiTheme="majorBidi" w:eastAsia="Times New Roman" w:hAnsiTheme="majorBidi" w:cstheme="majorBidi"/>
          <w:sz w:val="24"/>
          <w:szCs w:val="24"/>
          <w:lang w:val="en-US"/>
        </w:rPr>
        <w:t xml:space="preserve"> reduction in </w:t>
      </w:r>
      <w:r w:rsidR="00EE6895" w:rsidRPr="004F0267">
        <w:rPr>
          <w:rFonts w:asciiTheme="majorBidi" w:eastAsia="Times New Roman" w:hAnsiTheme="majorBidi" w:cstheme="majorBidi"/>
          <w:sz w:val="24"/>
          <w:szCs w:val="24"/>
          <w:lang w:val="en-US"/>
        </w:rPr>
        <w:t xml:space="preserve">the number of </w:t>
      </w:r>
      <w:r w:rsidR="00670DE9" w:rsidRPr="004F0267">
        <w:rPr>
          <w:rFonts w:asciiTheme="majorBidi" w:eastAsia="Times New Roman" w:hAnsiTheme="majorBidi" w:cstheme="majorBidi"/>
          <w:sz w:val="24"/>
          <w:szCs w:val="24"/>
          <w:lang w:val="en-US"/>
        </w:rPr>
        <w:t xml:space="preserve">employees as captured by high </w:t>
      </w:r>
      <w:r w:rsidR="00B20F4C" w:rsidRPr="004F0267">
        <w:rPr>
          <w:rFonts w:asciiTheme="majorBidi" w:eastAsia="Times New Roman" w:hAnsiTheme="majorBidi" w:cstheme="majorBidi"/>
          <w:sz w:val="24"/>
          <w:szCs w:val="24"/>
          <w:lang w:val="en-US"/>
        </w:rPr>
        <w:t>layoffs</w:t>
      </w:r>
      <w:r w:rsidR="00881E9C" w:rsidRPr="004F0267">
        <w:rPr>
          <w:rFonts w:asciiTheme="majorBidi" w:eastAsia="Times New Roman" w:hAnsiTheme="majorBidi" w:cstheme="majorBidi"/>
          <w:sz w:val="24"/>
          <w:szCs w:val="24"/>
          <w:lang w:val="en-US"/>
        </w:rPr>
        <w:t xml:space="preserve"> (</w:t>
      </w:r>
      <w:proofErr w:type="spellStart"/>
      <w:r w:rsidR="00881E9C" w:rsidRPr="00E162FB">
        <w:rPr>
          <w:rFonts w:ascii="Times New Roman" w:hAnsi="Times New Roman" w:cs="Times New Roman"/>
          <w:i/>
          <w:sz w:val="24"/>
          <w:szCs w:val="24"/>
          <w:lang w:val="en-US"/>
        </w:rPr>
        <w:t>HighLayoffs</w:t>
      </w:r>
      <w:proofErr w:type="spellEnd"/>
      <w:r w:rsidR="00881E9C" w:rsidRPr="00E162FB">
        <w:rPr>
          <w:rFonts w:ascii="Times New Roman" w:hAnsi="Times New Roman" w:cs="Times New Roman"/>
          <w:i/>
          <w:sz w:val="24"/>
          <w:szCs w:val="24"/>
          <w:lang w:val="en-US"/>
        </w:rPr>
        <w:t>)</w:t>
      </w:r>
      <w:r w:rsidR="00670DE9" w:rsidRPr="004F0267">
        <w:rPr>
          <w:rFonts w:asciiTheme="majorBidi" w:eastAsia="Times New Roman" w:hAnsiTheme="majorBidi" w:cstheme="majorBidi"/>
          <w:sz w:val="24"/>
          <w:szCs w:val="24"/>
          <w:lang w:val="en-US"/>
        </w:rPr>
        <w:t>. Employee layoffs</w:t>
      </w:r>
      <w:r w:rsidR="00B20F4C" w:rsidRPr="00E162FB">
        <w:rPr>
          <w:rFonts w:asciiTheme="majorBidi" w:eastAsia="Times New Roman" w:hAnsiTheme="majorBidi" w:cstheme="majorBidi"/>
          <w:sz w:val="24"/>
          <w:szCs w:val="24"/>
          <w:lang w:val="en-US"/>
        </w:rPr>
        <w:t xml:space="preserve"> lead to a reduced workforce, requiring the remaining employees to absorb the responsibilities of the departing employees, thereby increasing </w:t>
      </w:r>
      <w:r w:rsidR="00670DE9" w:rsidRPr="004F0267">
        <w:rPr>
          <w:rFonts w:asciiTheme="majorBidi" w:eastAsia="Times New Roman" w:hAnsiTheme="majorBidi" w:cstheme="majorBidi"/>
          <w:sz w:val="24"/>
          <w:szCs w:val="24"/>
          <w:lang w:val="en-US"/>
        </w:rPr>
        <w:t>employee</w:t>
      </w:r>
      <w:r w:rsidR="00B20F4C" w:rsidRPr="004F0267">
        <w:rPr>
          <w:rFonts w:asciiTheme="majorBidi" w:eastAsia="Times New Roman" w:hAnsiTheme="majorBidi" w:cstheme="majorBidi"/>
          <w:sz w:val="24"/>
          <w:szCs w:val="24"/>
          <w:lang w:val="en-US"/>
        </w:rPr>
        <w:t xml:space="preserve"> workload. </w:t>
      </w:r>
      <w:proofErr w:type="spellStart"/>
      <w:r w:rsidR="00881E9C" w:rsidRPr="00E162FB">
        <w:rPr>
          <w:rFonts w:asciiTheme="majorBidi" w:eastAsia="Times New Roman" w:hAnsiTheme="majorBidi" w:cstheme="majorBidi"/>
          <w:i/>
          <w:iCs/>
          <w:sz w:val="24"/>
          <w:szCs w:val="24"/>
          <w:lang w:val="en-US"/>
        </w:rPr>
        <w:t>HighLayoffs</w:t>
      </w:r>
      <w:proofErr w:type="spellEnd"/>
      <w:r w:rsidR="00881E9C" w:rsidRPr="00E162FB">
        <w:rPr>
          <w:rFonts w:asciiTheme="majorBidi" w:eastAsia="Times New Roman" w:hAnsiTheme="majorBidi" w:cstheme="majorBidi"/>
          <w:i/>
          <w:iCs/>
          <w:sz w:val="24"/>
          <w:szCs w:val="24"/>
          <w:lang w:val="en-US"/>
        </w:rPr>
        <w:t xml:space="preserve"> </w:t>
      </w:r>
      <w:r w:rsidR="00881E9C" w:rsidRPr="00E162FB">
        <w:rPr>
          <w:rFonts w:asciiTheme="majorBidi" w:eastAsia="Times New Roman" w:hAnsiTheme="majorBidi" w:cstheme="majorBidi"/>
          <w:sz w:val="24"/>
          <w:szCs w:val="24"/>
          <w:lang w:val="en-US"/>
        </w:rPr>
        <w:t xml:space="preserve">captures the reduction in the firms’ number of employees and takes the value of </w:t>
      </w:r>
      <w:r w:rsidR="00881E9C" w:rsidRPr="00E162FB">
        <w:rPr>
          <w:rFonts w:asciiTheme="majorBidi" w:hAnsiTheme="majorBidi" w:cstheme="majorBidi"/>
          <w:sz w:val="24"/>
          <w:szCs w:val="24"/>
          <w:lang w:val="en-US"/>
        </w:rPr>
        <w:t>one</w:t>
      </w:r>
      <w:r w:rsidR="00881E9C" w:rsidRPr="00D864AC">
        <w:rPr>
          <w:rFonts w:asciiTheme="majorBidi" w:hAnsiTheme="majorBidi" w:cstheme="majorBidi"/>
          <w:sz w:val="24"/>
          <w:szCs w:val="24"/>
          <w:lang w:val="en-US"/>
        </w:rPr>
        <w:t xml:space="preserve"> for firms in the bottom quartile of </w:t>
      </w:r>
      <w:r w:rsidR="00881E9C" w:rsidRPr="00D864AC">
        <w:rPr>
          <w:rFonts w:asciiTheme="majorBidi" w:hAnsiTheme="majorBidi" w:cstheme="majorBidi"/>
          <w:i/>
          <w:iCs/>
          <w:sz w:val="24"/>
          <w:szCs w:val="24"/>
          <w:lang w:val="en-US"/>
        </w:rPr>
        <w:t xml:space="preserve">Turnover </w:t>
      </w:r>
      <w:r w:rsidR="00881E9C" w:rsidRPr="00D864AC">
        <w:rPr>
          <w:rFonts w:asciiTheme="majorBidi" w:hAnsiTheme="majorBidi" w:cstheme="majorBidi"/>
          <w:sz w:val="24"/>
          <w:szCs w:val="24"/>
          <w:lang w:val="en-US"/>
        </w:rPr>
        <w:t xml:space="preserve">and zero for firms in the top quartile of </w:t>
      </w:r>
      <w:r w:rsidR="00881E9C" w:rsidRPr="00D864AC">
        <w:rPr>
          <w:rFonts w:asciiTheme="majorBidi" w:hAnsiTheme="majorBidi" w:cstheme="majorBidi"/>
          <w:i/>
          <w:iCs/>
          <w:sz w:val="24"/>
          <w:szCs w:val="24"/>
          <w:lang w:val="en-US"/>
        </w:rPr>
        <w:t>Turnover.</w:t>
      </w:r>
      <w:r w:rsidR="00881E9C" w:rsidRPr="00D864AC">
        <w:rPr>
          <w:rStyle w:val="FootnoteReference"/>
          <w:rFonts w:asciiTheme="majorBidi" w:hAnsiTheme="majorBidi" w:cstheme="majorBidi"/>
          <w:sz w:val="24"/>
          <w:szCs w:val="24"/>
          <w:lang w:val="en-US"/>
        </w:rPr>
        <w:footnoteReference w:id="18"/>
      </w:r>
      <w:r w:rsidR="00881E9C" w:rsidRPr="00D864AC">
        <w:rPr>
          <w:rFonts w:asciiTheme="majorBidi" w:hAnsiTheme="majorBidi" w:cstheme="majorBidi"/>
          <w:i/>
          <w:iCs/>
          <w:sz w:val="24"/>
          <w:szCs w:val="24"/>
          <w:lang w:val="en-US"/>
        </w:rPr>
        <w:t xml:space="preserve"> </w:t>
      </w:r>
      <w:r w:rsidR="00881E9C" w:rsidRPr="00D864AC">
        <w:rPr>
          <w:rFonts w:asciiTheme="majorBidi" w:hAnsiTheme="majorBidi" w:cstheme="majorBidi"/>
          <w:sz w:val="24"/>
          <w:szCs w:val="24"/>
          <w:lang w:val="en-US"/>
        </w:rPr>
        <w:t xml:space="preserve"> </w:t>
      </w:r>
      <w:r w:rsidR="00881E9C" w:rsidRPr="00D864AC">
        <w:rPr>
          <w:rFonts w:asciiTheme="majorBidi" w:hAnsiTheme="majorBidi" w:cstheme="majorBidi"/>
          <w:i/>
          <w:iCs/>
          <w:sz w:val="24"/>
          <w:szCs w:val="24"/>
          <w:lang w:val="en-US"/>
        </w:rPr>
        <w:t xml:space="preserve">Turnover </w:t>
      </w:r>
      <w:r w:rsidR="00881E9C" w:rsidRPr="00D864AC">
        <w:rPr>
          <w:rFonts w:asciiTheme="majorBidi" w:hAnsiTheme="majorBidi" w:cstheme="majorBidi"/>
          <w:sz w:val="24"/>
          <w:szCs w:val="24"/>
          <w:lang w:val="en-US"/>
        </w:rPr>
        <w:t xml:space="preserve">is calculated as the number of employees in </w:t>
      </w:r>
      <w:r w:rsidR="00881E9C" w:rsidRPr="00D864AC">
        <w:rPr>
          <w:rFonts w:asciiTheme="majorBidi" w:hAnsiTheme="majorBidi" w:cstheme="majorBidi"/>
          <w:i/>
          <w:iCs/>
          <w:sz w:val="24"/>
          <w:szCs w:val="24"/>
          <w:lang w:val="en-US"/>
        </w:rPr>
        <w:t xml:space="preserve">t-1 </w:t>
      </w:r>
      <w:r w:rsidR="00881E9C" w:rsidRPr="00D864AC">
        <w:rPr>
          <w:rFonts w:asciiTheme="majorBidi" w:hAnsiTheme="majorBidi" w:cstheme="majorBidi"/>
          <w:sz w:val="24"/>
          <w:szCs w:val="24"/>
          <w:lang w:val="en-US"/>
        </w:rPr>
        <w:t xml:space="preserve">divided by the number of employees in </w:t>
      </w:r>
      <w:r w:rsidR="00881E9C" w:rsidRPr="00D864AC">
        <w:rPr>
          <w:rFonts w:asciiTheme="majorBidi" w:hAnsiTheme="majorBidi" w:cstheme="majorBidi"/>
          <w:i/>
          <w:iCs/>
          <w:sz w:val="24"/>
          <w:szCs w:val="24"/>
          <w:lang w:val="en-US"/>
        </w:rPr>
        <w:lastRenderedPageBreak/>
        <w:t>t-2.</w:t>
      </w:r>
      <w:r w:rsidR="00881E9C" w:rsidRPr="00D864AC">
        <w:rPr>
          <w:rFonts w:asciiTheme="majorBidi" w:hAnsiTheme="majorBidi" w:cstheme="majorBidi"/>
          <w:sz w:val="24"/>
          <w:szCs w:val="24"/>
          <w:lang w:val="en-US"/>
        </w:rPr>
        <w:t xml:space="preserve"> If the effect of CEO risk taking incentives on workplace misconduct is </w:t>
      </w:r>
      <w:r w:rsidR="00881E9C">
        <w:rPr>
          <w:rFonts w:asciiTheme="majorBidi" w:hAnsiTheme="majorBidi" w:cstheme="majorBidi"/>
          <w:sz w:val="24"/>
          <w:szCs w:val="24"/>
          <w:lang w:val="en-US"/>
        </w:rPr>
        <w:t>a function of</w:t>
      </w:r>
      <w:r w:rsidR="00881E9C" w:rsidRPr="00D864AC">
        <w:rPr>
          <w:rFonts w:asciiTheme="majorBidi" w:hAnsiTheme="majorBidi" w:cstheme="majorBidi"/>
          <w:sz w:val="24"/>
          <w:szCs w:val="24"/>
          <w:lang w:val="en-US"/>
        </w:rPr>
        <w:t xml:space="preserve"> </w:t>
      </w:r>
      <w:r w:rsidR="00881E9C">
        <w:rPr>
          <w:rFonts w:asciiTheme="majorBidi" w:hAnsiTheme="majorBidi" w:cstheme="majorBidi"/>
          <w:sz w:val="24"/>
          <w:szCs w:val="24"/>
          <w:lang w:val="en-US"/>
        </w:rPr>
        <w:t xml:space="preserve">increased employee workload as captured by employee </w:t>
      </w:r>
      <w:r w:rsidR="00881E9C" w:rsidRPr="00D864AC">
        <w:rPr>
          <w:rFonts w:asciiTheme="majorBidi" w:hAnsiTheme="majorBidi" w:cstheme="majorBidi"/>
          <w:sz w:val="24"/>
          <w:szCs w:val="24"/>
          <w:lang w:val="en-US"/>
        </w:rPr>
        <w:t xml:space="preserve">layoffs, then </w:t>
      </w:r>
      <w:r w:rsidR="00881E9C" w:rsidRPr="00E162FB">
        <w:rPr>
          <w:rFonts w:asciiTheme="majorBidi" w:hAnsiTheme="majorBidi" w:cstheme="majorBidi"/>
          <w:sz w:val="24"/>
          <w:szCs w:val="24"/>
          <w:lang w:val="en-US"/>
        </w:rPr>
        <w:t xml:space="preserve">the coefficient on the interaction term </w:t>
      </w:r>
      <w:r w:rsidR="00881E9C" w:rsidRPr="00E162FB">
        <w:rPr>
          <w:rFonts w:asciiTheme="majorBidi" w:eastAsia="Times New Roman" w:hAnsiTheme="majorBidi" w:cstheme="majorBidi"/>
          <w:i/>
          <w:iCs/>
          <w:color w:val="000000"/>
          <w:sz w:val="24"/>
          <w:szCs w:val="24"/>
          <w:lang w:val="en-US" w:eastAsia="zh-CN"/>
        </w:rPr>
        <w:t>Vega</w:t>
      </w:r>
      <w:r w:rsidR="00881E9C" w:rsidRPr="00E162FB">
        <w:rPr>
          <w:rFonts w:asciiTheme="majorBidi" w:eastAsia="Times New Roman" w:hAnsiTheme="majorBidi" w:cstheme="majorBidi"/>
          <w:i/>
          <w:iCs/>
          <w:sz w:val="24"/>
          <w:szCs w:val="24"/>
          <w:lang w:val="en-US"/>
        </w:rPr>
        <w:t>*</w:t>
      </w:r>
      <w:proofErr w:type="spellStart"/>
      <w:r w:rsidR="00881E9C" w:rsidRPr="00E162FB">
        <w:rPr>
          <w:rFonts w:asciiTheme="majorBidi" w:hAnsiTheme="majorBidi" w:cstheme="majorBidi"/>
          <w:i/>
          <w:iCs/>
          <w:sz w:val="24"/>
          <w:szCs w:val="24"/>
          <w:lang w:val="en-US"/>
        </w:rPr>
        <w:t>HighLayoffs</w:t>
      </w:r>
      <w:proofErr w:type="spellEnd"/>
      <w:r w:rsidR="00881E9C" w:rsidRPr="00E162FB">
        <w:rPr>
          <w:rFonts w:asciiTheme="majorBidi" w:hAnsiTheme="majorBidi" w:cstheme="majorBidi"/>
          <w:sz w:val="24"/>
          <w:szCs w:val="24"/>
          <w:lang w:val="en-US"/>
        </w:rPr>
        <w:t xml:space="preserve"> should be positive and statistically significant.</w:t>
      </w:r>
      <w:r w:rsidR="00576D35" w:rsidRPr="00E162FB">
        <w:rPr>
          <w:rFonts w:asciiTheme="majorBidi" w:hAnsiTheme="majorBidi" w:cstheme="majorBidi"/>
          <w:sz w:val="24"/>
          <w:szCs w:val="24"/>
          <w:lang w:val="en-US"/>
        </w:rPr>
        <w:t xml:space="preserve"> </w:t>
      </w:r>
      <w:r w:rsidR="00B20F4C" w:rsidRPr="00E162FB">
        <w:rPr>
          <w:rFonts w:asciiTheme="majorBidi" w:eastAsia="Times New Roman" w:hAnsiTheme="majorBidi" w:cstheme="majorBidi"/>
          <w:sz w:val="24"/>
          <w:szCs w:val="24"/>
          <w:lang w:val="en-US"/>
        </w:rPr>
        <w:t xml:space="preserve">Second, we </w:t>
      </w:r>
      <w:r w:rsidR="00EE6895" w:rsidRPr="004F0267">
        <w:rPr>
          <w:rFonts w:asciiTheme="majorBidi" w:eastAsia="Times New Roman" w:hAnsiTheme="majorBidi" w:cstheme="majorBidi"/>
          <w:sz w:val="24"/>
          <w:szCs w:val="24"/>
          <w:lang w:val="en-US"/>
        </w:rPr>
        <w:t>use</w:t>
      </w:r>
      <w:r w:rsidR="00B20F4C" w:rsidRPr="004F0267">
        <w:rPr>
          <w:rFonts w:asciiTheme="majorBidi" w:eastAsia="Times New Roman" w:hAnsiTheme="majorBidi" w:cstheme="majorBidi"/>
          <w:sz w:val="24"/>
          <w:szCs w:val="24"/>
          <w:lang w:val="en-US"/>
        </w:rPr>
        <w:t xml:space="preserve"> production per employee</w:t>
      </w:r>
      <w:r w:rsidR="00881E9C" w:rsidRPr="004F0267">
        <w:rPr>
          <w:rFonts w:asciiTheme="majorBidi" w:eastAsia="Times New Roman" w:hAnsiTheme="majorBidi" w:cstheme="majorBidi"/>
          <w:sz w:val="24"/>
          <w:szCs w:val="24"/>
          <w:lang w:val="en-US"/>
        </w:rPr>
        <w:t xml:space="preserve"> (</w:t>
      </w:r>
      <w:proofErr w:type="spellStart"/>
      <w:r w:rsidR="00881E9C" w:rsidRPr="00E162FB">
        <w:rPr>
          <w:rFonts w:asciiTheme="majorBidi" w:eastAsia="Times New Roman" w:hAnsiTheme="majorBidi" w:cstheme="majorBidi"/>
          <w:i/>
          <w:sz w:val="24"/>
          <w:szCs w:val="24"/>
          <w:lang w:val="en-US"/>
        </w:rPr>
        <w:t>ProdperEmp</w:t>
      </w:r>
      <w:proofErr w:type="spellEnd"/>
      <w:r w:rsidR="00881E9C" w:rsidRPr="00E162FB">
        <w:rPr>
          <w:rFonts w:asciiTheme="majorBidi" w:eastAsia="Times New Roman" w:hAnsiTheme="majorBidi" w:cstheme="majorBidi"/>
          <w:i/>
          <w:sz w:val="24"/>
          <w:szCs w:val="24"/>
          <w:lang w:val="en-US"/>
        </w:rPr>
        <w:t>)</w:t>
      </w:r>
      <w:r w:rsidR="00B20F4C" w:rsidRPr="004F0267">
        <w:rPr>
          <w:rFonts w:asciiTheme="majorBidi" w:eastAsia="Times New Roman" w:hAnsiTheme="majorBidi" w:cstheme="majorBidi"/>
          <w:sz w:val="24"/>
          <w:szCs w:val="24"/>
          <w:lang w:val="en-US"/>
        </w:rPr>
        <w:t>, where the increase in production</w:t>
      </w:r>
      <w:r w:rsidR="00881E9C" w:rsidRPr="004F0267">
        <w:rPr>
          <w:rFonts w:asciiTheme="majorBidi" w:eastAsia="Times New Roman" w:hAnsiTheme="majorBidi" w:cstheme="majorBidi"/>
          <w:sz w:val="24"/>
          <w:szCs w:val="24"/>
          <w:lang w:val="en-US"/>
        </w:rPr>
        <w:t xml:space="preserve"> per employee implies a greater volume of work within the same timeframe, </w:t>
      </w:r>
      <w:r w:rsidR="00670DE9" w:rsidRPr="004F0267">
        <w:rPr>
          <w:rFonts w:asciiTheme="majorBidi" w:eastAsia="Times New Roman" w:hAnsiTheme="majorBidi" w:cstheme="majorBidi"/>
          <w:sz w:val="24"/>
          <w:szCs w:val="24"/>
          <w:lang w:val="en-US"/>
        </w:rPr>
        <w:t>thereby increasing employee workload</w:t>
      </w:r>
      <w:r w:rsidR="00881E9C" w:rsidRPr="004F0267">
        <w:rPr>
          <w:rFonts w:asciiTheme="majorBidi" w:eastAsia="Times New Roman" w:hAnsiTheme="majorBidi" w:cstheme="majorBidi"/>
          <w:sz w:val="24"/>
          <w:szCs w:val="24"/>
          <w:lang w:val="en-US"/>
        </w:rPr>
        <w:t>.</w:t>
      </w:r>
      <w:r w:rsidR="00881E9C" w:rsidRPr="00E162FB">
        <w:rPr>
          <w:rFonts w:asciiTheme="majorBidi" w:eastAsia="Times New Roman" w:hAnsiTheme="majorBidi" w:cstheme="majorBidi"/>
          <w:sz w:val="24"/>
          <w:szCs w:val="24"/>
          <w:lang w:val="en-US"/>
        </w:rPr>
        <w:t xml:space="preserve"> </w:t>
      </w:r>
      <w:r w:rsidR="00B20F4C" w:rsidRPr="00E162FB">
        <w:rPr>
          <w:rFonts w:asciiTheme="majorBidi" w:eastAsia="Times New Roman" w:hAnsiTheme="majorBidi" w:cstheme="majorBidi"/>
          <w:sz w:val="24"/>
          <w:szCs w:val="24"/>
          <w:lang w:val="en-US"/>
        </w:rPr>
        <w:t xml:space="preserve"> </w:t>
      </w:r>
      <w:r w:rsidR="00ED0E0C" w:rsidRPr="00E162FB">
        <w:rPr>
          <w:rFonts w:asciiTheme="majorBidi" w:eastAsia="Times New Roman" w:hAnsiTheme="majorBidi" w:cstheme="majorBidi"/>
          <w:sz w:val="24"/>
          <w:szCs w:val="24"/>
          <w:lang w:val="en-US"/>
        </w:rPr>
        <w:t xml:space="preserve"> </w:t>
      </w:r>
      <w:proofErr w:type="spellStart"/>
      <w:r w:rsidR="008948A1" w:rsidRPr="00E162FB">
        <w:rPr>
          <w:rFonts w:asciiTheme="majorBidi" w:eastAsia="Times New Roman" w:hAnsiTheme="majorBidi" w:cstheme="majorBidi"/>
          <w:i/>
          <w:sz w:val="24"/>
          <w:szCs w:val="24"/>
          <w:lang w:val="en-US"/>
        </w:rPr>
        <w:t>ProdperEmp</w:t>
      </w:r>
      <w:proofErr w:type="spellEnd"/>
      <w:r w:rsidR="008948A1" w:rsidRPr="00E162FB">
        <w:rPr>
          <w:rFonts w:asciiTheme="majorBidi" w:eastAsia="Times New Roman" w:hAnsiTheme="majorBidi" w:cstheme="majorBidi"/>
          <w:sz w:val="24"/>
          <w:szCs w:val="24"/>
          <w:lang w:val="en-US"/>
        </w:rPr>
        <w:t xml:space="preserve"> is measured as </w:t>
      </w:r>
      <w:r w:rsidR="000A6369" w:rsidRPr="00E162FB">
        <w:rPr>
          <w:rFonts w:asciiTheme="majorBidi" w:eastAsia="Times New Roman" w:hAnsiTheme="majorBidi" w:cstheme="majorBidi"/>
          <w:sz w:val="24"/>
          <w:szCs w:val="24"/>
          <w:lang w:val="en-US"/>
        </w:rPr>
        <w:t xml:space="preserve">the </w:t>
      </w:r>
      <w:r w:rsidR="008948A1" w:rsidRPr="00E162FB">
        <w:rPr>
          <w:rFonts w:asciiTheme="majorBidi" w:eastAsia="Times New Roman" w:hAnsiTheme="majorBidi" w:cstheme="majorBidi"/>
          <w:sz w:val="24"/>
          <w:szCs w:val="24"/>
          <w:lang w:val="en-US"/>
        </w:rPr>
        <w:t xml:space="preserve">sum of </w:t>
      </w:r>
      <w:r w:rsidR="00881E9C" w:rsidRPr="00E162FB">
        <w:rPr>
          <w:rFonts w:asciiTheme="majorBidi" w:eastAsia="Times New Roman" w:hAnsiTheme="majorBidi" w:cstheme="majorBidi"/>
          <w:sz w:val="24"/>
          <w:szCs w:val="24"/>
          <w:lang w:val="en-US"/>
        </w:rPr>
        <w:t xml:space="preserve">the </w:t>
      </w:r>
      <w:r w:rsidR="008948A1" w:rsidRPr="00E162FB">
        <w:rPr>
          <w:rFonts w:asciiTheme="majorBidi" w:eastAsia="Times New Roman" w:hAnsiTheme="majorBidi" w:cstheme="majorBidi"/>
          <w:sz w:val="24"/>
          <w:szCs w:val="24"/>
          <w:lang w:val="en-US"/>
        </w:rPr>
        <w:t>cost of goods sold and inventory divided by the number of employee</w:t>
      </w:r>
      <w:r w:rsidR="000A6369" w:rsidRPr="00E162FB">
        <w:rPr>
          <w:rFonts w:asciiTheme="majorBidi" w:eastAsia="Times New Roman" w:hAnsiTheme="majorBidi" w:cstheme="majorBidi"/>
          <w:sz w:val="24"/>
          <w:szCs w:val="24"/>
          <w:lang w:val="en-US"/>
        </w:rPr>
        <w:t>s</w:t>
      </w:r>
      <w:r w:rsidR="008948A1" w:rsidRPr="00E162FB">
        <w:rPr>
          <w:rFonts w:asciiTheme="majorBidi" w:eastAsia="Times New Roman" w:hAnsiTheme="majorBidi" w:cstheme="majorBidi"/>
          <w:sz w:val="24"/>
          <w:szCs w:val="24"/>
          <w:lang w:val="en-US"/>
        </w:rPr>
        <w:t>.</w:t>
      </w:r>
      <w:r w:rsidR="00DF6CA8" w:rsidRPr="00E162FB">
        <w:rPr>
          <w:rStyle w:val="FootnoteReference"/>
          <w:rFonts w:asciiTheme="majorBidi" w:eastAsia="Times New Roman" w:hAnsiTheme="majorBidi" w:cstheme="majorBidi"/>
          <w:sz w:val="24"/>
          <w:szCs w:val="24"/>
          <w:lang w:val="en-US"/>
        </w:rPr>
        <w:footnoteReference w:id="19"/>
      </w:r>
      <w:r w:rsidR="00842937" w:rsidRPr="00E162FB">
        <w:rPr>
          <w:rFonts w:asciiTheme="majorBidi" w:eastAsia="Times New Roman" w:hAnsiTheme="majorBidi" w:cstheme="majorBidi"/>
          <w:sz w:val="24"/>
          <w:szCs w:val="24"/>
          <w:lang w:val="en-US"/>
        </w:rPr>
        <w:t xml:space="preserve"> </w:t>
      </w:r>
      <w:r w:rsidR="000A6369" w:rsidRPr="00E162FB">
        <w:rPr>
          <w:rFonts w:asciiTheme="majorBidi" w:eastAsia="Times New Roman" w:hAnsiTheme="majorBidi" w:cstheme="majorBidi"/>
          <w:sz w:val="24"/>
          <w:szCs w:val="24"/>
          <w:lang w:val="en-US"/>
        </w:rPr>
        <w:t>I</w:t>
      </w:r>
      <w:r w:rsidR="008948A1" w:rsidRPr="00E162FB">
        <w:rPr>
          <w:rFonts w:asciiTheme="majorBidi" w:hAnsiTheme="majorBidi" w:cstheme="majorBidi"/>
          <w:sz w:val="24"/>
          <w:szCs w:val="24"/>
          <w:lang w:val="en-US"/>
        </w:rPr>
        <w:t>f the effect of CEO risk taking incentives on workplace misconduct</w:t>
      </w:r>
      <w:r w:rsidR="008948A1" w:rsidRPr="00D864AC">
        <w:rPr>
          <w:rFonts w:asciiTheme="majorBidi" w:hAnsiTheme="majorBidi" w:cstheme="majorBidi"/>
          <w:sz w:val="24"/>
          <w:szCs w:val="24"/>
          <w:lang w:val="en-US"/>
        </w:rPr>
        <w:t xml:space="preserve"> is </w:t>
      </w:r>
      <w:r w:rsidR="008948A1">
        <w:rPr>
          <w:rFonts w:asciiTheme="majorBidi" w:hAnsiTheme="majorBidi" w:cstheme="majorBidi"/>
          <w:sz w:val="24"/>
          <w:szCs w:val="24"/>
          <w:lang w:val="en-US"/>
        </w:rPr>
        <w:t>a function of</w:t>
      </w:r>
      <w:r w:rsidR="00670DE9">
        <w:rPr>
          <w:rFonts w:asciiTheme="majorBidi" w:hAnsiTheme="majorBidi" w:cstheme="majorBidi"/>
          <w:sz w:val="24"/>
          <w:szCs w:val="24"/>
          <w:lang w:val="en-US"/>
        </w:rPr>
        <w:t xml:space="preserve"> an increase in</w:t>
      </w:r>
      <w:r w:rsidR="008948A1" w:rsidRPr="00D864AC">
        <w:rPr>
          <w:rFonts w:asciiTheme="majorBidi" w:hAnsiTheme="majorBidi" w:cstheme="majorBidi"/>
          <w:sz w:val="24"/>
          <w:szCs w:val="24"/>
          <w:lang w:val="en-US"/>
        </w:rPr>
        <w:t xml:space="preserve"> </w:t>
      </w:r>
      <w:r w:rsidR="008948A1">
        <w:rPr>
          <w:rFonts w:asciiTheme="majorBidi" w:hAnsiTheme="majorBidi" w:cstheme="majorBidi"/>
          <w:sz w:val="24"/>
          <w:szCs w:val="24"/>
          <w:lang w:val="en-US"/>
        </w:rPr>
        <w:t xml:space="preserve">workload </w:t>
      </w:r>
      <w:r w:rsidR="000A6369">
        <w:rPr>
          <w:rFonts w:asciiTheme="majorBidi" w:hAnsiTheme="majorBidi" w:cstheme="majorBidi"/>
          <w:sz w:val="24"/>
          <w:szCs w:val="24"/>
          <w:lang w:val="en-US"/>
        </w:rPr>
        <w:t>as captured by</w:t>
      </w:r>
      <w:r w:rsidR="008948A1">
        <w:rPr>
          <w:rFonts w:asciiTheme="majorBidi" w:hAnsiTheme="majorBidi" w:cstheme="majorBidi"/>
          <w:sz w:val="24"/>
          <w:szCs w:val="24"/>
          <w:lang w:val="en-US"/>
        </w:rPr>
        <w:t xml:space="preserve"> increased production</w:t>
      </w:r>
      <w:r w:rsidR="000A6369">
        <w:rPr>
          <w:rFonts w:asciiTheme="majorBidi" w:hAnsiTheme="majorBidi" w:cstheme="majorBidi"/>
          <w:sz w:val="24"/>
          <w:szCs w:val="24"/>
          <w:lang w:val="en-US"/>
        </w:rPr>
        <w:t xml:space="preserve"> per employee</w:t>
      </w:r>
      <w:r w:rsidR="008948A1" w:rsidRPr="00D864AC">
        <w:rPr>
          <w:rFonts w:asciiTheme="majorBidi" w:hAnsiTheme="majorBidi" w:cstheme="majorBidi"/>
          <w:sz w:val="24"/>
          <w:szCs w:val="24"/>
          <w:lang w:val="en-US"/>
        </w:rPr>
        <w:t xml:space="preserve">, then the coefficient on the interaction term </w:t>
      </w:r>
      <w:r w:rsidR="008948A1" w:rsidRPr="00D864AC">
        <w:rPr>
          <w:rFonts w:asciiTheme="majorBidi" w:eastAsia="Times New Roman" w:hAnsiTheme="majorBidi" w:cstheme="majorBidi"/>
          <w:i/>
          <w:iCs/>
          <w:color w:val="000000"/>
          <w:sz w:val="24"/>
          <w:szCs w:val="24"/>
          <w:lang w:val="en-US" w:eastAsia="zh-CN"/>
        </w:rPr>
        <w:t>Vega</w:t>
      </w:r>
      <w:r w:rsidR="008948A1" w:rsidRPr="00D864AC">
        <w:rPr>
          <w:rFonts w:asciiTheme="majorBidi" w:eastAsia="Times New Roman" w:hAnsiTheme="majorBidi" w:cstheme="majorBidi"/>
          <w:i/>
          <w:iCs/>
          <w:sz w:val="24"/>
          <w:szCs w:val="24"/>
          <w:lang w:val="en-US"/>
        </w:rPr>
        <w:t>*</w:t>
      </w:r>
      <w:proofErr w:type="spellStart"/>
      <w:r w:rsidR="008948A1" w:rsidRPr="00EC645F">
        <w:rPr>
          <w:rFonts w:asciiTheme="majorBidi" w:eastAsia="Times New Roman" w:hAnsiTheme="majorBidi" w:cstheme="majorBidi"/>
          <w:i/>
          <w:sz w:val="24"/>
          <w:szCs w:val="24"/>
          <w:lang w:val="en-US"/>
        </w:rPr>
        <w:t>ProdperEmp</w:t>
      </w:r>
      <w:proofErr w:type="spellEnd"/>
      <w:r w:rsidR="008948A1" w:rsidRPr="00EC645F">
        <w:rPr>
          <w:rFonts w:asciiTheme="majorBidi" w:eastAsia="Times New Roman" w:hAnsiTheme="majorBidi" w:cstheme="majorBidi"/>
          <w:sz w:val="24"/>
          <w:szCs w:val="24"/>
          <w:lang w:val="en-US"/>
        </w:rPr>
        <w:t xml:space="preserve"> </w:t>
      </w:r>
      <w:r w:rsidR="008948A1" w:rsidRPr="00D864AC">
        <w:rPr>
          <w:rFonts w:asciiTheme="majorBidi" w:hAnsiTheme="majorBidi" w:cstheme="majorBidi"/>
          <w:sz w:val="24"/>
          <w:szCs w:val="24"/>
          <w:lang w:val="en-US"/>
        </w:rPr>
        <w:t>should be positive and statistically significant.</w:t>
      </w:r>
    </w:p>
    <w:p w14:paraId="4D35FADA" w14:textId="73B61AF4" w:rsidR="004F03DB" w:rsidRDefault="00AB4706" w:rsidP="004F03DB">
      <w:pPr>
        <w:spacing w:after="0" w:line="480" w:lineRule="auto"/>
        <w:ind w:firstLine="720"/>
        <w:jc w:val="both"/>
        <w:rPr>
          <w:rFonts w:ascii="Times New Roman" w:eastAsia="CMR12" w:hAnsi="Times New Roman" w:cs="Times New Roman"/>
          <w:sz w:val="24"/>
          <w:szCs w:val="24"/>
        </w:rPr>
      </w:pPr>
      <w:r w:rsidRPr="00D864AC">
        <w:rPr>
          <w:rFonts w:asciiTheme="majorBidi" w:hAnsiTheme="majorBidi" w:cstheme="majorBidi"/>
          <w:sz w:val="24"/>
          <w:szCs w:val="24"/>
          <w:lang w:val="en-US"/>
        </w:rPr>
        <w:t xml:space="preserve">Table </w:t>
      </w:r>
      <w:r>
        <w:rPr>
          <w:rFonts w:asciiTheme="majorBidi" w:hAnsiTheme="majorBidi" w:cstheme="majorBidi"/>
          <w:sz w:val="24"/>
          <w:szCs w:val="24"/>
          <w:lang w:val="en-US"/>
        </w:rPr>
        <w:t>9</w:t>
      </w:r>
      <w:r w:rsidRPr="00D864AC">
        <w:rPr>
          <w:rFonts w:asciiTheme="majorBidi" w:hAnsiTheme="majorBidi" w:cstheme="majorBidi"/>
          <w:sz w:val="24"/>
          <w:szCs w:val="24"/>
          <w:lang w:val="en-US"/>
        </w:rPr>
        <w:t xml:space="preserve"> reports results</w:t>
      </w:r>
      <w:r w:rsidR="00D9343A">
        <w:rPr>
          <w:rFonts w:asciiTheme="majorBidi" w:hAnsiTheme="majorBidi" w:cstheme="majorBidi"/>
          <w:sz w:val="24"/>
          <w:szCs w:val="24"/>
          <w:lang w:val="en-US"/>
        </w:rPr>
        <w:t xml:space="preserve"> for tests examining</w:t>
      </w:r>
      <w:r w:rsidR="00D9343A" w:rsidRPr="00D9343A">
        <w:rPr>
          <w:rFonts w:ascii="Times New Roman" w:hAnsi="Times New Roman" w:cs="Times New Roman"/>
          <w:sz w:val="24"/>
          <w:szCs w:val="24"/>
          <w:lang w:val="en-US"/>
        </w:rPr>
        <w:t xml:space="preserve"> </w:t>
      </w:r>
      <w:r w:rsidR="00D9343A">
        <w:rPr>
          <w:rFonts w:ascii="Times New Roman" w:hAnsi="Times New Roman" w:cs="Times New Roman"/>
          <w:sz w:val="24"/>
          <w:szCs w:val="24"/>
          <w:lang w:val="en-US"/>
        </w:rPr>
        <w:t xml:space="preserve">whether </w:t>
      </w:r>
      <w:r w:rsidR="00D9343A" w:rsidRPr="00037507">
        <w:rPr>
          <w:rFonts w:ascii="Times New Roman" w:hAnsi="Times New Roman" w:cs="Times New Roman"/>
          <w:sz w:val="24"/>
          <w:szCs w:val="24"/>
          <w:lang w:val="en-US"/>
        </w:rPr>
        <w:t xml:space="preserve">the relation between CEO </w:t>
      </w:r>
      <w:proofErr w:type="spellStart"/>
      <w:r w:rsidR="00D9343A" w:rsidRPr="00037507">
        <w:rPr>
          <w:rFonts w:ascii="Times New Roman" w:hAnsi="Times New Roman" w:cs="Times New Roman"/>
          <w:sz w:val="24"/>
          <w:szCs w:val="24"/>
          <w:lang w:val="en-US"/>
        </w:rPr>
        <w:t>vega</w:t>
      </w:r>
      <w:proofErr w:type="spellEnd"/>
      <w:r w:rsidR="00D9343A" w:rsidRPr="00037507">
        <w:rPr>
          <w:rFonts w:ascii="Times New Roman" w:hAnsi="Times New Roman" w:cs="Times New Roman"/>
          <w:sz w:val="24"/>
          <w:szCs w:val="24"/>
          <w:lang w:val="en-US"/>
        </w:rPr>
        <w:t xml:space="preserve"> and workplace misconduct is a function of increased employee</w:t>
      </w:r>
      <w:r w:rsidR="00D9343A" w:rsidRPr="00936865">
        <w:rPr>
          <w:rFonts w:ascii="Times New Roman" w:hAnsi="Times New Roman" w:cs="Times New Roman"/>
          <w:sz w:val="24"/>
          <w:szCs w:val="24"/>
          <w:lang w:val="en-US"/>
        </w:rPr>
        <w:t xml:space="preserve"> workload</w:t>
      </w:r>
      <w:r w:rsidR="00D9343A">
        <w:rPr>
          <w:rFonts w:ascii="Times New Roman" w:hAnsi="Times New Roman" w:cs="Times New Roman"/>
          <w:sz w:val="24"/>
          <w:szCs w:val="24"/>
          <w:lang w:val="en-US"/>
        </w:rPr>
        <w:t xml:space="preserve">. Panel A shows the results when we proxy for increased employee workload using high layoffs. </w:t>
      </w:r>
      <w:r w:rsidR="00D9343A">
        <w:rPr>
          <w:rFonts w:asciiTheme="majorBidi" w:hAnsiTheme="majorBidi" w:cstheme="majorBidi"/>
          <w:sz w:val="24"/>
          <w:szCs w:val="24"/>
          <w:lang w:val="en-US"/>
        </w:rPr>
        <w:t xml:space="preserve"> </w:t>
      </w:r>
      <w:r w:rsidR="00D9343A" w:rsidRPr="00D864AC">
        <w:rPr>
          <w:rFonts w:asciiTheme="majorBidi" w:hAnsiTheme="majorBidi" w:cstheme="majorBidi"/>
          <w:sz w:val="24"/>
          <w:szCs w:val="24"/>
          <w:lang w:val="en-US"/>
        </w:rPr>
        <w:t xml:space="preserve">As expected, the reported coefficient for the interaction terms </w:t>
      </w:r>
      <w:r w:rsidR="00D9343A" w:rsidRPr="00F15FC4">
        <w:rPr>
          <w:rFonts w:asciiTheme="majorBidi" w:hAnsiTheme="majorBidi" w:cstheme="majorBidi"/>
          <w:i/>
          <w:iCs/>
          <w:sz w:val="24"/>
          <w:szCs w:val="24"/>
          <w:lang w:val="en-US"/>
        </w:rPr>
        <w:t>(</w:t>
      </w:r>
      <w:r w:rsidR="00D9343A" w:rsidRPr="00D864AC">
        <w:rPr>
          <w:rFonts w:ascii="Times New Roman" w:eastAsia="Times New Roman" w:hAnsi="Times New Roman" w:cs="Times New Roman"/>
          <w:i/>
          <w:iCs/>
          <w:color w:val="000000"/>
          <w:sz w:val="24"/>
          <w:szCs w:val="24"/>
          <w:lang w:val="en-US" w:eastAsia="zh-CN"/>
        </w:rPr>
        <w:t>Vega</w:t>
      </w:r>
      <w:r w:rsidR="00D9343A" w:rsidRPr="00D864AC">
        <w:rPr>
          <w:rFonts w:asciiTheme="majorBidi" w:eastAsia="Times New Roman" w:hAnsiTheme="majorBidi" w:cstheme="majorBidi"/>
          <w:i/>
          <w:iCs/>
          <w:sz w:val="24"/>
          <w:szCs w:val="24"/>
          <w:lang w:val="en-US"/>
        </w:rPr>
        <w:t>*</w:t>
      </w:r>
      <w:proofErr w:type="spellStart"/>
      <w:r w:rsidR="00D9343A" w:rsidRPr="00D864AC">
        <w:rPr>
          <w:rFonts w:ascii="Times New Roman" w:eastAsia="Times New Roman" w:hAnsi="Times New Roman" w:cs="Times New Roman"/>
          <w:i/>
          <w:iCs/>
          <w:color w:val="000000"/>
          <w:sz w:val="24"/>
          <w:szCs w:val="24"/>
          <w:lang w:val="en-US" w:eastAsia="zh-CN"/>
        </w:rPr>
        <w:t>HighLayoffs</w:t>
      </w:r>
      <w:proofErr w:type="spellEnd"/>
      <w:r w:rsidR="00D9343A" w:rsidRPr="00D864AC">
        <w:rPr>
          <w:rFonts w:ascii="Times New Roman" w:eastAsia="Times New Roman" w:hAnsi="Times New Roman" w:cs="Times New Roman"/>
          <w:i/>
          <w:iCs/>
          <w:color w:val="000000"/>
          <w:sz w:val="24"/>
          <w:szCs w:val="24"/>
          <w:lang w:val="en-US"/>
        </w:rPr>
        <w:t xml:space="preserve">) </w:t>
      </w:r>
      <w:r w:rsidR="00D9343A" w:rsidRPr="00D864AC">
        <w:rPr>
          <w:rFonts w:ascii="Times New Roman" w:eastAsia="Times New Roman" w:hAnsi="Times New Roman" w:cs="Times New Roman"/>
          <w:color w:val="000000"/>
          <w:sz w:val="24"/>
          <w:szCs w:val="24"/>
          <w:lang w:val="en-US"/>
        </w:rPr>
        <w:t xml:space="preserve">is positive </w:t>
      </w:r>
      <w:r w:rsidR="00D9343A">
        <w:rPr>
          <w:rFonts w:ascii="Times New Roman" w:eastAsia="Times New Roman" w:hAnsi="Times New Roman" w:cs="Times New Roman"/>
          <w:color w:val="000000"/>
          <w:sz w:val="24"/>
          <w:szCs w:val="24"/>
          <w:lang w:val="en-US"/>
        </w:rPr>
        <w:t>and significant irrespective of whether</w:t>
      </w:r>
      <w:r w:rsidRPr="00D864AC">
        <w:rPr>
          <w:rFonts w:asciiTheme="majorBidi" w:hAnsiTheme="majorBidi" w:cstheme="majorBidi"/>
          <w:sz w:val="24"/>
          <w:szCs w:val="24"/>
          <w:lang w:val="en-US"/>
        </w:rPr>
        <w:t xml:space="preserve"> the number of violations (</w:t>
      </w:r>
      <w:proofErr w:type="spellStart"/>
      <w:r w:rsidR="00D9343A" w:rsidRPr="00D864AC">
        <w:rPr>
          <w:rFonts w:asciiTheme="majorBidi" w:hAnsiTheme="majorBidi" w:cstheme="majorBidi"/>
          <w:sz w:val="24"/>
          <w:szCs w:val="24"/>
          <w:lang w:val="en-US"/>
        </w:rPr>
        <w:t>coeff</w:t>
      </w:r>
      <w:proofErr w:type="spellEnd"/>
      <w:r w:rsidR="00D9343A" w:rsidRPr="00D864AC">
        <w:rPr>
          <w:rFonts w:asciiTheme="majorBidi" w:hAnsiTheme="majorBidi" w:cstheme="majorBidi"/>
          <w:sz w:val="24"/>
          <w:szCs w:val="24"/>
          <w:lang w:val="en-US"/>
        </w:rPr>
        <w:t>: 0.019; t-stat.: 2.58 in column 1</w:t>
      </w:r>
      <w:r w:rsidRPr="00D864AC">
        <w:rPr>
          <w:rFonts w:asciiTheme="majorBidi" w:hAnsiTheme="majorBidi" w:cstheme="majorBidi"/>
          <w:sz w:val="24"/>
          <w:szCs w:val="24"/>
          <w:lang w:val="en-US"/>
        </w:rPr>
        <w:t xml:space="preserve">) </w:t>
      </w:r>
      <w:r w:rsidR="00D9343A">
        <w:rPr>
          <w:rFonts w:asciiTheme="majorBidi" w:hAnsiTheme="majorBidi" w:cstheme="majorBidi"/>
          <w:sz w:val="24"/>
          <w:szCs w:val="24"/>
          <w:lang w:val="en-US"/>
        </w:rPr>
        <w:t>or</w:t>
      </w:r>
      <w:r w:rsidRPr="00D864AC">
        <w:rPr>
          <w:rFonts w:asciiTheme="majorBidi" w:hAnsiTheme="majorBidi" w:cstheme="majorBidi"/>
          <w:sz w:val="24"/>
          <w:szCs w:val="24"/>
          <w:lang w:val="en-US"/>
        </w:rPr>
        <w:t xml:space="preserve"> penalties (</w:t>
      </w:r>
      <w:proofErr w:type="spellStart"/>
      <w:r w:rsidR="00D9343A" w:rsidRPr="00D864AC">
        <w:rPr>
          <w:rFonts w:asciiTheme="majorBidi" w:hAnsiTheme="majorBidi" w:cstheme="majorBidi"/>
          <w:sz w:val="24"/>
          <w:szCs w:val="24"/>
          <w:lang w:val="en-US"/>
        </w:rPr>
        <w:t>coeff</w:t>
      </w:r>
      <w:proofErr w:type="spellEnd"/>
      <w:r w:rsidR="00D9343A" w:rsidRPr="00D864AC">
        <w:rPr>
          <w:rFonts w:asciiTheme="majorBidi" w:hAnsiTheme="majorBidi" w:cstheme="majorBidi"/>
          <w:sz w:val="24"/>
          <w:szCs w:val="24"/>
          <w:lang w:val="en-US"/>
        </w:rPr>
        <w:t>: 0.170; t-stat: 2.28 in column 2</w:t>
      </w:r>
      <w:r w:rsidRPr="00D864AC">
        <w:rPr>
          <w:rFonts w:asciiTheme="majorBidi" w:hAnsiTheme="majorBidi" w:cstheme="majorBidi"/>
          <w:sz w:val="24"/>
          <w:szCs w:val="24"/>
          <w:lang w:val="en-US"/>
        </w:rPr>
        <w:t>)</w:t>
      </w:r>
      <w:r>
        <w:rPr>
          <w:rFonts w:asciiTheme="majorBidi" w:hAnsiTheme="majorBidi" w:cstheme="majorBidi"/>
          <w:sz w:val="24"/>
          <w:szCs w:val="24"/>
          <w:lang w:val="en-US"/>
        </w:rPr>
        <w:t xml:space="preserve"> is the dependent variable</w:t>
      </w:r>
      <w:r w:rsidRPr="00D864AC">
        <w:rPr>
          <w:rFonts w:asciiTheme="majorBidi" w:hAnsiTheme="majorBidi" w:cstheme="majorBidi"/>
          <w:sz w:val="24"/>
          <w:szCs w:val="24"/>
          <w:lang w:val="en-US"/>
        </w:rPr>
        <w:t>.</w:t>
      </w:r>
      <w:r w:rsidR="00D9343A">
        <w:rPr>
          <w:rFonts w:asciiTheme="majorBidi" w:hAnsiTheme="majorBidi" w:cstheme="majorBidi"/>
          <w:sz w:val="24"/>
          <w:szCs w:val="24"/>
          <w:lang w:val="en-US"/>
        </w:rPr>
        <w:t xml:space="preserve"> Panel B shows the results when we proxy for increased employee workload using the production per employee. Similar to the results for high layoffs, the </w:t>
      </w:r>
      <w:r w:rsidR="00F224EE" w:rsidRPr="00D864AC">
        <w:rPr>
          <w:rFonts w:asciiTheme="majorBidi" w:hAnsiTheme="majorBidi" w:cstheme="majorBidi"/>
          <w:sz w:val="24"/>
          <w:szCs w:val="24"/>
          <w:lang w:val="en-US"/>
        </w:rPr>
        <w:t xml:space="preserve">reported coefficient for the interaction term </w:t>
      </w:r>
      <w:r w:rsidR="00F224EE" w:rsidRPr="00F15FC4">
        <w:rPr>
          <w:rFonts w:asciiTheme="majorBidi" w:hAnsiTheme="majorBidi" w:cstheme="majorBidi"/>
          <w:i/>
          <w:iCs/>
          <w:sz w:val="24"/>
          <w:szCs w:val="24"/>
          <w:lang w:val="en-US"/>
        </w:rPr>
        <w:t>(</w:t>
      </w:r>
      <w:r w:rsidR="00F224EE" w:rsidRPr="00D864AC">
        <w:rPr>
          <w:rFonts w:ascii="Times New Roman" w:eastAsia="Times New Roman" w:hAnsi="Times New Roman" w:cs="Times New Roman"/>
          <w:i/>
          <w:iCs/>
          <w:color w:val="000000"/>
          <w:sz w:val="24"/>
          <w:szCs w:val="24"/>
          <w:lang w:val="en-US" w:eastAsia="zh-CN"/>
        </w:rPr>
        <w:t>Vega</w:t>
      </w:r>
      <w:r w:rsidR="00F224EE" w:rsidRPr="00D864AC">
        <w:rPr>
          <w:rFonts w:asciiTheme="majorBidi" w:eastAsia="Times New Roman" w:hAnsiTheme="majorBidi" w:cstheme="majorBidi"/>
          <w:i/>
          <w:iCs/>
          <w:sz w:val="24"/>
          <w:szCs w:val="24"/>
          <w:lang w:val="en-US"/>
        </w:rPr>
        <w:t>*</w:t>
      </w:r>
      <w:proofErr w:type="spellStart"/>
      <w:r w:rsidR="00F224EE" w:rsidRPr="00EC645F">
        <w:rPr>
          <w:rFonts w:asciiTheme="majorBidi" w:eastAsia="Times New Roman" w:hAnsiTheme="majorBidi" w:cstheme="majorBidi"/>
          <w:i/>
          <w:sz w:val="24"/>
          <w:szCs w:val="24"/>
          <w:lang w:val="en-US"/>
        </w:rPr>
        <w:t>ProdperEmp</w:t>
      </w:r>
      <w:proofErr w:type="spellEnd"/>
      <w:r w:rsidR="00F224EE" w:rsidRPr="00D864AC">
        <w:rPr>
          <w:rFonts w:ascii="Times New Roman" w:eastAsia="Times New Roman" w:hAnsi="Times New Roman" w:cs="Times New Roman"/>
          <w:i/>
          <w:iCs/>
          <w:color w:val="000000"/>
          <w:sz w:val="24"/>
          <w:szCs w:val="24"/>
          <w:lang w:val="en-US"/>
        </w:rPr>
        <w:t xml:space="preserve">) </w:t>
      </w:r>
      <w:r w:rsidR="00F224EE" w:rsidRPr="00D864AC">
        <w:rPr>
          <w:rFonts w:ascii="Times New Roman" w:eastAsia="Times New Roman" w:hAnsi="Times New Roman" w:cs="Times New Roman"/>
          <w:color w:val="000000"/>
          <w:sz w:val="24"/>
          <w:szCs w:val="24"/>
          <w:lang w:val="en-US"/>
        </w:rPr>
        <w:t xml:space="preserve">is positive </w:t>
      </w:r>
      <w:r w:rsidR="00D9343A">
        <w:rPr>
          <w:rFonts w:ascii="Times New Roman" w:eastAsia="Times New Roman" w:hAnsi="Times New Roman" w:cs="Times New Roman"/>
          <w:color w:val="000000"/>
          <w:sz w:val="24"/>
          <w:szCs w:val="24"/>
          <w:lang w:val="en-US"/>
        </w:rPr>
        <w:t>and significant irrespective of whether the number of violations (</w:t>
      </w:r>
      <w:proofErr w:type="spellStart"/>
      <w:r w:rsidR="00D9343A" w:rsidRPr="00D864AC">
        <w:rPr>
          <w:rFonts w:asciiTheme="majorBidi" w:hAnsiTheme="majorBidi" w:cstheme="majorBidi"/>
          <w:sz w:val="24"/>
          <w:szCs w:val="24"/>
          <w:lang w:val="en-US"/>
        </w:rPr>
        <w:t>coeff</w:t>
      </w:r>
      <w:proofErr w:type="spellEnd"/>
      <w:r w:rsidR="00D9343A" w:rsidRPr="00D864AC">
        <w:rPr>
          <w:rFonts w:asciiTheme="majorBidi" w:hAnsiTheme="majorBidi" w:cstheme="majorBidi"/>
          <w:sz w:val="24"/>
          <w:szCs w:val="24"/>
          <w:lang w:val="en-US"/>
        </w:rPr>
        <w:t>: 0.01</w:t>
      </w:r>
      <w:r w:rsidR="00D9343A">
        <w:rPr>
          <w:rFonts w:asciiTheme="majorBidi" w:hAnsiTheme="majorBidi" w:cstheme="majorBidi"/>
          <w:sz w:val="24"/>
          <w:szCs w:val="24"/>
          <w:lang w:val="en-US"/>
        </w:rPr>
        <w:t>3</w:t>
      </w:r>
      <w:r w:rsidR="00D9343A" w:rsidRPr="00D864AC">
        <w:rPr>
          <w:rFonts w:asciiTheme="majorBidi" w:hAnsiTheme="majorBidi" w:cstheme="majorBidi"/>
          <w:sz w:val="24"/>
          <w:szCs w:val="24"/>
          <w:lang w:val="en-US"/>
        </w:rPr>
        <w:t>; t-stat.: 2.</w:t>
      </w:r>
      <w:r w:rsidR="00D9343A">
        <w:rPr>
          <w:rFonts w:asciiTheme="majorBidi" w:hAnsiTheme="majorBidi" w:cstheme="majorBidi"/>
          <w:sz w:val="24"/>
          <w:szCs w:val="24"/>
          <w:lang w:val="en-US"/>
        </w:rPr>
        <w:t>07</w:t>
      </w:r>
      <w:r w:rsidR="00D9343A" w:rsidRPr="00D864AC">
        <w:rPr>
          <w:rFonts w:asciiTheme="majorBidi" w:hAnsiTheme="majorBidi" w:cstheme="majorBidi"/>
          <w:sz w:val="24"/>
          <w:szCs w:val="24"/>
          <w:lang w:val="en-US"/>
        </w:rPr>
        <w:t xml:space="preserve"> in column </w:t>
      </w:r>
      <w:r w:rsidR="00D9343A">
        <w:rPr>
          <w:rFonts w:asciiTheme="majorBidi" w:hAnsiTheme="majorBidi" w:cstheme="majorBidi"/>
          <w:sz w:val="24"/>
          <w:szCs w:val="24"/>
          <w:lang w:val="en-US"/>
        </w:rPr>
        <w:t xml:space="preserve">1) or penalties </w:t>
      </w:r>
      <w:r w:rsidR="00D9343A">
        <w:rPr>
          <w:rFonts w:ascii="Times New Roman" w:eastAsia="Times New Roman" w:hAnsi="Times New Roman" w:cs="Times New Roman"/>
          <w:color w:val="000000"/>
          <w:sz w:val="24"/>
          <w:szCs w:val="24"/>
          <w:lang w:val="en-US"/>
        </w:rPr>
        <w:t>(</w:t>
      </w:r>
      <w:proofErr w:type="spellStart"/>
      <w:r w:rsidR="00F224EE" w:rsidRPr="00D864AC">
        <w:rPr>
          <w:rFonts w:asciiTheme="majorBidi" w:hAnsiTheme="majorBidi" w:cstheme="majorBidi"/>
          <w:sz w:val="24"/>
          <w:szCs w:val="24"/>
          <w:lang w:val="en-US"/>
        </w:rPr>
        <w:t>coeff</w:t>
      </w:r>
      <w:proofErr w:type="spellEnd"/>
      <w:r w:rsidR="00F224EE" w:rsidRPr="00D864AC">
        <w:rPr>
          <w:rFonts w:asciiTheme="majorBidi" w:hAnsiTheme="majorBidi" w:cstheme="majorBidi"/>
          <w:sz w:val="24"/>
          <w:szCs w:val="24"/>
          <w:lang w:val="en-US"/>
        </w:rPr>
        <w:t>: 0.1</w:t>
      </w:r>
      <w:r w:rsidR="00F224EE">
        <w:rPr>
          <w:rFonts w:asciiTheme="majorBidi" w:hAnsiTheme="majorBidi" w:cstheme="majorBidi"/>
          <w:sz w:val="24"/>
          <w:szCs w:val="24"/>
          <w:lang w:val="en-US"/>
        </w:rPr>
        <w:t>52</w:t>
      </w:r>
      <w:r w:rsidR="00F224EE" w:rsidRPr="00D864AC">
        <w:rPr>
          <w:rFonts w:asciiTheme="majorBidi" w:hAnsiTheme="majorBidi" w:cstheme="majorBidi"/>
          <w:sz w:val="24"/>
          <w:szCs w:val="24"/>
          <w:lang w:val="en-US"/>
        </w:rPr>
        <w:t>; t-stat: 2.</w:t>
      </w:r>
      <w:r w:rsidR="00F224EE">
        <w:rPr>
          <w:rFonts w:asciiTheme="majorBidi" w:hAnsiTheme="majorBidi" w:cstheme="majorBidi"/>
          <w:sz w:val="24"/>
          <w:szCs w:val="24"/>
          <w:lang w:val="en-US"/>
        </w:rPr>
        <w:t>91</w:t>
      </w:r>
      <w:r w:rsidR="00F224EE" w:rsidRPr="00D864AC">
        <w:rPr>
          <w:rFonts w:asciiTheme="majorBidi" w:hAnsiTheme="majorBidi" w:cstheme="majorBidi"/>
          <w:sz w:val="24"/>
          <w:szCs w:val="24"/>
          <w:lang w:val="en-US"/>
        </w:rPr>
        <w:t xml:space="preserve"> in column 2)</w:t>
      </w:r>
      <w:r w:rsidR="00D9343A">
        <w:rPr>
          <w:rFonts w:asciiTheme="majorBidi" w:hAnsiTheme="majorBidi" w:cstheme="majorBidi"/>
          <w:sz w:val="24"/>
          <w:szCs w:val="24"/>
          <w:lang w:val="en-US"/>
        </w:rPr>
        <w:t xml:space="preserve"> is the dependent variable</w:t>
      </w:r>
      <w:r w:rsidR="00F224EE" w:rsidRPr="00D864AC">
        <w:rPr>
          <w:rFonts w:ascii="Times New Roman" w:eastAsia="Times New Roman" w:hAnsi="Times New Roman" w:cs="Times New Roman"/>
          <w:color w:val="000000"/>
          <w:sz w:val="24"/>
          <w:szCs w:val="24"/>
          <w:lang w:val="en-US"/>
        </w:rPr>
        <w:t xml:space="preserve">. </w:t>
      </w:r>
      <w:r>
        <w:rPr>
          <w:rFonts w:ascii="Times New Roman" w:eastAsia="CMR12" w:hAnsi="Times New Roman" w:cs="Times New Roman"/>
          <w:sz w:val="24"/>
          <w:szCs w:val="24"/>
        </w:rPr>
        <w:t xml:space="preserve">Like the results for the </w:t>
      </w:r>
      <w:r>
        <w:rPr>
          <w:rFonts w:ascii="Times New Roman" w:eastAsia="CMR12" w:hAnsi="Times New Roman" w:cs="Times New Roman"/>
          <w:i/>
          <w:sz w:val="24"/>
          <w:szCs w:val="24"/>
        </w:rPr>
        <w:t xml:space="preserve">direct channel </w:t>
      </w:r>
      <w:r>
        <w:rPr>
          <w:rFonts w:ascii="Times New Roman" w:eastAsia="CMR12" w:hAnsi="Times New Roman" w:cs="Times New Roman"/>
          <w:sz w:val="24"/>
          <w:szCs w:val="24"/>
        </w:rPr>
        <w:t>the</w:t>
      </w:r>
      <w:r w:rsidRPr="00095A37">
        <w:rPr>
          <w:rFonts w:ascii="Times New Roman" w:eastAsia="CMR12" w:hAnsi="Times New Roman" w:cs="Times New Roman"/>
          <w:sz w:val="24"/>
          <w:szCs w:val="24"/>
        </w:rPr>
        <w:t xml:space="preserve"> positive and insignificant </w:t>
      </w:r>
      <w:r>
        <w:rPr>
          <w:rFonts w:ascii="Times New Roman" w:eastAsia="CMR12" w:hAnsi="Times New Roman" w:cs="Times New Roman"/>
          <w:sz w:val="24"/>
          <w:szCs w:val="24"/>
        </w:rPr>
        <w:t>coefficient</w:t>
      </w:r>
      <w:r w:rsidRPr="00095A37">
        <w:rPr>
          <w:rFonts w:ascii="Times New Roman" w:eastAsia="CMR12" w:hAnsi="Times New Roman" w:cs="Times New Roman"/>
          <w:sz w:val="24"/>
          <w:szCs w:val="24"/>
        </w:rPr>
        <w:t xml:space="preserve"> </w:t>
      </w:r>
      <w:r>
        <w:rPr>
          <w:rFonts w:ascii="Times New Roman" w:eastAsia="CMR12" w:hAnsi="Times New Roman" w:cs="Times New Roman"/>
          <w:sz w:val="24"/>
          <w:szCs w:val="24"/>
        </w:rPr>
        <w:t>on</w:t>
      </w:r>
      <w:r w:rsidRPr="00095A37">
        <w:rPr>
          <w:rFonts w:ascii="Times New Roman" w:eastAsia="CMR12" w:hAnsi="Times New Roman" w:cs="Times New Roman"/>
          <w:sz w:val="24"/>
          <w:szCs w:val="24"/>
        </w:rPr>
        <w:t xml:space="preserve"> </w:t>
      </w:r>
      <w:r w:rsidRPr="00095A37">
        <w:rPr>
          <w:rFonts w:ascii="Times New Roman" w:eastAsia="CMR12" w:hAnsi="Times New Roman" w:cs="Times New Roman"/>
          <w:i/>
          <w:sz w:val="24"/>
          <w:szCs w:val="24"/>
        </w:rPr>
        <w:t>Vega</w:t>
      </w:r>
      <w:r w:rsidRPr="00095A37">
        <w:rPr>
          <w:rFonts w:ascii="Times New Roman" w:eastAsia="CMR12" w:hAnsi="Times New Roman" w:cs="Times New Roman"/>
          <w:sz w:val="24"/>
          <w:szCs w:val="24"/>
        </w:rPr>
        <w:t xml:space="preserve"> </w:t>
      </w:r>
      <w:r>
        <w:rPr>
          <w:rFonts w:ascii="Times New Roman" w:hAnsi="Times New Roman" w:cs="Times New Roman"/>
          <w:color w:val="222222"/>
          <w:sz w:val="24"/>
          <w:szCs w:val="24"/>
          <w:shd w:val="clear" w:color="auto" w:fill="FFFFFF"/>
        </w:rPr>
        <w:t>suggests</w:t>
      </w:r>
      <w:r w:rsidRPr="00095A37">
        <w:rPr>
          <w:rFonts w:ascii="Times New Roman" w:hAnsi="Times New Roman" w:cs="Times New Roman"/>
          <w:color w:val="222222"/>
          <w:sz w:val="24"/>
          <w:szCs w:val="24"/>
          <w:shd w:val="clear" w:color="auto" w:fill="FFFFFF"/>
        </w:rPr>
        <w:t xml:space="preserve"> that the effect of </w:t>
      </w:r>
      <w:r w:rsidRPr="00095A37">
        <w:rPr>
          <w:rFonts w:ascii="Times New Roman" w:hAnsi="Times New Roman" w:cs="Times New Roman"/>
          <w:i/>
          <w:color w:val="222222"/>
          <w:sz w:val="24"/>
          <w:szCs w:val="24"/>
          <w:shd w:val="clear" w:color="auto" w:fill="FFFFFF"/>
        </w:rPr>
        <w:t>Vega</w:t>
      </w:r>
      <w:r w:rsidRPr="00095A37">
        <w:rPr>
          <w:rFonts w:ascii="Times New Roman" w:hAnsi="Times New Roman" w:cs="Times New Roman"/>
          <w:color w:val="222222"/>
          <w:sz w:val="24"/>
          <w:szCs w:val="24"/>
          <w:shd w:val="clear" w:color="auto" w:fill="FFFFFF"/>
        </w:rPr>
        <w:t xml:space="preserve"> on </w:t>
      </w:r>
      <w:r w:rsidRPr="00095A37">
        <w:rPr>
          <w:rFonts w:ascii="Times New Roman" w:hAnsi="Times New Roman" w:cs="Times New Roman"/>
          <w:i/>
          <w:color w:val="222222"/>
          <w:sz w:val="24"/>
          <w:szCs w:val="24"/>
          <w:shd w:val="clear" w:color="auto" w:fill="FFFFFF"/>
        </w:rPr>
        <w:t>Violations</w:t>
      </w:r>
      <w:r w:rsidRPr="00095A37">
        <w:rPr>
          <w:rFonts w:ascii="Times New Roman" w:hAnsi="Times New Roman" w:cs="Times New Roman"/>
          <w:color w:val="222222"/>
          <w:sz w:val="24"/>
          <w:szCs w:val="24"/>
          <w:shd w:val="clear" w:color="auto" w:fill="FFFFFF"/>
        </w:rPr>
        <w:t xml:space="preserve"> </w:t>
      </w:r>
      <w:r w:rsidR="00D9343A">
        <w:rPr>
          <w:rFonts w:ascii="Times New Roman" w:hAnsi="Times New Roman" w:cs="Times New Roman"/>
          <w:color w:val="222222"/>
          <w:sz w:val="24"/>
          <w:szCs w:val="24"/>
          <w:shd w:val="clear" w:color="auto" w:fill="FFFFFF"/>
        </w:rPr>
        <w:t xml:space="preserve">is conditional on the CEO taking risky actions </w:t>
      </w:r>
      <w:r w:rsidR="004F03DB">
        <w:rPr>
          <w:rFonts w:ascii="Times New Roman" w:eastAsia="CMR12" w:hAnsi="Times New Roman" w:cs="Times New Roman"/>
          <w:sz w:val="24"/>
          <w:szCs w:val="24"/>
        </w:rPr>
        <w:t>by cutting health and safety expenses or by significantly increasing employee workloads</w:t>
      </w:r>
      <w:r>
        <w:rPr>
          <w:rFonts w:ascii="Times New Roman" w:eastAsia="CMR12" w:hAnsi="Times New Roman" w:cs="Times New Roman"/>
          <w:sz w:val="24"/>
          <w:szCs w:val="24"/>
        </w:rPr>
        <w:t>.</w:t>
      </w:r>
    </w:p>
    <w:p w14:paraId="293A408E" w14:textId="77777777" w:rsidR="00891D31" w:rsidRDefault="00891D31" w:rsidP="004F03DB">
      <w:pPr>
        <w:spacing w:after="0" w:line="480" w:lineRule="auto"/>
        <w:ind w:firstLine="720"/>
        <w:jc w:val="both"/>
        <w:rPr>
          <w:rFonts w:ascii="Times New Roman" w:eastAsia="CMR12" w:hAnsi="Times New Roman" w:cs="Times New Roman"/>
          <w:sz w:val="24"/>
          <w:szCs w:val="24"/>
        </w:rPr>
      </w:pPr>
    </w:p>
    <w:p w14:paraId="22D658C7" w14:textId="77777777" w:rsidR="00891D31" w:rsidRDefault="00891D31" w:rsidP="004F03DB">
      <w:pPr>
        <w:spacing w:after="0" w:line="480" w:lineRule="auto"/>
        <w:ind w:firstLine="720"/>
        <w:jc w:val="both"/>
        <w:rPr>
          <w:rFonts w:ascii="Times New Roman" w:eastAsia="CMR12" w:hAnsi="Times New Roman" w:cs="Times New Roman"/>
          <w:sz w:val="24"/>
          <w:szCs w:val="24"/>
        </w:rPr>
      </w:pPr>
    </w:p>
    <w:p w14:paraId="40D93A58" w14:textId="0725CE07" w:rsidR="000521F3" w:rsidRPr="004F0267" w:rsidRDefault="00EF372B" w:rsidP="006B635B">
      <w:pPr>
        <w:spacing w:after="0" w:line="480" w:lineRule="auto"/>
        <w:jc w:val="center"/>
        <w:rPr>
          <w:rFonts w:asciiTheme="majorBidi" w:hAnsiTheme="majorBidi" w:cstheme="majorBidi"/>
          <w:b/>
          <w:bCs/>
          <w:caps/>
          <w:sz w:val="24"/>
          <w:szCs w:val="24"/>
          <w:lang w:val="en-US"/>
        </w:rPr>
      </w:pPr>
      <w:r>
        <w:rPr>
          <w:rFonts w:asciiTheme="majorBidi" w:hAnsiTheme="majorBidi" w:cstheme="majorBidi"/>
          <w:b/>
          <w:bCs/>
          <w:caps/>
          <w:sz w:val="24"/>
          <w:szCs w:val="24"/>
          <w:lang w:val="en-US"/>
        </w:rPr>
        <w:lastRenderedPageBreak/>
        <w:t>VI</w:t>
      </w:r>
      <w:r w:rsidR="000521F3" w:rsidRPr="004F0267">
        <w:rPr>
          <w:rFonts w:asciiTheme="majorBidi" w:hAnsiTheme="majorBidi" w:cstheme="majorBidi"/>
          <w:b/>
          <w:bCs/>
          <w:caps/>
          <w:sz w:val="24"/>
          <w:szCs w:val="24"/>
          <w:lang w:val="en-US"/>
        </w:rPr>
        <w:t>. Robustness and further analysis</w:t>
      </w:r>
    </w:p>
    <w:p w14:paraId="58BEFF7B" w14:textId="26817795" w:rsidR="00D51902" w:rsidRPr="00D864AC" w:rsidRDefault="00D51902" w:rsidP="00F624ED">
      <w:pPr>
        <w:spacing w:after="0" w:line="480" w:lineRule="auto"/>
        <w:jc w:val="both"/>
        <w:rPr>
          <w:rFonts w:asciiTheme="majorBidi" w:hAnsiTheme="majorBidi" w:cstheme="majorBidi"/>
          <w:i/>
          <w:iCs/>
          <w:sz w:val="24"/>
          <w:szCs w:val="24"/>
          <w:lang w:val="en-US"/>
        </w:rPr>
      </w:pPr>
      <w:r w:rsidRPr="00E94ECC">
        <w:rPr>
          <w:rFonts w:asciiTheme="majorBidi" w:hAnsiTheme="majorBidi" w:cstheme="majorBidi"/>
          <w:i/>
          <w:iCs/>
          <w:sz w:val="24"/>
          <w:szCs w:val="24"/>
          <w:lang w:val="en-US"/>
        </w:rPr>
        <w:t>6.1 Robustness tests</w:t>
      </w:r>
    </w:p>
    <w:p w14:paraId="608674EE" w14:textId="06D36CD3" w:rsidR="006C47FB" w:rsidRPr="00D864AC" w:rsidRDefault="00293726" w:rsidP="00F624ED">
      <w:pPr>
        <w:spacing w:after="0" w:line="480" w:lineRule="auto"/>
        <w:ind w:firstLine="720"/>
        <w:jc w:val="both"/>
        <w:rPr>
          <w:rFonts w:asciiTheme="majorBidi" w:hAnsiTheme="majorBidi" w:cstheme="majorBidi"/>
          <w:sz w:val="24"/>
          <w:szCs w:val="24"/>
          <w:lang w:val="en-US"/>
        </w:rPr>
      </w:pPr>
      <w:r w:rsidRPr="00D864AC">
        <w:rPr>
          <w:rFonts w:asciiTheme="majorBidi" w:hAnsiTheme="majorBidi" w:cstheme="majorBidi"/>
          <w:sz w:val="24"/>
          <w:szCs w:val="24"/>
          <w:lang w:val="en-US"/>
        </w:rPr>
        <w:t>We under</w:t>
      </w:r>
      <w:r w:rsidR="00A21306" w:rsidRPr="00D864AC">
        <w:rPr>
          <w:rFonts w:asciiTheme="majorBidi" w:hAnsiTheme="majorBidi" w:cstheme="majorBidi"/>
          <w:sz w:val="24"/>
          <w:szCs w:val="24"/>
          <w:lang w:val="en-US"/>
        </w:rPr>
        <w:t>t</w:t>
      </w:r>
      <w:r w:rsidRPr="00D864AC">
        <w:rPr>
          <w:rFonts w:asciiTheme="majorBidi" w:hAnsiTheme="majorBidi" w:cstheme="majorBidi"/>
          <w:sz w:val="24"/>
          <w:szCs w:val="24"/>
          <w:lang w:val="en-US"/>
        </w:rPr>
        <w:t xml:space="preserve">ake a series of robustness tests to </w:t>
      </w:r>
      <w:r w:rsidR="002C4F69">
        <w:rPr>
          <w:rFonts w:asciiTheme="majorBidi" w:hAnsiTheme="majorBidi" w:cstheme="majorBidi"/>
          <w:sz w:val="24"/>
          <w:szCs w:val="24"/>
          <w:lang w:val="en-US"/>
        </w:rPr>
        <w:t>examine</w:t>
      </w:r>
      <w:r w:rsidRPr="00D864AC">
        <w:rPr>
          <w:rFonts w:asciiTheme="majorBidi" w:hAnsiTheme="majorBidi" w:cstheme="majorBidi"/>
          <w:sz w:val="24"/>
          <w:szCs w:val="24"/>
          <w:lang w:val="en-US"/>
        </w:rPr>
        <w:t xml:space="preserve"> the sensitivity of our results. First, to ensure that differences </w:t>
      </w:r>
      <w:r w:rsidR="00D864AC">
        <w:rPr>
          <w:rFonts w:asciiTheme="majorBidi" w:hAnsiTheme="majorBidi" w:cstheme="majorBidi"/>
          <w:sz w:val="24"/>
          <w:szCs w:val="24"/>
          <w:lang w:val="en-US"/>
        </w:rPr>
        <w:t xml:space="preserve">in size </w:t>
      </w:r>
      <w:r w:rsidRPr="00D864AC">
        <w:rPr>
          <w:rFonts w:asciiTheme="majorBidi" w:hAnsiTheme="majorBidi" w:cstheme="majorBidi"/>
          <w:sz w:val="24"/>
          <w:szCs w:val="24"/>
          <w:lang w:val="en-US"/>
        </w:rPr>
        <w:t xml:space="preserve">between firms do not drive our baseline results, we run our baseline analysis with the dependent variables scaled by size. Specifically, we scale </w:t>
      </w:r>
      <w:r w:rsidRPr="00D864AC">
        <w:rPr>
          <w:rFonts w:asciiTheme="majorBidi" w:hAnsiTheme="majorBidi" w:cstheme="majorBidi"/>
          <w:i/>
          <w:iCs/>
          <w:sz w:val="24"/>
          <w:szCs w:val="24"/>
          <w:lang w:val="en-US"/>
        </w:rPr>
        <w:t xml:space="preserve">Violations </w:t>
      </w:r>
      <w:r w:rsidRPr="00D864AC">
        <w:rPr>
          <w:rFonts w:asciiTheme="majorBidi" w:hAnsiTheme="majorBidi" w:cstheme="majorBidi"/>
          <w:sz w:val="24"/>
          <w:szCs w:val="24"/>
          <w:lang w:val="en-US"/>
        </w:rPr>
        <w:t xml:space="preserve">and </w:t>
      </w:r>
      <w:r w:rsidRPr="00D864AC">
        <w:rPr>
          <w:rFonts w:asciiTheme="majorBidi" w:hAnsiTheme="majorBidi" w:cstheme="majorBidi"/>
          <w:i/>
          <w:iCs/>
          <w:sz w:val="24"/>
          <w:szCs w:val="24"/>
          <w:lang w:val="en-US"/>
        </w:rPr>
        <w:t xml:space="preserve">Penalties </w:t>
      </w:r>
      <w:r w:rsidRPr="00D864AC">
        <w:rPr>
          <w:rFonts w:asciiTheme="majorBidi" w:hAnsiTheme="majorBidi" w:cstheme="majorBidi"/>
          <w:sz w:val="24"/>
          <w:szCs w:val="24"/>
          <w:lang w:val="en-US"/>
        </w:rPr>
        <w:t xml:space="preserve">by total assets to compute </w:t>
      </w:r>
      <w:proofErr w:type="gramStart"/>
      <w:r w:rsidRPr="00D864AC">
        <w:rPr>
          <w:rFonts w:asciiTheme="majorBidi" w:hAnsiTheme="majorBidi" w:cstheme="majorBidi"/>
          <w:i/>
          <w:iCs/>
          <w:sz w:val="24"/>
          <w:szCs w:val="24"/>
          <w:lang w:val="en-US"/>
        </w:rPr>
        <w:t>ln(</w:t>
      </w:r>
      <w:proofErr w:type="spellStart"/>
      <w:proofErr w:type="gramEnd"/>
      <w:r w:rsidRPr="00D864AC">
        <w:rPr>
          <w:rFonts w:asciiTheme="majorBidi" w:hAnsiTheme="majorBidi" w:cstheme="majorBidi"/>
          <w:i/>
          <w:iCs/>
          <w:sz w:val="24"/>
          <w:szCs w:val="24"/>
          <w:lang w:val="en-US"/>
        </w:rPr>
        <w:t>Scaled_Violations</w:t>
      </w:r>
      <w:proofErr w:type="spellEnd"/>
      <w:r w:rsidRPr="00D864AC">
        <w:rPr>
          <w:rFonts w:asciiTheme="majorBidi" w:hAnsiTheme="majorBidi" w:cstheme="majorBidi"/>
          <w:i/>
          <w:iCs/>
          <w:sz w:val="24"/>
          <w:szCs w:val="24"/>
          <w:lang w:val="en-US"/>
        </w:rPr>
        <w:t xml:space="preserve">) </w:t>
      </w:r>
      <w:r w:rsidRPr="00D864AC">
        <w:rPr>
          <w:rFonts w:asciiTheme="majorBidi" w:hAnsiTheme="majorBidi" w:cstheme="majorBidi"/>
          <w:sz w:val="24"/>
          <w:szCs w:val="24"/>
          <w:lang w:val="en-US"/>
        </w:rPr>
        <w:t xml:space="preserve">and </w:t>
      </w:r>
      <w:r w:rsidRPr="00D864AC">
        <w:rPr>
          <w:rFonts w:asciiTheme="majorBidi" w:hAnsiTheme="majorBidi" w:cstheme="majorBidi"/>
          <w:i/>
          <w:iCs/>
          <w:sz w:val="24"/>
          <w:szCs w:val="24"/>
          <w:lang w:val="en-US"/>
        </w:rPr>
        <w:t>ln(</w:t>
      </w:r>
      <w:proofErr w:type="spellStart"/>
      <w:r w:rsidRPr="00D864AC">
        <w:rPr>
          <w:rFonts w:asciiTheme="majorBidi" w:hAnsiTheme="majorBidi" w:cstheme="majorBidi"/>
          <w:i/>
          <w:iCs/>
          <w:sz w:val="24"/>
          <w:szCs w:val="24"/>
          <w:lang w:val="en-US"/>
        </w:rPr>
        <w:t>Scaled_Penalties</w:t>
      </w:r>
      <w:proofErr w:type="spellEnd"/>
      <w:r w:rsidRPr="00D864AC">
        <w:rPr>
          <w:rFonts w:asciiTheme="majorBidi" w:hAnsiTheme="majorBidi" w:cstheme="majorBidi"/>
          <w:i/>
          <w:iCs/>
          <w:sz w:val="24"/>
          <w:szCs w:val="24"/>
          <w:lang w:val="en-US"/>
        </w:rPr>
        <w:t>)</w:t>
      </w:r>
      <w:r w:rsidRPr="00D864AC">
        <w:rPr>
          <w:rFonts w:asciiTheme="majorBidi" w:hAnsiTheme="majorBidi" w:cstheme="majorBidi"/>
          <w:sz w:val="24"/>
          <w:szCs w:val="24"/>
          <w:lang w:val="en-US"/>
        </w:rPr>
        <w:t>. Panel A of Table 1</w:t>
      </w:r>
      <w:r w:rsidR="00A85564">
        <w:rPr>
          <w:rFonts w:asciiTheme="majorBidi" w:hAnsiTheme="majorBidi" w:cstheme="majorBidi"/>
          <w:sz w:val="24"/>
          <w:szCs w:val="24"/>
          <w:lang w:val="en-US"/>
        </w:rPr>
        <w:t>0</w:t>
      </w:r>
      <w:r w:rsidRPr="00D864AC">
        <w:rPr>
          <w:rFonts w:asciiTheme="majorBidi" w:hAnsiTheme="majorBidi" w:cstheme="majorBidi"/>
          <w:sz w:val="24"/>
          <w:szCs w:val="24"/>
          <w:lang w:val="en-US"/>
        </w:rPr>
        <w:t xml:space="preserve"> shows the results when we use the scaled dependent variables in Eq. (1)</w:t>
      </w:r>
      <w:r w:rsidR="00B414CF" w:rsidRPr="00D864AC">
        <w:rPr>
          <w:rFonts w:asciiTheme="majorBidi" w:hAnsiTheme="majorBidi" w:cstheme="majorBidi"/>
          <w:sz w:val="24"/>
          <w:szCs w:val="24"/>
          <w:lang w:val="en-US"/>
        </w:rPr>
        <w:t>.</w:t>
      </w:r>
      <w:r w:rsidRPr="00D864AC">
        <w:rPr>
          <w:rStyle w:val="FootnoteReference"/>
          <w:rFonts w:asciiTheme="majorBidi" w:hAnsiTheme="majorBidi" w:cstheme="majorBidi"/>
          <w:sz w:val="24"/>
          <w:szCs w:val="24"/>
          <w:lang w:val="en-US"/>
        </w:rPr>
        <w:footnoteReference w:id="20"/>
      </w:r>
      <w:r w:rsidR="00B414CF" w:rsidRPr="00D864AC">
        <w:rPr>
          <w:rFonts w:asciiTheme="majorBidi" w:hAnsiTheme="majorBidi" w:cstheme="majorBidi"/>
          <w:sz w:val="24"/>
          <w:szCs w:val="24"/>
          <w:lang w:val="en-US"/>
        </w:rPr>
        <w:t xml:space="preserve"> In line with our baseline results, the coefficient on </w:t>
      </w:r>
      <w:r w:rsidR="00B414CF" w:rsidRPr="00D864AC">
        <w:rPr>
          <w:rFonts w:asciiTheme="majorBidi" w:hAnsiTheme="majorBidi" w:cstheme="majorBidi"/>
          <w:i/>
          <w:iCs/>
          <w:sz w:val="24"/>
          <w:szCs w:val="24"/>
          <w:lang w:val="en-US"/>
        </w:rPr>
        <w:t xml:space="preserve">Vega </w:t>
      </w:r>
      <w:r w:rsidR="00B414CF" w:rsidRPr="00D864AC">
        <w:rPr>
          <w:rFonts w:asciiTheme="majorBidi" w:hAnsiTheme="majorBidi" w:cstheme="majorBidi"/>
          <w:sz w:val="24"/>
          <w:szCs w:val="24"/>
          <w:lang w:val="en-US"/>
        </w:rPr>
        <w:t xml:space="preserve">when either </w:t>
      </w:r>
      <w:proofErr w:type="gramStart"/>
      <w:r w:rsidR="00B414CF" w:rsidRPr="00D864AC">
        <w:rPr>
          <w:rFonts w:asciiTheme="majorBidi" w:hAnsiTheme="majorBidi" w:cstheme="majorBidi"/>
          <w:i/>
          <w:iCs/>
          <w:sz w:val="24"/>
          <w:szCs w:val="24"/>
          <w:lang w:val="en-US"/>
        </w:rPr>
        <w:t>ln(</w:t>
      </w:r>
      <w:proofErr w:type="spellStart"/>
      <w:proofErr w:type="gramEnd"/>
      <w:r w:rsidR="00B414CF" w:rsidRPr="00D864AC">
        <w:rPr>
          <w:rFonts w:asciiTheme="majorBidi" w:hAnsiTheme="majorBidi" w:cstheme="majorBidi"/>
          <w:i/>
          <w:iCs/>
          <w:sz w:val="24"/>
          <w:szCs w:val="24"/>
          <w:lang w:val="en-US"/>
        </w:rPr>
        <w:t>Scaled_Violations</w:t>
      </w:r>
      <w:proofErr w:type="spellEnd"/>
      <w:r w:rsidR="00B414CF" w:rsidRPr="00D864AC">
        <w:rPr>
          <w:rFonts w:asciiTheme="majorBidi" w:hAnsiTheme="majorBidi" w:cstheme="majorBidi"/>
          <w:i/>
          <w:iCs/>
          <w:sz w:val="24"/>
          <w:szCs w:val="24"/>
          <w:lang w:val="en-US"/>
        </w:rPr>
        <w:t xml:space="preserve">) </w:t>
      </w:r>
      <w:r w:rsidR="00B414CF" w:rsidRPr="00D864AC">
        <w:rPr>
          <w:rFonts w:asciiTheme="majorBidi" w:hAnsiTheme="majorBidi" w:cstheme="majorBidi"/>
          <w:sz w:val="24"/>
          <w:szCs w:val="24"/>
          <w:lang w:val="en-US"/>
        </w:rPr>
        <w:t xml:space="preserve">or </w:t>
      </w:r>
      <w:r w:rsidR="00B414CF" w:rsidRPr="00D864AC">
        <w:rPr>
          <w:rFonts w:asciiTheme="majorBidi" w:hAnsiTheme="majorBidi" w:cstheme="majorBidi"/>
          <w:i/>
          <w:iCs/>
          <w:sz w:val="24"/>
          <w:szCs w:val="24"/>
          <w:lang w:val="en-US"/>
        </w:rPr>
        <w:t>ln(</w:t>
      </w:r>
      <w:proofErr w:type="spellStart"/>
      <w:r w:rsidR="00B414CF" w:rsidRPr="00D864AC">
        <w:rPr>
          <w:rFonts w:asciiTheme="majorBidi" w:hAnsiTheme="majorBidi" w:cstheme="majorBidi"/>
          <w:i/>
          <w:iCs/>
          <w:sz w:val="24"/>
          <w:szCs w:val="24"/>
          <w:lang w:val="en-US"/>
        </w:rPr>
        <w:t>Scaled_Penalties</w:t>
      </w:r>
      <w:proofErr w:type="spellEnd"/>
      <w:r w:rsidR="00B414CF" w:rsidRPr="00D864AC">
        <w:rPr>
          <w:rFonts w:asciiTheme="majorBidi" w:hAnsiTheme="majorBidi" w:cstheme="majorBidi"/>
          <w:i/>
          <w:iCs/>
          <w:sz w:val="24"/>
          <w:szCs w:val="24"/>
          <w:lang w:val="en-US"/>
        </w:rPr>
        <w:t xml:space="preserve">) </w:t>
      </w:r>
      <w:r w:rsidR="00B414CF" w:rsidRPr="00D864AC">
        <w:rPr>
          <w:rFonts w:asciiTheme="majorBidi" w:hAnsiTheme="majorBidi" w:cstheme="majorBidi"/>
          <w:sz w:val="24"/>
          <w:szCs w:val="24"/>
          <w:lang w:val="en-US"/>
        </w:rPr>
        <w:t xml:space="preserve">is the dependent variable is positive and significant. </w:t>
      </w:r>
    </w:p>
    <w:p w14:paraId="0E8287DB" w14:textId="77134A9D" w:rsidR="009A5363" w:rsidRPr="00D864AC" w:rsidRDefault="00B414CF" w:rsidP="00E03F29">
      <w:pPr>
        <w:spacing w:after="0" w:line="480" w:lineRule="auto"/>
        <w:jc w:val="both"/>
        <w:rPr>
          <w:rFonts w:asciiTheme="majorBidi" w:hAnsiTheme="majorBidi" w:cstheme="majorBidi"/>
          <w:sz w:val="24"/>
          <w:szCs w:val="24"/>
          <w:lang w:val="en-US"/>
        </w:rPr>
      </w:pPr>
      <w:r w:rsidRPr="00D864AC">
        <w:rPr>
          <w:rFonts w:asciiTheme="majorBidi" w:hAnsiTheme="majorBidi" w:cstheme="majorBidi"/>
          <w:sz w:val="24"/>
          <w:szCs w:val="24"/>
          <w:lang w:val="en-US"/>
        </w:rPr>
        <w:tab/>
        <w:t>Second, to ensure that our results for the matched sample are not sensitive to the type of matching, we create a</w:t>
      </w:r>
      <w:r w:rsidR="002753C1">
        <w:rPr>
          <w:rFonts w:asciiTheme="majorBidi" w:hAnsiTheme="majorBidi" w:cstheme="majorBidi"/>
          <w:sz w:val="24"/>
          <w:szCs w:val="24"/>
          <w:lang w:val="en-US"/>
        </w:rPr>
        <w:t>n</w:t>
      </w:r>
      <w:r w:rsidR="002753C1" w:rsidRPr="00166619">
        <w:rPr>
          <w:rFonts w:asciiTheme="majorBidi" w:hAnsiTheme="majorBidi" w:cstheme="majorBidi"/>
          <w:sz w:val="24"/>
          <w:szCs w:val="24"/>
          <w:lang w:val="en-US"/>
        </w:rPr>
        <w:t xml:space="preserve"> </w:t>
      </w:r>
      <w:r w:rsidR="002753C1" w:rsidRPr="00044213">
        <w:rPr>
          <w:rFonts w:asciiTheme="majorBidi" w:hAnsiTheme="majorBidi" w:cstheme="majorBidi"/>
          <w:i/>
          <w:iCs/>
          <w:sz w:val="24"/>
          <w:szCs w:val="24"/>
          <w:lang w:val="en-US"/>
        </w:rPr>
        <w:t>“</w:t>
      </w:r>
      <w:r w:rsidR="002753C1" w:rsidRPr="00071355">
        <w:rPr>
          <w:rFonts w:asciiTheme="majorBidi" w:hAnsiTheme="majorBidi" w:cstheme="majorBidi"/>
          <w:i/>
          <w:iCs/>
          <w:sz w:val="24"/>
          <w:szCs w:val="24"/>
          <w:lang w:val="en-US"/>
        </w:rPr>
        <w:t>out</w:t>
      </w:r>
      <w:r w:rsidR="00166619" w:rsidRPr="00071355">
        <w:rPr>
          <w:rFonts w:asciiTheme="majorBidi" w:hAnsiTheme="majorBidi" w:cstheme="majorBidi"/>
          <w:i/>
          <w:iCs/>
          <w:sz w:val="24"/>
          <w:szCs w:val="24"/>
          <w:lang w:val="en-US"/>
        </w:rPr>
        <w:t>c</w:t>
      </w:r>
      <w:r w:rsidR="002753C1" w:rsidRPr="00071355">
        <w:rPr>
          <w:rFonts w:asciiTheme="majorBidi" w:hAnsiTheme="majorBidi" w:cstheme="majorBidi"/>
          <w:i/>
          <w:iCs/>
          <w:sz w:val="24"/>
          <w:szCs w:val="24"/>
          <w:lang w:val="en-US"/>
        </w:rPr>
        <w:t>ome based matched</w:t>
      </w:r>
      <w:r w:rsidR="002753C1" w:rsidRPr="00044213">
        <w:rPr>
          <w:rFonts w:asciiTheme="majorBidi" w:hAnsiTheme="majorBidi" w:cstheme="majorBidi"/>
          <w:i/>
          <w:iCs/>
          <w:sz w:val="24"/>
          <w:szCs w:val="24"/>
          <w:lang w:val="en-US"/>
        </w:rPr>
        <w:t>”</w:t>
      </w:r>
      <w:r w:rsidR="002753C1" w:rsidRPr="00166619">
        <w:rPr>
          <w:rFonts w:asciiTheme="majorBidi" w:hAnsiTheme="majorBidi" w:cstheme="majorBidi"/>
          <w:sz w:val="24"/>
          <w:szCs w:val="24"/>
          <w:lang w:val="en-US"/>
        </w:rPr>
        <w:t xml:space="preserve"> </w:t>
      </w:r>
      <w:r w:rsidRPr="00D864AC">
        <w:rPr>
          <w:rFonts w:asciiTheme="majorBidi" w:hAnsiTheme="majorBidi" w:cstheme="majorBidi"/>
          <w:sz w:val="24"/>
          <w:szCs w:val="24"/>
          <w:lang w:val="en-US"/>
        </w:rPr>
        <w:t xml:space="preserve">sample where we match treatment with control observations based on </w:t>
      </w:r>
      <w:r w:rsidRPr="00166619">
        <w:rPr>
          <w:rFonts w:asciiTheme="majorBidi" w:hAnsiTheme="majorBidi" w:cstheme="majorBidi"/>
          <w:sz w:val="24"/>
          <w:szCs w:val="24"/>
          <w:lang w:val="en-US"/>
        </w:rPr>
        <w:t>size, industry</w:t>
      </w:r>
      <w:r w:rsidR="00166619">
        <w:rPr>
          <w:rFonts w:asciiTheme="majorBidi" w:hAnsiTheme="majorBidi" w:cstheme="majorBidi"/>
          <w:sz w:val="24"/>
          <w:szCs w:val="24"/>
          <w:lang w:val="en-US"/>
        </w:rPr>
        <w:t>,</w:t>
      </w:r>
      <w:r w:rsidRPr="00166619">
        <w:rPr>
          <w:rFonts w:asciiTheme="majorBidi" w:hAnsiTheme="majorBidi" w:cstheme="majorBidi"/>
          <w:sz w:val="24"/>
          <w:szCs w:val="24"/>
          <w:lang w:val="en-US"/>
        </w:rPr>
        <w:t xml:space="preserve"> and year. </w:t>
      </w:r>
      <w:r w:rsidR="00A21306" w:rsidRPr="00166619">
        <w:rPr>
          <w:rFonts w:asciiTheme="majorBidi" w:hAnsiTheme="majorBidi" w:cstheme="majorBidi"/>
          <w:sz w:val="24"/>
          <w:szCs w:val="24"/>
          <w:lang w:val="en-US"/>
        </w:rPr>
        <w:t xml:space="preserve">Specifically, we match each violating firm to a non-violating firm at </w:t>
      </w:r>
      <w:r w:rsidR="00071355">
        <w:rPr>
          <w:rFonts w:asciiTheme="majorBidi" w:hAnsiTheme="majorBidi" w:cstheme="majorBidi"/>
          <w:sz w:val="24"/>
          <w:szCs w:val="24"/>
          <w:lang w:val="en-US"/>
        </w:rPr>
        <w:t>the</w:t>
      </w:r>
      <w:r w:rsidR="00A21306" w:rsidRPr="00166619">
        <w:rPr>
          <w:rFonts w:asciiTheme="majorBidi" w:hAnsiTheme="majorBidi" w:cstheme="majorBidi"/>
          <w:sz w:val="24"/>
          <w:szCs w:val="24"/>
          <w:lang w:val="en-US"/>
        </w:rPr>
        <w:t xml:space="preserve"> time when the violating firm enters our sample. We select control firms to minimi</w:t>
      </w:r>
      <w:r w:rsidR="00F62082" w:rsidRPr="00166619">
        <w:rPr>
          <w:rFonts w:asciiTheme="majorBidi" w:hAnsiTheme="majorBidi" w:cstheme="majorBidi"/>
          <w:sz w:val="24"/>
          <w:szCs w:val="24"/>
          <w:lang w:val="en-US"/>
        </w:rPr>
        <w:t>z</w:t>
      </w:r>
      <w:r w:rsidR="00A21306" w:rsidRPr="00166619">
        <w:rPr>
          <w:rFonts w:asciiTheme="majorBidi" w:hAnsiTheme="majorBidi" w:cstheme="majorBidi"/>
          <w:sz w:val="24"/>
          <w:szCs w:val="24"/>
          <w:lang w:val="en-US"/>
        </w:rPr>
        <w:t xml:space="preserve">e differences in size and industry. </w:t>
      </w:r>
      <w:r w:rsidR="009A5363" w:rsidRPr="00166619">
        <w:rPr>
          <w:rFonts w:asciiTheme="majorBidi" w:hAnsiTheme="majorBidi" w:cstheme="majorBidi"/>
          <w:sz w:val="24"/>
          <w:szCs w:val="24"/>
          <w:lang w:val="en-US"/>
        </w:rPr>
        <w:t>To improve the quality of our matching procedure, we match with replacement so that the quality of matching is not unduly influenced by the number of matched observations.</w:t>
      </w:r>
      <w:r w:rsidR="009A5363" w:rsidRPr="00D864AC">
        <w:rPr>
          <w:rFonts w:asciiTheme="majorBidi" w:hAnsiTheme="majorBidi" w:cstheme="majorBidi"/>
          <w:sz w:val="24"/>
          <w:szCs w:val="24"/>
          <w:lang w:val="en-US"/>
        </w:rPr>
        <w:t xml:space="preserve"> Panel B of Table 1</w:t>
      </w:r>
      <w:r w:rsidR="00A85564">
        <w:rPr>
          <w:rFonts w:asciiTheme="majorBidi" w:hAnsiTheme="majorBidi" w:cstheme="majorBidi"/>
          <w:sz w:val="24"/>
          <w:szCs w:val="24"/>
          <w:lang w:val="en-US"/>
        </w:rPr>
        <w:t>0</w:t>
      </w:r>
      <w:r w:rsidR="009A5363" w:rsidRPr="00D864AC">
        <w:rPr>
          <w:rFonts w:asciiTheme="majorBidi" w:hAnsiTheme="majorBidi" w:cstheme="majorBidi"/>
          <w:sz w:val="24"/>
          <w:szCs w:val="24"/>
          <w:lang w:val="en-US"/>
        </w:rPr>
        <w:t xml:space="preserve"> shows the results when matching on size, industry</w:t>
      </w:r>
      <w:r w:rsidR="00166619">
        <w:rPr>
          <w:rFonts w:asciiTheme="majorBidi" w:hAnsiTheme="majorBidi" w:cstheme="majorBidi"/>
          <w:sz w:val="24"/>
          <w:szCs w:val="24"/>
          <w:lang w:val="en-US"/>
        </w:rPr>
        <w:t>,</w:t>
      </w:r>
      <w:r w:rsidR="009A5363" w:rsidRPr="00D864AC">
        <w:rPr>
          <w:rFonts w:asciiTheme="majorBidi" w:hAnsiTheme="majorBidi" w:cstheme="majorBidi"/>
          <w:sz w:val="24"/>
          <w:szCs w:val="24"/>
          <w:lang w:val="en-US"/>
        </w:rPr>
        <w:t xml:space="preserve"> and year. Columns (1) and (2) sho</w:t>
      </w:r>
      <w:r w:rsidR="006D46DE" w:rsidRPr="00D864AC">
        <w:rPr>
          <w:rFonts w:asciiTheme="majorBidi" w:hAnsiTheme="majorBidi" w:cstheme="majorBidi"/>
          <w:sz w:val="24"/>
          <w:szCs w:val="24"/>
          <w:lang w:val="en-US"/>
        </w:rPr>
        <w:t>w the results when the number of violations is the dependent variable and we run Eq</w:t>
      </w:r>
      <w:r w:rsidR="00D864AC">
        <w:rPr>
          <w:rFonts w:asciiTheme="majorBidi" w:hAnsiTheme="majorBidi" w:cstheme="majorBidi"/>
          <w:sz w:val="24"/>
          <w:szCs w:val="24"/>
          <w:lang w:val="en-US"/>
        </w:rPr>
        <w:t>.</w:t>
      </w:r>
      <w:r w:rsidR="006D46DE" w:rsidRPr="00D864AC">
        <w:rPr>
          <w:rFonts w:asciiTheme="majorBidi" w:hAnsiTheme="majorBidi" w:cstheme="majorBidi"/>
          <w:sz w:val="24"/>
          <w:szCs w:val="24"/>
          <w:lang w:val="en-US"/>
        </w:rPr>
        <w:t xml:space="preserve"> (1) as an OLS and Poisson regression</w:t>
      </w:r>
      <w:r w:rsidR="00E94ECC">
        <w:rPr>
          <w:rFonts w:asciiTheme="majorBidi" w:hAnsiTheme="majorBidi" w:cstheme="majorBidi"/>
          <w:sz w:val="24"/>
          <w:szCs w:val="24"/>
          <w:lang w:val="en-US"/>
        </w:rPr>
        <w:t>s</w:t>
      </w:r>
      <w:r w:rsidR="006D46DE" w:rsidRPr="00D864AC">
        <w:rPr>
          <w:rFonts w:asciiTheme="majorBidi" w:hAnsiTheme="majorBidi" w:cstheme="majorBidi"/>
          <w:sz w:val="24"/>
          <w:szCs w:val="24"/>
          <w:lang w:val="en-US"/>
        </w:rPr>
        <w:t xml:space="preserve"> respectively, while columns (3) and (4) show the results when penalties is the dependent variable and we run Eq</w:t>
      </w:r>
      <w:r w:rsidR="00D864AC">
        <w:rPr>
          <w:rFonts w:asciiTheme="majorBidi" w:hAnsiTheme="majorBidi" w:cstheme="majorBidi"/>
          <w:sz w:val="24"/>
          <w:szCs w:val="24"/>
          <w:lang w:val="en-US"/>
        </w:rPr>
        <w:t>.</w:t>
      </w:r>
      <w:r w:rsidR="006D46DE" w:rsidRPr="00D864AC">
        <w:rPr>
          <w:rFonts w:asciiTheme="majorBidi" w:hAnsiTheme="majorBidi" w:cstheme="majorBidi"/>
          <w:sz w:val="24"/>
          <w:szCs w:val="24"/>
          <w:lang w:val="en-US"/>
        </w:rPr>
        <w:t xml:space="preserve"> (1) as an OLS and Poisson regression. In all specifications</w:t>
      </w:r>
      <w:r w:rsidR="00F62082" w:rsidRPr="00D864AC">
        <w:rPr>
          <w:rFonts w:asciiTheme="majorBidi" w:hAnsiTheme="majorBidi" w:cstheme="majorBidi"/>
          <w:sz w:val="24"/>
          <w:szCs w:val="24"/>
          <w:lang w:val="en-US"/>
        </w:rPr>
        <w:t>,</w:t>
      </w:r>
      <w:r w:rsidR="006D46DE" w:rsidRPr="00D864AC">
        <w:rPr>
          <w:rFonts w:asciiTheme="majorBidi" w:hAnsiTheme="majorBidi" w:cstheme="majorBidi"/>
          <w:sz w:val="24"/>
          <w:szCs w:val="24"/>
          <w:lang w:val="en-US"/>
        </w:rPr>
        <w:t xml:space="preserve"> the coefficient on </w:t>
      </w:r>
      <w:r w:rsidR="006D46DE" w:rsidRPr="00D864AC">
        <w:rPr>
          <w:rFonts w:asciiTheme="majorBidi" w:hAnsiTheme="majorBidi" w:cstheme="majorBidi"/>
          <w:i/>
          <w:iCs/>
          <w:sz w:val="24"/>
          <w:szCs w:val="24"/>
          <w:lang w:val="en-US"/>
        </w:rPr>
        <w:t xml:space="preserve">Vega </w:t>
      </w:r>
      <w:r w:rsidR="006D46DE" w:rsidRPr="00D864AC">
        <w:rPr>
          <w:rFonts w:asciiTheme="majorBidi" w:hAnsiTheme="majorBidi" w:cstheme="majorBidi"/>
          <w:sz w:val="24"/>
          <w:szCs w:val="24"/>
          <w:lang w:val="en-US"/>
        </w:rPr>
        <w:t>is positive and significant suggesting that our baseline results for the matched sample are not sensitive to the type of matching.</w:t>
      </w:r>
    </w:p>
    <w:p w14:paraId="0A3BE868" w14:textId="6C1D1210" w:rsidR="006D46DE" w:rsidRDefault="006D46DE" w:rsidP="00E03F29">
      <w:pPr>
        <w:spacing w:after="0" w:line="480" w:lineRule="auto"/>
        <w:jc w:val="both"/>
        <w:rPr>
          <w:rFonts w:asciiTheme="majorBidi" w:hAnsiTheme="majorBidi" w:cstheme="majorBidi"/>
          <w:sz w:val="24"/>
          <w:szCs w:val="24"/>
          <w:lang w:val="en-US"/>
        </w:rPr>
      </w:pPr>
      <w:r w:rsidRPr="00D864AC">
        <w:rPr>
          <w:rFonts w:asciiTheme="majorBidi" w:hAnsiTheme="majorBidi" w:cstheme="majorBidi"/>
          <w:sz w:val="24"/>
          <w:szCs w:val="24"/>
          <w:lang w:val="en-US"/>
        </w:rPr>
        <w:tab/>
        <w:t xml:space="preserve">Third, to ensure that </w:t>
      </w:r>
      <w:r w:rsidR="002C4F69">
        <w:rPr>
          <w:rFonts w:asciiTheme="majorBidi" w:hAnsiTheme="majorBidi" w:cstheme="majorBidi"/>
          <w:sz w:val="24"/>
          <w:szCs w:val="24"/>
          <w:lang w:val="en-US"/>
        </w:rPr>
        <w:t>the</w:t>
      </w:r>
      <w:r w:rsidRPr="00D864AC">
        <w:rPr>
          <w:rFonts w:asciiTheme="majorBidi" w:hAnsiTheme="majorBidi" w:cstheme="majorBidi"/>
          <w:sz w:val="24"/>
          <w:szCs w:val="24"/>
          <w:lang w:val="en-US"/>
        </w:rPr>
        <w:t xml:space="preserve"> analysis relating </w:t>
      </w:r>
      <w:r w:rsidR="00150E17">
        <w:rPr>
          <w:rFonts w:asciiTheme="majorBidi" w:hAnsiTheme="majorBidi" w:cstheme="majorBidi"/>
          <w:sz w:val="24"/>
          <w:szCs w:val="24"/>
          <w:lang w:val="en-US"/>
        </w:rPr>
        <w:t>to increased employee workload as captured by the amount of employee layoffs</w:t>
      </w:r>
      <w:r w:rsidR="006A32EE" w:rsidRPr="00D864AC">
        <w:rPr>
          <w:rFonts w:asciiTheme="majorBidi" w:hAnsiTheme="majorBidi" w:cstheme="majorBidi"/>
          <w:sz w:val="24"/>
          <w:szCs w:val="24"/>
          <w:lang w:val="en-US"/>
        </w:rPr>
        <w:t xml:space="preserve"> is not unduly influenced by structural changes in the firm, we repeat the analysis in</w:t>
      </w:r>
      <w:r w:rsidR="00150E17">
        <w:rPr>
          <w:rFonts w:asciiTheme="majorBidi" w:hAnsiTheme="majorBidi" w:cstheme="majorBidi"/>
          <w:sz w:val="24"/>
          <w:szCs w:val="24"/>
          <w:lang w:val="en-US"/>
        </w:rPr>
        <w:t xml:space="preserve"> Panel A of</w:t>
      </w:r>
      <w:r w:rsidR="006A32EE" w:rsidRPr="00D864AC">
        <w:rPr>
          <w:rFonts w:asciiTheme="majorBidi" w:hAnsiTheme="majorBidi" w:cstheme="majorBidi"/>
          <w:sz w:val="24"/>
          <w:szCs w:val="24"/>
          <w:lang w:val="en-US"/>
        </w:rPr>
        <w:t xml:space="preserve"> Table </w:t>
      </w:r>
      <w:r w:rsidR="00F65B5E">
        <w:rPr>
          <w:rFonts w:asciiTheme="majorBidi" w:hAnsiTheme="majorBidi" w:cstheme="majorBidi"/>
          <w:sz w:val="24"/>
          <w:szCs w:val="24"/>
          <w:lang w:val="en-US"/>
        </w:rPr>
        <w:t>9</w:t>
      </w:r>
      <w:r w:rsidR="006A32EE" w:rsidRPr="00D864AC">
        <w:rPr>
          <w:rFonts w:asciiTheme="majorBidi" w:hAnsiTheme="majorBidi" w:cstheme="majorBidi"/>
          <w:sz w:val="24"/>
          <w:szCs w:val="24"/>
          <w:lang w:val="en-US"/>
        </w:rPr>
        <w:t xml:space="preserve"> after excluding </w:t>
      </w:r>
      <w:r w:rsidR="00071355" w:rsidRPr="00D864AC">
        <w:rPr>
          <w:rFonts w:asciiTheme="majorBidi" w:hAnsiTheme="majorBidi" w:cstheme="majorBidi"/>
          <w:sz w:val="24"/>
          <w:szCs w:val="24"/>
          <w:lang w:val="en-US"/>
        </w:rPr>
        <w:t xml:space="preserve">from the sample </w:t>
      </w:r>
      <w:r w:rsidR="006A32EE" w:rsidRPr="00D864AC">
        <w:rPr>
          <w:rFonts w:asciiTheme="majorBidi" w:hAnsiTheme="majorBidi" w:cstheme="majorBidi"/>
          <w:sz w:val="24"/>
          <w:szCs w:val="24"/>
          <w:lang w:val="en-US"/>
        </w:rPr>
        <w:t xml:space="preserve">firms </w:t>
      </w:r>
      <w:r w:rsidR="000D78F4">
        <w:rPr>
          <w:rFonts w:asciiTheme="majorBidi" w:hAnsiTheme="majorBidi" w:cstheme="majorBidi"/>
          <w:sz w:val="24"/>
          <w:szCs w:val="24"/>
          <w:lang w:val="en-US"/>
        </w:rPr>
        <w:t>undergoing</w:t>
      </w:r>
      <w:r w:rsidR="000D78F4" w:rsidRPr="00D864AC">
        <w:rPr>
          <w:rFonts w:asciiTheme="majorBidi" w:hAnsiTheme="majorBidi" w:cstheme="majorBidi"/>
          <w:sz w:val="24"/>
          <w:szCs w:val="24"/>
          <w:lang w:val="en-US"/>
        </w:rPr>
        <w:t xml:space="preserve"> </w:t>
      </w:r>
      <w:r w:rsidR="006A32EE" w:rsidRPr="00D864AC">
        <w:rPr>
          <w:rFonts w:asciiTheme="majorBidi" w:hAnsiTheme="majorBidi" w:cstheme="majorBidi"/>
          <w:sz w:val="24"/>
          <w:szCs w:val="24"/>
          <w:lang w:val="en-US"/>
        </w:rPr>
        <w:t>M&amp;As</w:t>
      </w:r>
      <w:r w:rsidR="00150E17">
        <w:rPr>
          <w:rFonts w:asciiTheme="majorBidi" w:hAnsiTheme="majorBidi" w:cstheme="majorBidi"/>
          <w:sz w:val="24"/>
          <w:szCs w:val="24"/>
          <w:lang w:val="en-US"/>
        </w:rPr>
        <w:t>.</w:t>
      </w:r>
      <w:r w:rsidR="00150E17" w:rsidRPr="00150E17">
        <w:rPr>
          <w:rStyle w:val="FootnoteReference"/>
          <w:rFonts w:asciiTheme="majorBidi" w:hAnsiTheme="majorBidi" w:cstheme="majorBidi"/>
          <w:sz w:val="24"/>
          <w:szCs w:val="24"/>
          <w:lang w:val="en-US"/>
        </w:rPr>
        <w:t xml:space="preserve"> </w:t>
      </w:r>
      <w:r w:rsidR="00150E17">
        <w:rPr>
          <w:rStyle w:val="FootnoteReference"/>
          <w:rFonts w:asciiTheme="majorBidi" w:hAnsiTheme="majorBidi" w:cstheme="majorBidi"/>
          <w:sz w:val="24"/>
          <w:szCs w:val="24"/>
          <w:lang w:val="en-US"/>
        </w:rPr>
        <w:lastRenderedPageBreak/>
        <w:footnoteReference w:id="21"/>
      </w:r>
      <w:r w:rsidR="006A32EE" w:rsidRPr="00D864AC">
        <w:rPr>
          <w:rFonts w:asciiTheme="majorBidi" w:hAnsiTheme="majorBidi" w:cstheme="majorBidi"/>
          <w:sz w:val="24"/>
          <w:szCs w:val="24"/>
          <w:lang w:val="en-US"/>
        </w:rPr>
        <w:t xml:space="preserve"> Panel C of Table 1</w:t>
      </w:r>
      <w:r w:rsidR="00A85564">
        <w:rPr>
          <w:rFonts w:asciiTheme="majorBidi" w:hAnsiTheme="majorBidi" w:cstheme="majorBidi"/>
          <w:sz w:val="24"/>
          <w:szCs w:val="24"/>
          <w:lang w:val="en-US"/>
        </w:rPr>
        <w:t>0</w:t>
      </w:r>
      <w:r w:rsidR="006A32EE" w:rsidRPr="00D864AC">
        <w:rPr>
          <w:rFonts w:asciiTheme="majorBidi" w:hAnsiTheme="majorBidi" w:cstheme="majorBidi"/>
          <w:sz w:val="24"/>
          <w:szCs w:val="24"/>
          <w:lang w:val="en-US"/>
        </w:rPr>
        <w:t xml:space="preserve"> shows the results </w:t>
      </w:r>
      <w:r w:rsidR="00F62082" w:rsidRPr="00D864AC">
        <w:rPr>
          <w:rFonts w:asciiTheme="majorBidi" w:hAnsiTheme="majorBidi" w:cstheme="majorBidi"/>
          <w:sz w:val="24"/>
          <w:szCs w:val="24"/>
          <w:lang w:val="en-US"/>
        </w:rPr>
        <w:t>of</w:t>
      </w:r>
      <w:r w:rsidR="006A32EE" w:rsidRPr="00D864AC">
        <w:rPr>
          <w:rFonts w:asciiTheme="majorBidi" w:hAnsiTheme="majorBidi" w:cstheme="majorBidi"/>
          <w:sz w:val="24"/>
          <w:szCs w:val="24"/>
          <w:lang w:val="en-US"/>
        </w:rPr>
        <w:t xml:space="preserve"> this analysis. In line with our main results, the coefficient on </w:t>
      </w:r>
      <w:r w:rsidR="00F65B5E">
        <w:rPr>
          <w:rFonts w:asciiTheme="majorBidi" w:hAnsiTheme="majorBidi" w:cstheme="majorBidi"/>
          <w:sz w:val="24"/>
          <w:szCs w:val="24"/>
          <w:lang w:val="en-US"/>
        </w:rPr>
        <w:t xml:space="preserve">the </w:t>
      </w:r>
      <w:r w:rsidR="006A32EE" w:rsidRPr="00D864AC">
        <w:rPr>
          <w:rFonts w:asciiTheme="majorBidi" w:hAnsiTheme="majorBidi" w:cstheme="majorBidi"/>
          <w:sz w:val="24"/>
          <w:szCs w:val="24"/>
          <w:lang w:val="en-US"/>
        </w:rPr>
        <w:t xml:space="preserve">interaction </w:t>
      </w:r>
      <w:r w:rsidR="006A32EE" w:rsidRPr="00D864AC">
        <w:rPr>
          <w:rFonts w:asciiTheme="majorBidi" w:hAnsiTheme="majorBidi" w:cstheme="majorBidi"/>
          <w:i/>
          <w:iCs/>
          <w:sz w:val="24"/>
          <w:szCs w:val="24"/>
          <w:lang w:val="en-US"/>
        </w:rPr>
        <w:t>Vega*</w:t>
      </w:r>
      <w:proofErr w:type="spellStart"/>
      <w:r w:rsidR="006A32EE" w:rsidRPr="00D864AC">
        <w:rPr>
          <w:rFonts w:asciiTheme="majorBidi" w:hAnsiTheme="majorBidi" w:cstheme="majorBidi"/>
          <w:i/>
          <w:iCs/>
          <w:sz w:val="24"/>
          <w:szCs w:val="24"/>
          <w:lang w:val="en-US"/>
        </w:rPr>
        <w:t>HighLayoffs</w:t>
      </w:r>
      <w:proofErr w:type="spellEnd"/>
      <w:r w:rsidR="006A32EE" w:rsidRPr="00D864AC">
        <w:rPr>
          <w:rFonts w:asciiTheme="majorBidi" w:hAnsiTheme="majorBidi" w:cstheme="majorBidi"/>
          <w:i/>
          <w:iCs/>
          <w:sz w:val="24"/>
          <w:szCs w:val="24"/>
          <w:lang w:val="en-US"/>
        </w:rPr>
        <w:t xml:space="preserve"> </w:t>
      </w:r>
      <w:r w:rsidR="006A32EE" w:rsidRPr="00D864AC">
        <w:rPr>
          <w:rFonts w:asciiTheme="majorBidi" w:hAnsiTheme="majorBidi" w:cstheme="majorBidi"/>
          <w:sz w:val="24"/>
          <w:szCs w:val="24"/>
          <w:lang w:val="en-US"/>
        </w:rPr>
        <w:t xml:space="preserve">is significant for both violations and penalties, suggesting that </w:t>
      </w:r>
      <w:r w:rsidR="00F65B5E">
        <w:rPr>
          <w:rFonts w:asciiTheme="majorBidi" w:hAnsiTheme="majorBidi" w:cstheme="majorBidi"/>
          <w:sz w:val="24"/>
          <w:szCs w:val="24"/>
          <w:lang w:val="en-US"/>
        </w:rPr>
        <w:t>this result is not driven by firms with M&amp;A activities</w:t>
      </w:r>
      <w:r w:rsidR="006A32EE" w:rsidRPr="00D864AC">
        <w:rPr>
          <w:rFonts w:asciiTheme="majorBidi" w:hAnsiTheme="majorBidi" w:cstheme="majorBidi"/>
          <w:sz w:val="24"/>
          <w:szCs w:val="24"/>
          <w:lang w:val="en-US"/>
        </w:rPr>
        <w:t>.</w:t>
      </w:r>
    </w:p>
    <w:p w14:paraId="11BFDAEB" w14:textId="4164192A" w:rsidR="00441868" w:rsidRDefault="00E94ECC" w:rsidP="00441868">
      <w:p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ab/>
        <w:t xml:space="preserve">Finally, notwithstanding that in Table 6 and Panel B of Table 10, we show that our baseline results are robust to different types of matching for firm characteristics, to further attenuate the concern that our results </w:t>
      </w:r>
      <w:r w:rsidR="00EF372B">
        <w:rPr>
          <w:rFonts w:asciiTheme="majorBidi" w:hAnsiTheme="majorBidi" w:cstheme="majorBidi"/>
          <w:sz w:val="24"/>
          <w:szCs w:val="24"/>
          <w:lang w:val="en-US"/>
        </w:rPr>
        <w:t>are</w:t>
      </w:r>
      <w:r>
        <w:rPr>
          <w:rFonts w:asciiTheme="majorBidi" w:hAnsiTheme="majorBidi" w:cstheme="majorBidi"/>
          <w:sz w:val="24"/>
          <w:szCs w:val="24"/>
          <w:lang w:val="en-US"/>
        </w:rPr>
        <w:t xml:space="preserve"> driven by correlated omitted variables, we </w:t>
      </w:r>
      <w:r w:rsidR="00DC7690">
        <w:rPr>
          <w:rFonts w:asciiTheme="majorBidi" w:hAnsiTheme="majorBidi" w:cstheme="majorBidi"/>
          <w:sz w:val="24"/>
          <w:szCs w:val="24"/>
          <w:lang w:val="en-US"/>
        </w:rPr>
        <w:t xml:space="preserve">run Eq. (1) with controls for alternative </w:t>
      </w:r>
      <w:r w:rsidR="00DC7690" w:rsidRPr="00DC7690">
        <w:rPr>
          <w:rFonts w:asciiTheme="majorBidi" w:hAnsiTheme="majorBidi" w:cstheme="majorBidi"/>
          <w:sz w:val="24"/>
          <w:szCs w:val="24"/>
          <w:lang w:val="en-US"/>
        </w:rPr>
        <w:t>CEO incentives identified in prior literature</w:t>
      </w:r>
      <w:r w:rsidR="003A05F6">
        <w:rPr>
          <w:rFonts w:asciiTheme="majorBidi" w:hAnsiTheme="majorBidi" w:cstheme="majorBidi"/>
          <w:sz w:val="24"/>
          <w:szCs w:val="24"/>
          <w:lang w:val="en-US"/>
        </w:rPr>
        <w:t xml:space="preserve"> (e.g. </w:t>
      </w:r>
      <w:r w:rsidR="003A05F6" w:rsidRPr="003A05F6">
        <w:rPr>
          <w:rFonts w:asciiTheme="majorBidi" w:hAnsiTheme="majorBidi" w:cstheme="majorBidi"/>
          <w:sz w:val="24"/>
          <w:szCs w:val="24"/>
          <w:lang w:val="en-US"/>
        </w:rPr>
        <w:t>Baginski, Campbell, Hinson and Koo 2018; Jenter and Kanaan 2015; Demerjian, Lev and McVay 2012)</w:t>
      </w:r>
      <w:r w:rsidR="00DC7690" w:rsidRPr="00DC7690">
        <w:rPr>
          <w:rFonts w:asciiTheme="majorBidi" w:hAnsiTheme="majorBidi" w:cstheme="majorBidi"/>
          <w:sz w:val="24"/>
          <w:szCs w:val="24"/>
          <w:lang w:val="en-US"/>
        </w:rPr>
        <w:t xml:space="preserve"> </w:t>
      </w:r>
      <w:r w:rsidR="00DC7690">
        <w:rPr>
          <w:rFonts w:asciiTheme="majorBidi" w:hAnsiTheme="majorBidi" w:cstheme="majorBidi"/>
          <w:sz w:val="24"/>
          <w:szCs w:val="24"/>
          <w:lang w:val="en-US"/>
        </w:rPr>
        <w:t>that</w:t>
      </w:r>
      <w:r w:rsidR="00DC7690" w:rsidRPr="00DC7690">
        <w:rPr>
          <w:rFonts w:asciiTheme="majorBidi" w:hAnsiTheme="majorBidi" w:cstheme="majorBidi"/>
          <w:sz w:val="24"/>
          <w:szCs w:val="24"/>
          <w:lang w:val="en-US"/>
        </w:rPr>
        <w:t xml:space="preserve"> might be correlated with workplace misconduct.</w:t>
      </w:r>
      <w:r w:rsidR="00441868">
        <w:rPr>
          <w:rStyle w:val="FootnoteReference"/>
          <w:rFonts w:asciiTheme="majorBidi" w:hAnsiTheme="majorBidi" w:cstheme="majorBidi"/>
          <w:sz w:val="24"/>
          <w:szCs w:val="24"/>
          <w:lang w:val="en-US"/>
        </w:rPr>
        <w:footnoteReference w:id="22"/>
      </w:r>
      <w:r w:rsidR="00DC7690" w:rsidRPr="00DC7690">
        <w:rPr>
          <w:rFonts w:asciiTheme="majorBidi" w:hAnsiTheme="majorBidi" w:cstheme="majorBidi"/>
          <w:sz w:val="24"/>
          <w:szCs w:val="24"/>
          <w:lang w:val="en-US"/>
        </w:rPr>
        <w:t xml:space="preserve"> Specifically, </w:t>
      </w:r>
      <w:r w:rsidR="00DC7690">
        <w:rPr>
          <w:rFonts w:asciiTheme="majorBidi" w:hAnsiTheme="majorBidi" w:cstheme="majorBidi"/>
          <w:sz w:val="24"/>
          <w:szCs w:val="24"/>
          <w:lang w:val="en-US"/>
        </w:rPr>
        <w:t xml:space="preserve">we test whether our baseline results are robust to controlling for </w:t>
      </w:r>
      <w:r w:rsidR="000C49F6" w:rsidRPr="00DC7690">
        <w:rPr>
          <w:rFonts w:asciiTheme="majorBidi" w:hAnsiTheme="majorBidi" w:cstheme="majorBidi"/>
          <w:sz w:val="24"/>
          <w:szCs w:val="24"/>
          <w:lang w:val="en-US"/>
        </w:rPr>
        <w:t>a) CEO severance pay</w:t>
      </w:r>
      <w:r w:rsidR="003A05F6">
        <w:rPr>
          <w:rFonts w:asciiTheme="majorBidi" w:hAnsiTheme="majorBidi" w:cstheme="majorBidi"/>
          <w:sz w:val="24"/>
          <w:szCs w:val="24"/>
          <w:lang w:val="en-US"/>
        </w:rPr>
        <w:t xml:space="preserve"> (measured </w:t>
      </w:r>
      <w:r w:rsidR="003A05F6" w:rsidRPr="00642037">
        <w:rPr>
          <w:rFonts w:asciiTheme="majorBidi" w:hAnsiTheme="majorBidi" w:cstheme="majorBidi"/>
          <w:sz w:val="24"/>
          <w:szCs w:val="24"/>
          <w:lang w:val="en-US"/>
        </w:rPr>
        <w:t>as an indicator variable that equals 1 if the ratio of CEO contracted severance pay to CEO cash compensation is in the top quartile, and 0 otherwise)</w:t>
      </w:r>
      <w:r w:rsidR="000C49F6" w:rsidRPr="00DC7690">
        <w:rPr>
          <w:rFonts w:asciiTheme="majorBidi" w:hAnsiTheme="majorBidi" w:cstheme="majorBidi"/>
          <w:sz w:val="24"/>
          <w:szCs w:val="24"/>
          <w:lang w:val="en-US"/>
        </w:rPr>
        <w:t>, b) CEO dismissal threat</w:t>
      </w:r>
      <w:r w:rsidR="00642037">
        <w:rPr>
          <w:rFonts w:asciiTheme="majorBidi" w:hAnsiTheme="majorBidi" w:cstheme="majorBidi"/>
          <w:sz w:val="24"/>
          <w:szCs w:val="24"/>
          <w:lang w:val="en-US"/>
        </w:rPr>
        <w:t xml:space="preserve"> </w:t>
      </w:r>
      <w:r w:rsidR="0081457D">
        <w:rPr>
          <w:rFonts w:asciiTheme="majorBidi" w:hAnsiTheme="majorBidi" w:cstheme="majorBidi"/>
          <w:sz w:val="24"/>
          <w:szCs w:val="24"/>
          <w:lang w:val="en-US"/>
        </w:rPr>
        <w:t>proxied by</w:t>
      </w:r>
      <w:r w:rsidR="00642037">
        <w:rPr>
          <w:rFonts w:asciiTheme="majorBidi" w:hAnsiTheme="majorBidi" w:cstheme="majorBidi"/>
          <w:sz w:val="24"/>
          <w:szCs w:val="24"/>
          <w:lang w:val="en-US"/>
        </w:rPr>
        <w:t xml:space="preserve"> </w:t>
      </w:r>
      <w:proofErr w:type="spellStart"/>
      <w:r w:rsidR="00642037" w:rsidRPr="00AE3F87">
        <w:rPr>
          <w:rFonts w:ascii="Times New Roman" w:eastAsia="Times New Roman" w:hAnsi="Times New Roman" w:cs="Times New Roman"/>
          <w:i/>
          <w:iCs/>
          <w:color w:val="000000"/>
          <w:sz w:val="24"/>
          <w:szCs w:val="24"/>
          <w:lang w:eastAsia="en-GB"/>
        </w:rPr>
        <w:t>IndUnderperformance</w:t>
      </w:r>
      <w:proofErr w:type="spellEnd"/>
      <w:r w:rsidR="003A05F6">
        <w:rPr>
          <w:rFonts w:asciiTheme="majorBidi" w:hAnsiTheme="majorBidi" w:cstheme="majorBidi"/>
          <w:sz w:val="24"/>
          <w:szCs w:val="24"/>
          <w:lang w:val="en-US"/>
        </w:rPr>
        <w:t xml:space="preserve"> (measured as</w:t>
      </w:r>
      <w:r w:rsidR="00150E17">
        <w:rPr>
          <w:rFonts w:asciiTheme="majorBidi" w:hAnsiTheme="majorBidi" w:cstheme="majorBidi"/>
          <w:sz w:val="24"/>
          <w:szCs w:val="24"/>
          <w:lang w:val="en-US"/>
        </w:rPr>
        <w:t xml:space="preserve"> a</w:t>
      </w:r>
      <w:r w:rsidR="003A05F6">
        <w:rPr>
          <w:rFonts w:asciiTheme="majorBidi" w:hAnsiTheme="majorBidi" w:cstheme="majorBidi"/>
          <w:sz w:val="24"/>
          <w:szCs w:val="24"/>
          <w:lang w:val="en-US"/>
        </w:rPr>
        <w:t xml:space="preserve"> </w:t>
      </w:r>
      <w:r w:rsidR="007F4D8A">
        <w:rPr>
          <w:rFonts w:asciiTheme="majorBidi" w:hAnsiTheme="majorBidi" w:cstheme="majorBidi"/>
          <w:sz w:val="24"/>
          <w:szCs w:val="24"/>
          <w:lang w:val="en-US"/>
        </w:rPr>
        <w:t xml:space="preserve">lagged </w:t>
      </w:r>
      <w:r w:rsidR="003A05F6" w:rsidRPr="003A05F6">
        <w:rPr>
          <w:rFonts w:asciiTheme="majorBidi" w:hAnsiTheme="majorBidi" w:cstheme="majorBidi"/>
          <w:sz w:val="24"/>
          <w:szCs w:val="24"/>
          <w:lang w:val="en-US"/>
        </w:rPr>
        <w:t>dummy variable</w:t>
      </w:r>
      <w:r w:rsidR="007F4D8A">
        <w:rPr>
          <w:rFonts w:asciiTheme="majorBidi" w:hAnsiTheme="majorBidi" w:cstheme="majorBidi"/>
          <w:sz w:val="24"/>
          <w:szCs w:val="24"/>
          <w:lang w:val="en-US"/>
        </w:rPr>
        <w:t xml:space="preserve">, </w:t>
      </w:r>
      <w:r w:rsidR="003A05F6" w:rsidRPr="003A05F6">
        <w:rPr>
          <w:rFonts w:asciiTheme="majorBidi" w:hAnsiTheme="majorBidi" w:cstheme="majorBidi"/>
          <w:sz w:val="24"/>
          <w:szCs w:val="24"/>
          <w:lang w:val="en-US"/>
        </w:rPr>
        <w:t xml:space="preserve"> equal to one if the firm return is 10% (or more) lower than the industry peers’ median return, and zero if the firm return is 10% (or more) higher than the industry peers’ median return)</w:t>
      </w:r>
      <w:r w:rsidR="000C49F6" w:rsidRPr="00DC7690">
        <w:rPr>
          <w:rFonts w:asciiTheme="majorBidi" w:hAnsiTheme="majorBidi" w:cstheme="majorBidi"/>
          <w:sz w:val="24"/>
          <w:szCs w:val="24"/>
          <w:lang w:val="en-US"/>
        </w:rPr>
        <w:t>, and c) managerial ability</w:t>
      </w:r>
      <w:r w:rsidR="003A05F6">
        <w:rPr>
          <w:rFonts w:asciiTheme="majorBidi" w:hAnsiTheme="majorBidi" w:cstheme="majorBidi"/>
          <w:sz w:val="24"/>
          <w:szCs w:val="24"/>
          <w:lang w:val="en-US"/>
        </w:rPr>
        <w:t xml:space="preserve"> (measured as </w:t>
      </w:r>
      <w:r w:rsidR="003A05F6" w:rsidRPr="003A05F6">
        <w:rPr>
          <w:rFonts w:asciiTheme="majorBidi" w:hAnsiTheme="majorBidi" w:cstheme="majorBidi"/>
          <w:sz w:val="24"/>
          <w:szCs w:val="24"/>
          <w:lang w:val="en-US"/>
        </w:rPr>
        <w:t>a dummy variable equal to one if manager ability is in the top quartile, and zero otherwise</w:t>
      </w:r>
      <w:r w:rsidR="00642037">
        <w:rPr>
          <w:rFonts w:asciiTheme="majorBidi" w:hAnsiTheme="majorBidi" w:cstheme="majorBidi"/>
          <w:sz w:val="24"/>
          <w:szCs w:val="24"/>
          <w:lang w:val="en-US"/>
        </w:rPr>
        <w:t>)</w:t>
      </w:r>
      <w:r w:rsidR="000C49F6" w:rsidRPr="00DC7690">
        <w:rPr>
          <w:rFonts w:asciiTheme="majorBidi" w:hAnsiTheme="majorBidi" w:cstheme="majorBidi"/>
          <w:sz w:val="24"/>
          <w:szCs w:val="24"/>
          <w:lang w:val="en-US"/>
        </w:rPr>
        <w:t>.</w:t>
      </w:r>
      <w:r w:rsidR="00DC7690" w:rsidRPr="00DC7690">
        <w:rPr>
          <w:rFonts w:asciiTheme="majorBidi" w:hAnsiTheme="majorBidi" w:cstheme="majorBidi"/>
          <w:sz w:val="24"/>
          <w:szCs w:val="24"/>
          <w:lang w:val="en-US"/>
        </w:rPr>
        <w:t xml:space="preserve"> </w:t>
      </w:r>
      <w:r w:rsidR="00DC7690">
        <w:rPr>
          <w:rFonts w:asciiTheme="majorBidi" w:hAnsiTheme="majorBidi" w:cstheme="majorBidi"/>
          <w:sz w:val="24"/>
          <w:szCs w:val="24"/>
          <w:lang w:val="en-US"/>
        </w:rPr>
        <w:t xml:space="preserve">As shown in </w:t>
      </w:r>
      <w:r w:rsidR="00DC7690" w:rsidRPr="00DC7690">
        <w:rPr>
          <w:rFonts w:asciiTheme="majorBidi" w:hAnsiTheme="majorBidi" w:cstheme="majorBidi"/>
          <w:sz w:val="24"/>
          <w:szCs w:val="24"/>
          <w:lang w:val="en-US"/>
        </w:rPr>
        <w:t>Panel</w:t>
      </w:r>
      <w:r w:rsidR="00DC7690">
        <w:rPr>
          <w:rFonts w:asciiTheme="majorBidi" w:hAnsiTheme="majorBidi" w:cstheme="majorBidi"/>
          <w:sz w:val="24"/>
          <w:szCs w:val="24"/>
          <w:lang w:val="en-US"/>
        </w:rPr>
        <w:t xml:space="preserve"> D of Table 10, irrespective of which alternative CEO incentives we control for, the coefficient on </w:t>
      </w:r>
      <w:r w:rsidR="00DC7690">
        <w:rPr>
          <w:rFonts w:asciiTheme="majorBidi" w:hAnsiTheme="majorBidi" w:cstheme="majorBidi"/>
          <w:i/>
          <w:iCs/>
          <w:sz w:val="24"/>
          <w:szCs w:val="24"/>
          <w:lang w:val="en-US"/>
        </w:rPr>
        <w:t xml:space="preserve">Vega </w:t>
      </w:r>
      <w:r w:rsidR="00DC7690">
        <w:rPr>
          <w:rFonts w:asciiTheme="majorBidi" w:hAnsiTheme="majorBidi" w:cstheme="majorBidi"/>
          <w:sz w:val="24"/>
          <w:szCs w:val="24"/>
          <w:lang w:val="en-US"/>
        </w:rPr>
        <w:t>is positive and significant.</w:t>
      </w:r>
      <w:r w:rsidR="00DC7690">
        <w:rPr>
          <w:rStyle w:val="FootnoteReference"/>
          <w:rFonts w:asciiTheme="majorBidi" w:hAnsiTheme="majorBidi" w:cstheme="majorBidi"/>
          <w:sz w:val="24"/>
          <w:szCs w:val="24"/>
          <w:lang w:val="en-US"/>
        </w:rPr>
        <w:footnoteReference w:id="23"/>
      </w:r>
      <w:r w:rsidR="009B31AD">
        <w:rPr>
          <w:rFonts w:asciiTheme="majorBidi" w:hAnsiTheme="majorBidi" w:cstheme="majorBidi"/>
          <w:sz w:val="24"/>
          <w:szCs w:val="24"/>
          <w:lang w:val="en-US"/>
        </w:rPr>
        <w:t xml:space="preserve"> </w:t>
      </w:r>
      <w:r w:rsidR="009B31AD">
        <w:rPr>
          <w:rFonts w:asciiTheme="majorBidi" w:hAnsiTheme="majorBidi" w:cstheme="majorBidi"/>
          <w:sz w:val="24"/>
          <w:szCs w:val="24"/>
          <w:lang w:val="en-US"/>
        </w:rPr>
        <w:lastRenderedPageBreak/>
        <w:t xml:space="preserve">Taken together, these results suggest that it is unlikely that correlated omitted variables drive our results. </w:t>
      </w:r>
    </w:p>
    <w:p w14:paraId="71C49363" w14:textId="3D72278D" w:rsidR="00D51902" w:rsidRPr="00D864AC" w:rsidRDefault="00D51902" w:rsidP="00E03F29">
      <w:pPr>
        <w:spacing w:after="0" w:line="480" w:lineRule="auto"/>
        <w:rPr>
          <w:rFonts w:ascii="Times New Roman" w:hAnsi="Times New Roman" w:cs="Times New Roman"/>
          <w:i/>
          <w:sz w:val="24"/>
          <w:szCs w:val="24"/>
          <w:lang w:val="en-US"/>
        </w:rPr>
      </w:pPr>
      <w:r w:rsidRPr="00D864AC">
        <w:rPr>
          <w:rFonts w:ascii="Times New Roman" w:hAnsi="Times New Roman" w:cs="Times New Roman"/>
          <w:i/>
          <w:sz w:val="24"/>
          <w:szCs w:val="24"/>
          <w:lang w:val="en-US"/>
        </w:rPr>
        <w:t>6.2 Further analysis</w:t>
      </w:r>
    </w:p>
    <w:p w14:paraId="2C7A13EF" w14:textId="307D3FEC" w:rsidR="008A1E64" w:rsidRPr="00D864AC" w:rsidRDefault="00C56F22" w:rsidP="00DD368A">
      <w:pPr>
        <w:spacing w:after="0" w:line="480" w:lineRule="auto"/>
        <w:ind w:firstLine="720"/>
        <w:jc w:val="both"/>
        <w:rPr>
          <w:rFonts w:ascii="Times New Roman" w:eastAsia="Times New Roman" w:hAnsi="Times New Roman" w:cs="Times New Roman"/>
          <w:iCs/>
          <w:color w:val="000000"/>
          <w:sz w:val="24"/>
          <w:szCs w:val="24"/>
          <w:lang w:val="en-US" w:eastAsia="zh-CN"/>
        </w:rPr>
      </w:pPr>
      <w:r>
        <w:rPr>
          <w:rFonts w:ascii="Times New Roman" w:hAnsi="Times New Roman" w:cs="Times New Roman"/>
          <w:iCs/>
          <w:sz w:val="24"/>
          <w:szCs w:val="24"/>
          <w:lang w:val="en-US"/>
        </w:rPr>
        <w:t>We</w:t>
      </w:r>
      <w:r w:rsidR="00D51902" w:rsidRPr="00D864AC">
        <w:rPr>
          <w:rFonts w:ascii="Times New Roman" w:hAnsi="Times New Roman" w:cs="Times New Roman"/>
          <w:iCs/>
          <w:sz w:val="24"/>
          <w:szCs w:val="24"/>
          <w:lang w:val="en-US"/>
        </w:rPr>
        <w:t xml:space="preserve"> undertake analysis to further examine why and when CEO </w:t>
      </w:r>
      <w:proofErr w:type="spellStart"/>
      <w:r w:rsidR="00D51902" w:rsidRPr="00D864AC">
        <w:rPr>
          <w:rFonts w:ascii="Times New Roman" w:hAnsi="Times New Roman" w:cs="Times New Roman"/>
          <w:iCs/>
          <w:sz w:val="24"/>
          <w:szCs w:val="24"/>
          <w:lang w:val="en-US"/>
        </w:rPr>
        <w:t>vega</w:t>
      </w:r>
      <w:proofErr w:type="spellEnd"/>
      <w:r w:rsidR="00D51902" w:rsidRPr="00D864AC">
        <w:rPr>
          <w:rFonts w:ascii="Times New Roman" w:hAnsi="Times New Roman" w:cs="Times New Roman"/>
          <w:iCs/>
          <w:sz w:val="24"/>
          <w:szCs w:val="24"/>
          <w:lang w:val="en-US"/>
        </w:rPr>
        <w:t xml:space="preserve"> is related to workplace misconduct. First, </w:t>
      </w:r>
      <w:r w:rsidR="00DD368A" w:rsidRPr="00D864AC">
        <w:rPr>
          <w:rFonts w:ascii="Times New Roman" w:hAnsi="Times New Roman" w:cs="Times New Roman"/>
          <w:iCs/>
          <w:sz w:val="24"/>
          <w:szCs w:val="24"/>
          <w:lang w:val="en-US"/>
        </w:rPr>
        <w:t>to examine the rationale for workplace misconduct, we examine the relation between workplace misconduct and profitability. Specifically, we run Eq. (1) with return on assets as the dependent variable, an</w:t>
      </w:r>
      <w:r w:rsidR="008A1E64" w:rsidRPr="00D864AC">
        <w:rPr>
          <w:rFonts w:ascii="Times New Roman" w:hAnsi="Times New Roman" w:cs="Times New Roman"/>
          <w:iCs/>
          <w:sz w:val="24"/>
          <w:szCs w:val="24"/>
          <w:lang w:val="en-US"/>
        </w:rPr>
        <w:t xml:space="preserve">d, </w:t>
      </w:r>
      <w:r w:rsidR="00DD368A" w:rsidRPr="00D864AC">
        <w:rPr>
          <w:rFonts w:ascii="Times New Roman" w:hAnsi="Times New Roman" w:cs="Times New Roman"/>
          <w:i/>
          <w:sz w:val="24"/>
          <w:szCs w:val="24"/>
          <w:lang w:val="en-US"/>
        </w:rPr>
        <w:t xml:space="preserve">Violations </w:t>
      </w:r>
      <w:r w:rsidR="00802D9C">
        <w:rPr>
          <w:rFonts w:ascii="Times New Roman" w:hAnsi="Times New Roman" w:cs="Times New Roman"/>
          <w:iCs/>
          <w:sz w:val="24"/>
          <w:szCs w:val="24"/>
          <w:lang w:val="en-US"/>
        </w:rPr>
        <w:t>or</w:t>
      </w:r>
      <w:r w:rsidR="00802D9C" w:rsidRPr="00D864AC">
        <w:rPr>
          <w:rFonts w:ascii="Times New Roman" w:hAnsi="Times New Roman" w:cs="Times New Roman"/>
          <w:iCs/>
          <w:sz w:val="24"/>
          <w:szCs w:val="24"/>
          <w:lang w:val="en-US"/>
        </w:rPr>
        <w:t xml:space="preserve"> </w:t>
      </w:r>
      <w:r w:rsidR="00DD368A" w:rsidRPr="00D864AC">
        <w:rPr>
          <w:rFonts w:ascii="Times New Roman" w:hAnsi="Times New Roman" w:cs="Times New Roman"/>
          <w:i/>
          <w:sz w:val="24"/>
          <w:szCs w:val="24"/>
          <w:lang w:val="en-US"/>
        </w:rPr>
        <w:t xml:space="preserve">Penalties </w:t>
      </w:r>
      <w:r w:rsidR="00DD368A" w:rsidRPr="00D864AC">
        <w:rPr>
          <w:rFonts w:ascii="Times New Roman" w:hAnsi="Times New Roman" w:cs="Times New Roman"/>
          <w:iCs/>
          <w:sz w:val="24"/>
          <w:szCs w:val="24"/>
          <w:lang w:val="en-US"/>
        </w:rPr>
        <w:t xml:space="preserve">as </w:t>
      </w:r>
      <w:r w:rsidR="008A1E64" w:rsidRPr="00D864AC">
        <w:rPr>
          <w:rFonts w:ascii="Times New Roman" w:hAnsi="Times New Roman" w:cs="Times New Roman"/>
          <w:iCs/>
          <w:sz w:val="24"/>
          <w:szCs w:val="24"/>
          <w:lang w:val="en-US"/>
        </w:rPr>
        <w:t>additional independent variables.</w:t>
      </w:r>
      <w:r w:rsidR="00D51902" w:rsidRPr="00D864AC">
        <w:rPr>
          <w:rFonts w:ascii="Times New Roman" w:hAnsi="Times New Roman" w:cs="Times New Roman"/>
          <w:iCs/>
          <w:sz w:val="24"/>
          <w:szCs w:val="24"/>
          <w:lang w:val="en-US"/>
        </w:rPr>
        <w:t xml:space="preserve"> </w:t>
      </w:r>
      <w:r w:rsidR="008A1E64" w:rsidRPr="00D864AC">
        <w:rPr>
          <w:rFonts w:ascii="Times New Roman" w:hAnsi="Times New Roman" w:cs="Times New Roman"/>
          <w:iCs/>
          <w:sz w:val="24"/>
          <w:szCs w:val="24"/>
          <w:lang w:val="en-US"/>
        </w:rPr>
        <w:t xml:space="preserve">In </w:t>
      </w:r>
      <w:proofErr w:type="spellStart"/>
      <w:r w:rsidR="008A1E64" w:rsidRPr="00D864AC">
        <w:rPr>
          <w:rFonts w:ascii="Times New Roman" w:hAnsi="Times New Roman" w:cs="Times New Roman"/>
          <w:iCs/>
          <w:sz w:val="24"/>
          <w:szCs w:val="24"/>
          <w:lang w:val="en-US"/>
        </w:rPr>
        <w:t>untabulated</w:t>
      </w:r>
      <w:proofErr w:type="spellEnd"/>
      <w:r w:rsidR="008A1E64" w:rsidRPr="00D864AC">
        <w:rPr>
          <w:rFonts w:ascii="Times New Roman" w:hAnsi="Times New Roman" w:cs="Times New Roman"/>
          <w:iCs/>
          <w:sz w:val="24"/>
          <w:szCs w:val="24"/>
          <w:lang w:val="en-US"/>
        </w:rPr>
        <w:t xml:space="preserve"> results</w:t>
      </w:r>
      <w:r w:rsidR="00F62082" w:rsidRPr="00D864AC">
        <w:rPr>
          <w:rFonts w:ascii="Times New Roman" w:hAnsi="Times New Roman" w:cs="Times New Roman"/>
          <w:iCs/>
          <w:sz w:val="24"/>
          <w:szCs w:val="24"/>
          <w:lang w:val="en-US"/>
        </w:rPr>
        <w:t>,</w:t>
      </w:r>
      <w:r w:rsidR="008A1E64" w:rsidRPr="00D864AC">
        <w:rPr>
          <w:rFonts w:ascii="Times New Roman" w:hAnsi="Times New Roman" w:cs="Times New Roman"/>
          <w:iCs/>
          <w:sz w:val="24"/>
          <w:szCs w:val="24"/>
          <w:lang w:val="en-US"/>
        </w:rPr>
        <w:t xml:space="preserve"> we</w:t>
      </w:r>
      <w:r w:rsidR="00D51902" w:rsidRPr="00D864AC">
        <w:rPr>
          <w:rFonts w:ascii="Times New Roman" w:eastAsia="Times New Roman" w:hAnsi="Times New Roman" w:cs="Times New Roman"/>
          <w:iCs/>
          <w:color w:val="000000"/>
          <w:sz w:val="24"/>
          <w:szCs w:val="24"/>
          <w:lang w:val="en-US" w:eastAsia="zh-CN"/>
        </w:rPr>
        <w:t xml:space="preserve"> find that firms with a higher number of workplace violations </w:t>
      </w:r>
      <w:r w:rsidR="00802D9C">
        <w:rPr>
          <w:rFonts w:ascii="Times New Roman" w:eastAsia="Times New Roman" w:hAnsi="Times New Roman" w:cs="Times New Roman"/>
          <w:iCs/>
          <w:color w:val="000000"/>
          <w:sz w:val="24"/>
          <w:szCs w:val="24"/>
          <w:lang w:val="en-US" w:eastAsia="zh-CN"/>
        </w:rPr>
        <w:t>or</w:t>
      </w:r>
      <w:r w:rsidR="00802D9C" w:rsidRPr="00D864AC">
        <w:rPr>
          <w:rFonts w:ascii="Times New Roman" w:eastAsia="Times New Roman" w:hAnsi="Times New Roman" w:cs="Times New Roman"/>
          <w:iCs/>
          <w:color w:val="000000"/>
          <w:sz w:val="24"/>
          <w:szCs w:val="24"/>
          <w:lang w:val="en-US" w:eastAsia="zh-CN"/>
        </w:rPr>
        <w:t xml:space="preserve"> </w:t>
      </w:r>
      <w:r w:rsidR="00D51902" w:rsidRPr="00D864AC">
        <w:rPr>
          <w:rFonts w:ascii="Times New Roman" w:eastAsia="Times New Roman" w:hAnsi="Times New Roman" w:cs="Times New Roman"/>
          <w:iCs/>
          <w:color w:val="000000"/>
          <w:sz w:val="24"/>
          <w:szCs w:val="24"/>
          <w:lang w:val="en-US" w:eastAsia="zh-CN"/>
        </w:rPr>
        <w:t xml:space="preserve">penalties have higher profitability. </w:t>
      </w:r>
    </w:p>
    <w:p w14:paraId="65899CC9" w14:textId="5A5FDD94" w:rsidR="00AE3B52" w:rsidRPr="00D864AC" w:rsidRDefault="00AE3B52" w:rsidP="00D864AC">
      <w:pPr>
        <w:spacing w:after="0" w:line="480" w:lineRule="auto"/>
        <w:ind w:firstLine="720"/>
        <w:jc w:val="both"/>
        <w:rPr>
          <w:rFonts w:ascii="Times New Roman" w:eastAsia="Times New Roman" w:hAnsi="Times New Roman" w:cs="Times New Roman"/>
          <w:iCs/>
          <w:color w:val="000000"/>
          <w:sz w:val="24"/>
          <w:szCs w:val="24"/>
          <w:lang w:val="en-US" w:eastAsia="zh-CN"/>
        </w:rPr>
      </w:pPr>
      <w:r w:rsidRPr="004F0267">
        <w:rPr>
          <w:rFonts w:ascii="Times New Roman" w:eastAsia="Times New Roman" w:hAnsi="Times New Roman" w:cs="Times New Roman"/>
          <w:iCs/>
          <w:color w:val="000000"/>
          <w:sz w:val="24"/>
          <w:szCs w:val="24"/>
          <w:lang w:val="en-US" w:eastAsia="zh-CN"/>
        </w:rPr>
        <w:t>Second, we examine the relation between workplace misconduct and future stock volatility. Based on our argumentation</w:t>
      </w:r>
      <w:r w:rsidR="009B31AD" w:rsidRPr="004F0267">
        <w:rPr>
          <w:rFonts w:ascii="Times New Roman" w:eastAsia="Times New Roman" w:hAnsi="Times New Roman" w:cs="Times New Roman"/>
          <w:iCs/>
          <w:color w:val="000000"/>
          <w:sz w:val="24"/>
          <w:szCs w:val="24"/>
          <w:lang w:val="en-US" w:eastAsia="zh-CN"/>
        </w:rPr>
        <w:t>,</w:t>
      </w:r>
      <w:r w:rsidR="003722D4" w:rsidRPr="004F0267">
        <w:rPr>
          <w:rFonts w:ascii="Times New Roman" w:eastAsia="Times New Roman" w:hAnsi="Times New Roman" w:cs="Times New Roman"/>
          <w:iCs/>
          <w:color w:val="000000"/>
          <w:sz w:val="24"/>
          <w:szCs w:val="24"/>
          <w:lang w:val="en-US" w:eastAsia="zh-CN"/>
        </w:rPr>
        <w:t xml:space="preserve"> that </w:t>
      </w:r>
      <w:r w:rsidR="003722D4" w:rsidRPr="004F0267">
        <w:rPr>
          <w:rFonts w:ascii="Times New Roman" w:hAnsi="Times New Roman" w:cs="Times New Roman"/>
          <w:sz w:val="24"/>
          <w:szCs w:val="24"/>
          <w:lang w:val="en-US"/>
        </w:rPr>
        <w:t>workplace misconduct can also be perceived as a type of risky project,</w:t>
      </w:r>
      <w:r w:rsidRPr="004F0267">
        <w:rPr>
          <w:rFonts w:ascii="Times New Roman" w:eastAsia="Times New Roman" w:hAnsi="Times New Roman" w:cs="Times New Roman"/>
          <w:iCs/>
          <w:color w:val="000000"/>
          <w:sz w:val="24"/>
          <w:szCs w:val="24"/>
          <w:lang w:val="en-US" w:eastAsia="zh-CN"/>
        </w:rPr>
        <w:t xml:space="preserve"> CEOs</w:t>
      </w:r>
      <w:r w:rsidRPr="00612897">
        <w:rPr>
          <w:rFonts w:ascii="Times New Roman" w:eastAsia="Times New Roman" w:hAnsi="Times New Roman" w:cs="Times New Roman"/>
          <w:iCs/>
          <w:color w:val="000000"/>
          <w:sz w:val="24"/>
          <w:szCs w:val="24"/>
          <w:lang w:val="en-US" w:eastAsia="zh-CN"/>
        </w:rPr>
        <w:t xml:space="preserve"> will only allow</w:t>
      </w:r>
      <w:r w:rsidRPr="00D864AC">
        <w:rPr>
          <w:rFonts w:ascii="Times New Roman" w:eastAsia="Times New Roman" w:hAnsi="Times New Roman" w:cs="Times New Roman"/>
          <w:iCs/>
          <w:color w:val="000000"/>
          <w:sz w:val="24"/>
          <w:szCs w:val="24"/>
          <w:lang w:val="en-US" w:eastAsia="zh-CN"/>
        </w:rPr>
        <w:t xml:space="preserve"> workplace violations if they benefit from such violations through increased stock volatility. To undertake this test, we replace the dependent variable in Eq. (1) with the standard deviation of stock returns in the subsequent period, i.e.</w:t>
      </w:r>
      <w:r w:rsidR="009B31AD">
        <w:rPr>
          <w:rFonts w:ascii="Times New Roman" w:eastAsia="Times New Roman" w:hAnsi="Times New Roman" w:cs="Times New Roman"/>
          <w:iCs/>
          <w:color w:val="000000"/>
          <w:sz w:val="24"/>
          <w:szCs w:val="24"/>
          <w:lang w:val="en-US" w:eastAsia="zh-CN"/>
        </w:rPr>
        <w:t>,</w:t>
      </w:r>
      <w:r w:rsidRPr="00D864AC">
        <w:rPr>
          <w:rFonts w:ascii="Times New Roman" w:eastAsia="Times New Roman" w:hAnsi="Times New Roman" w:cs="Times New Roman"/>
          <w:iCs/>
          <w:color w:val="000000"/>
          <w:sz w:val="24"/>
          <w:szCs w:val="24"/>
          <w:lang w:val="en-US" w:eastAsia="zh-CN"/>
        </w:rPr>
        <w:t xml:space="preserve"> </w:t>
      </w:r>
      <w:r w:rsidRPr="009B31AD">
        <w:rPr>
          <w:rFonts w:ascii="Times New Roman" w:eastAsia="Times New Roman" w:hAnsi="Times New Roman" w:cs="Times New Roman"/>
          <w:i/>
          <w:color w:val="000000"/>
          <w:sz w:val="24"/>
          <w:szCs w:val="24"/>
          <w:lang w:val="en-US" w:eastAsia="zh-CN"/>
        </w:rPr>
        <w:t>t+1</w:t>
      </w:r>
      <w:r w:rsidR="004578B2">
        <w:rPr>
          <w:rFonts w:ascii="Times New Roman" w:eastAsia="Times New Roman" w:hAnsi="Times New Roman" w:cs="Times New Roman"/>
          <w:iCs/>
          <w:color w:val="000000"/>
          <w:sz w:val="24"/>
          <w:szCs w:val="24"/>
          <w:lang w:val="en-US" w:eastAsia="zh-CN"/>
        </w:rPr>
        <w:t xml:space="preserve">, to take into account the period between a violation being identified by regulators and the market becoming aware of such misconduct, </w:t>
      </w:r>
      <w:r w:rsidRPr="00D864AC">
        <w:rPr>
          <w:rFonts w:ascii="Times New Roman" w:eastAsia="Times New Roman" w:hAnsi="Times New Roman" w:cs="Times New Roman"/>
          <w:iCs/>
          <w:color w:val="000000"/>
          <w:sz w:val="24"/>
          <w:szCs w:val="24"/>
          <w:lang w:val="en-US" w:eastAsia="zh-CN"/>
        </w:rPr>
        <w:t xml:space="preserve">and replace </w:t>
      </w:r>
      <w:r w:rsidRPr="00D864AC">
        <w:rPr>
          <w:rFonts w:ascii="Times New Roman" w:eastAsia="Times New Roman" w:hAnsi="Times New Roman" w:cs="Times New Roman"/>
          <w:i/>
          <w:color w:val="000000"/>
          <w:sz w:val="24"/>
          <w:szCs w:val="24"/>
          <w:lang w:val="en-US" w:eastAsia="zh-CN"/>
        </w:rPr>
        <w:t xml:space="preserve">Vega </w:t>
      </w:r>
      <w:r w:rsidRPr="00D864AC">
        <w:rPr>
          <w:rFonts w:ascii="Times New Roman" w:eastAsia="Times New Roman" w:hAnsi="Times New Roman" w:cs="Times New Roman"/>
          <w:iCs/>
          <w:color w:val="000000"/>
          <w:sz w:val="24"/>
          <w:szCs w:val="24"/>
          <w:lang w:val="en-US" w:eastAsia="zh-CN"/>
        </w:rPr>
        <w:t xml:space="preserve">with </w:t>
      </w:r>
      <w:r w:rsidRPr="00D864AC">
        <w:rPr>
          <w:rFonts w:ascii="Times New Roman" w:eastAsia="Times New Roman" w:hAnsi="Times New Roman" w:cs="Times New Roman"/>
          <w:i/>
          <w:color w:val="000000"/>
          <w:sz w:val="24"/>
          <w:szCs w:val="24"/>
          <w:lang w:val="en-US" w:eastAsia="zh-CN"/>
        </w:rPr>
        <w:t>Violations</w:t>
      </w:r>
      <w:r w:rsidRPr="00D864AC">
        <w:rPr>
          <w:rFonts w:ascii="Times New Roman" w:eastAsia="Times New Roman" w:hAnsi="Times New Roman" w:cs="Times New Roman"/>
          <w:iCs/>
          <w:color w:val="000000"/>
          <w:sz w:val="24"/>
          <w:szCs w:val="24"/>
          <w:lang w:val="en-US" w:eastAsia="zh-CN"/>
        </w:rPr>
        <w:t xml:space="preserve"> and </w:t>
      </w:r>
      <w:r w:rsidRPr="00D864AC">
        <w:rPr>
          <w:rFonts w:ascii="Times New Roman" w:eastAsia="Times New Roman" w:hAnsi="Times New Roman" w:cs="Times New Roman"/>
          <w:i/>
          <w:color w:val="000000"/>
          <w:sz w:val="24"/>
          <w:szCs w:val="24"/>
          <w:lang w:val="en-US" w:eastAsia="zh-CN"/>
        </w:rPr>
        <w:t>Penalties</w:t>
      </w:r>
      <w:r w:rsidRPr="00D864AC">
        <w:rPr>
          <w:rFonts w:ascii="Times New Roman" w:eastAsia="Times New Roman" w:hAnsi="Times New Roman" w:cs="Times New Roman"/>
          <w:iCs/>
          <w:color w:val="000000"/>
          <w:sz w:val="24"/>
          <w:szCs w:val="24"/>
          <w:lang w:val="en-US" w:eastAsia="zh-CN"/>
        </w:rPr>
        <w:t xml:space="preserve">. In </w:t>
      </w:r>
      <w:proofErr w:type="spellStart"/>
      <w:r w:rsidRPr="00D864AC">
        <w:rPr>
          <w:rFonts w:ascii="Times New Roman" w:eastAsia="Times New Roman" w:hAnsi="Times New Roman" w:cs="Times New Roman"/>
          <w:iCs/>
          <w:color w:val="000000"/>
          <w:sz w:val="24"/>
          <w:szCs w:val="24"/>
          <w:lang w:val="en-US" w:eastAsia="zh-CN"/>
        </w:rPr>
        <w:t>untabulated</w:t>
      </w:r>
      <w:proofErr w:type="spellEnd"/>
      <w:r w:rsidRPr="00D864AC">
        <w:rPr>
          <w:rFonts w:ascii="Times New Roman" w:eastAsia="Times New Roman" w:hAnsi="Times New Roman" w:cs="Times New Roman"/>
          <w:iCs/>
          <w:color w:val="000000"/>
          <w:sz w:val="24"/>
          <w:szCs w:val="24"/>
          <w:lang w:val="en-US" w:eastAsia="zh-CN"/>
        </w:rPr>
        <w:t xml:space="preserve"> results, we find a positive relation between workplace misconduct and stock volatility, suggesting that CEOs elicit higher stock volatility through higher workplace misconduct.</w:t>
      </w:r>
    </w:p>
    <w:p w14:paraId="326D5A96" w14:textId="382643EA" w:rsidR="00AC376E" w:rsidRDefault="00577B18" w:rsidP="009B31AD">
      <w:pPr>
        <w:spacing w:after="0" w:line="480" w:lineRule="auto"/>
        <w:ind w:firstLine="720"/>
        <w:jc w:val="both"/>
        <w:rPr>
          <w:rFonts w:ascii="Times New Roman" w:eastAsia="Times New Roman" w:hAnsi="Times New Roman" w:cs="Times New Roman"/>
          <w:iCs/>
          <w:color w:val="000000"/>
          <w:sz w:val="24"/>
          <w:szCs w:val="24"/>
          <w:lang w:val="en-US" w:eastAsia="zh-CN"/>
        </w:rPr>
      </w:pPr>
      <w:r w:rsidRPr="00905BBB">
        <w:rPr>
          <w:rFonts w:ascii="Times New Roman" w:eastAsia="Times New Roman" w:hAnsi="Times New Roman" w:cs="Times New Roman"/>
          <w:iCs/>
          <w:color w:val="000000"/>
          <w:sz w:val="24"/>
          <w:szCs w:val="24"/>
          <w:lang w:val="en-US" w:eastAsia="zh-CN"/>
        </w:rPr>
        <w:t xml:space="preserve">Third, we </w:t>
      </w:r>
      <w:r w:rsidR="009B31AD" w:rsidRPr="00905BBB">
        <w:rPr>
          <w:rFonts w:ascii="Times New Roman" w:eastAsia="Times New Roman" w:hAnsi="Times New Roman" w:cs="Times New Roman"/>
          <w:iCs/>
          <w:color w:val="000000"/>
          <w:sz w:val="24"/>
          <w:szCs w:val="24"/>
          <w:lang w:val="en-US" w:eastAsia="zh-CN"/>
        </w:rPr>
        <w:t>examine whether board monitoring</w:t>
      </w:r>
      <w:r w:rsidRPr="00905BBB">
        <w:rPr>
          <w:rFonts w:ascii="Times New Roman" w:eastAsia="Times New Roman" w:hAnsi="Times New Roman" w:cs="Times New Roman"/>
          <w:iCs/>
          <w:color w:val="000000"/>
          <w:sz w:val="24"/>
          <w:szCs w:val="24"/>
          <w:lang w:val="en-US" w:eastAsia="zh-CN"/>
        </w:rPr>
        <w:t xml:space="preserve"> moderates the relation between </w:t>
      </w:r>
      <w:r w:rsidR="009B31AD" w:rsidRPr="00905BBB">
        <w:rPr>
          <w:rFonts w:ascii="Times New Roman" w:eastAsia="Times New Roman" w:hAnsi="Times New Roman" w:cs="Times New Roman"/>
          <w:iCs/>
          <w:color w:val="000000"/>
          <w:sz w:val="24"/>
          <w:szCs w:val="24"/>
          <w:lang w:val="en-US" w:eastAsia="zh-CN"/>
        </w:rPr>
        <w:t xml:space="preserve">CEO </w:t>
      </w:r>
      <w:proofErr w:type="spellStart"/>
      <w:r w:rsidRPr="00905BBB">
        <w:rPr>
          <w:rFonts w:ascii="Times New Roman" w:eastAsia="Times New Roman" w:hAnsi="Times New Roman" w:cs="Times New Roman"/>
          <w:iCs/>
          <w:color w:val="000000"/>
          <w:sz w:val="24"/>
          <w:szCs w:val="24"/>
          <w:lang w:val="en-US" w:eastAsia="zh-CN"/>
        </w:rPr>
        <w:t>vega</w:t>
      </w:r>
      <w:proofErr w:type="spellEnd"/>
      <w:r w:rsidRPr="00905BBB">
        <w:rPr>
          <w:rFonts w:ascii="Times New Roman" w:eastAsia="Times New Roman" w:hAnsi="Times New Roman" w:cs="Times New Roman"/>
          <w:iCs/>
          <w:color w:val="000000"/>
          <w:sz w:val="24"/>
          <w:szCs w:val="24"/>
          <w:lang w:val="en-US" w:eastAsia="zh-CN"/>
        </w:rPr>
        <w:t xml:space="preserve"> and workplace misconduct. </w:t>
      </w:r>
      <w:r w:rsidR="009B31AD" w:rsidRPr="00905BBB">
        <w:rPr>
          <w:rFonts w:ascii="Times New Roman" w:eastAsia="Times New Roman" w:hAnsi="Times New Roman" w:cs="Times New Roman"/>
          <w:iCs/>
          <w:color w:val="000000"/>
          <w:sz w:val="24"/>
          <w:szCs w:val="24"/>
          <w:lang w:val="en-US" w:eastAsia="zh-CN"/>
        </w:rPr>
        <w:t>Prior</w:t>
      </w:r>
      <w:r w:rsidR="009B31AD" w:rsidRPr="009B31AD">
        <w:rPr>
          <w:rFonts w:ascii="Times New Roman" w:eastAsia="Times New Roman" w:hAnsi="Times New Roman" w:cs="Times New Roman"/>
          <w:iCs/>
          <w:color w:val="000000"/>
          <w:sz w:val="24"/>
          <w:szCs w:val="24"/>
          <w:lang w:val="en-US" w:eastAsia="zh-CN"/>
        </w:rPr>
        <w:t xml:space="preserve"> literature (Fich and Shivdasani 2006; Field, Lowry, and Mkrtchyan 2013; Falato, </w:t>
      </w:r>
      <w:proofErr w:type="spellStart"/>
      <w:r w:rsidR="009B31AD" w:rsidRPr="009B31AD">
        <w:rPr>
          <w:rFonts w:ascii="Times New Roman" w:eastAsia="Times New Roman" w:hAnsi="Times New Roman" w:cs="Times New Roman"/>
          <w:iCs/>
          <w:color w:val="000000"/>
          <w:sz w:val="24"/>
          <w:szCs w:val="24"/>
          <w:lang w:val="en-US" w:eastAsia="zh-CN"/>
        </w:rPr>
        <w:t>Kadyrzhanova</w:t>
      </w:r>
      <w:proofErr w:type="spellEnd"/>
      <w:r w:rsidR="009B31AD" w:rsidRPr="009B31AD">
        <w:rPr>
          <w:rFonts w:ascii="Times New Roman" w:eastAsia="Times New Roman" w:hAnsi="Times New Roman" w:cs="Times New Roman"/>
          <w:iCs/>
          <w:color w:val="000000"/>
          <w:sz w:val="24"/>
          <w:szCs w:val="24"/>
          <w:lang w:val="en-US" w:eastAsia="zh-CN"/>
        </w:rPr>
        <w:t xml:space="preserve">, and Lel 2014) concludes that busy boards are less effective in monitoring firm management such that board busyness is associated with weaker profitability, lower market-to-book profitability, and excessive management compensation. </w:t>
      </w:r>
      <w:r w:rsidR="009B31AD">
        <w:rPr>
          <w:rFonts w:ascii="Times New Roman" w:eastAsia="Times New Roman" w:hAnsi="Times New Roman" w:cs="Times New Roman"/>
          <w:iCs/>
          <w:color w:val="000000"/>
          <w:sz w:val="24"/>
          <w:szCs w:val="24"/>
          <w:lang w:val="en-US" w:eastAsia="zh-CN"/>
        </w:rPr>
        <w:t>Given this,</w:t>
      </w:r>
      <w:r w:rsidR="009B31AD" w:rsidRPr="009B31AD">
        <w:rPr>
          <w:rFonts w:ascii="Times New Roman" w:eastAsia="Times New Roman" w:hAnsi="Times New Roman" w:cs="Times New Roman"/>
          <w:iCs/>
          <w:color w:val="000000"/>
          <w:sz w:val="24"/>
          <w:szCs w:val="24"/>
          <w:lang w:val="en-US" w:eastAsia="zh-CN"/>
        </w:rPr>
        <w:t xml:space="preserve"> we posit that boards </w:t>
      </w:r>
      <w:r w:rsidR="00094FA4">
        <w:rPr>
          <w:rFonts w:ascii="Times New Roman" w:eastAsia="Times New Roman" w:hAnsi="Times New Roman" w:cs="Times New Roman"/>
          <w:iCs/>
          <w:color w:val="000000"/>
          <w:sz w:val="24"/>
          <w:szCs w:val="24"/>
          <w:lang w:val="en-US" w:eastAsia="zh-CN"/>
        </w:rPr>
        <w:t>that</w:t>
      </w:r>
      <w:r w:rsidR="00094FA4" w:rsidRPr="009B31AD">
        <w:rPr>
          <w:rFonts w:ascii="Times New Roman" w:eastAsia="Times New Roman" w:hAnsi="Times New Roman" w:cs="Times New Roman"/>
          <w:iCs/>
          <w:color w:val="000000"/>
          <w:sz w:val="24"/>
          <w:szCs w:val="24"/>
          <w:lang w:val="en-US" w:eastAsia="zh-CN"/>
        </w:rPr>
        <w:t xml:space="preserve"> </w:t>
      </w:r>
      <w:r w:rsidR="009B31AD" w:rsidRPr="009B31AD">
        <w:rPr>
          <w:rFonts w:ascii="Times New Roman" w:eastAsia="Times New Roman" w:hAnsi="Times New Roman" w:cs="Times New Roman"/>
          <w:iCs/>
          <w:color w:val="000000"/>
          <w:sz w:val="24"/>
          <w:szCs w:val="24"/>
          <w:lang w:val="en-US" w:eastAsia="zh-CN"/>
        </w:rPr>
        <w:t xml:space="preserve">are less busy are better able to effectively monitor the CEO. </w:t>
      </w:r>
      <w:r w:rsidR="009B31AD">
        <w:rPr>
          <w:rFonts w:ascii="Times New Roman" w:eastAsia="Times New Roman" w:hAnsi="Times New Roman" w:cs="Times New Roman"/>
          <w:iCs/>
          <w:color w:val="000000"/>
          <w:sz w:val="24"/>
          <w:szCs w:val="24"/>
          <w:lang w:val="en-US" w:eastAsia="zh-CN"/>
        </w:rPr>
        <w:t xml:space="preserve">In </w:t>
      </w:r>
      <w:r w:rsidR="00905BBB">
        <w:rPr>
          <w:rFonts w:ascii="Times New Roman" w:eastAsia="Times New Roman" w:hAnsi="Times New Roman" w:cs="Times New Roman"/>
          <w:iCs/>
          <w:color w:val="000000"/>
          <w:sz w:val="24"/>
          <w:szCs w:val="24"/>
          <w:lang w:val="en-US" w:eastAsia="zh-CN"/>
        </w:rPr>
        <w:t xml:space="preserve">line </w:t>
      </w:r>
      <w:r w:rsidR="00905BBB">
        <w:rPr>
          <w:rFonts w:ascii="Times New Roman" w:eastAsia="Times New Roman" w:hAnsi="Times New Roman" w:cs="Times New Roman"/>
          <w:iCs/>
          <w:color w:val="000000"/>
          <w:sz w:val="24"/>
          <w:szCs w:val="24"/>
          <w:lang w:val="en-US" w:eastAsia="zh-CN"/>
        </w:rPr>
        <w:lastRenderedPageBreak/>
        <w:t xml:space="preserve">with this conjecture, in </w:t>
      </w:r>
      <w:proofErr w:type="spellStart"/>
      <w:r w:rsidR="009B31AD">
        <w:rPr>
          <w:rFonts w:ascii="Times New Roman" w:eastAsia="Times New Roman" w:hAnsi="Times New Roman" w:cs="Times New Roman"/>
          <w:iCs/>
          <w:color w:val="000000"/>
          <w:sz w:val="24"/>
          <w:szCs w:val="24"/>
          <w:lang w:val="en-US" w:eastAsia="zh-CN"/>
        </w:rPr>
        <w:t>untabulated</w:t>
      </w:r>
      <w:proofErr w:type="spellEnd"/>
      <w:r w:rsidR="009B31AD">
        <w:rPr>
          <w:rFonts w:ascii="Times New Roman" w:eastAsia="Times New Roman" w:hAnsi="Times New Roman" w:cs="Times New Roman"/>
          <w:iCs/>
          <w:color w:val="000000"/>
          <w:sz w:val="24"/>
          <w:szCs w:val="24"/>
          <w:lang w:val="en-US" w:eastAsia="zh-CN"/>
        </w:rPr>
        <w:t xml:space="preserve"> cross-sectional results, we find that less busy boards attenuate </w:t>
      </w:r>
      <w:r w:rsidR="00905BBB">
        <w:rPr>
          <w:rFonts w:ascii="Times New Roman" w:eastAsia="Times New Roman" w:hAnsi="Times New Roman" w:cs="Times New Roman"/>
          <w:iCs/>
          <w:color w:val="000000"/>
          <w:sz w:val="24"/>
          <w:szCs w:val="24"/>
          <w:lang w:val="en-US" w:eastAsia="zh-CN"/>
        </w:rPr>
        <w:t xml:space="preserve">the relation between </w:t>
      </w:r>
      <w:r w:rsidR="00905BBB">
        <w:rPr>
          <w:rFonts w:ascii="Times New Roman" w:eastAsia="Times New Roman" w:hAnsi="Times New Roman" w:cs="Times New Roman"/>
          <w:i/>
          <w:color w:val="000000"/>
          <w:sz w:val="24"/>
          <w:szCs w:val="24"/>
          <w:lang w:val="en-US" w:eastAsia="zh-CN"/>
        </w:rPr>
        <w:t xml:space="preserve">Vega </w:t>
      </w:r>
      <w:r w:rsidR="00905BBB">
        <w:rPr>
          <w:rFonts w:ascii="Times New Roman" w:eastAsia="Times New Roman" w:hAnsi="Times New Roman" w:cs="Times New Roman"/>
          <w:iCs/>
          <w:color w:val="000000"/>
          <w:sz w:val="24"/>
          <w:szCs w:val="24"/>
          <w:lang w:val="en-US" w:eastAsia="zh-CN"/>
        </w:rPr>
        <w:t xml:space="preserve">and workplace misconduct relative to more busy boards. </w:t>
      </w:r>
    </w:p>
    <w:p w14:paraId="6C0F18F0" w14:textId="2F0831D0" w:rsidR="00947B13" w:rsidRPr="00044213" w:rsidRDefault="00612897" w:rsidP="004F0267">
      <w:pPr>
        <w:jc w:val="center"/>
        <w:rPr>
          <w:rFonts w:ascii="Times New Roman" w:hAnsi="Times New Roman" w:cs="Times New Roman"/>
          <w:b/>
          <w:caps/>
          <w:sz w:val="24"/>
          <w:szCs w:val="24"/>
          <w:lang w:val="en-US"/>
        </w:rPr>
      </w:pPr>
      <w:r>
        <w:rPr>
          <w:rFonts w:ascii="Times New Roman" w:hAnsi="Times New Roman" w:cs="Times New Roman"/>
          <w:b/>
          <w:caps/>
          <w:sz w:val="24"/>
          <w:szCs w:val="24"/>
          <w:lang w:val="en-US"/>
        </w:rPr>
        <w:t>VII</w:t>
      </w:r>
      <w:r w:rsidR="00C860A5" w:rsidRPr="00044213">
        <w:rPr>
          <w:rFonts w:ascii="Times New Roman" w:hAnsi="Times New Roman" w:cs="Times New Roman"/>
          <w:b/>
          <w:caps/>
          <w:sz w:val="24"/>
          <w:szCs w:val="24"/>
          <w:lang w:val="en-US"/>
        </w:rPr>
        <w:t xml:space="preserve">. </w:t>
      </w:r>
      <w:r w:rsidR="00947B13" w:rsidRPr="00044213">
        <w:rPr>
          <w:rFonts w:ascii="Times New Roman" w:hAnsi="Times New Roman" w:cs="Times New Roman"/>
          <w:b/>
          <w:caps/>
          <w:sz w:val="24"/>
          <w:szCs w:val="24"/>
          <w:lang w:val="en-US"/>
        </w:rPr>
        <w:t>Conclusion</w:t>
      </w:r>
    </w:p>
    <w:p w14:paraId="23BE8D0D" w14:textId="75A2C17A" w:rsidR="00861E42" w:rsidRPr="00D864AC" w:rsidRDefault="00A705CD" w:rsidP="00191F58">
      <w:pPr>
        <w:pStyle w:val="Default"/>
        <w:spacing w:line="480" w:lineRule="auto"/>
        <w:ind w:firstLine="720"/>
        <w:jc w:val="both"/>
        <w:rPr>
          <w:rFonts w:asciiTheme="majorBidi" w:eastAsia="Times New Roman" w:hAnsiTheme="majorBidi" w:cstheme="majorBidi"/>
          <w:iCs/>
          <w:color w:val="auto"/>
          <w:lang w:val="en-US"/>
        </w:rPr>
      </w:pPr>
      <w:r w:rsidRPr="00A705CD">
        <w:rPr>
          <w:rFonts w:asciiTheme="majorBidi" w:eastAsia="Times New Roman" w:hAnsiTheme="majorBidi" w:cstheme="majorBidi"/>
          <w:iCs/>
          <w:color w:val="auto"/>
          <w:lang w:val="en-US"/>
        </w:rPr>
        <w:t>We</w:t>
      </w:r>
      <w:r w:rsidR="00607143" w:rsidRPr="00A705CD">
        <w:rPr>
          <w:rFonts w:asciiTheme="majorBidi" w:eastAsia="Times New Roman" w:hAnsiTheme="majorBidi" w:cstheme="majorBidi"/>
          <w:iCs/>
          <w:color w:val="auto"/>
          <w:lang w:val="en-US"/>
        </w:rPr>
        <w:t xml:space="preserve"> examine whether the </w:t>
      </w:r>
      <w:r w:rsidR="00A8674A" w:rsidRPr="00A705CD">
        <w:rPr>
          <w:rFonts w:asciiTheme="majorBidi" w:eastAsia="Times New Roman" w:hAnsiTheme="majorBidi" w:cstheme="majorBidi"/>
          <w:iCs/>
          <w:color w:val="auto"/>
          <w:lang w:val="en-US"/>
        </w:rPr>
        <w:t>risk</w:t>
      </w:r>
      <w:r w:rsidR="00A35028" w:rsidRPr="00A705CD">
        <w:rPr>
          <w:rFonts w:asciiTheme="majorBidi" w:eastAsia="Times New Roman" w:hAnsiTheme="majorBidi" w:cstheme="majorBidi"/>
          <w:iCs/>
          <w:color w:val="auto"/>
          <w:lang w:val="en-US"/>
        </w:rPr>
        <w:t xml:space="preserve"> </w:t>
      </w:r>
      <w:r w:rsidR="00A8674A" w:rsidRPr="00A705CD">
        <w:rPr>
          <w:rFonts w:asciiTheme="majorBidi" w:eastAsia="Times New Roman" w:hAnsiTheme="majorBidi" w:cstheme="majorBidi"/>
          <w:iCs/>
          <w:color w:val="auto"/>
          <w:lang w:val="en-US"/>
        </w:rPr>
        <w:t>taking</w:t>
      </w:r>
      <w:r w:rsidR="00607143" w:rsidRPr="00A705CD">
        <w:rPr>
          <w:rFonts w:asciiTheme="majorBidi" w:eastAsia="Times New Roman" w:hAnsiTheme="majorBidi" w:cstheme="majorBidi"/>
          <w:iCs/>
          <w:color w:val="auto"/>
          <w:lang w:val="en-US"/>
        </w:rPr>
        <w:t xml:space="preserve"> incentives embedded in CEO stock options are related to workplace misconduct. In our analysis</w:t>
      </w:r>
      <w:r w:rsidR="00B845BD" w:rsidRPr="00A705CD">
        <w:rPr>
          <w:rFonts w:asciiTheme="majorBidi" w:eastAsia="Times New Roman" w:hAnsiTheme="majorBidi" w:cstheme="majorBidi"/>
          <w:iCs/>
          <w:color w:val="auto"/>
          <w:lang w:val="en-US"/>
        </w:rPr>
        <w:t>,</w:t>
      </w:r>
      <w:r w:rsidR="00607143" w:rsidRPr="00A705CD">
        <w:rPr>
          <w:rFonts w:asciiTheme="majorBidi" w:eastAsia="Times New Roman" w:hAnsiTheme="majorBidi" w:cstheme="majorBidi"/>
          <w:iCs/>
          <w:color w:val="auto"/>
          <w:lang w:val="en-US"/>
        </w:rPr>
        <w:t xml:space="preserve"> w</w:t>
      </w:r>
      <w:r w:rsidR="00351A72" w:rsidRPr="00A705CD">
        <w:rPr>
          <w:rFonts w:asciiTheme="majorBidi" w:eastAsia="Times New Roman" w:hAnsiTheme="majorBidi" w:cstheme="majorBidi"/>
          <w:iCs/>
          <w:color w:val="auto"/>
          <w:lang w:val="en-US"/>
        </w:rPr>
        <w:t>e distinguish between the incentive</w:t>
      </w:r>
      <w:r w:rsidR="00166619" w:rsidRPr="00A705CD">
        <w:rPr>
          <w:rFonts w:asciiTheme="majorBidi" w:eastAsia="Times New Roman" w:hAnsiTheme="majorBidi" w:cstheme="majorBidi"/>
          <w:iCs/>
          <w:color w:val="auto"/>
          <w:lang w:val="en-US"/>
        </w:rPr>
        <w:t>s</w:t>
      </w:r>
      <w:r w:rsidR="00351A72" w:rsidRPr="00A705CD">
        <w:rPr>
          <w:rFonts w:asciiTheme="majorBidi" w:eastAsia="Times New Roman" w:hAnsiTheme="majorBidi" w:cstheme="majorBidi"/>
          <w:iCs/>
          <w:color w:val="auto"/>
          <w:lang w:val="en-US"/>
        </w:rPr>
        <w:t xml:space="preserve"> </w:t>
      </w:r>
      <w:r w:rsidR="00166619" w:rsidRPr="00A705CD">
        <w:rPr>
          <w:rFonts w:asciiTheme="majorBidi" w:eastAsia="Times New Roman" w:hAnsiTheme="majorBidi" w:cstheme="majorBidi"/>
          <w:iCs/>
          <w:color w:val="auto"/>
          <w:lang w:val="en-US"/>
        </w:rPr>
        <w:t>arising</w:t>
      </w:r>
      <w:r w:rsidR="00351A72" w:rsidRPr="00A705CD">
        <w:rPr>
          <w:rFonts w:asciiTheme="majorBidi" w:eastAsia="Times New Roman" w:hAnsiTheme="majorBidi" w:cstheme="majorBidi"/>
          <w:iCs/>
          <w:color w:val="auto"/>
          <w:lang w:val="en-US"/>
        </w:rPr>
        <w:t xml:space="preserve"> from </w:t>
      </w:r>
      <w:proofErr w:type="spellStart"/>
      <w:r w:rsidR="00351A72" w:rsidRPr="00A705CD">
        <w:rPr>
          <w:rFonts w:asciiTheme="majorBidi" w:eastAsia="Times New Roman" w:hAnsiTheme="majorBidi" w:cstheme="majorBidi"/>
          <w:iCs/>
          <w:color w:val="auto"/>
          <w:lang w:val="en-US"/>
        </w:rPr>
        <w:t>vega</w:t>
      </w:r>
      <w:proofErr w:type="spellEnd"/>
      <w:r w:rsidR="00351A72" w:rsidRPr="00A705CD">
        <w:rPr>
          <w:rFonts w:asciiTheme="majorBidi" w:eastAsia="Times New Roman" w:hAnsiTheme="majorBidi" w:cstheme="majorBidi"/>
          <w:iCs/>
          <w:color w:val="auto"/>
          <w:lang w:val="en-US"/>
        </w:rPr>
        <w:t xml:space="preserve"> and </w:t>
      </w:r>
      <w:r w:rsidR="004F5E50" w:rsidRPr="00A705CD">
        <w:rPr>
          <w:rFonts w:asciiTheme="majorBidi" w:eastAsia="Times New Roman" w:hAnsiTheme="majorBidi" w:cstheme="majorBidi"/>
          <w:iCs/>
          <w:color w:val="auto"/>
          <w:lang w:val="en-US"/>
        </w:rPr>
        <w:t xml:space="preserve">the incentives arising from </w:t>
      </w:r>
      <w:proofErr w:type="gramStart"/>
      <w:r w:rsidR="00351A72" w:rsidRPr="00A705CD">
        <w:rPr>
          <w:rFonts w:asciiTheme="majorBidi" w:eastAsia="Times New Roman" w:hAnsiTheme="majorBidi" w:cstheme="majorBidi"/>
          <w:iCs/>
          <w:color w:val="auto"/>
          <w:lang w:val="en-US"/>
        </w:rPr>
        <w:t>delta</w:t>
      </w:r>
      <w:r w:rsidR="004F5E50" w:rsidRPr="00A705CD">
        <w:rPr>
          <w:rFonts w:asciiTheme="majorBidi" w:eastAsia="Times New Roman" w:hAnsiTheme="majorBidi" w:cstheme="majorBidi"/>
          <w:iCs/>
          <w:color w:val="auto"/>
          <w:lang w:val="en-US"/>
        </w:rPr>
        <w:t>,</w:t>
      </w:r>
      <w:r w:rsidR="00351A72" w:rsidRPr="00A705CD">
        <w:rPr>
          <w:rFonts w:asciiTheme="majorBidi" w:eastAsia="Times New Roman" w:hAnsiTheme="majorBidi" w:cstheme="majorBidi"/>
          <w:iCs/>
          <w:color w:val="auto"/>
          <w:lang w:val="en-US"/>
        </w:rPr>
        <w:t xml:space="preserve"> and</w:t>
      </w:r>
      <w:proofErr w:type="gramEnd"/>
      <w:r w:rsidR="00351A72" w:rsidRPr="00A705CD">
        <w:rPr>
          <w:rFonts w:asciiTheme="majorBidi" w:eastAsia="Times New Roman" w:hAnsiTheme="majorBidi" w:cstheme="majorBidi"/>
          <w:iCs/>
          <w:color w:val="auto"/>
          <w:lang w:val="en-US"/>
        </w:rPr>
        <w:t xml:space="preserve"> show that only the </w:t>
      </w:r>
      <w:r w:rsidR="00A8674A" w:rsidRPr="00A705CD">
        <w:rPr>
          <w:rFonts w:asciiTheme="majorBidi" w:eastAsia="Times New Roman" w:hAnsiTheme="majorBidi" w:cstheme="majorBidi"/>
          <w:iCs/>
          <w:color w:val="auto"/>
          <w:lang w:val="en-US"/>
        </w:rPr>
        <w:t>risk</w:t>
      </w:r>
      <w:r w:rsidR="00A35028" w:rsidRPr="00A705CD">
        <w:rPr>
          <w:rFonts w:asciiTheme="majorBidi" w:eastAsia="Times New Roman" w:hAnsiTheme="majorBidi" w:cstheme="majorBidi"/>
          <w:iCs/>
          <w:color w:val="auto"/>
          <w:lang w:val="en-US"/>
        </w:rPr>
        <w:t xml:space="preserve"> </w:t>
      </w:r>
      <w:r w:rsidR="00A8674A" w:rsidRPr="00A705CD">
        <w:rPr>
          <w:rFonts w:asciiTheme="majorBidi" w:eastAsia="Times New Roman" w:hAnsiTheme="majorBidi" w:cstheme="majorBidi"/>
          <w:iCs/>
          <w:color w:val="auto"/>
          <w:lang w:val="en-US"/>
        </w:rPr>
        <w:t>taking</w:t>
      </w:r>
      <w:r w:rsidR="00351A72" w:rsidRPr="00A705CD">
        <w:rPr>
          <w:rFonts w:asciiTheme="majorBidi" w:eastAsia="Times New Roman" w:hAnsiTheme="majorBidi" w:cstheme="majorBidi"/>
          <w:iCs/>
          <w:color w:val="auto"/>
          <w:lang w:val="en-US"/>
        </w:rPr>
        <w:t xml:space="preserve"> incentives </w:t>
      </w:r>
      <w:r w:rsidR="00166619" w:rsidRPr="00A705CD">
        <w:rPr>
          <w:rFonts w:asciiTheme="majorBidi" w:eastAsia="Times New Roman" w:hAnsiTheme="majorBidi" w:cstheme="majorBidi"/>
          <w:iCs/>
          <w:color w:val="auto"/>
          <w:lang w:val="en-US"/>
        </w:rPr>
        <w:t>arising</w:t>
      </w:r>
      <w:r w:rsidR="00351A72" w:rsidRPr="00A705CD">
        <w:rPr>
          <w:rFonts w:asciiTheme="majorBidi" w:eastAsia="Times New Roman" w:hAnsiTheme="majorBidi" w:cstheme="majorBidi"/>
          <w:iCs/>
          <w:color w:val="auto"/>
          <w:lang w:val="en-US"/>
        </w:rPr>
        <w:t xml:space="preserve"> from </w:t>
      </w:r>
      <w:proofErr w:type="spellStart"/>
      <w:r w:rsidR="00351A72" w:rsidRPr="00A705CD">
        <w:rPr>
          <w:rFonts w:asciiTheme="majorBidi" w:eastAsia="Times New Roman" w:hAnsiTheme="majorBidi" w:cstheme="majorBidi"/>
          <w:iCs/>
          <w:color w:val="auto"/>
          <w:lang w:val="en-US"/>
        </w:rPr>
        <w:t>vega</w:t>
      </w:r>
      <w:proofErr w:type="spellEnd"/>
      <w:r w:rsidR="00351A72" w:rsidRPr="00A705CD">
        <w:rPr>
          <w:rFonts w:asciiTheme="majorBidi" w:eastAsia="Times New Roman" w:hAnsiTheme="majorBidi" w:cstheme="majorBidi"/>
          <w:iCs/>
          <w:color w:val="auto"/>
          <w:lang w:val="en-US"/>
        </w:rPr>
        <w:t xml:space="preserve"> affect workplace misconduct. </w:t>
      </w:r>
      <w:r w:rsidR="00351A72" w:rsidRPr="00A705CD">
        <w:rPr>
          <w:rFonts w:asciiTheme="majorBidi" w:eastAsia="Times New Roman" w:hAnsiTheme="majorBidi" w:cstheme="majorBidi"/>
          <w:iCs/>
          <w:lang w:val="en-US"/>
        </w:rPr>
        <w:t xml:space="preserve">We test our predictions using </w:t>
      </w:r>
      <w:r w:rsidR="00A8674A" w:rsidRPr="00A705CD">
        <w:rPr>
          <w:rFonts w:asciiTheme="majorBidi" w:eastAsia="Times New Roman" w:hAnsiTheme="majorBidi" w:cstheme="majorBidi"/>
          <w:iCs/>
          <w:lang w:val="en-US"/>
        </w:rPr>
        <w:t>unmatched</w:t>
      </w:r>
      <w:r w:rsidR="00351A72" w:rsidRPr="00A705CD">
        <w:rPr>
          <w:rFonts w:asciiTheme="majorBidi" w:eastAsia="Times New Roman" w:hAnsiTheme="majorBidi" w:cstheme="majorBidi"/>
          <w:iCs/>
          <w:lang w:val="en-US"/>
        </w:rPr>
        <w:t xml:space="preserve"> and matche</w:t>
      </w:r>
      <w:r w:rsidR="00FC7ABF" w:rsidRPr="00A705CD">
        <w:rPr>
          <w:rFonts w:asciiTheme="majorBidi" w:eastAsia="Times New Roman" w:hAnsiTheme="majorBidi" w:cstheme="majorBidi"/>
          <w:iCs/>
          <w:lang w:val="en-US"/>
        </w:rPr>
        <w:t>d</w:t>
      </w:r>
      <w:r w:rsidR="00351A72" w:rsidRPr="00A705CD">
        <w:rPr>
          <w:rFonts w:asciiTheme="majorBidi" w:eastAsia="Times New Roman" w:hAnsiTheme="majorBidi" w:cstheme="majorBidi"/>
          <w:iCs/>
          <w:lang w:val="en-US"/>
        </w:rPr>
        <w:t xml:space="preserve"> sample tests</w:t>
      </w:r>
      <w:r w:rsidR="00607143" w:rsidRPr="00A705CD">
        <w:rPr>
          <w:rFonts w:asciiTheme="majorBidi" w:eastAsia="Times New Roman" w:hAnsiTheme="majorBidi" w:cstheme="majorBidi"/>
          <w:iCs/>
          <w:lang w:val="en-US"/>
        </w:rPr>
        <w:t xml:space="preserve"> where we control for firm characteristics</w:t>
      </w:r>
      <w:r w:rsidR="00607143" w:rsidRPr="00D864AC">
        <w:rPr>
          <w:rFonts w:asciiTheme="majorBidi" w:eastAsia="Times New Roman" w:hAnsiTheme="majorBidi" w:cstheme="majorBidi"/>
          <w:iCs/>
          <w:lang w:val="en-US"/>
        </w:rPr>
        <w:t xml:space="preserve"> </w:t>
      </w:r>
      <w:r w:rsidR="00094FA4">
        <w:rPr>
          <w:rFonts w:asciiTheme="majorBidi" w:eastAsia="Times New Roman" w:hAnsiTheme="majorBidi" w:cstheme="majorBidi"/>
          <w:iCs/>
          <w:lang w:val="en-US"/>
        </w:rPr>
        <w:t>that</w:t>
      </w:r>
      <w:r w:rsidR="00094FA4" w:rsidRPr="00D864AC">
        <w:rPr>
          <w:rFonts w:asciiTheme="majorBidi" w:eastAsia="Times New Roman" w:hAnsiTheme="majorBidi" w:cstheme="majorBidi"/>
          <w:iCs/>
          <w:lang w:val="en-US"/>
        </w:rPr>
        <w:t xml:space="preserve"> </w:t>
      </w:r>
      <w:r w:rsidR="00607143" w:rsidRPr="00D864AC">
        <w:rPr>
          <w:rFonts w:asciiTheme="majorBidi" w:eastAsia="Times New Roman" w:hAnsiTheme="majorBidi" w:cstheme="majorBidi"/>
          <w:iCs/>
          <w:lang w:val="en-US"/>
        </w:rPr>
        <w:t>might be correlated with workplace violations.</w:t>
      </w:r>
      <w:r w:rsidR="00B36682">
        <w:rPr>
          <w:rFonts w:asciiTheme="majorBidi" w:eastAsia="Times New Roman" w:hAnsiTheme="majorBidi" w:cstheme="majorBidi"/>
          <w:iCs/>
          <w:lang w:val="en-US"/>
        </w:rPr>
        <w:t xml:space="preserve"> Our results show that CEO risk taking incentives, as captured by </w:t>
      </w:r>
      <w:proofErr w:type="spellStart"/>
      <w:r w:rsidR="00B36682">
        <w:rPr>
          <w:rFonts w:asciiTheme="majorBidi" w:eastAsia="Times New Roman" w:hAnsiTheme="majorBidi" w:cstheme="majorBidi"/>
          <w:iCs/>
          <w:lang w:val="en-US"/>
        </w:rPr>
        <w:t>vega</w:t>
      </w:r>
      <w:proofErr w:type="spellEnd"/>
      <w:r w:rsidR="00B36682">
        <w:rPr>
          <w:rFonts w:asciiTheme="majorBidi" w:eastAsia="Times New Roman" w:hAnsiTheme="majorBidi" w:cstheme="majorBidi"/>
          <w:iCs/>
          <w:lang w:val="en-US"/>
        </w:rPr>
        <w:t>, are positively related to workplace misconduct, as captured by the number and severity of workplace violations.</w:t>
      </w:r>
      <w:r w:rsidR="00607143" w:rsidRPr="00D864AC">
        <w:rPr>
          <w:rFonts w:asciiTheme="majorBidi" w:eastAsia="Times New Roman" w:hAnsiTheme="majorBidi" w:cstheme="majorBidi"/>
          <w:iCs/>
          <w:lang w:val="en-US"/>
        </w:rPr>
        <w:t xml:space="preserve"> Further, we </w:t>
      </w:r>
      <w:r w:rsidR="00AB716D">
        <w:rPr>
          <w:rFonts w:asciiTheme="majorBidi" w:eastAsia="Times New Roman" w:hAnsiTheme="majorBidi" w:cstheme="majorBidi"/>
          <w:iCs/>
          <w:lang w:val="en-US"/>
        </w:rPr>
        <w:t xml:space="preserve">exploit the implementation of </w:t>
      </w:r>
      <w:r w:rsidR="00607143" w:rsidRPr="00D864AC">
        <w:rPr>
          <w:rFonts w:asciiTheme="majorBidi" w:eastAsia="Times New Roman" w:hAnsiTheme="majorBidi" w:cstheme="majorBidi"/>
          <w:iCs/>
          <w:lang w:val="en-US"/>
        </w:rPr>
        <w:t>SFAS 123</w:t>
      </w:r>
      <w:r w:rsidR="00AB716D">
        <w:rPr>
          <w:rFonts w:asciiTheme="majorBidi" w:eastAsia="Times New Roman" w:hAnsiTheme="majorBidi" w:cstheme="majorBidi"/>
          <w:iCs/>
          <w:lang w:val="en-US"/>
        </w:rPr>
        <w:t xml:space="preserve">R, which resulted in a reduction in the use of </w:t>
      </w:r>
      <w:proofErr w:type="gramStart"/>
      <w:r w:rsidR="00AB716D">
        <w:rPr>
          <w:rFonts w:asciiTheme="majorBidi" w:eastAsia="Times New Roman" w:hAnsiTheme="majorBidi" w:cstheme="majorBidi"/>
          <w:iCs/>
          <w:lang w:val="en-US"/>
        </w:rPr>
        <w:t>equity based</w:t>
      </w:r>
      <w:proofErr w:type="gramEnd"/>
      <w:r w:rsidR="00AB716D">
        <w:rPr>
          <w:rFonts w:asciiTheme="majorBidi" w:eastAsia="Times New Roman" w:hAnsiTheme="majorBidi" w:cstheme="majorBidi"/>
          <w:iCs/>
          <w:lang w:val="en-US"/>
        </w:rPr>
        <w:t xml:space="preserve"> compensation in CEO remuneration contracts as a shock to the relation between CEO </w:t>
      </w:r>
      <w:proofErr w:type="spellStart"/>
      <w:r w:rsidR="00AB716D">
        <w:rPr>
          <w:rFonts w:asciiTheme="majorBidi" w:eastAsia="Times New Roman" w:hAnsiTheme="majorBidi" w:cstheme="majorBidi"/>
          <w:iCs/>
          <w:lang w:val="en-US"/>
        </w:rPr>
        <w:t>vega</w:t>
      </w:r>
      <w:proofErr w:type="spellEnd"/>
      <w:r w:rsidR="00AB716D">
        <w:rPr>
          <w:rFonts w:asciiTheme="majorBidi" w:eastAsia="Times New Roman" w:hAnsiTheme="majorBidi" w:cstheme="majorBidi"/>
          <w:iCs/>
          <w:lang w:val="en-US"/>
        </w:rPr>
        <w:t xml:space="preserve"> and workplace misconduct. Specifically, we conjecture that any relation between the implementation of SFAS 123R and workplace misconduct occurs through the effect of SFAS 123R on CEO </w:t>
      </w:r>
      <w:proofErr w:type="spellStart"/>
      <w:r w:rsidR="00AB716D">
        <w:rPr>
          <w:rFonts w:asciiTheme="majorBidi" w:eastAsia="Times New Roman" w:hAnsiTheme="majorBidi" w:cstheme="majorBidi"/>
          <w:iCs/>
          <w:lang w:val="en-US"/>
        </w:rPr>
        <w:t>vega</w:t>
      </w:r>
      <w:proofErr w:type="spellEnd"/>
      <w:r w:rsidR="00E57A11">
        <w:rPr>
          <w:rFonts w:asciiTheme="majorBidi" w:eastAsia="Times New Roman" w:hAnsiTheme="majorBidi" w:cstheme="majorBidi"/>
          <w:iCs/>
          <w:lang w:val="en-US"/>
        </w:rPr>
        <w:t>. W</w:t>
      </w:r>
      <w:r w:rsidR="00607143" w:rsidRPr="00D864AC">
        <w:rPr>
          <w:rFonts w:asciiTheme="majorBidi" w:eastAsia="Times New Roman" w:hAnsiTheme="majorBidi" w:cstheme="majorBidi"/>
          <w:iCs/>
          <w:lang w:val="en-US"/>
        </w:rPr>
        <w:t xml:space="preserve">e find that following the implementation of SFAS 123R there was a significant reduction in the incidence and severity of workplace violations for firms that </w:t>
      </w:r>
      <w:r w:rsidR="009105CD" w:rsidRPr="00D864AC">
        <w:rPr>
          <w:rFonts w:asciiTheme="majorBidi" w:eastAsia="Times New Roman" w:hAnsiTheme="majorBidi" w:cstheme="majorBidi"/>
          <w:iCs/>
          <w:lang w:val="en-US"/>
        </w:rPr>
        <w:t>award CEOs with stock options</w:t>
      </w:r>
      <w:r w:rsidR="00607143" w:rsidRPr="00D864AC">
        <w:rPr>
          <w:rFonts w:asciiTheme="majorBidi" w:eastAsia="Times New Roman" w:hAnsiTheme="majorBidi" w:cstheme="majorBidi"/>
          <w:iCs/>
          <w:lang w:val="en-US"/>
        </w:rPr>
        <w:t>.</w:t>
      </w:r>
      <w:r w:rsidR="00351A72" w:rsidRPr="00D864AC">
        <w:rPr>
          <w:rFonts w:asciiTheme="majorBidi" w:eastAsia="Times New Roman" w:hAnsiTheme="majorBidi" w:cstheme="majorBidi"/>
          <w:iCs/>
          <w:lang w:val="en-US"/>
        </w:rPr>
        <w:t xml:space="preserve"> </w:t>
      </w:r>
      <w:r w:rsidR="000C1BDF" w:rsidRPr="00D864AC">
        <w:rPr>
          <w:rFonts w:asciiTheme="majorBidi" w:eastAsia="Times New Roman" w:hAnsiTheme="majorBidi" w:cstheme="majorBidi"/>
          <w:iCs/>
          <w:color w:val="auto"/>
          <w:lang w:val="en-US"/>
        </w:rPr>
        <w:t>Further, we</w:t>
      </w:r>
      <w:r w:rsidR="00861E42" w:rsidRPr="00D864AC">
        <w:rPr>
          <w:rFonts w:asciiTheme="majorBidi" w:eastAsia="Times New Roman" w:hAnsiTheme="majorBidi" w:cstheme="majorBidi"/>
          <w:iCs/>
          <w:color w:val="auto"/>
          <w:lang w:val="en-US"/>
        </w:rPr>
        <w:t xml:space="preserve"> find that the relationship between CEO </w:t>
      </w:r>
      <w:r w:rsidR="00C301BC" w:rsidRPr="00D864AC">
        <w:rPr>
          <w:rFonts w:asciiTheme="majorBidi" w:eastAsia="Times New Roman" w:hAnsiTheme="majorBidi" w:cstheme="majorBidi"/>
          <w:iCs/>
          <w:color w:val="auto"/>
          <w:lang w:val="en-US"/>
        </w:rPr>
        <w:t>risk taking</w:t>
      </w:r>
      <w:r w:rsidR="00861E42" w:rsidRPr="00D864AC">
        <w:rPr>
          <w:rFonts w:asciiTheme="majorBidi" w:eastAsia="Times New Roman" w:hAnsiTheme="majorBidi" w:cstheme="majorBidi"/>
          <w:iCs/>
          <w:color w:val="auto"/>
          <w:lang w:val="en-US"/>
        </w:rPr>
        <w:t xml:space="preserve"> incentives</w:t>
      </w:r>
      <w:r w:rsidR="000C1BDF" w:rsidRPr="00D864AC">
        <w:rPr>
          <w:rFonts w:asciiTheme="majorBidi" w:eastAsia="Times New Roman" w:hAnsiTheme="majorBidi" w:cstheme="majorBidi"/>
          <w:iCs/>
          <w:color w:val="auto"/>
          <w:lang w:val="en-US"/>
        </w:rPr>
        <w:t xml:space="preserve"> and workplace violations</w:t>
      </w:r>
      <w:r w:rsidR="00861E42" w:rsidRPr="00D864AC">
        <w:rPr>
          <w:rFonts w:asciiTheme="majorBidi" w:eastAsia="Times New Roman" w:hAnsiTheme="majorBidi" w:cstheme="majorBidi"/>
          <w:iCs/>
          <w:color w:val="auto"/>
          <w:lang w:val="en-US"/>
        </w:rPr>
        <w:t xml:space="preserve"> is </w:t>
      </w:r>
      <w:r w:rsidR="00B36682">
        <w:rPr>
          <w:rFonts w:asciiTheme="majorBidi" w:eastAsia="Times New Roman" w:hAnsiTheme="majorBidi" w:cstheme="majorBidi"/>
          <w:iCs/>
          <w:color w:val="auto"/>
          <w:lang w:val="en-US"/>
        </w:rPr>
        <w:t xml:space="preserve">a function of </w:t>
      </w:r>
      <w:r w:rsidR="00861E42" w:rsidRPr="00D864AC">
        <w:rPr>
          <w:rFonts w:asciiTheme="majorBidi" w:eastAsia="Times New Roman" w:hAnsiTheme="majorBidi" w:cstheme="majorBidi"/>
          <w:iCs/>
          <w:color w:val="auto"/>
          <w:lang w:val="en-US"/>
        </w:rPr>
        <w:t>cuts to safety-related expenditures and</w:t>
      </w:r>
      <w:r>
        <w:rPr>
          <w:rFonts w:asciiTheme="majorBidi" w:eastAsia="Times New Roman" w:hAnsiTheme="majorBidi" w:cstheme="majorBidi"/>
          <w:iCs/>
          <w:color w:val="auto"/>
          <w:lang w:val="en-US"/>
        </w:rPr>
        <w:t xml:space="preserve"> increases in employee workload</w:t>
      </w:r>
      <w:r w:rsidR="00861E42" w:rsidRPr="00D864AC">
        <w:rPr>
          <w:rFonts w:asciiTheme="majorBidi" w:eastAsia="Times New Roman" w:hAnsiTheme="majorBidi" w:cstheme="majorBidi"/>
          <w:iCs/>
          <w:color w:val="auto"/>
          <w:lang w:val="en-US"/>
        </w:rPr>
        <w:t xml:space="preserve">. </w:t>
      </w:r>
    </w:p>
    <w:p w14:paraId="4E86460D" w14:textId="04A91A73" w:rsidR="00166619" w:rsidRPr="00D864AC" w:rsidRDefault="00FC2697" w:rsidP="00166619">
      <w:pPr>
        <w:spacing w:after="0" w:line="480" w:lineRule="auto"/>
        <w:ind w:firstLine="720"/>
        <w:jc w:val="both"/>
        <w:rPr>
          <w:rFonts w:ascii="Times New Roman" w:eastAsia="Times New Roman" w:hAnsi="Times New Roman" w:cs="Times New Roman"/>
          <w:iCs/>
          <w:color w:val="000000"/>
          <w:sz w:val="24"/>
          <w:szCs w:val="24"/>
          <w:lang w:val="en-US" w:eastAsia="zh-CN"/>
        </w:rPr>
      </w:pPr>
      <w:r w:rsidRPr="00166619">
        <w:rPr>
          <w:rFonts w:asciiTheme="majorBidi" w:eastAsia="Times New Roman" w:hAnsiTheme="majorBidi" w:cstheme="majorBidi"/>
          <w:iCs/>
          <w:sz w:val="24"/>
          <w:szCs w:val="24"/>
          <w:lang w:val="en-US"/>
        </w:rPr>
        <w:t xml:space="preserve">The use of </w:t>
      </w:r>
      <w:r w:rsidR="00313659" w:rsidRPr="00166619">
        <w:rPr>
          <w:rFonts w:asciiTheme="majorBidi" w:eastAsia="Times New Roman" w:hAnsiTheme="majorBidi" w:cstheme="majorBidi"/>
          <w:iCs/>
          <w:sz w:val="24"/>
          <w:szCs w:val="24"/>
          <w:lang w:val="en-US"/>
        </w:rPr>
        <w:t>firm and year fixed effects,</w:t>
      </w:r>
      <w:r w:rsidRPr="00166619">
        <w:rPr>
          <w:rFonts w:asciiTheme="majorBidi" w:eastAsia="Times New Roman" w:hAnsiTheme="majorBidi" w:cstheme="majorBidi"/>
          <w:iCs/>
          <w:sz w:val="24"/>
          <w:szCs w:val="24"/>
          <w:lang w:val="en-US"/>
        </w:rPr>
        <w:t xml:space="preserve"> and the fact that our results are robust to different econometric </w:t>
      </w:r>
      <w:r w:rsidR="00D61809" w:rsidRPr="00166619">
        <w:rPr>
          <w:rFonts w:asciiTheme="majorBidi" w:eastAsia="Times New Roman" w:hAnsiTheme="majorBidi" w:cstheme="majorBidi"/>
          <w:iCs/>
          <w:sz w:val="24"/>
          <w:szCs w:val="24"/>
          <w:lang w:val="en-US"/>
        </w:rPr>
        <w:t>model</w:t>
      </w:r>
      <w:r w:rsidRPr="00166619">
        <w:rPr>
          <w:rFonts w:asciiTheme="majorBidi" w:eastAsia="Times New Roman" w:hAnsiTheme="majorBidi" w:cstheme="majorBidi"/>
          <w:iCs/>
          <w:sz w:val="24"/>
          <w:szCs w:val="24"/>
          <w:lang w:val="en-US"/>
        </w:rPr>
        <w:t xml:space="preserve">s suggest that it is unlikely that a correlated omitted variable </w:t>
      </w:r>
      <w:r w:rsidR="00094FA4">
        <w:rPr>
          <w:rFonts w:asciiTheme="majorBidi" w:eastAsia="Times New Roman" w:hAnsiTheme="majorBidi" w:cstheme="majorBidi"/>
          <w:iCs/>
          <w:sz w:val="24"/>
          <w:szCs w:val="24"/>
          <w:lang w:val="en-US"/>
        </w:rPr>
        <w:t>drives</w:t>
      </w:r>
      <w:r w:rsidRPr="00166619">
        <w:rPr>
          <w:rFonts w:asciiTheme="majorBidi" w:eastAsia="Times New Roman" w:hAnsiTheme="majorBidi" w:cstheme="majorBidi"/>
          <w:iCs/>
          <w:sz w:val="24"/>
          <w:szCs w:val="24"/>
          <w:lang w:val="en-US"/>
        </w:rPr>
        <w:t xml:space="preserve"> our results. </w:t>
      </w:r>
      <w:r w:rsidR="00454878">
        <w:rPr>
          <w:rFonts w:asciiTheme="majorBidi" w:eastAsia="Times New Roman" w:hAnsiTheme="majorBidi" w:cstheme="majorBidi"/>
          <w:iCs/>
          <w:sz w:val="24"/>
          <w:szCs w:val="24"/>
          <w:lang w:val="en-US"/>
        </w:rPr>
        <w:t>Notwithstanding this, we recognize that given our research design</w:t>
      </w:r>
      <w:r w:rsidR="00D41F77">
        <w:rPr>
          <w:rFonts w:asciiTheme="majorBidi" w:eastAsia="Times New Roman" w:hAnsiTheme="majorBidi" w:cstheme="majorBidi"/>
          <w:iCs/>
          <w:sz w:val="24"/>
          <w:szCs w:val="24"/>
          <w:lang w:val="en-US"/>
        </w:rPr>
        <w:t>,</w:t>
      </w:r>
      <w:r w:rsidR="00454878">
        <w:rPr>
          <w:rFonts w:asciiTheme="majorBidi" w:eastAsia="Times New Roman" w:hAnsiTheme="majorBidi" w:cstheme="majorBidi"/>
          <w:iCs/>
          <w:sz w:val="24"/>
          <w:szCs w:val="24"/>
          <w:lang w:val="en-US"/>
        </w:rPr>
        <w:t xml:space="preserve"> we are unable to control for all possible determinants of workplace misconduct. </w:t>
      </w:r>
      <w:r w:rsidR="00F352DB" w:rsidRPr="00166619">
        <w:rPr>
          <w:rFonts w:asciiTheme="majorBidi" w:eastAsia="Times New Roman" w:hAnsiTheme="majorBidi" w:cstheme="majorBidi"/>
          <w:iCs/>
          <w:sz w:val="24"/>
          <w:szCs w:val="24"/>
          <w:lang w:val="en-US"/>
        </w:rPr>
        <w:t>Our study contri</w:t>
      </w:r>
      <w:r w:rsidR="007770A8" w:rsidRPr="00166619">
        <w:rPr>
          <w:rFonts w:asciiTheme="majorBidi" w:eastAsia="Times New Roman" w:hAnsiTheme="majorBidi" w:cstheme="majorBidi"/>
          <w:iCs/>
          <w:sz w:val="24"/>
          <w:szCs w:val="24"/>
          <w:lang w:val="en-US"/>
        </w:rPr>
        <w:t>b</w:t>
      </w:r>
      <w:r w:rsidR="00F352DB" w:rsidRPr="00166619">
        <w:rPr>
          <w:rFonts w:asciiTheme="majorBidi" w:eastAsia="Times New Roman" w:hAnsiTheme="majorBidi" w:cstheme="majorBidi"/>
          <w:iCs/>
          <w:sz w:val="24"/>
          <w:szCs w:val="24"/>
          <w:lang w:val="en-US"/>
        </w:rPr>
        <w:t>utes to</w:t>
      </w:r>
      <w:r w:rsidRPr="00166619">
        <w:rPr>
          <w:rFonts w:asciiTheme="majorBidi" w:eastAsia="Times New Roman" w:hAnsiTheme="majorBidi" w:cstheme="majorBidi"/>
          <w:iCs/>
          <w:sz w:val="24"/>
          <w:szCs w:val="24"/>
          <w:lang w:val="en-US"/>
        </w:rPr>
        <w:t xml:space="preserve"> </w:t>
      </w:r>
      <w:r w:rsidR="00C860A5" w:rsidRPr="00166619">
        <w:rPr>
          <w:rFonts w:asciiTheme="majorBidi" w:eastAsia="Times New Roman" w:hAnsiTheme="majorBidi" w:cstheme="majorBidi"/>
          <w:iCs/>
          <w:sz w:val="24"/>
          <w:szCs w:val="24"/>
          <w:lang w:val="en-US"/>
        </w:rPr>
        <w:t xml:space="preserve">the </w:t>
      </w:r>
      <w:r w:rsidR="00F352DB" w:rsidRPr="00166619">
        <w:rPr>
          <w:rFonts w:asciiTheme="majorBidi" w:eastAsia="Times New Roman" w:hAnsiTheme="majorBidi" w:cstheme="majorBidi"/>
          <w:iCs/>
          <w:sz w:val="24"/>
          <w:szCs w:val="24"/>
          <w:lang w:val="en-US"/>
        </w:rPr>
        <w:t>executive compensation, financial</w:t>
      </w:r>
      <w:r w:rsidR="00F62082" w:rsidRPr="00166619">
        <w:rPr>
          <w:rFonts w:asciiTheme="majorBidi" w:eastAsia="Times New Roman" w:hAnsiTheme="majorBidi" w:cstheme="majorBidi"/>
          <w:iCs/>
          <w:sz w:val="24"/>
          <w:szCs w:val="24"/>
          <w:lang w:val="en-US"/>
        </w:rPr>
        <w:t>,</w:t>
      </w:r>
      <w:r w:rsidR="00F352DB" w:rsidRPr="00166619">
        <w:rPr>
          <w:rFonts w:asciiTheme="majorBidi" w:eastAsia="Times New Roman" w:hAnsiTheme="majorBidi" w:cstheme="majorBidi"/>
          <w:iCs/>
          <w:sz w:val="24"/>
          <w:szCs w:val="24"/>
          <w:lang w:val="en-US"/>
        </w:rPr>
        <w:t xml:space="preserve"> and workplace misconduct literature</w:t>
      </w:r>
      <w:r w:rsidR="00094FA4">
        <w:rPr>
          <w:rFonts w:asciiTheme="majorBidi" w:eastAsia="Times New Roman" w:hAnsiTheme="majorBidi" w:cstheme="majorBidi"/>
          <w:iCs/>
          <w:sz w:val="24"/>
          <w:szCs w:val="24"/>
          <w:lang w:val="en-US"/>
        </w:rPr>
        <w:t xml:space="preserve"> by showing</w:t>
      </w:r>
      <w:r w:rsidR="00F352DB" w:rsidRPr="00166619">
        <w:rPr>
          <w:rFonts w:asciiTheme="majorBidi" w:eastAsia="Times New Roman" w:hAnsiTheme="majorBidi" w:cstheme="majorBidi"/>
          <w:iCs/>
          <w:sz w:val="24"/>
          <w:szCs w:val="24"/>
          <w:lang w:val="en-US"/>
        </w:rPr>
        <w:t xml:space="preserve"> </w:t>
      </w:r>
      <w:r w:rsidRPr="00166619">
        <w:rPr>
          <w:rFonts w:asciiTheme="majorBidi" w:eastAsia="Times New Roman" w:hAnsiTheme="majorBidi" w:cstheme="majorBidi"/>
          <w:iCs/>
          <w:sz w:val="24"/>
          <w:szCs w:val="24"/>
          <w:lang w:val="en-US"/>
        </w:rPr>
        <w:t xml:space="preserve">that CEO risk taking incentives influence the incidence of </w:t>
      </w:r>
      <w:r w:rsidR="00F352DB" w:rsidRPr="00166619">
        <w:rPr>
          <w:rFonts w:asciiTheme="majorBidi" w:eastAsia="Times New Roman" w:hAnsiTheme="majorBidi" w:cstheme="majorBidi"/>
          <w:iCs/>
          <w:sz w:val="24"/>
          <w:szCs w:val="24"/>
          <w:lang w:val="en-US"/>
        </w:rPr>
        <w:t>workplace misconduct.</w:t>
      </w:r>
      <w:r w:rsidR="00166619" w:rsidRPr="00166619">
        <w:rPr>
          <w:rFonts w:ascii="Times New Roman" w:eastAsia="Times New Roman" w:hAnsi="Times New Roman" w:cs="Times New Roman"/>
          <w:iCs/>
          <w:color w:val="000000"/>
          <w:sz w:val="24"/>
          <w:szCs w:val="24"/>
          <w:lang w:val="en-US" w:eastAsia="zh-CN"/>
        </w:rPr>
        <w:t xml:space="preserve"> </w:t>
      </w:r>
    </w:p>
    <w:p w14:paraId="30CCDCF2" w14:textId="103A3C4A" w:rsidR="00351A72" w:rsidRPr="00E57A11" w:rsidRDefault="00351A72" w:rsidP="00B2146B">
      <w:pPr>
        <w:pStyle w:val="Default"/>
        <w:spacing w:line="480" w:lineRule="auto"/>
        <w:ind w:firstLine="720"/>
        <w:jc w:val="both"/>
        <w:rPr>
          <w:lang w:val="en-US"/>
        </w:rPr>
      </w:pPr>
      <w:r w:rsidRPr="00E57A11">
        <w:rPr>
          <w:lang w:val="en-US"/>
        </w:rPr>
        <w:br w:type="page"/>
      </w:r>
    </w:p>
    <w:p w14:paraId="39C3D717" w14:textId="202B1B8E" w:rsidR="00C45F3D" w:rsidRPr="00E57A11" w:rsidRDefault="00C45F3D" w:rsidP="006C10F6">
      <w:pPr>
        <w:spacing w:after="0"/>
        <w:jc w:val="both"/>
        <w:rPr>
          <w:rFonts w:ascii="Times New Roman" w:hAnsi="Times New Roman" w:cs="Times New Roman"/>
          <w:b/>
          <w:sz w:val="24"/>
          <w:szCs w:val="24"/>
          <w:lang w:val="en-US"/>
        </w:rPr>
      </w:pPr>
      <w:bookmarkStart w:id="12" w:name="_Hlk158364424"/>
      <w:r w:rsidRPr="00E57A11">
        <w:rPr>
          <w:rFonts w:ascii="Times New Roman" w:hAnsi="Times New Roman" w:cs="Times New Roman"/>
          <w:b/>
          <w:sz w:val="24"/>
          <w:szCs w:val="24"/>
          <w:lang w:val="en-US"/>
        </w:rPr>
        <w:lastRenderedPageBreak/>
        <w:t>References</w:t>
      </w:r>
    </w:p>
    <w:p w14:paraId="3E44F8E5" w14:textId="77777777" w:rsidR="00351A72" w:rsidRPr="00E57A11" w:rsidRDefault="00351A72" w:rsidP="00594FAC">
      <w:pPr>
        <w:spacing w:after="0" w:line="240" w:lineRule="auto"/>
        <w:ind w:left="720" w:hanging="720"/>
        <w:rPr>
          <w:rFonts w:ascii="Times New Roman" w:hAnsi="Times New Roman" w:cs="Times New Roman"/>
          <w:color w:val="222222"/>
          <w:sz w:val="24"/>
          <w:szCs w:val="24"/>
          <w:shd w:val="clear" w:color="auto" w:fill="FFFFFF"/>
          <w:lang w:val="en-US"/>
        </w:rPr>
      </w:pPr>
    </w:p>
    <w:p w14:paraId="5964155A" w14:textId="7399AE37" w:rsidR="007721F4" w:rsidRPr="00E57A11" w:rsidRDefault="007721F4" w:rsidP="005E4E07">
      <w:pPr>
        <w:spacing w:after="0" w:line="240" w:lineRule="auto"/>
        <w:ind w:left="720" w:hanging="720"/>
        <w:jc w:val="both"/>
        <w:rPr>
          <w:rFonts w:ascii="Times New Roman" w:hAnsi="Times New Roman" w:cs="Times New Roman"/>
          <w:color w:val="000000" w:themeColor="text1"/>
          <w:sz w:val="24"/>
          <w:szCs w:val="24"/>
          <w:shd w:val="clear" w:color="auto" w:fill="FFFFFF"/>
          <w:lang w:val="en-US"/>
        </w:rPr>
      </w:pPr>
      <w:r w:rsidRPr="00E57A11">
        <w:rPr>
          <w:rFonts w:ascii="Times New Roman" w:hAnsi="Times New Roman" w:cs="Times New Roman"/>
          <w:color w:val="000000" w:themeColor="text1"/>
          <w:sz w:val="24"/>
          <w:szCs w:val="24"/>
          <w:shd w:val="clear" w:color="auto" w:fill="FFFFFF"/>
          <w:lang w:val="en-US"/>
        </w:rPr>
        <w:t>Aboody, D.,</w:t>
      </w:r>
      <w:r w:rsidR="00D44A41">
        <w:rPr>
          <w:rFonts w:ascii="Times New Roman" w:hAnsi="Times New Roman" w:cs="Times New Roman"/>
          <w:color w:val="000000" w:themeColor="text1"/>
          <w:sz w:val="24"/>
          <w:szCs w:val="24"/>
          <w:shd w:val="clear" w:color="auto" w:fill="FFFFFF"/>
          <w:lang w:val="en-US"/>
        </w:rPr>
        <w:t xml:space="preserve"> </w:t>
      </w:r>
      <w:r w:rsidR="00D44A41" w:rsidRPr="00E57A11">
        <w:rPr>
          <w:rFonts w:ascii="Times New Roman" w:hAnsi="Times New Roman" w:cs="Times New Roman"/>
          <w:color w:val="000000" w:themeColor="text1"/>
          <w:sz w:val="24"/>
          <w:szCs w:val="24"/>
          <w:shd w:val="clear" w:color="auto" w:fill="FFFFFF"/>
          <w:lang w:val="en-US"/>
        </w:rPr>
        <w:t>S.</w:t>
      </w:r>
      <w:r w:rsidR="00D44A41">
        <w:rPr>
          <w:rFonts w:ascii="Times New Roman" w:hAnsi="Times New Roman" w:cs="Times New Roman"/>
          <w:color w:val="000000" w:themeColor="text1"/>
          <w:sz w:val="24"/>
          <w:szCs w:val="24"/>
          <w:shd w:val="clear" w:color="auto" w:fill="FFFFFF"/>
          <w:lang w:val="en-US"/>
        </w:rPr>
        <w:t xml:space="preserve"> </w:t>
      </w:r>
      <w:r w:rsidRPr="00E57A11">
        <w:rPr>
          <w:rFonts w:ascii="Times New Roman" w:hAnsi="Times New Roman" w:cs="Times New Roman"/>
          <w:color w:val="000000" w:themeColor="text1"/>
          <w:sz w:val="24"/>
          <w:szCs w:val="24"/>
          <w:shd w:val="clear" w:color="auto" w:fill="FFFFFF"/>
          <w:lang w:val="en-US"/>
        </w:rPr>
        <w:t>Levi,</w:t>
      </w:r>
      <w:r w:rsidR="00D44A41">
        <w:rPr>
          <w:rFonts w:ascii="Times New Roman" w:hAnsi="Times New Roman" w:cs="Times New Roman"/>
          <w:color w:val="000000" w:themeColor="text1"/>
          <w:sz w:val="24"/>
          <w:szCs w:val="24"/>
          <w:shd w:val="clear" w:color="auto" w:fill="FFFFFF"/>
          <w:lang w:val="en-US"/>
        </w:rPr>
        <w:t xml:space="preserve"> and D. </w:t>
      </w:r>
      <w:r w:rsidRPr="00E57A11">
        <w:rPr>
          <w:rFonts w:ascii="Times New Roman" w:hAnsi="Times New Roman" w:cs="Times New Roman"/>
          <w:color w:val="000000" w:themeColor="text1"/>
          <w:sz w:val="24"/>
          <w:szCs w:val="24"/>
          <w:shd w:val="clear" w:color="auto" w:fill="FFFFFF"/>
          <w:lang w:val="en-US"/>
        </w:rPr>
        <w:t>Weiss</w:t>
      </w:r>
      <w:r w:rsidR="00D44A41">
        <w:rPr>
          <w:rFonts w:ascii="Times New Roman" w:hAnsi="Times New Roman" w:cs="Times New Roman"/>
          <w:color w:val="000000" w:themeColor="text1"/>
          <w:sz w:val="24"/>
          <w:szCs w:val="24"/>
          <w:shd w:val="clear" w:color="auto" w:fill="FFFFFF"/>
          <w:lang w:val="en-US"/>
        </w:rPr>
        <w:t>.</w:t>
      </w:r>
      <w:r w:rsidRPr="00E57A11">
        <w:rPr>
          <w:rFonts w:ascii="Times New Roman" w:hAnsi="Times New Roman" w:cs="Times New Roman"/>
          <w:color w:val="000000" w:themeColor="text1"/>
          <w:sz w:val="24"/>
          <w:szCs w:val="24"/>
          <w:shd w:val="clear" w:color="auto" w:fill="FFFFFF"/>
          <w:lang w:val="en-US"/>
        </w:rPr>
        <w:t xml:space="preserve"> 2018. Managerial incentives, options, and cost-structure choices. </w:t>
      </w:r>
      <w:r w:rsidRPr="00E57A11">
        <w:rPr>
          <w:rFonts w:ascii="Times New Roman" w:hAnsi="Times New Roman" w:cs="Times New Roman"/>
          <w:i/>
          <w:iCs/>
          <w:color w:val="000000" w:themeColor="text1"/>
          <w:sz w:val="24"/>
          <w:szCs w:val="24"/>
          <w:shd w:val="clear" w:color="auto" w:fill="FFFFFF"/>
          <w:lang w:val="en-US"/>
        </w:rPr>
        <w:t>Review of Accounting Studies</w:t>
      </w:r>
      <w:r w:rsidRPr="00E57A11">
        <w:rPr>
          <w:rFonts w:ascii="Times New Roman" w:hAnsi="Times New Roman" w:cs="Times New Roman"/>
          <w:color w:val="000000" w:themeColor="text1"/>
          <w:sz w:val="24"/>
          <w:szCs w:val="24"/>
          <w:shd w:val="clear" w:color="auto" w:fill="FFFFFF"/>
          <w:lang w:val="en-US"/>
        </w:rPr>
        <w:t> 23</w:t>
      </w:r>
      <w:r w:rsidR="00D44A41">
        <w:rPr>
          <w:rFonts w:ascii="Times New Roman" w:hAnsi="Times New Roman" w:cs="Times New Roman"/>
          <w:color w:val="000000" w:themeColor="text1"/>
          <w:sz w:val="24"/>
          <w:szCs w:val="24"/>
          <w:shd w:val="clear" w:color="auto" w:fill="FFFFFF"/>
          <w:lang w:val="en-US"/>
        </w:rPr>
        <w:t xml:space="preserve"> </w:t>
      </w:r>
      <w:r w:rsidRPr="00E57A11">
        <w:rPr>
          <w:rFonts w:ascii="Times New Roman" w:hAnsi="Times New Roman" w:cs="Times New Roman"/>
          <w:color w:val="000000" w:themeColor="text1"/>
          <w:sz w:val="24"/>
          <w:szCs w:val="24"/>
          <w:shd w:val="clear" w:color="auto" w:fill="FFFFFF"/>
          <w:lang w:val="en-US"/>
        </w:rPr>
        <w:t>(2)</w:t>
      </w:r>
      <w:r w:rsidR="00D44A41">
        <w:rPr>
          <w:rFonts w:ascii="Times New Roman" w:hAnsi="Times New Roman" w:cs="Times New Roman"/>
          <w:color w:val="000000" w:themeColor="text1"/>
          <w:sz w:val="24"/>
          <w:szCs w:val="24"/>
          <w:shd w:val="clear" w:color="auto" w:fill="FFFFFF"/>
          <w:lang w:val="en-US"/>
        </w:rPr>
        <w:t xml:space="preserve">: </w:t>
      </w:r>
      <w:r w:rsidRPr="00E57A11">
        <w:rPr>
          <w:rFonts w:ascii="Times New Roman" w:hAnsi="Times New Roman" w:cs="Times New Roman"/>
          <w:color w:val="000000" w:themeColor="text1"/>
          <w:sz w:val="24"/>
          <w:szCs w:val="24"/>
          <w:shd w:val="clear" w:color="auto" w:fill="FFFFFF"/>
          <w:lang w:val="en-US"/>
        </w:rPr>
        <w:t>422-451.</w:t>
      </w:r>
    </w:p>
    <w:p w14:paraId="4D7B91EE" w14:textId="2D7B27AB" w:rsidR="00E85BD7" w:rsidRDefault="007721F4" w:rsidP="00A705CD">
      <w:pPr>
        <w:spacing w:after="0" w:line="240" w:lineRule="auto"/>
        <w:ind w:left="720" w:hanging="720"/>
        <w:jc w:val="both"/>
        <w:rPr>
          <w:rFonts w:ascii="Times New Roman" w:hAnsi="Times New Roman" w:cs="Times New Roman"/>
          <w:color w:val="000000" w:themeColor="text1"/>
          <w:sz w:val="24"/>
          <w:szCs w:val="24"/>
          <w:lang w:val="en-US"/>
        </w:rPr>
      </w:pPr>
      <w:r w:rsidRPr="00E57A11">
        <w:rPr>
          <w:rFonts w:ascii="Times New Roman" w:hAnsi="Times New Roman" w:cs="Times New Roman"/>
          <w:color w:val="000000" w:themeColor="text1"/>
          <w:sz w:val="24"/>
          <w:szCs w:val="24"/>
          <w:lang w:val="en-US"/>
        </w:rPr>
        <w:t xml:space="preserve">Agrawal, A., </w:t>
      </w:r>
      <w:r w:rsidR="00D44A41">
        <w:rPr>
          <w:rFonts w:ascii="Times New Roman" w:hAnsi="Times New Roman" w:cs="Times New Roman"/>
          <w:color w:val="000000" w:themeColor="text1"/>
          <w:sz w:val="24"/>
          <w:szCs w:val="24"/>
          <w:lang w:val="en-US"/>
        </w:rPr>
        <w:t xml:space="preserve">and G. </w:t>
      </w:r>
      <w:r w:rsidRPr="00E57A11">
        <w:rPr>
          <w:rFonts w:ascii="Times New Roman" w:hAnsi="Times New Roman" w:cs="Times New Roman"/>
          <w:color w:val="000000" w:themeColor="text1"/>
          <w:sz w:val="24"/>
          <w:szCs w:val="24"/>
          <w:lang w:val="en-US"/>
        </w:rPr>
        <w:t>Mandelker</w:t>
      </w:r>
      <w:r w:rsidR="00D44A41">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1987. Managerial incentives and corporate investment and financing decisions. </w:t>
      </w:r>
      <w:r w:rsidR="005D5E2C" w:rsidRPr="00E57A11">
        <w:rPr>
          <w:rFonts w:ascii="Times New Roman" w:hAnsi="Times New Roman" w:cs="Times New Roman"/>
          <w:i/>
          <w:iCs/>
          <w:color w:val="000000" w:themeColor="text1"/>
          <w:sz w:val="24"/>
          <w:szCs w:val="24"/>
          <w:lang w:val="en-US"/>
        </w:rPr>
        <w:t xml:space="preserve">The </w:t>
      </w:r>
      <w:r w:rsidRPr="00E57A11">
        <w:rPr>
          <w:rFonts w:ascii="Times New Roman" w:hAnsi="Times New Roman" w:cs="Times New Roman"/>
          <w:i/>
          <w:iCs/>
          <w:color w:val="000000" w:themeColor="text1"/>
          <w:sz w:val="24"/>
          <w:szCs w:val="24"/>
          <w:lang w:val="en-US"/>
        </w:rPr>
        <w:t>Journal of Finance</w:t>
      </w:r>
      <w:r w:rsidR="00D44A41">
        <w:rPr>
          <w:rFonts w:ascii="Times New Roman" w:hAnsi="Times New Roman" w:cs="Times New Roman"/>
          <w:i/>
          <w:iCs/>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42</w:t>
      </w:r>
      <w:r w:rsidR="00D44A41">
        <w:rPr>
          <w:rFonts w:ascii="Times New Roman" w:hAnsi="Times New Roman" w:cs="Times New Roman"/>
          <w:color w:val="000000" w:themeColor="text1"/>
          <w:sz w:val="24"/>
          <w:szCs w:val="24"/>
          <w:lang w:val="en-US"/>
        </w:rPr>
        <w:t xml:space="preserve"> </w:t>
      </w:r>
      <w:r w:rsidR="00B845BD" w:rsidRPr="00E57A11">
        <w:rPr>
          <w:rFonts w:ascii="Times New Roman" w:hAnsi="Times New Roman" w:cs="Times New Roman"/>
          <w:color w:val="000000" w:themeColor="text1"/>
          <w:sz w:val="24"/>
          <w:szCs w:val="24"/>
          <w:lang w:val="en-US"/>
        </w:rPr>
        <w:t>(4)</w:t>
      </w:r>
      <w:r w:rsidR="00D44A41">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823</w:t>
      </w:r>
      <w:r w:rsidR="00B0289A">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837.</w:t>
      </w:r>
    </w:p>
    <w:p w14:paraId="22B3FCFE" w14:textId="46D8BFD4" w:rsidR="00E85BD7" w:rsidRPr="00E57A11" w:rsidRDefault="00E85BD7" w:rsidP="005E4E07">
      <w:pPr>
        <w:spacing w:after="0" w:line="240" w:lineRule="auto"/>
        <w:ind w:left="720" w:hanging="720"/>
        <w:jc w:val="both"/>
        <w:rPr>
          <w:rFonts w:ascii="Times New Roman" w:hAnsi="Times New Roman" w:cs="Times New Roman"/>
          <w:color w:val="000000" w:themeColor="text1"/>
          <w:sz w:val="24"/>
          <w:szCs w:val="24"/>
          <w:lang w:val="en-US"/>
        </w:rPr>
      </w:pPr>
      <w:r w:rsidRPr="00A705CD">
        <w:rPr>
          <w:rFonts w:ascii="Times New Roman" w:hAnsi="Times New Roman" w:cs="Times New Roman"/>
          <w:color w:val="000000" w:themeColor="text1"/>
          <w:sz w:val="24"/>
          <w:szCs w:val="24"/>
          <w:lang w:val="en-US"/>
        </w:rPr>
        <w:t xml:space="preserve">Armstrong, C., </w:t>
      </w:r>
      <w:r w:rsidR="00D44A41">
        <w:rPr>
          <w:rFonts w:ascii="Times New Roman" w:hAnsi="Times New Roman" w:cs="Times New Roman"/>
          <w:color w:val="000000" w:themeColor="text1"/>
          <w:sz w:val="24"/>
          <w:szCs w:val="24"/>
          <w:lang w:val="en-US"/>
        </w:rPr>
        <w:t xml:space="preserve">T. </w:t>
      </w:r>
      <w:r w:rsidRPr="00A705CD">
        <w:rPr>
          <w:rFonts w:ascii="Times New Roman" w:hAnsi="Times New Roman" w:cs="Times New Roman"/>
          <w:color w:val="000000" w:themeColor="text1"/>
          <w:sz w:val="24"/>
          <w:szCs w:val="24"/>
          <w:lang w:val="en-US"/>
        </w:rPr>
        <w:t>Blackburne, and</w:t>
      </w:r>
      <w:r w:rsidR="00D44A41">
        <w:rPr>
          <w:rFonts w:ascii="Times New Roman" w:hAnsi="Times New Roman" w:cs="Times New Roman"/>
          <w:color w:val="000000" w:themeColor="text1"/>
          <w:sz w:val="24"/>
          <w:szCs w:val="24"/>
          <w:lang w:val="en-US"/>
        </w:rPr>
        <w:t xml:space="preserve"> P.</w:t>
      </w:r>
      <w:r w:rsidRPr="00A705CD">
        <w:rPr>
          <w:rFonts w:ascii="Times New Roman" w:hAnsi="Times New Roman" w:cs="Times New Roman"/>
          <w:color w:val="000000" w:themeColor="text1"/>
          <w:sz w:val="24"/>
          <w:szCs w:val="24"/>
          <w:lang w:val="en-US"/>
        </w:rPr>
        <w:t xml:space="preserve"> Quinn</w:t>
      </w:r>
      <w:r w:rsidR="00D44A41">
        <w:rPr>
          <w:rFonts w:ascii="Times New Roman" w:hAnsi="Times New Roman" w:cs="Times New Roman"/>
          <w:color w:val="000000" w:themeColor="text1"/>
          <w:sz w:val="24"/>
          <w:szCs w:val="24"/>
          <w:lang w:val="en-US"/>
        </w:rPr>
        <w:t>.</w:t>
      </w:r>
      <w:r w:rsidRPr="00A705CD">
        <w:rPr>
          <w:rFonts w:ascii="Times New Roman" w:hAnsi="Times New Roman" w:cs="Times New Roman"/>
          <w:color w:val="000000" w:themeColor="text1"/>
          <w:sz w:val="24"/>
          <w:szCs w:val="24"/>
          <w:lang w:val="en-US"/>
        </w:rPr>
        <w:t xml:space="preserve"> 2021. Are CEOs’ purchases mo</w:t>
      </w:r>
      <w:r w:rsidRPr="00E85BD7">
        <w:rPr>
          <w:rFonts w:ascii="Times New Roman" w:hAnsi="Times New Roman" w:cs="Times New Roman"/>
          <w:color w:val="000000" w:themeColor="text1"/>
          <w:sz w:val="24"/>
          <w:szCs w:val="24"/>
          <w:lang w:val="en-US"/>
        </w:rPr>
        <w:t>re profitable than they appear?</w:t>
      </w:r>
      <w:r w:rsidRPr="00A705CD">
        <w:rPr>
          <w:rFonts w:ascii="Times New Roman" w:hAnsi="Times New Roman" w:cs="Times New Roman"/>
          <w:color w:val="000000" w:themeColor="text1"/>
          <w:sz w:val="24"/>
          <w:szCs w:val="24"/>
          <w:lang w:val="en-US"/>
        </w:rPr>
        <w:t> </w:t>
      </w:r>
      <w:r w:rsidRPr="00A705CD">
        <w:rPr>
          <w:rFonts w:ascii="Times New Roman" w:hAnsi="Times New Roman" w:cs="Times New Roman"/>
          <w:i/>
          <w:color w:val="000000" w:themeColor="text1"/>
          <w:sz w:val="24"/>
          <w:szCs w:val="24"/>
          <w:lang w:val="en-US"/>
        </w:rPr>
        <w:t>Journal of Accounting and Economics</w:t>
      </w:r>
      <w:r w:rsidRPr="00A705CD">
        <w:rPr>
          <w:rFonts w:ascii="Times New Roman" w:hAnsi="Times New Roman" w:cs="Times New Roman"/>
          <w:color w:val="000000" w:themeColor="text1"/>
          <w:sz w:val="24"/>
          <w:szCs w:val="24"/>
          <w:lang w:val="en-US"/>
        </w:rPr>
        <w:t> 71</w:t>
      </w:r>
      <w:r w:rsidR="00D44A41">
        <w:rPr>
          <w:rFonts w:ascii="Times New Roman" w:hAnsi="Times New Roman" w:cs="Times New Roman"/>
          <w:color w:val="000000" w:themeColor="text1"/>
          <w:sz w:val="24"/>
          <w:szCs w:val="24"/>
          <w:lang w:val="en-US"/>
        </w:rPr>
        <w:t xml:space="preserve"> </w:t>
      </w:r>
      <w:r w:rsidRPr="00E85BD7">
        <w:rPr>
          <w:rFonts w:ascii="Times New Roman" w:hAnsi="Times New Roman" w:cs="Times New Roman"/>
          <w:color w:val="000000" w:themeColor="text1"/>
          <w:sz w:val="24"/>
          <w:szCs w:val="24"/>
          <w:lang w:val="en-US"/>
        </w:rPr>
        <w:t>(2-3)</w:t>
      </w:r>
      <w:r w:rsidRPr="00A705CD">
        <w:rPr>
          <w:rFonts w:ascii="Times New Roman" w:hAnsi="Times New Roman" w:cs="Times New Roman"/>
          <w:color w:val="000000" w:themeColor="text1"/>
          <w:sz w:val="24"/>
          <w:szCs w:val="24"/>
          <w:lang w:val="en-US"/>
        </w:rPr>
        <w:t>.</w:t>
      </w:r>
    </w:p>
    <w:p w14:paraId="291F6626" w14:textId="03AB9AB4" w:rsidR="00C45F3D" w:rsidRPr="00E57A11" w:rsidRDefault="00C45F3D" w:rsidP="005E4E07">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en-US"/>
        </w:rPr>
      </w:pPr>
      <w:r w:rsidRPr="00E57A11">
        <w:rPr>
          <w:rFonts w:ascii="Times New Roman" w:hAnsi="Times New Roman" w:cs="Times New Roman"/>
          <w:color w:val="000000" w:themeColor="text1"/>
          <w:sz w:val="24"/>
          <w:szCs w:val="24"/>
          <w:lang w:val="en-US"/>
        </w:rPr>
        <w:t xml:space="preserve">Armstrong, C., </w:t>
      </w:r>
      <w:r w:rsidR="00D44A41">
        <w:rPr>
          <w:rFonts w:ascii="Times New Roman" w:hAnsi="Times New Roman" w:cs="Times New Roman"/>
          <w:color w:val="000000" w:themeColor="text1"/>
          <w:sz w:val="24"/>
          <w:szCs w:val="24"/>
          <w:lang w:val="en-US"/>
        </w:rPr>
        <w:t xml:space="preserve">A. </w:t>
      </w:r>
      <w:proofErr w:type="spellStart"/>
      <w:r w:rsidRPr="00E57A11">
        <w:rPr>
          <w:rFonts w:ascii="Times New Roman" w:hAnsi="Times New Roman" w:cs="Times New Roman"/>
          <w:color w:val="000000" w:themeColor="text1"/>
          <w:sz w:val="24"/>
          <w:szCs w:val="24"/>
          <w:lang w:val="en-US"/>
        </w:rPr>
        <w:t>Jagolinzer</w:t>
      </w:r>
      <w:proofErr w:type="spellEnd"/>
      <w:r w:rsidRPr="00E57A11">
        <w:rPr>
          <w:rFonts w:ascii="Times New Roman" w:hAnsi="Times New Roman" w:cs="Times New Roman"/>
          <w:color w:val="000000" w:themeColor="text1"/>
          <w:sz w:val="24"/>
          <w:szCs w:val="24"/>
          <w:lang w:val="en-US"/>
        </w:rPr>
        <w:t xml:space="preserve">, </w:t>
      </w:r>
      <w:r w:rsidR="00D44A41">
        <w:rPr>
          <w:rFonts w:ascii="Times New Roman" w:hAnsi="Times New Roman" w:cs="Times New Roman"/>
          <w:color w:val="000000" w:themeColor="text1"/>
          <w:sz w:val="24"/>
          <w:szCs w:val="24"/>
          <w:lang w:val="en-US"/>
        </w:rPr>
        <w:t xml:space="preserve">and D. </w:t>
      </w:r>
      <w:r w:rsidRPr="00E57A11">
        <w:rPr>
          <w:rFonts w:ascii="Times New Roman" w:hAnsi="Times New Roman" w:cs="Times New Roman"/>
          <w:color w:val="000000" w:themeColor="text1"/>
          <w:sz w:val="24"/>
          <w:szCs w:val="24"/>
          <w:lang w:val="en-US"/>
        </w:rPr>
        <w:t>Larcker</w:t>
      </w:r>
      <w:r w:rsidR="00D44A41">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2010. Chief executive officer equity incentives and accounting irregularities. </w:t>
      </w:r>
      <w:r w:rsidRPr="00E57A11">
        <w:rPr>
          <w:rFonts w:ascii="Times New Roman" w:hAnsi="Times New Roman" w:cs="Times New Roman"/>
          <w:i/>
          <w:iCs/>
          <w:color w:val="000000" w:themeColor="text1"/>
          <w:sz w:val="24"/>
          <w:szCs w:val="24"/>
          <w:lang w:val="en-US"/>
        </w:rPr>
        <w:t>Journal of Accounting Research</w:t>
      </w:r>
      <w:r w:rsidR="00D44A41">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48</w:t>
      </w:r>
      <w:r w:rsidR="00D44A41">
        <w:rPr>
          <w:rFonts w:ascii="Times New Roman" w:hAnsi="Times New Roman" w:cs="Times New Roman"/>
          <w:color w:val="000000" w:themeColor="text1"/>
          <w:sz w:val="24"/>
          <w:szCs w:val="24"/>
          <w:lang w:val="en-US"/>
        </w:rPr>
        <w:t xml:space="preserve"> </w:t>
      </w:r>
      <w:r w:rsidR="00B845BD" w:rsidRPr="00E57A11">
        <w:rPr>
          <w:rFonts w:ascii="Times New Roman" w:hAnsi="Times New Roman" w:cs="Times New Roman"/>
          <w:color w:val="000000" w:themeColor="text1"/>
          <w:sz w:val="24"/>
          <w:szCs w:val="24"/>
          <w:lang w:val="en-US"/>
        </w:rPr>
        <w:t>(2)</w:t>
      </w:r>
      <w:r w:rsidR="00D44A41">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225</w:t>
      </w:r>
      <w:r w:rsidR="00B0289A">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271. </w:t>
      </w:r>
    </w:p>
    <w:p w14:paraId="3F20B2AA" w14:textId="75CA3E49" w:rsidR="00C45F3D" w:rsidRPr="00E57A11" w:rsidRDefault="00C45F3D" w:rsidP="005E4E07">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en-US"/>
        </w:rPr>
      </w:pPr>
      <w:r w:rsidRPr="00E57A11">
        <w:rPr>
          <w:rFonts w:ascii="Times New Roman" w:hAnsi="Times New Roman" w:cs="Times New Roman"/>
          <w:color w:val="000000" w:themeColor="text1"/>
          <w:sz w:val="24"/>
          <w:szCs w:val="24"/>
          <w:lang w:val="en-US"/>
        </w:rPr>
        <w:t xml:space="preserve">Armstrong, C., </w:t>
      </w:r>
      <w:r w:rsidR="00D44A41">
        <w:rPr>
          <w:rFonts w:ascii="Times New Roman" w:hAnsi="Times New Roman" w:cs="Times New Roman"/>
          <w:color w:val="000000" w:themeColor="text1"/>
          <w:sz w:val="24"/>
          <w:szCs w:val="24"/>
          <w:lang w:val="en-US"/>
        </w:rPr>
        <w:t xml:space="preserve">and R. </w:t>
      </w:r>
      <w:r w:rsidRPr="00E57A11">
        <w:rPr>
          <w:rFonts w:ascii="Times New Roman" w:hAnsi="Times New Roman" w:cs="Times New Roman"/>
          <w:color w:val="000000" w:themeColor="text1"/>
          <w:sz w:val="24"/>
          <w:szCs w:val="24"/>
          <w:lang w:val="en-US"/>
        </w:rPr>
        <w:t>Vashishtha</w:t>
      </w:r>
      <w:r w:rsidR="00D44A41">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2012. Executive stock options, differential </w:t>
      </w:r>
      <w:r w:rsidR="00A8674A" w:rsidRPr="00E57A11">
        <w:rPr>
          <w:rFonts w:ascii="Times New Roman" w:hAnsi="Times New Roman" w:cs="Times New Roman"/>
          <w:color w:val="000000" w:themeColor="text1"/>
          <w:sz w:val="24"/>
          <w:szCs w:val="24"/>
          <w:lang w:val="en-US"/>
        </w:rPr>
        <w:t>risk-taking</w:t>
      </w:r>
      <w:r w:rsidRPr="00E57A11">
        <w:rPr>
          <w:rFonts w:ascii="Times New Roman" w:hAnsi="Times New Roman" w:cs="Times New Roman"/>
          <w:color w:val="000000" w:themeColor="text1"/>
          <w:sz w:val="24"/>
          <w:szCs w:val="24"/>
          <w:lang w:val="en-US"/>
        </w:rPr>
        <w:t xml:space="preserve"> incentives, and firm value. </w:t>
      </w:r>
      <w:r w:rsidRPr="00E57A11">
        <w:rPr>
          <w:rFonts w:ascii="Times New Roman" w:hAnsi="Times New Roman" w:cs="Times New Roman"/>
          <w:i/>
          <w:iCs/>
          <w:color w:val="000000" w:themeColor="text1"/>
          <w:sz w:val="24"/>
          <w:szCs w:val="24"/>
          <w:lang w:val="en-US"/>
        </w:rPr>
        <w:t>Journal of Financial Economics</w:t>
      </w:r>
      <w:r w:rsidR="00D44A41">
        <w:rPr>
          <w:rFonts w:ascii="Times New Roman" w:hAnsi="Times New Roman" w:cs="Times New Roman"/>
          <w:i/>
          <w:iCs/>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104</w:t>
      </w:r>
      <w:r w:rsidR="00D44A41">
        <w:rPr>
          <w:rFonts w:ascii="Times New Roman" w:hAnsi="Times New Roman" w:cs="Times New Roman"/>
          <w:color w:val="000000" w:themeColor="text1"/>
          <w:sz w:val="24"/>
          <w:szCs w:val="24"/>
          <w:lang w:val="en-US"/>
        </w:rPr>
        <w:t xml:space="preserve"> </w:t>
      </w:r>
      <w:r w:rsidR="00B845BD" w:rsidRPr="00E57A11">
        <w:rPr>
          <w:rFonts w:ascii="Times New Roman" w:hAnsi="Times New Roman" w:cs="Times New Roman"/>
          <w:color w:val="000000" w:themeColor="text1"/>
          <w:sz w:val="24"/>
          <w:szCs w:val="24"/>
          <w:lang w:val="en-US"/>
        </w:rPr>
        <w:t>(1)</w:t>
      </w:r>
      <w:r w:rsidR="00D44A41">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70</w:t>
      </w:r>
      <w:r w:rsidR="00B0289A">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88.</w:t>
      </w:r>
    </w:p>
    <w:p w14:paraId="27F0E55B" w14:textId="01ADBD5C" w:rsidR="00C45F3D" w:rsidRPr="00E57A11" w:rsidRDefault="00C45F3D" w:rsidP="005E4E07">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en-US"/>
        </w:rPr>
      </w:pPr>
      <w:r w:rsidRPr="00E57A11">
        <w:rPr>
          <w:rFonts w:ascii="Times New Roman" w:hAnsi="Times New Roman" w:cs="Times New Roman"/>
          <w:color w:val="000000" w:themeColor="text1"/>
          <w:sz w:val="24"/>
          <w:szCs w:val="24"/>
          <w:lang w:val="en-US"/>
        </w:rPr>
        <w:t>Armstrong, C.</w:t>
      </w:r>
      <w:r w:rsidR="00D44A41">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 xml:space="preserve">S., </w:t>
      </w:r>
      <w:r w:rsidR="00D44A41">
        <w:rPr>
          <w:rFonts w:ascii="Times New Roman" w:hAnsi="Times New Roman" w:cs="Times New Roman"/>
          <w:color w:val="000000" w:themeColor="text1"/>
          <w:sz w:val="24"/>
          <w:szCs w:val="24"/>
          <w:lang w:val="en-US"/>
        </w:rPr>
        <w:t xml:space="preserve">D. F. </w:t>
      </w:r>
      <w:r w:rsidRPr="00E57A11">
        <w:rPr>
          <w:rFonts w:ascii="Times New Roman" w:hAnsi="Times New Roman" w:cs="Times New Roman"/>
          <w:color w:val="000000" w:themeColor="text1"/>
          <w:sz w:val="24"/>
          <w:szCs w:val="24"/>
          <w:lang w:val="en-US"/>
        </w:rPr>
        <w:t>Larcker,</w:t>
      </w:r>
      <w:r w:rsidR="00D44A41">
        <w:rPr>
          <w:rFonts w:ascii="Times New Roman" w:hAnsi="Times New Roman" w:cs="Times New Roman"/>
          <w:color w:val="000000" w:themeColor="text1"/>
          <w:sz w:val="24"/>
          <w:szCs w:val="24"/>
          <w:lang w:val="en-US"/>
        </w:rPr>
        <w:t xml:space="preserve"> G. </w:t>
      </w:r>
      <w:r w:rsidRPr="00E57A11">
        <w:rPr>
          <w:rFonts w:ascii="Times New Roman" w:hAnsi="Times New Roman" w:cs="Times New Roman"/>
          <w:color w:val="000000" w:themeColor="text1"/>
          <w:sz w:val="24"/>
          <w:szCs w:val="24"/>
          <w:lang w:val="en-US"/>
        </w:rPr>
        <w:t>Ormazabal</w:t>
      </w:r>
      <w:r w:rsidR="0070525B" w:rsidRPr="00E57A11">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w:t>
      </w:r>
      <w:r w:rsidR="00D44A41">
        <w:rPr>
          <w:rFonts w:ascii="Times New Roman" w:hAnsi="Times New Roman" w:cs="Times New Roman"/>
          <w:color w:val="000000" w:themeColor="text1"/>
          <w:sz w:val="24"/>
          <w:szCs w:val="24"/>
          <w:lang w:val="en-US"/>
        </w:rPr>
        <w:t xml:space="preserve">and D. J. </w:t>
      </w:r>
      <w:r w:rsidRPr="00E57A11">
        <w:rPr>
          <w:rFonts w:ascii="Times New Roman" w:hAnsi="Times New Roman" w:cs="Times New Roman"/>
          <w:color w:val="000000" w:themeColor="text1"/>
          <w:sz w:val="24"/>
          <w:szCs w:val="24"/>
          <w:lang w:val="en-US"/>
        </w:rPr>
        <w:t>Taylor</w:t>
      </w:r>
      <w:r w:rsidR="00D44A41">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2013. The relation between equity</w:t>
      </w:r>
      <w:r w:rsidRPr="00E57A11">
        <w:rPr>
          <w:rFonts w:ascii="Times New Roman" w:hAnsi="Times New Roman" w:cs="Times New Roman"/>
          <w:color w:val="000000" w:themeColor="text1"/>
          <w:sz w:val="24"/>
          <w:szCs w:val="24"/>
          <w:shd w:val="clear" w:color="auto" w:fill="FFFFFF"/>
          <w:lang w:val="en-US"/>
        </w:rPr>
        <w:t xml:space="preserve"> </w:t>
      </w:r>
      <w:r w:rsidRPr="00E57A11">
        <w:rPr>
          <w:rFonts w:ascii="Times New Roman" w:hAnsi="Times New Roman" w:cs="Times New Roman"/>
          <w:color w:val="000000" w:themeColor="text1"/>
          <w:sz w:val="24"/>
          <w:szCs w:val="24"/>
          <w:lang w:val="en-US"/>
        </w:rPr>
        <w:t xml:space="preserve">incentives and misreporting: The role of </w:t>
      </w:r>
      <w:r w:rsidR="00A8674A" w:rsidRPr="00E57A11">
        <w:rPr>
          <w:rFonts w:ascii="Times New Roman" w:hAnsi="Times New Roman" w:cs="Times New Roman"/>
          <w:color w:val="000000" w:themeColor="text1"/>
          <w:sz w:val="24"/>
          <w:szCs w:val="24"/>
          <w:lang w:val="en-US"/>
        </w:rPr>
        <w:t>risk-taking</w:t>
      </w:r>
      <w:r w:rsidRPr="00E57A11">
        <w:rPr>
          <w:rFonts w:ascii="Times New Roman" w:hAnsi="Times New Roman" w:cs="Times New Roman"/>
          <w:color w:val="000000" w:themeColor="text1"/>
          <w:sz w:val="24"/>
          <w:szCs w:val="24"/>
          <w:lang w:val="en-US"/>
        </w:rPr>
        <w:t xml:space="preserve"> incentives. </w:t>
      </w:r>
      <w:r w:rsidRPr="00E57A11">
        <w:rPr>
          <w:rFonts w:ascii="Times New Roman" w:hAnsi="Times New Roman" w:cs="Times New Roman"/>
          <w:i/>
          <w:iCs/>
          <w:color w:val="000000" w:themeColor="text1"/>
          <w:sz w:val="24"/>
          <w:szCs w:val="24"/>
          <w:lang w:val="en-US"/>
        </w:rPr>
        <w:t>Journal of Financial Economics</w:t>
      </w:r>
      <w:r w:rsidRPr="00E57A11">
        <w:rPr>
          <w:rFonts w:ascii="Times New Roman" w:hAnsi="Times New Roman" w:cs="Times New Roman"/>
          <w:color w:val="000000" w:themeColor="text1"/>
          <w:sz w:val="24"/>
          <w:szCs w:val="24"/>
          <w:lang w:val="en-US"/>
        </w:rPr>
        <w:t> 109</w:t>
      </w:r>
      <w:r w:rsidR="00D44A41">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(2)</w:t>
      </w:r>
      <w:r w:rsidR="00D44A41">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327-350.</w:t>
      </w:r>
    </w:p>
    <w:p w14:paraId="05D99172" w14:textId="237E874E" w:rsidR="00170E7D" w:rsidRDefault="00B303DF" w:rsidP="00170E7D">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en-US"/>
        </w:rPr>
      </w:pPr>
      <w:r w:rsidRPr="00E57A11">
        <w:rPr>
          <w:rFonts w:ascii="Times New Roman" w:hAnsi="Times New Roman" w:cs="Times New Roman"/>
          <w:color w:val="000000" w:themeColor="text1"/>
          <w:sz w:val="24"/>
          <w:szCs w:val="24"/>
          <w:lang w:val="en-US"/>
        </w:rPr>
        <w:t>Armstrong, C.</w:t>
      </w:r>
      <w:r w:rsidR="00D44A41">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 xml:space="preserve">S., </w:t>
      </w:r>
      <w:r w:rsidR="00D44A41">
        <w:rPr>
          <w:rFonts w:ascii="Times New Roman" w:hAnsi="Times New Roman" w:cs="Times New Roman"/>
          <w:color w:val="000000" w:themeColor="text1"/>
          <w:sz w:val="24"/>
          <w:szCs w:val="24"/>
          <w:lang w:val="en-US"/>
        </w:rPr>
        <w:t xml:space="preserve">J. L. </w:t>
      </w:r>
      <w:r w:rsidRPr="00E57A11">
        <w:rPr>
          <w:rFonts w:ascii="Times New Roman" w:hAnsi="Times New Roman" w:cs="Times New Roman"/>
          <w:color w:val="000000" w:themeColor="text1"/>
          <w:sz w:val="24"/>
          <w:szCs w:val="24"/>
          <w:lang w:val="en-US"/>
        </w:rPr>
        <w:t xml:space="preserve">Blouin, </w:t>
      </w:r>
      <w:r w:rsidR="00D44A41">
        <w:rPr>
          <w:rFonts w:ascii="Times New Roman" w:hAnsi="Times New Roman" w:cs="Times New Roman"/>
          <w:color w:val="000000" w:themeColor="text1"/>
          <w:sz w:val="24"/>
          <w:szCs w:val="24"/>
          <w:lang w:val="en-US"/>
        </w:rPr>
        <w:t xml:space="preserve">A. D. </w:t>
      </w:r>
      <w:proofErr w:type="spellStart"/>
      <w:r w:rsidRPr="00E57A11">
        <w:rPr>
          <w:rFonts w:ascii="Times New Roman" w:hAnsi="Times New Roman" w:cs="Times New Roman"/>
          <w:color w:val="000000" w:themeColor="text1"/>
          <w:sz w:val="24"/>
          <w:szCs w:val="24"/>
          <w:lang w:val="en-US"/>
        </w:rPr>
        <w:t>Jagolinzer</w:t>
      </w:r>
      <w:proofErr w:type="spellEnd"/>
      <w:r w:rsidRPr="00E57A11">
        <w:rPr>
          <w:rFonts w:ascii="Times New Roman" w:hAnsi="Times New Roman" w:cs="Times New Roman"/>
          <w:color w:val="000000" w:themeColor="text1"/>
          <w:sz w:val="24"/>
          <w:szCs w:val="24"/>
          <w:lang w:val="en-US"/>
        </w:rPr>
        <w:t xml:space="preserve">, </w:t>
      </w:r>
      <w:r w:rsidR="00D44A41">
        <w:rPr>
          <w:rFonts w:ascii="Times New Roman" w:hAnsi="Times New Roman" w:cs="Times New Roman"/>
          <w:color w:val="000000" w:themeColor="text1"/>
          <w:sz w:val="24"/>
          <w:szCs w:val="24"/>
          <w:lang w:val="en-US"/>
        </w:rPr>
        <w:t xml:space="preserve">and D. F. </w:t>
      </w:r>
      <w:r w:rsidRPr="00E57A11">
        <w:rPr>
          <w:rFonts w:ascii="Times New Roman" w:hAnsi="Times New Roman" w:cs="Times New Roman"/>
          <w:color w:val="000000" w:themeColor="text1"/>
          <w:sz w:val="24"/>
          <w:szCs w:val="24"/>
          <w:lang w:val="en-US"/>
        </w:rPr>
        <w:t>Larcker</w:t>
      </w:r>
      <w:r w:rsidR="00D44A41">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 xml:space="preserve">2015. Corporate governance, incentives, and tax avoidance. </w:t>
      </w:r>
      <w:r w:rsidRPr="00E57A11">
        <w:rPr>
          <w:rFonts w:ascii="Times New Roman" w:hAnsi="Times New Roman" w:cs="Times New Roman"/>
          <w:i/>
          <w:iCs/>
          <w:color w:val="000000" w:themeColor="text1"/>
          <w:sz w:val="24"/>
          <w:szCs w:val="24"/>
          <w:lang w:val="en-US"/>
        </w:rPr>
        <w:t>Journal of Accounting and Economics</w:t>
      </w:r>
      <w:r w:rsidRPr="00E57A11">
        <w:rPr>
          <w:rFonts w:ascii="Times New Roman" w:hAnsi="Times New Roman" w:cs="Times New Roman"/>
          <w:color w:val="000000" w:themeColor="text1"/>
          <w:sz w:val="24"/>
          <w:szCs w:val="24"/>
          <w:lang w:val="en-US"/>
        </w:rPr>
        <w:t xml:space="preserve"> 60</w:t>
      </w:r>
      <w:r w:rsidR="00D44A41">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(1)</w:t>
      </w:r>
      <w:r w:rsidR="00D44A41">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1-17.</w:t>
      </w:r>
    </w:p>
    <w:p w14:paraId="2C83925E" w14:textId="01FBD793" w:rsidR="00170E7D" w:rsidRPr="00170E7D" w:rsidRDefault="00170E7D" w:rsidP="00170E7D">
      <w:pPr>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170E7D">
        <w:rPr>
          <w:rFonts w:ascii="Times New Roman" w:hAnsi="Times New Roman" w:cs="Times New Roman"/>
          <w:color w:val="222222"/>
          <w:sz w:val="24"/>
          <w:szCs w:val="24"/>
          <w:shd w:val="clear" w:color="auto" w:fill="FFFFFF"/>
        </w:rPr>
        <w:t>Baginski, S.</w:t>
      </w:r>
      <w:r w:rsidR="00D44A41">
        <w:rPr>
          <w:rFonts w:ascii="Times New Roman" w:hAnsi="Times New Roman" w:cs="Times New Roman"/>
          <w:color w:val="222222"/>
          <w:sz w:val="24"/>
          <w:szCs w:val="24"/>
          <w:shd w:val="clear" w:color="auto" w:fill="FFFFFF"/>
        </w:rPr>
        <w:t xml:space="preserve"> </w:t>
      </w:r>
      <w:r w:rsidRPr="00170E7D">
        <w:rPr>
          <w:rFonts w:ascii="Times New Roman" w:hAnsi="Times New Roman" w:cs="Times New Roman"/>
          <w:color w:val="222222"/>
          <w:sz w:val="24"/>
          <w:szCs w:val="24"/>
          <w:shd w:val="clear" w:color="auto" w:fill="FFFFFF"/>
        </w:rPr>
        <w:t xml:space="preserve">P., </w:t>
      </w:r>
      <w:r w:rsidR="00D44A41">
        <w:rPr>
          <w:rFonts w:ascii="Times New Roman" w:hAnsi="Times New Roman" w:cs="Times New Roman"/>
          <w:color w:val="222222"/>
          <w:sz w:val="24"/>
          <w:szCs w:val="24"/>
          <w:shd w:val="clear" w:color="auto" w:fill="FFFFFF"/>
        </w:rPr>
        <w:t xml:space="preserve">J. L. </w:t>
      </w:r>
      <w:r w:rsidRPr="00170E7D">
        <w:rPr>
          <w:rFonts w:ascii="Times New Roman" w:hAnsi="Times New Roman" w:cs="Times New Roman"/>
          <w:color w:val="222222"/>
          <w:sz w:val="24"/>
          <w:szCs w:val="24"/>
          <w:shd w:val="clear" w:color="auto" w:fill="FFFFFF"/>
        </w:rPr>
        <w:t xml:space="preserve">Campbell, </w:t>
      </w:r>
      <w:r w:rsidR="00D44A41">
        <w:rPr>
          <w:rFonts w:ascii="Times New Roman" w:hAnsi="Times New Roman" w:cs="Times New Roman"/>
          <w:color w:val="222222"/>
          <w:sz w:val="24"/>
          <w:szCs w:val="24"/>
          <w:shd w:val="clear" w:color="auto" w:fill="FFFFFF"/>
        </w:rPr>
        <w:t xml:space="preserve">L. A. </w:t>
      </w:r>
      <w:r w:rsidRPr="00170E7D">
        <w:rPr>
          <w:rFonts w:ascii="Times New Roman" w:hAnsi="Times New Roman" w:cs="Times New Roman"/>
          <w:color w:val="222222"/>
          <w:sz w:val="24"/>
          <w:szCs w:val="24"/>
          <w:shd w:val="clear" w:color="auto" w:fill="FFFFFF"/>
        </w:rPr>
        <w:t xml:space="preserve">Hinson, and </w:t>
      </w:r>
      <w:r w:rsidR="00D44A41">
        <w:rPr>
          <w:rFonts w:ascii="Times New Roman" w:hAnsi="Times New Roman" w:cs="Times New Roman"/>
          <w:color w:val="222222"/>
          <w:sz w:val="24"/>
          <w:szCs w:val="24"/>
          <w:shd w:val="clear" w:color="auto" w:fill="FFFFFF"/>
        </w:rPr>
        <w:t xml:space="preserve">D.S. </w:t>
      </w:r>
      <w:r w:rsidRPr="00170E7D">
        <w:rPr>
          <w:rFonts w:ascii="Times New Roman" w:hAnsi="Times New Roman" w:cs="Times New Roman"/>
          <w:color w:val="222222"/>
          <w:sz w:val="24"/>
          <w:szCs w:val="24"/>
          <w:shd w:val="clear" w:color="auto" w:fill="FFFFFF"/>
        </w:rPr>
        <w:t>Koo</w:t>
      </w:r>
      <w:r w:rsidR="00D44A41">
        <w:rPr>
          <w:rFonts w:ascii="Times New Roman" w:hAnsi="Times New Roman" w:cs="Times New Roman"/>
          <w:color w:val="222222"/>
          <w:sz w:val="24"/>
          <w:szCs w:val="24"/>
          <w:shd w:val="clear" w:color="auto" w:fill="FFFFFF"/>
        </w:rPr>
        <w:t>.</w:t>
      </w:r>
      <w:r w:rsidRPr="00170E7D">
        <w:rPr>
          <w:rFonts w:ascii="Times New Roman" w:hAnsi="Times New Roman" w:cs="Times New Roman"/>
          <w:color w:val="222222"/>
          <w:sz w:val="24"/>
          <w:szCs w:val="24"/>
          <w:shd w:val="clear" w:color="auto" w:fill="FFFFFF"/>
        </w:rPr>
        <w:t xml:space="preserve"> 2018. Do career concerns affect the delay of bad news disclosure? </w:t>
      </w:r>
      <w:r w:rsidRPr="00170E7D">
        <w:rPr>
          <w:rFonts w:ascii="Times New Roman" w:hAnsi="Times New Roman" w:cs="Times New Roman"/>
          <w:i/>
          <w:iCs/>
          <w:color w:val="222222"/>
          <w:sz w:val="24"/>
          <w:szCs w:val="24"/>
          <w:shd w:val="clear" w:color="auto" w:fill="FFFFFF"/>
        </w:rPr>
        <w:t>The Accounting Review</w:t>
      </w:r>
      <w:r w:rsidRPr="00170E7D">
        <w:rPr>
          <w:rFonts w:ascii="Times New Roman" w:hAnsi="Times New Roman" w:cs="Times New Roman"/>
          <w:color w:val="222222"/>
          <w:sz w:val="24"/>
          <w:szCs w:val="24"/>
          <w:shd w:val="clear" w:color="auto" w:fill="FFFFFF"/>
        </w:rPr>
        <w:t> </w:t>
      </w:r>
      <w:r w:rsidRPr="00D44A41">
        <w:rPr>
          <w:rFonts w:ascii="Times New Roman" w:hAnsi="Times New Roman" w:cs="Times New Roman"/>
          <w:color w:val="222222"/>
          <w:sz w:val="24"/>
          <w:szCs w:val="24"/>
          <w:shd w:val="clear" w:color="auto" w:fill="FFFFFF"/>
        </w:rPr>
        <w:t>93</w:t>
      </w:r>
      <w:r w:rsidR="00D44A41">
        <w:rPr>
          <w:rFonts w:ascii="Times New Roman" w:hAnsi="Times New Roman" w:cs="Times New Roman"/>
          <w:i/>
          <w:iCs/>
          <w:color w:val="222222"/>
          <w:sz w:val="24"/>
          <w:szCs w:val="24"/>
          <w:shd w:val="clear" w:color="auto" w:fill="FFFFFF"/>
        </w:rPr>
        <w:t xml:space="preserve"> </w:t>
      </w:r>
      <w:r>
        <w:rPr>
          <w:rFonts w:ascii="Times New Roman" w:hAnsi="Times New Roman" w:cs="Times New Roman"/>
          <w:color w:val="222222"/>
          <w:sz w:val="24"/>
          <w:szCs w:val="24"/>
          <w:shd w:val="clear" w:color="auto" w:fill="FFFFFF"/>
        </w:rPr>
        <w:t>(2)</w:t>
      </w:r>
      <w:r w:rsidR="00D44A41">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170E7D">
        <w:rPr>
          <w:rFonts w:ascii="Times New Roman" w:hAnsi="Times New Roman" w:cs="Times New Roman"/>
          <w:color w:val="222222"/>
          <w:sz w:val="24"/>
          <w:szCs w:val="24"/>
          <w:shd w:val="clear" w:color="auto" w:fill="FFFFFF"/>
        </w:rPr>
        <w:t>61-95.</w:t>
      </w:r>
    </w:p>
    <w:p w14:paraId="6D9439F7" w14:textId="055995B7" w:rsidR="00C45F3D" w:rsidRPr="00E57A11" w:rsidRDefault="00C45F3D" w:rsidP="00170E7D">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en-US"/>
        </w:rPr>
      </w:pPr>
      <w:r w:rsidRPr="00E57A11">
        <w:rPr>
          <w:rFonts w:ascii="Times New Roman" w:hAnsi="Times New Roman" w:cs="Times New Roman"/>
          <w:color w:val="000000" w:themeColor="text1"/>
          <w:sz w:val="24"/>
          <w:szCs w:val="24"/>
          <w:lang w:val="en-US"/>
        </w:rPr>
        <w:t>Bakke, T.</w:t>
      </w:r>
      <w:r w:rsidR="00D44A41">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 xml:space="preserve">-E., </w:t>
      </w:r>
      <w:r w:rsidR="00D44A41">
        <w:rPr>
          <w:rFonts w:ascii="Times New Roman" w:hAnsi="Times New Roman" w:cs="Times New Roman"/>
          <w:color w:val="000000" w:themeColor="text1"/>
          <w:sz w:val="24"/>
          <w:szCs w:val="24"/>
          <w:lang w:val="en-US"/>
        </w:rPr>
        <w:t xml:space="preserve">H. </w:t>
      </w:r>
      <w:r w:rsidRPr="00E57A11">
        <w:rPr>
          <w:rFonts w:ascii="Times New Roman" w:hAnsi="Times New Roman" w:cs="Times New Roman"/>
          <w:color w:val="000000" w:themeColor="text1"/>
          <w:sz w:val="24"/>
          <w:szCs w:val="24"/>
          <w:lang w:val="en-US"/>
        </w:rPr>
        <w:t xml:space="preserve">Mahmudi, </w:t>
      </w:r>
      <w:r w:rsidR="00D44A41">
        <w:rPr>
          <w:rFonts w:ascii="Times New Roman" w:hAnsi="Times New Roman" w:cs="Times New Roman"/>
          <w:color w:val="000000" w:themeColor="text1"/>
          <w:sz w:val="24"/>
          <w:szCs w:val="24"/>
          <w:lang w:val="en-US"/>
        </w:rPr>
        <w:t xml:space="preserve">C. S. </w:t>
      </w:r>
      <w:r w:rsidRPr="00E57A11">
        <w:rPr>
          <w:rFonts w:ascii="Times New Roman" w:hAnsi="Times New Roman" w:cs="Times New Roman"/>
          <w:color w:val="000000" w:themeColor="text1"/>
          <w:sz w:val="24"/>
          <w:szCs w:val="24"/>
          <w:lang w:val="en-US"/>
        </w:rPr>
        <w:t xml:space="preserve">Fernando, </w:t>
      </w:r>
      <w:r w:rsidR="00D44A41">
        <w:rPr>
          <w:rFonts w:ascii="Times New Roman" w:hAnsi="Times New Roman" w:cs="Times New Roman"/>
          <w:color w:val="000000" w:themeColor="text1"/>
          <w:sz w:val="24"/>
          <w:szCs w:val="24"/>
          <w:lang w:val="en-US"/>
        </w:rPr>
        <w:t>and J. M.</w:t>
      </w:r>
      <w:r w:rsidRPr="00E57A11">
        <w:rPr>
          <w:rFonts w:ascii="Times New Roman" w:hAnsi="Times New Roman" w:cs="Times New Roman"/>
          <w:color w:val="000000" w:themeColor="text1"/>
          <w:sz w:val="24"/>
          <w:szCs w:val="24"/>
          <w:lang w:val="en-US"/>
        </w:rPr>
        <w:t xml:space="preserve"> Salas</w:t>
      </w:r>
      <w:r w:rsidR="00D44A41">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2016. The causal effect of option pay on corporate risk management. </w:t>
      </w:r>
      <w:r w:rsidRPr="00E57A11">
        <w:rPr>
          <w:rFonts w:ascii="Times New Roman" w:hAnsi="Times New Roman" w:cs="Times New Roman"/>
          <w:i/>
          <w:iCs/>
          <w:color w:val="000000" w:themeColor="text1"/>
          <w:sz w:val="24"/>
          <w:szCs w:val="24"/>
          <w:lang w:val="en-US"/>
        </w:rPr>
        <w:t>Journal of Financial Economics</w:t>
      </w:r>
      <w:r w:rsidRPr="00E57A11">
        <w:rPr>
          <w:rFonts w:ascii="Times New Roman" w:hAnsi="Times New Roman" w:cs="Times New Roman"/>
          <w:color w:val="000000" w:themeColor="text1"/>
          <w:sz w:val="24"/>
          <w:szCs w:val="24"/>
          <w:lang w:val="en-US"/>
        </w:rPr>
        <w:t xml:space="preserve"> 120</w:t>
      </w:r>
      <w:r w:rsidR="00D44A41">
        <w:rPr>
          <w:rFonts w:ascii="Times New Roman" w:hAnsi="Times New Roman" w:cs="Times New Roman"/>
          <w:color w:val="000000" w:themeColor="text1"/>
          <w:sz w:val="24"/>
          <w:szCs w:val="24"/>
          <w:lang w:val="en-US"/>
        </w:rPr>
        <w:t xml:space="preserve"> </w:t>
      </w:r>
      <w:r w:rsidR="00B845BD" w:rsidRPr="00E57A11">
        <w:rPr>
          <w:rFonts w:ascii="Times New Roman" w:hAnsi="Times New Roman" w:cs="Times New Roman"/>
          <w:color w:val="000000" w:themeColor="text1"/>
          <w:sz w:val="24"/>
          <w:szCs w:val="24"/>
          <w:lang w:val="en-US"/>
        </w:rPr>
        <w:t>(3)</w:t>
      </w:r>
      <w:r w:rsidRPr="00E57A11">
        <w:rPr>
          <w:rFonts w:ascii="Times New Roman" w:hAnsi="Times New Roman" w:cs="Times New Roman"/>
          <w:color w:val="000000" w:themeColor="text1"/>
          <w:sz w:val="24"/>
          <w:szCs w:val="24"/>
          <w:lang w:val="en-US"/>
        </w:rPr>
        <w:t>, 623</w:t>
      </w:r>
      <w:r w:rsidR="00B0289A">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643.</w:t>
      </w:r>
    </w:p>
    <w:p w14:paraId="632A49D9" w14:textId="2391164C" w:rsidR="00C45F3D" w:rsidRDefault="00C45F3D" w:rsidP="005E4E07">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en-US"/>
        </w:rPr>
      </w:pPr>
      <w:r w:rsidRPr="00E57A11">
        <w:rPr>
          <w:rFonts w:ascii="Times New Roman" w:hAnsi="Times New Roman" w:cs="Times New Roman"/>
          <w:color w:val="000000" w:themeColor="text1"/>
          <w:sz w:val="24"/>
          <w:szCs w:val="24"/>
          <w:lang w:val="en-US"/>
        </w:rPr>
        <w:t xml:space="preserve">Bergstresser, D., </w:t>
      </w:r>
      <w:r w:rsidR="00FB6F4A">
        <w:rPr>
          <w:rFonts w:ascii="Times New Roman" w:hAnsi="Times New Roman" w:cs="Times New Roman"/>
          <w:color w:val="000000" w:themeColor="text1"/>
          <w:sz w:val="24"/>
          <w:szCs w:val="24"/>
          <w:lang w:val="en-US"/>
        </w:rPr>
        <w:t xml:space="preserve">and T. </w:t>
      </w:r>
      <w:r w:rsidRPr="00E57A11">
        <w:rPr>
          <w:rFonts w:ascii="Times New Roman" w:hAnsi="Times New Roman" w:cs="Times New Roman"/>
          <w:color w:val="000000" w:themeColor="text1"/>
          <w:sz w:val="24"/>
          <w:szCs w:val="24"/>
          <w:lang w:val="en-US"/>
        </w:rPr>
        <w:t>Philippon</w:t>
      </w:r>
      <w:r w:rsidR="00FB6F4A">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2006. CEO incentives and earnings management. </w:t>
      </w:r>
      <w:r w:rsidRPr="00E57A11">
        <w:rPr>
          <w:rFonts w:ascii="Times New Roman" w:hAnsi="Times New Roman" w:cs="Times New Roman"/>
          <w:i/>
          <w:iCs/>
          <w:color w:val="000000" w:themeColor="text1"/>
          <w:sz w:val="24"/>
          <w:szCs w:val="24"/>
          <w:lang w:val="en-US"/>
        </w:rPr>
        <w:t>Journal of Financial Economics</w:t>
      </w:r>
      <w:r w:rsidRPr="00E57A11">
        <w:rPr>
          <w:rFonts w:ascii="Times New Roman" w:hAnsi="Times New Roman" w:cs="Times New Roman"/>
          <w:color w:val="000000" w:themeColor="text1"/>
          <w:sz w:val="24"/>
          <w:szCs w:val="24"/>
          <w:lang w:val="en-US"/>
        </w:rPr>
        <w:t xml:space="preserve"> 80</w:t>
      </w:r>
      <w:r w:rsidR="00FB6F4A">
        <w:rPr>
          <w:rFonts w:ascii="Times New Roman" w:hAnsi="Times New Roman" w:cs="Times New Roman"/>
          <w:color w:val="000000" w:themeColor="text1"/>
          <w:sz w:val="24"/>
          <w:szCs w:val="24"/>
          <w:lang w:val="en-US"/>
        </w:rPr>
        <w:t xml:space="preserve"> </w:t>
      </w:r>
      <w:r w:rsidR="00B845BD" w:rsidRPr="00E57A11">
        <w:rPr>
          <w:rFonts w:ascii="Times New Roman" w:hAnsi="Times New Roman" w:cs="Times New Roman"/>
          <w:color w:val="000000" w:themeColor="text1"/>
          <w:sz w:val="24"/>
          <w:szCs w:val="24"/>
          <w:lang w:val="en-US"/>
        </w:rPr>
        <w:t>(3)</w:t>
      </w:r>
      <w:r w:rsidR="00FB6F4A">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511–529. </w:t>
      </w:r>
    </w:p>
    <w:p w14:paraId="42BEBCC6" w14:textId="2F49656F" w:rsidR="00F62082" w:rsidRPr="00F62082" w:rsidRDefault="00F62082" w:rsidP="00F62082">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en-US"/>
        </w:rPr>
      </w:pPr>
      <w:bookmarkStart w:id="13" w:name="_Hlk88214495"/>
      <w:proofErr w:type="spellStart"/>
      <w:r w:rsidRPr="00F62082">
        <w:rPr>
          <w:rFonts w:ascii="Times New Roman" w:hAnsi="Times New Roman" w:cs="Times New Roman"/>
          <w:color w:val="000000" w:themeColor="text1"/>
          <w:sz w:val="24"/>
          <w:szCs w:val="24"/>
          <w:lang w:val="en-US"/>
        </w:rPr>
        <w:t>Bouslah</w:t>
      </w:r>
      <w:proofErr w:type="spellEnd"/>
      <w:r w:rsidRPr="00F62082">
        <w:rPr>
          <w:rFonts w:ascii="Times New Roman" w:hAnsi="Times New Roman" w:cs="Times New Roman"/>
          <w:color w:val="000000" w:themeColor="text1"/>
          <w:sz w:val="24"/>
          <w:szCs w:val="24"/>
          <w:lang w:val="en-US"/>
        </w:rPr>
        <w:t xml:space="preserve">, K., </w:t>
      </w:r>
      <w:r w:rsidR="00FB6F4A">
        <w:rPr>
          <w:rFonts w:ascii="Times New Roman" w:hAnsi="Times New Roman" w:cs="Times New Roman"/>
          <w:color w:val="000000" w:themeColor="text1"/>
          <w:sz w:val="24"/>
          <w:szCs w:val="24"/>
          <w:lang w:val="en-US"/>
        </w:rPr>
        <w:t xml:space="preserve">J. </w:t>
      </w:r>
      <w:proofErr w:type="spellStart"/>
      <w:r w:rsidRPr="00F62082">
        <w:rPr>
          <w:rFonts w:ascii="Times New Roman" w:hAnsi="Times New Roman" w:cs="Times New Roman"/>
          <w:color w:val="000000" w:themeColor="text1"/>
          <w:sz w:val="24"/>
          <w:szCs w:val="24"/>
          <w:lang w:val="en-US"/>
        </w:rPr>
        <w:t>Liñares</w:t>
      </w:r>
      <w:proofErr w:type="spellEnd"/>
      <w:r w:rsidRPr="00F62082">
        <w:rPr>
          <w:rFonts w:ascii="Times New Roman" w:hAnsi="Times New Roman" w:cs="Times New Roman"/>
          <w:color w:val="000000" w:themeColor="text1"/>
          <w:sz w:val="24"/>
          <w:szCs w:val="24"/>
          <w:lang w:val="en-US"/>
        </w:rPr>
        <w:t xml:space="preserve">-Zegarra, </w:t>
      </w:r>
      <w:r w:rsidR="00FB6F4A">
        <w:rPr>
          <w:rFonts w:ascii="Times New Roman" w:hAnsi="Times New Roman" w:cs="Times New Roman"/>
          <w:color w:val="000000" w:themeColor="text1"/>
          <w:sz w:val="24"/>
          <w:szCs w:val="24"/>
          <w:lang w:val="en-US"/>
        </w:rPr>
        <w:t>B.</w:t>
      </w:r>
      <w:r w:rsidRPr="00F62082">
        <w:rPr>
          <w:rFonts w:ascii="Times New Roman" w:hAnsi="Times New Roman" w:cs="Times New Roman"/>
          <w:color w:val="000000" w:themeColor="text1"/>
          <w:sz w:val="24"/>
          <w:szCs w:val="24"/>
          <w:lang w:val="en-US"/>
        </w:rPr>
        <w:t xml:space="preserve"> </w:t>
      </w:r>
      <w:proofErr w:type="spellStart"/>
      <w:r w:rsidRPr="00F62082">
        <w:rPr>
          <w:rFonts w:ascii="Times New Roman" w:hAnsi="Times New Roman" w:cs="Times New Roman"/>
          <w:color w:val="000000" w:themeColor="text1"/>
          <w:sz w:val="24"/>
          <w:szCs w:val="24"/>
          <w:lang w:val="en-US"/>
        </w:rPr>
        <w:t>M'Zali</w:t>
      </w:r>
      <w:proofErr w:type="spellEnd"/>
      <w:r w:rsidRPr="00F62082">
        <w:rPr>
          <w:rFonts w:ascii="Times New Roman" w:hAnsi="Times New Roman" w:cs="Times New Roman"/>
          <w:color w:val="000000" w:themeColor="text1"/>
          <w:sz w:val="24"/>
          <w:szCs w:val="24"/>
          <w:lang w:val="en-US"/>
        </w:rPr>
        <w:t xml:space="preserve">, </w:t>
      </w:r>
      <w:r w:rsidR="00FB6F4A">
        <w:rPr>
          <w:rFonts w:ascii="Times New Roman" w:hAnsi="Times New Roman" w:cs="Times New Roman"/>
          <w:color w:val="000000" w:themeColor="text1"/>
          <w:sz w:val="24"/>
          <w:szCs w:val="24"/>
          <w:lang w:val="en-US"/>
        </w:rPr>
        <w:t xml:space="preserve">and B. </w:t>
      </w:r>
      <w:r w:rsidRPr="00F62082">
        <w:rPr>
          <w:rFonts w:ascii="Times New Roman" w:hAnsi="Times New Roman" w:cs="Times New Roman"/>
          <w:color w:val="000000" w:themeColor="text1"/>
          <w:sz w:val="24"/>
          <w:szCs w:val="24"/>
          <w:lang w:val="en-US"/>
        </w:rPr>
        <w:t>Scholtens</w:t>
      </w:r>
      <w:r w:rsidR="00FB6F4A">
        <w:rPr>
          <w:rFonts w:ascii="Times New Roman" w:hAnsi="Times New Roman" w:cs="Times New Roman"/>
          <w:color w:val="000000" w:themeColor="text1"/>
          <w:sz w:val="24"/>
          <w:szCs w:val="24"/>
          <w:lang w:val="en-US"/>
        </w:rPr>
        <w:t>.</w:t>
      </w:r>
      <w:r w:rsidRPr="00F62082">
        <w:rPr>
          <w:rFonts w:ascii="Times New Roman" w:hAnsi="Times New Roman" w:cs="Times New Roman"/>
          <w:color w:val="000000" w:themeColor="text1"/>
          <w:sz w:val="24"/>
          <w:szCs w:val="24"/>
          <w:lang w:val="en-US"/>
        </w:rPr>
        <w:t xml:space="preserve"> 2018. CEO risk-taking incentives</w:t>
      </w:r>
    </w:p>
    <w:p w14:paraId="72B6772D" w14:textId="002994FE" w:rsidR="00F62082" w:rsidRDefault="00F62082" w:rsidP="00E57A11">
      <w:pPr>
        <w:autoSpaceDE w:val="0"/>
        <w:autoSpaceDN w:val="0"/>
        <w:adjustRightInd w:val="0"/>
        <w:spacing w:after="0" w:line="240" w:lineRule="auto"/>
        <w:ind w:left="1440" w:hanging="720"/>
        <w:jc w:val="both"/>
        <w:rPr>
          <w:rFonts w:ascii="Times New Roman" w:hAnsi="Times New Roman" w:cs="Times New Roman"/>
          <w:color w:val="000000" w:themeColor="text1"/>
          <w:sz w:val="24"/>
          <w:szCs w:val="24"/>
          <w:lang w:val="en-US"/>
        </w:rPr>
      </w:pPr>
      <w:r w:rsidRPr="00F62082">
        <w:rPr>
          <w:rFonts w:ascii="Times New Roman" w:hAnsi="Times New Roman" w:cs="Times New Roman"/>
          <w:color w:val="000000" w:themeColor="text1"/>
          <w:sz w:val="24"/>
          <w:szCs w:val="24"/>
          <w:lang w:val="en-US"/>
        </w:rPr>
        <w:t xml:space="preserve">and socially irresponsible activities. </w:t>
      </w:r>
      <w:r w:rsidRPr="00E57A11">
        <w:rPr>
          <w:rFonts w:ascii="Times New Roman" w:hAnsi="Times New Roman" w:cs="Times New Roman"/>
          <w:i/>
          <w:color w:val="000000" w:themeColor="text1"/>
          <w:sz w:val="24"/>
          <w:szCs w:val="24"/>
          <w:lang w:val="en-US"/>
        </w:rPr>
        <w:t>British Accounting Review</w:t>
      </w:r>
      <w:r w:rsidR="00FB6F4A">
        <w:rPr>
          <w:rFonts w:ascii="Times New Roman" w:hAnsi="Times New Roman" w:cs="Times New Roman"/>
          <w:color w:val="000000" w:themeColor="text1"/>
          <w:sz w:val="24"/>
          <w:szCs w:val="24"/>
          <w:lang w:val="en-US"/>
        </w:rPr>
        <w:t xml:space="preserve"> </w:t>
      </w:r>
      <w:r w:rsidRPr="00F62082">
        <w:rPr>
          <w:rFonts w:ascii="Times New Roman" w:hAnsi="Times New Roman" w:cs="Times New Roman"/>
          <w:color w:val="000000" w:themeColor="text1"/>
          <w:sz w:val="24"/>
          <w:szCs w:val="24"/>
          <w:lang w:val="en-US"/>
        </w:rPr>
        <w:t>50</w:t>
      </w:r>
      <w:r w:rsidR="00FB6F4A">
        <w:rPr>
          <w:rFonts w:ascii="Times New Roman" w:hAnsi="Times New Roman" w:cs="Times New Roman"/>
          <w:color w:val="000000" w:themeColor="text1"/>
          <w:sz w:val="24"/>
          <w:szCs w:val="24"/>
          <w:lang w:val="en-US"/>
        </w:rPr>
        <w:t xml:space="preserve"> </w:t>
      </w:r>
      <w:r w:rsidRPr="00F62082">
        <w:rPr>
          <w:rFonts w:ascii="Times New Roman" w:hAnsi="Times New Roman" w:cs="Times New Roman"/>
          <w:color w:val="000000" w:themeColor="text1"/>
          <w:sz w:val="24"/>
          <w:szCs w:val="24"/>
          <w:lang w:val="en-US"/>
        </w:rPr>
        <w:t>(1)</w:t>
      </w:r>
      <w:r w:rsidR="00FB6F4A">
        <w:rPr>
          <w:rFonts w:ascii="Times New Roman" w:hAnsi="Times New Roman" w:cs="Times New Roman"/>
          <w:color w:val="000000" w:themeColor="text1"/>
          <w:sz w:val="24"/>
          <w:szCs w:val="24"/>
          <w:lang w:val="en-US"/>
        </w:rPr>
        <w:t>:</w:t>
      </w:r>
      <w:r w:rsidRPr="00F62082">
        <w:rPr>
          <w:rFonts w:ascii="Times New Roman" w:hAnsi="Times New Roman" w:cs="Times New Roman"/>
          <w:color w:val="000000" w:themeColor="text1"/>
          <w:sz w:val="24"/>
          <w:szCs w:val="24"/>
          <w:lang w:val="en-US"/>
        </w:rPr>
        <w:t xml:space="preserve"> 76-92.</w:t>
      </w:r>
    </w:p>
    <w:bookmarkEnd w:id="13"/>
    <w:p w14:paraId="44E70A0A" w14:textId="60E2DC9B" w:rsidR="00C45F3D" w:rsidRPr="00E57A11" w:rsidRDefault="00C45F3D" w:rsidP="005E4E07">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en-US"/>
        </w:rPr>
      </w:pPr>
      <w:r w:rsidRPr="00E57A11">
        <w:rPr>
          <w:rFonts w:ascii="Times New Roman" w:hAnsi="Times New Roman" w:cs="Times New Roman"/>
          <w:color w:val="000000" w:themeColor="text1"/>
          <w:sz w:val="24"/>
          <w:szCs w:val="24"/>
          <w:lang w:val="en-US"/>
        </w:rPr>
        <w:t xml:space="preserve">Burns, N., </w:t>
      </w:r>
      <w:r w:rsidR="00FB6F4A">
        <w:rPr>
          <w:rFonts w:ascii="Times New Roman" w:hAnsi="Times New Roman" w:cs="Times New Roman"/>
          <w:color w:val="000000" w:themeColor="text1"/>
          <w:sz w:val="24"/>
          <w:szCs w:val="24"/>
          <w:lang w:val="en-US"/>
        </w:rPr>
        <w:t xml:space="preserve">and S. </w:t>
      </w:r>
      <w:r w:rsidRPr="00E57A11">
        <w:rPr>
          <w:rFonts w:ascii="Times New Roman" w:hAnsi="Times New Roman" w:cs="Times New Roman"/>
          <w:color w:val="000000" w:themeColor="text1"/>
          <w:sz w:val="24"/>
          <w:szCs w:val="24"/>
          <w:lang w:val="en-US"/>
        </w:rPr>
        <w:t>Kedia</w:t>
      </w:r>
      <w:r w:rsidR="00FB6F4A">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2006. The impact of performance-based compensation on misreporting. </w:t>
      </w:r>
      <w:r w:rsidRPr="00E57A11">
        <w:rPr>
          <w:rFonts w:ascii="Times New Roman" w:hAnsi="Times New Roman" w:cs="Times New Roman"/>
          <w:i/>
          <w:iCs/>
          <w:color w:val="000000" w:themeColor="text1"/>
          <w:sz w:val="24"/>
          <w:szCs w:val="24"/>
          <w:lang w:val="en-US"/>
        </w:rPr>
        <w:t>Journal of Financial Economics</w:t>
      </w:r>
      <w:r w:rsidRPr="00E57A11">
        <w:rPr>
          <w:rFonts w:ascii="Times New Roman" w:hAnsi="Times New Roman" w:cs="Times New Roman"/>
          <w:color w:val="000000" w:themeColor="text1"/>
          <w:sz w:val="24"/>
          <w:szCs w:val="24"/>
          <w:lang w:val="en-US"/>
        </w:rPr>
        <w:t xml:space="preserve"> 79</w:t>
      </w:r>
      <w:r w:rsidR="00FB6F4A">
        <w:rPr>
          <w:rFonts w:ascii="Times New Roman" w:hAnsi="Times New Roman" w:cs="Times New Roman"/>
          <w:color w:val="000000" w:themeColor="text1"/>
          <w:sz w:val="24"/>
          <w:szCs w:val="24"/>
          <w:lang w:val="en-US"/>
        </w:rPr>
        <w:t xml:space="preserve"> </w:t>
      </w:r>
      <w:r w:rsidR="00D54A7D" w:rsidRPr="00E57A11">
        <w:rPr>
          <w:rFonts w:ascii="Times New Roman" w:hAnsi="Times New Roman" w:cs="Times New Roman"/>
          <w:color w:val="000000" w:themeColor="text1"/>
          <w:sz w:val="24"/>
          <w:szCs w:val="24"/>
          <w:lang w:val="en-US"/>
        </w:rPr>
        <w:t>(1)</w:t>
      </w:r>
      <w:r w:rsidR="00FB6F4A">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35</w:t>
      </w:r>
      <w:r w:rsidR="00B0289A">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67. </w:t>
      </w:r>
    </w:p>
    <w:p w14:paraId="4DBE5065" w14:textId="45DCDD5A" w:rsidR="007721F4" w:rsidRPr="00E57A11" w:rsidRDefault="007721F4" w:rsidP="005E4E07">
      <w:pPr>
        <w:spacing w:after="0" w:line="240" w:lineRule="auto"/>
        <w:ind w:left="720" w:hanging="720"/>
        <w:jc w:val="both"/>
        <w:rPr>
          <w:rFonts w:ascii="Times New Roman" w:hAnsi="Times New Roman" w:cs="Times New Roman"/>
          <w:color w:val="000000" w:themeColor="text1"/>
          <w:sz w:val="24"/>
          <w:szCs w:val="24"/>
          <w:lang w:val="en-US"/>
        </w:rPr>
      </w:pPr>
      <w:r w:rsidRPr="00E57A11">
        <w:rPr>
          <w:rFonts w:ascii="Times New Roman" w:hAnsi="Times New Roman" w:cs="Times New Roman"/>
          <w:color w:val="000000" w:themeColor="text1"/>
          <w:sz w:val="24"/>
          <w:szCs w:val="24"/>
          <w:lang w:val="en-US"/>
        </w:rPr>
        <w:t>Carpenter, J. 200</w:t>
      </w:r>
      <w:r w:rsidR="005C749C">
        <w:rPr>
          <w:rFonts w:ascii="Times New Roman" w:hAnsi="Times New Roman" w:cs="Times New Roman"/>
          <w:color w:val="000000" w:themeColor="text1"/>
          <w:sz w:val="24"/>
          <w:szCs w:val="24"/>
          <w:lang w:val="en-US"/>
        </w:rPr>
        <w:t>2</w:t>
      </w:r>
      <w:r w:rsidRPr="00E57A11">
        <w:rPr>
          <w:rFonts w:ascii="Times New Roman" w:hAnsi="Times New Roman" w:cs="Times New Roman"/>
          <w:color w:val="000000" w:themeColor="text1"/>
          <w:sz w:val="24"/>
          <w:szCs w:val="24"/>
          <w:lang w:val="en-US"/>
        </w:rPr>
        <w:t>. Does option compensation incr</w:t>
      </w:r>
      <w:r w:rsidR="00AD44F4" w:rsidRPr="00E57A11">
        <w:rPr>
          <w:rFonts w:ascii="Times New Roman" w:hAnsi="Times New Roman" w:cs="Times New Roman"/>
          <w:color w:val="000000" w:themeColor="text1"/>
          <w:sz w:val="24"/>
          <w:szCs w:val="24"/>
          <w:lang w:val="en-US"/>
        </w:rPr>
        <w:t xml:space="preserve">ease managerial risk appetite? </w:t>
      </w:r>
      <w:r w:rsidR="00AD44F4" w:rsidRPr="00E57A11">
        <w:rPr>
          <w:rFonts w:ascii="Times New Roman" w:hAnsi="Times New Roman" w:cs="Times New Roman"/>
          <w:i/>
          <w:iCs/>
          <w:color w:val="000000" w:themeColor="text1"/>
          <w:sz w:val="24"/>
          <w:szCs w:val="24"/>
          <w:lang w:val="en-US"/>
        </w:rPr>
        <w:t>The J</w:t>
      </w:r>
      <w:r w:rsidRPr="00E57A11">
        <w:rPr>
          <w:rFonts w:ascii="Times New Roman" w:hAnsi="Times New Roman" w:cs="Times New Roman"/>
          <w:i/>
          <w:iCs/>
          <w:color w:val="000000" w:themeColor="text1"/>
          <w:sz w:val="24"/>
          <w:szCs w:val="24"/>
          <w:lang w:val="en-US"/>
        </w:rPr>
        <w:t>ournal of Finance</w:t>
      </w:r>
      <w:r w:rsidR="00AD44F4" w:rsidRPr="00E57A11">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55</w:t>
      </w:r>
      <w:r w:rsidR="00FB6F4A">
        <w:rPr>
          <w:rFonts w:ascii="Times New Roman" w:hAnsi="Times New Roman" w:cs="Times New Roman"/>
          <w:color w:val="000000" w:themeColor="text1"/>
          <w:sz w:val="24"/>
          <w:szCs w:val="24"/>
          <w:lang w:val="en-US"/>
        </w:rPr>
        <w:t xml:space="preserve"> </w:t>
      </w:r>
      <w:r w:rsidR="00AD44F4" w:rsidRPr="00E57A11">
        <w:rPr>
          <w:rFonts w:ascii="Times New Roman" w:hAnsi="Times New Roman" w:cs="Times New Roman"/>
          <w:color w:val="000000" w:themeColor="text1"/>
          <w:sz w:val="24"/>
          <w:szCs w:val="24"/>
          <w:lang w:val="en-US"/>
        </w:rPr>
        <w:t>(1)</w:t>
      </w:r>
      <w:r w:rsidR="00FB6F4A">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2311</w:t>
      </w:r>
      <w:r w:rsidR="00B0289A">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2331. </w:t>
      </w:r>
    </w:p>
    <w:p w14:paraId="6BC0C7FD" w14:textId="62AB1F3C" w:rsidR="00E515ED" w:rsidRPr="00E57A11" w:rsidRDefault="00E515ED" w:rsidP="00E515ED">
      <w:pPr>
        <w:spacing w:after="0" w:line="240" w:lineRule="auto"/>
        <w:ind w:left="720" w:hanging="720"/>
        <w:rPr>
          <w:rFonts w:ascii="Times New Roman" w:hAnsi="Times New Roman" w:cs="Times New Roman"/>
          <w:color w:val="000000" w:themeColor="text1"/>
          <w:sz w:val="24"/>
          <w:szCs w:val="24"/>
          <w:lang w:val="en-US"/>
        </w:rPr>
      </w:pPr>
      <w:r w:rsidRPr="00E57A11">
        <w:rPr>
          <w:rFonts w:ascii="Times New Roman" w:hAnsi="Times New Roman" w:cs="Times New Roman"/>
          <w:color w:val="000000" w:themeColor="text1"/>
          <w:sz w:val="24"/>
          <w:szCs w:val="24"/>
          <w:lang w:val="en-US"/>
        </w:rPr>
        <w:t>Carter, M.</w:t>
      </w:r>
      <w:r w:rsidR="00FB6F4A">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 xml:space="preserve">E., </w:t>
      </w:r>
      <w:r w:rsidR="00FB6F4A">
        <w:rPr>
          <w:rFonts w:ascii="Times New Roman" w:hAnsi="Times New Roman" w:cs="Times New Roman"/>
          <w:color w:val="000000" w:themeColor="text1"/>
          <w:sz w:val="24"/>
          <w:szCs w:val="24"/>
          <w:lang w:val="en-US"/>
        </w:rPr>
        <w:t xml:space="preserve">L. J. </w:t>
      </w:r>
      <w:r w:rsidRPr="00E57A11">
        <w:rPr>
          <w:rFonts w:ascii="Times New Roman" w:hAnsi="Times New Roman" w:cs="Times New Roman"/>
          <w:color w:val="000000" w:themeColor="text1"/>
          <w:sz w:val="24"/>
          <w:szCs w:val="24"/>
          <w:lang w:val="en-US"/>
        </w:rPr>
        <w:t>Lynch,</w:t>
      </w:r>
      <w:r w:rsidR="00FB6F4A">
        <w:rPr>
          <w:rFonts w:ascii="Times New Roman" w:hAnsi="Times New Roman" w:cs="Times New Roman"/>
          <w:color w:val="000000" w:themeColor="text1"/>
          <w:sz w:val="24"/>
          <w:szCs w:val="24"/>
          <w:lang w:val="en-US"/>
        </w:rPr>
        <w:t xml:space="preserve"> and I.</w:t>
      </w:r>
      <w:r w:rsidRPr="00E57A11">
        <w:rPr>
          <w:rFonts w:ascii="Times New Roman" w:hAnsi="Times New Roman" w:cs="Times New Roman"/>
          <w:color w:val="000000" w:themeColor="text1"/>
          <w:sz w:val="24"/>
          <w:szCs w:val="24"/>
          <w:lang w:val="en-US"/>
        </w:rPr>
        <w:t xml:space="preserve"> Tuna</w:t>
      </w:r>
      <w:r w:rsidR="00FB6F4A">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2007. The role of accounting in the design of CEO equity compensation.  </w:t>
      </w:r>
      <w:r w:rsidRPr="00E57A11">
        <w:rPr>
          <w:rFonts w:ascii="Times New Roman" w:hAnsi="Times New Roman" w:cs="Times New Roman"/>
          <w:i/>
          <w:iCs/>
          <w:color w:val="000000" w:themeColor="text1"/>
          <w:sz w:val="24"/>
          <w:szCs w:val="24"/>
          <w:lang w:val="en-US"/>
        </w:rPr>
        <w:t>The Accounting Review</w:t>
      </w:r>
      <w:r w:rsidRPr="00E57A11">
        <w:rPr>
          <w:rFonts w:ascii="Times New Roman" w:hAnsi="Times New Roman" w:cs="Times New Roman"/>
          <w:color w:val="000000" w:themeColor="text1"/>
          <w:sz w:val="24"/>
          <w:szCs w:val="24"/>
          <w:lang w:val="en-US"/>
        </w:rPr>
        <w:t xml:space="preserve"> 82</w:t>
      </w:r>
      <w:r w:rsidR="00FB6F4A">
        <w:rPr>
          <w:rFonts w:ascii="Times New Roman" w:hAnsi="Times New Roman" w:cs="Times New Roman"/>
          <w:color w:val="000000" w:themeColor="text1"/>
          <w:sz w:val="24"/>
          <w:szCs w:val="24"/>
          <w:lang w:val="en-US"/>
        </w:rPr>
        <w:t xml:space="preserve"> </w:t>
      </w:r>
      <w:r w:rsidR="00AD44F4" w:rsidRPr="00E57A11">
        <w:rPr>
          <w:rFonts w:ascii="Times New Roman" w:hAnsi="Times New Roman" w:cs="Times New Roman"/>
          <w:color w:val="000000" w:themeColor="text1"/>
          <w:sz w:val="24"/>
          <w:szCs w:val="24"/>
          <w:lang w:val="en-US"/>
        </w:rPr>
        <w:t>(2)</w:t>
      </w:r>
      <w:r w:rsidR="00FB6F4A">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327</w:t>
      </w:r>
      <w:r w:rsidR="00B0289A">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357.</w:t>
      </w:r>
    </w:p>
    <w:p w14:paraId="024C8582" w14:textId="22CCE136" w:rsidR="005E4E07" w:rsidRPr="00E57A11" w:rsidRDefault="005E4E07" w:rsidP="005E4E07">
      <w:pPr>
        <w:spacing w:after="0" w:line="240" w:lineRule="auto"/>
        <w:ind w:left="720" w:hanging="720"/>
        <w:jc w:val="both"/>
        <w:rPr>
          <w:rFonts w:ascii="Times New Roman" w:hAnsi="Times New Roman" w:cs="Times New Roman"/>
          <w:color w:val="000000" w:themeColor="text1"/>
          <w:sz w:val="24"/>
          <w:szCs w:val="24"/>
          <w:shd w:val="clear" w:color="auto" w:fill="FFFFFF"/>
          <w:lang w:val="en-US"/>
        </w:rPr>
      </w:pPr>
      <w:r w:rsidRPr="00E57A11">
        <w:rPr>
          <w:rFonts w:ascii="Times New Roman" w:hAnsi="Times New Roman" w:cs="Times New Roman"/>
          <w:color w:val="000000" w:themeColor="text1"/>
          <w:sz w:val="24"/>
          <w:szCs w:val="24"/>
          <w:shd w:val="clear" w:color="auto" w:fill="FFFFFF"/>
          <w:lang w:val="en-US"/>
        </w:rPr>
        <w:t xml:space="preserve">Caskey, J., </w:t>
      </w:r>
      <w:r w:rsidR="00FB6F4A">
        <w:rPr>
          <w:rFonts w:ascii="Times New Roman" w:hAnsi="Times New Roman" w:cs="Times New Roman"/>
          <w:color w:val="000000" w:themeColor="text1"/>
          <w:sz w:val="24"/>
          <w:szCs w:val="24"/>
          <w:shd w:val="clear" w:color="auto" w:fill="FFFFFF"/>
          <w:lang w:val="en-US"/>
        </w:rPr>
        <w:t xml:space="preserve">and N. B. </w:t>
      </w:r>
      <w:r w:rsidRPr="00E57A11">
        <w:rPr>
          <w:rFonts w:ascii="Times New Roman" w:hAnsi="Times New Roman" w:cs="Times New Roman"/>
          <w:color w:val="000000" w:themeColor="text1"/>
          <w:sz w:val="24"/>
          <w:szCs w:val="24"/>
          <w:shd w:val="clear" w:color="auto" w:fill="FFFFFF"/>
          <w:lang w:val="en-US"/>
        </w:rPr>
        <w:t>Ozel</w:t>
      </w:r>
      <w:r w:rsidR="00FB6F4A">
        <w:rPr>
          <w:rFonts w:ascii="Times New Roman" w:hAnsi="Times New Roman" w:cs="Times New Roman"/>
          <w:color w:val="000000" w:themeColor="text1"/>
          <w:sz w:val="24"/>
          <w:szCs w:val="24"/>
          <w:shd w:val="clear" w:color="auto" w:fill="FFFFFF"/>
          <w:lang w:val="en-US"/>
        </w:rPr>
        <w:t>.</w:t>
      </w:r>
      <w:r w:rsidRPr="00E57A11">
        <w:rPr>
          <w:rFonts w:ascii="Times New Roman" w:hAnsi="Times New Roman" w:cs="Times New Roman"/>
          <w:color w:val="000000" w:themeColor="text1"/>
          <w:sz w:val="24"/>
          <w:szCs w:val="24"/>
          <w:shd w:val="clear" w:color="auto" w:fill="FFFFFF"/>
          <w:lang w:val="en-US"/>
        </w:rPr>
        <w:t xml:space="preserve"> 2017. Earnings expectations and employee safety. </w:t>
      </w:r>
      <w:r w:rsidRPr="00E57A11">
        <w:rPr>
          <w:rFonts w:ascii="Times New Roman" w:hAnsi="Times New Roman" w:cs="Times New Roman"/>
          <w:i/>
          <w:iCs/>
          <w:color w:val="000000" w:themeColor="text1"/>
          <w:sz w:val="24"/>
          <w:szCs w:val="24"/>
          <w:shd w:val="clear" w:color="auto" w:fill="FFFFFF"/>
          <w:lang w:val="en-US"/>
        </w:rPr>
        <w:t>Journal of Accounting and Economics</w:t>
      </w:r>
      <w:r w:rsidRPr="00E57A11">
        <w:rPr>
          <w:rFonts w:ascii="Times New Roman" w:hAnsi="Times New Roman" w:cs="Times New Roman"/>
          <w:color w:val="000000" w:themeColor="text1"/>
          <w:sz w:val="24"/>
          <w:szCs w:val="24"/>
          <w:shd w:val="clear" w:color="auto" w:fill="FFFFFF"/>
          <w:lang w:val="en-US"/>
        </w:rPr>
        <w:t> 63</w:t>
      </w:r>
      <w:r w:rsidR="00FB6F4A">
        <w:rPr>
          <w:rFonts w:ascii="Times New Roman" w:hAnsi="Times New Roman" w:cs="Times New Roman"/>
          <w:color w:val="000000" w:themeColor="text1"/>
          <w:sz w:val="24"/>
          <w:szCs w:val="24"/>
          <w:shd w:val="clear" w:color="auto" w:fill="FFFFFF"/>
          <w:lang w:val="en-US"/>
        </w:rPr>
        <w:t xml:space="preserve"> </w:t>
      </w:r>
      <w:r w:rsidRPr="00E57A11">
        <w:rPr>
          <w:rFonts w:ascii="Times New Roman" w:hAnsi="Times New Roman" w:cs="Times New Roman"/>
          <w:color w:val="000000" w:themeColor="text1"/>
          <w:sz w:val="24"/>
          <w:szCs w:val="24"/>
          <w:shd w:val="clear" w:color="auto" w:fill="FFFFFF"/>
          <w:lang w:val="en-US"/>
        </w:rPr>
        <w:t>(1)</w:t>
      </w:r>
      <w:r w:rsidR="00FB6F4A">
        <w:rPr>
          <w:rFonts w:ascii="Times New Roman" w:hAnsi="Times New Roman" w:cs="Times New Roman"/>
          <w:color w:val="000000" w:themeColor="text1"/>
          <w:sz w:val="24"/>
          <w:szCs w:val="24"/>
          <w:shd w:val="clear" w:color="auto" w:fill="FFFFFF"/>
          <w:lang w:val="en-US"/>
        </w:rPr>
        <w:t xml:space="preserve">: </w:t>
      </w:r>
      <w:r w:rsidRPr="00E57A11">
        <w:rPr>
          <w:rFonts w:ascii="Times New Roman" w:hAnsi="Times New Roman" w:cs="Times New Roman"/>
          <w:color w:val="000000" w:themeColor="text1"/>
          <w:sz w:val="24"/>
          <w:szCs w:val="24"/>
          <w:shd w:val="clear" w:color="auto" w:fill="FFFFFF"/>
          <w:lang w:val="en-US"/>
        </w:rPr>
        <w:t>121-141.</w:t>
      </w:r>
    </w:p>
    <w:p w14:paraId="1F922377" w14:textId="5DB1BFCD" w:rsidR="000226FF" w:rsidRPr="00E57A11" w:rsidRDefault="00CE270A" w:rsidP="00E515ED">
      <w:pPr>
        <w:spacing w:after="0" w:line="240" w:lineRule="auto"/>
        <w:ind w:left="720" w:hanging="720"/>
        <w:rPr>
          <w:rFonts w:ascii="Times New Roman" w:hAnsi="Times New Roman" w:cs="Times New Roman"/>
          <w:color w:val="000000" w:themeColor="text1"/>
          <w:sz w:val="24"/>
          <w:szCs w:val="24"/>
          <w:lang w:val="en-US"/>
        </w:rPr>
      </w:pPr>
      <w:r w:rsidRPr="00E57A11">
        <w:rPr>
          <w:rFonts w:ascii="Times New Roman" w:hAnsi="Times New Roman" w:cs="Times New Roman"/>
          <w:color w:val="000000" w:themeColor="text1"/>
          <w:sz w:val="24"/>
          <w:szCs w:val="24"/>
          <w:lang w:val="en-US"/>
        </w:rPr>
        <w:t xml:space="preserve">Celgene, 2019. </w:t>
      </w:r>
      <w:r w:rsidR="000226FF" w:rsidRPr="00E57A11">
        <w:rPr>
          <w:rFonts w:ascii="Times New Roman" w:hAnsi="Times New Roman" w:cs="Times New Roman"/>
          <w:color w:val="000000" w:themeColor="text1"/>
          <w:sz w:val="24"/>
          <w:szCs w:val="24"/>
          <w:lang w:val="en-US"/>
        </w:rPr>
        <w:t>Celgene Corporate Responsibility</w:t>
      </w:r>
      <w:r w:rsidR="00D41F77">
        <w:rPr>
          <w:rFonts w:ascii="Times New Roman" w:hAnsi="Times New Roman" w:cs="Times New Roman"/>
          <w:color w:val="000000" w:themeColor="text1"/>
          <w:sz w:val="24"/>
          <w:szCs w:val="24"/>
          <w:lang w:val="en-US"/>
        </w:rPr>
        <w:t>.</w:t>
      </w:r>
      <w:r w:rsidR="000226FF" w:rsidRPr="00E57A11">
        <w:rPr>
          <w:rFonts w:ascii="Times New Roman" w:hAnsi="Times New Roman" w:cs="Times New Roman"/>
          <w:color w:val="000000" w:themeColor="text1"/>
          <w:sz w:val="24"/>
          <w:szCs w:val="24"/>
          <w:lang w:val="en-US"/>
        </w:rPr>
        <w:t xml:space="preserve"> </w:t>
      </w:r>
      <w:r w:rsidR="00D41F77">
        <w:rPr>
          <w:rFonts w:ascii="Times New Roman" w:hAnsi="Times New Roman" w:cs="Times New Roman"/>
          <w:color w:val="000000" w:themeColor="text1"/>
          <w:sz w:val="24"/>
          <w:szCs w:val="24"/>
          <w:lang w:val="en-US"/>
        </w:rPr>
        <w:t>A</w:t>
      </w:r>
      <w:r w:rsidR="00191F58" w:rsidRPr="00E57A11">
        <w:rPr>
          <w:rFonts w:ascii="Times New Roman" w:hAnsi="Times New Roman" w:cs="Times New Roman"/>
          <w:color w:val="000000" w:themeColor="text1"/>
          <w:sz w:val="24"/>
          <w:szCs w:val="24"/>
          <w:lang w:val="en-US"/>
        </w:rPr>
        <w:t>vailable at</w:t>
      </w:r>
      <w:r w:rsidR="00385660" w:rsidRPr="00E57A11">
        <w:rPr>
          <w:rFonts w:ascii="Times New Roman" w:hAnsi="Times New Roman" w:cs="Times New Roman"/>
          <w:color w:val="000000" w:themeColor="text1"/>
          <w:sz w:val="24"/>
          <w:szCs w:val="24"/>
          <w:lang w:val="en-US"/>
        </w:rPr>
        <w:t xml:space="preserve">: </w:t>
      </w:r>
      <w:r w:rsidR="00385660" w:rsidRPr="00E57A11">
        <w:rPr>
          <w:rFonts w:ascii="Times New Roman" w:hAnsi="Times New Roman" w:cs="Times New Roman"/>
          <w:sz w:val="24"/>
          <w:szCs w:val="24"/>
          <w:lang w:val="en-US"/>
        </w:rPr>
        <w:t>https://www.celgene.com/ responsibility/</w:t>
      </w:r>
      <w:r w:rsidR="002F76B2">
        <w:rPr>
          <w:rFonts w:ascii="Times New Roman" w:hAnsi="Times New Roman" w:cs="Times New Roman"/>
          <w:sz w:val="24"/>
          <w:szCs w:val="24"/>
          <w:lang w:val="en-US"/>
        </w:rPr>
        <w:t xml:space="preserve">, </w:t>
      </w:r>
      <w:r w:rsidR="002F76B2" w:rsidRPr="002F76B2">
        <w:rPr>
          <w:rFonts w:ascii="Times New Roman" w:hAnsi="Times New Roman" w:cs="Times New Roman"/>
          <w:color w:val="000000" w:themeColor="text1"/>
          <w:sz w:val="24"/>
          <w:szCs w:val="24"/>
          <w:lang w:val="en-US"/>
        </w:rPr>
        <w:t xml:space="preserve">(last accessed </w:t>
      </w:r>
      <w:r w:rsidR="002F76B2">
        <w:rPr>
          <w:rFonts w:ascii="Times New Roman" w:hAnsi="Times New Roman" w:cs="Times New Roman"/>
          <w:color w:val="000000" w:themeColor="text1"/>
          <w:sz w:val="24"/>
          <w:szCs w:val="24"/>
          <w:lang w:val="en-US"/>
        </w:rPr>
        <w:t>June 11</w:t>
      </w:r>
      <w:r w:rsidR="002F76B2" w:rsidRPr="002F76B2">
        <w:rPr>
          <w:rFonts w:ascii="Times New Roman" w:hAnsi="Times New Roman" w:cs="Times New Roman"/>
          <w:color w:val="000000" w:themeColor="text1"/>
          <w:sz w:val="24"/>
          <w:szCs w:val="24"/>
          <w:lang w:val="en-US"/>
        </w:rPr>
        <w:t>, 20</w:t>
      </w:r>
      <w:r w:rsidR="002F76B2">
        <w:rPr>
          <w:rFonts w:ascii="Times New Roman" w:hAnsi="Times New Roman" w:cs="Times New Roman"/>
          <w:color w:val="000000" w:themeColor="text1"/>
          <w:sz w:val="24"/>
          <w:szCs w:val="24"/>
          <w:lang w:val="en-US"/>
        </w:rPr>
        <w:t>24).</w:t>
      </w:r>
    </w:p>
    <w:p w14:paraId="5D98D9FF" w14:textId="6F0DB796" w:rsidR="007770A8" w:rsidRPr="00E57A11" w:rsidRDefault="007770A8" w:rsidP="0023586E">
      <w:pPr>
        <w:spacing w:after="0" w:line="240" w:lineRule="auto"/>
        <w:ind w:left="720" w:hanging="720"/>
        <w:jc w:val="both"/>
        <w:rPr>
          <w:rFonts w:ascii="Times New Roman" w:hAnsi="Times New Roman" w:cs="Times New Roman"/>
          <w:color w:val="000000" w:themeColor="text1"/>
          <w:sz w:val="24"/>
          <w:szCs w:val="24"/>
          <w:shd w:val="clear" w:color="auto" w:fill="FFFFFF"/>
          <w:lang w:val="en-US"/>
        </w:rPr>
      </w:pPr>
      <w:r w:rsidRPr="00E57A11">
        <w:rPr>
          <w:rFonts w:ascii="Times New Roman" w:hAnsi="Times New Roman" w:cs="Times New Roman"/>
          <w:color w:val="000000" w:themeColor="text1"/>
          <w:sz w:val="24"/>
          <w:szCs w:val="24"/>
          <w:shd w:val="clear" w:color="auto" w:fill="FFFFFF"/>
          <w:lang w:val="en-US"/>
        </w:rPr>
        <w:t xml:space="preserve">Cheng, Q., </w:t>
      </w:r>
      <w:r w:rsidR="002F76B2">
        <w:rPr>
          <w:rFonts w:ascii="Times New Roman" w:hAnsi="Times New Roman" w:cs="Times New Roman"/>
          <w:color w:val="000000" w:themeColor="text1"/>
          <w:sz w:val="24"/>
          <w:szCs w:val="24"/>
          <w:shd w:val="clear" w:color="auto" w:fill="FFFFFF"/>
          <w:lang w:val="en-US"/>
        </w:rPr>
        <w:t xml:space="preserve">and T. D. </w:t>
      </w:r>
      <w:r w:rsidRPr="00E57A11">
        <w:rPr>
          <w:rFonts w:ascii="Times New Roman" w:hAnsi="Times New Roman" w:cs="Times New Roman"/>
          <w:color w:val="000000" w:themeColor="text1"/>
          <w:sz w:val="24"/>
          <w:szCs w:val="24"/>
          <w:shd w:val="clear" w:color="auto" w:fill="FFFFFF"/>
          <w:lang w:val="en-US"/>
        </w:rPr>
        <w:t>Warfield</w:t>
      </w:r>
      <w:r w:rsidR="002F76B2">
        <w:rPr>
          <w:rFonts w:ascii="Times New Roman" w:hAnsi="Times New Roman" w:cs="Times New Roman"/>
          <w:color w:val="000000" w:themeColor="text1"/>
          <w:sz w:val="24"/>
          <w:szCs w:val="24"/>
          <w:shd w:val="clear" w:color="auto" w:fill="FFFFFF"/>
          <w:lang w:val="en-US"/>
        </w:rPr>
        <w:t>.</w:t>
      </w:r>
      <w:r w:rsidRPr="00E57A11">
        <w:rPr>
          <w:rFonts w:ascii="Times New Roman" w:hAnsi="Times New Roman" w:cs="Times New Roman"/>
          <w:color w:val="000000" w:themeColor="text1"/>
          <w:sz w:val="24"/>
          <w:szCs w:val="24"/>
          <w:shd w:val="clear" w:color="auto" w:fill="FFFFFF"/>
          <w:lang w:val="en-US"/>
        </w:rPr>
        <w:t xml:space="preserve"> 2005. Equity incentives and earnings management. </w:t>
      </w:r>
      <w:r w:rsidRPr="00E57A11">
        <w:rPr>
          <w:rFonts w:ascii="Times New Roman" w:hAnsi="Times New Roman" w:cs="Times New Roman"/>
          <w:i/>
          <w:iCs/>
          <w:color w:val="000000" w:themeColor="text1"/>
          <w:sz w:val="24"/>
          <w:szCs w:val="24"/>
          <w:shd w:val="clear" w:color="auto" w:fill="FFFFFF"/>
          <w:lang w:val="en-US"/>
        </w:rPr>
        <w:t>The Accounting Review</w:t>
      </w:r>
      <w:r w:rsidR="002F76B2">
        <w:rPr>
          <w:rFonts w:ascii="Times New Roman" w:hAnsi="Times New Roman" w:cs="Times New Roman"/>
          <w:i/>
          <w:iCs/>
          <w:color w:val="000000" w:themeColor="text1"/>
          <w:sz w:val="24"/>
          <w:szCs w:val="24"/>
          <w:shd w:val="clear" w:color="auto" w:fill="FFFFFF"/>
          <w:lang w:val="en-US"/>
        </w:rPr>
        <w:t xml:space="preserve"> </w:t>
      </w:r>
      <w:r w:rsidRPr="00E57A11">
        <w:rPr>
          <w:rFonts w:ascii="Times New Roman" w:hAnsi="Times New Roman" w:cs="Times New Roman"/>
          <w:color w:val="000000" w:themeColor="text1"/>
          <w:sz w:val="24"/>
          <w:szCs w:val="24"/>
          <w:shd w:val="clear" w:color="auto" w:fill="FFFFFF"/>
          <w:lang w:val="en-US"/>
        </w:rPr>
        <w:t>80</w:t>
      </w:r>
      <w:r w:rsidR="002F76B2">
        <w:rPr>
          <w:rFonts w:ascii="Times New Roman" w:hAnsi="Times New Roman" w:cs="Times New Roman"/>
          <w:color w:val="000000" w:themeColor="text1"/>
          <w:sz w:val="24"/>
          <w:szCs w:val="24"/>
          <w:shd w:val="clear" w:color="auto" w:fill="FFFFFF"/>
          <w:lang w:val="en-US"/>
        </w:rPr>
        <w:t xml:space="preserve"> </w:t>
      </w:r>
      <w:r w:rsidR="006F5696" w:rsidRPr="00E57A11">
        <w:rPr>
          <w:rFonts w:ascii="Times New Roman" w:hAnsi="Times New Roman" w:cs="Times New Roman"/>
          <w:color w:val="000000" w:themeColor="text1"/>
          <w:sz w:val="24"/>
          <w:szCs w:val="24"/>
          <w:shd w:val="clear" w:color="auto" w:fill="FFFFFF"/>
          <w:lang w:val="en-US"/>
        </w:rPr>
        <w:t>(2)</w:t>
      </w:r>
      <w:r w:rsidR="002F76B2">
        <w:rPr>
          <w:rFonts w:ascii="Times New Roman" w:hAnsi="Times New Roman" w:cs="Times New Roman"/>
          <w:color w:val="000000" w:themeColor="text1"/>
          <w:sz w:val="24"/>
          <w:szCs w:val="24"/>
          <w:shd w:val="clear" w:color="auto" w:fill="FFFFFF"/>
          <w:lang w:val="en-US"/>
        </w:rPr>
        <w:t>:</w:t>
      </w:r>
      <w:r w:rsidRPr="00E57A11">
        <w:rPr>
          <w:rFonts w:ascii="Times New Roman" w:hAnsi="Times New Roman" w:cs="Times New Roman"/>
          <w:color w:val="000000" w:themeColor="text1"/>
          <w:sz w:val="24"/>
          <w:szCs w:val="24"/>
          <w:shd w:val="clear" w:color="auto" w:fill="FFFFFF"/>
          <w:lang w:val="en-US"/>
        </w:rPr>
        <w:t xml:space="preserve"> 441</w:t>
      </w:r>
      <w:r w:rsidR="00B0289A">
        <w:rPr>
          <w:rFonts w:ascii="Times New Roman" w:hAnsi="Times New Roman" w:cs="Times New Roman"/>
          <w:color w:val="000000" w:themeColor="text1"/>
          <w:sz w:val="24"/>
          <w:szCs w:val="24"/>
          <w:shd w:val="clear" w:color="auto" w:fill="FFFFFF"/>
          <w:lang w:val="en-US"/>
        </w:rPr>
        <w:t>-</w:t>
      </w:r>
      <w:r w:rsidRPr="00E57A11">
        <w:rPr>
          <w:rFonts w:ascii="Times New Roman" w:hAnsi="Times New Roman" w:cs="Times New Roman"/>
          <w:color w:val="000000" w:themeColor="text1"/>
          <w:sz w:val="24"/>
          <w:szCs w:val="24"/>
          <w:shd w:val="clear" w:color="auto" w:fill="FFFFFF"/>
          <w:lang w:val="en-US"/>
        </w:rPr>
        <w:t>476.</w:t>
      </w:r>
    </w:p>
    <w:p w14:paraId="539988E6" w14:textId="5952AB1D" w:rsidR="00C45F3D" w:rsidRPr="00E57A11" w:rsidRDefault="00C45F3D" w:rsidP="0023586E">
      <w:pPr>
        <w:spacing w:after="0" w:line="240" w:lineRule="auto"/>
        <w:ind w:left="720" w:hanging="720"/>
        <w:jc w:val="both"/>
        <w:rPr>
          <w:rFonts w:ascii="Times New Roman" w:hAnsi="Times New Roman" w:cs="Times New Roman"/>
          <w:color w:val="000000" w:themeColor="text1"/>
          <w:sz w:val="24"/>
          <w:szCs w:val="24"/>
          <w:shd w:val="clear" w:color="auto" w:fill="FFFFFF"/>
          <w:lang w:val="en-US"/>
        </w:rPr>
      </w:pPr>
      <w:bookmarkStart w:id="14" w:name="_Hlk88213649"/>
      <w:r w:rsidRPr="00E57A11">
        <w:rPr>
          <w:rFonts w:ascii="Times New Roman" w:hAnsi="Times New Roman" w:cs="Times New Roman"/>
          <w:color w:val="000000" w:themeColor="text1"/>
          <w:sz w:val="24"/>
          <w:szCs w:val="24"/>
          <w:shd w:val="clear" w:color="auto" w:fill="FFFFFF"/>
          <w:lang w:val="en-US"/>
        </w:rPr>
        <w:t>Cohn, J.</w:t>
      </w:r>
      <w:r w:rsidR="002F76B2">
        <w:rPr>
          <w:rFonts w:ascii="Times New Roman" w:hAnsi="Times New Roman" w:cs="Times New Roman"/>
          <w:color w:val="000000" w:themeColor="text1"/>
          <w:sz w:val="24"/>
          <w:szCs w:val="24"/>
          <w:shd w:val="clear" w:color="auto" w:fill="FFFFFF"/>
          <w:lang w:val="en-US"/>
        </w:rPr>
        <w:t xml:space="preserve"> </w:t>
      </w:r>
      <w:r w:rsidRPr="00E57A11">
        <w:rPr>
          <w:rFonts w:ascii="Times New Roman" w:hAnsi="Times New Roman" w:cs="Times New Roman"/>
          <w:color w:val="000000" w:themeColor="text1"/>
          <w:sz w:val="24"/>
          <w:szCs w:val="24"/>
          <w:shd w:val="clear" w:color="auto" w:fill="FFFFFF"/>
          <w:lang w:val="en-US"/>
        </w:rPr>
        <w:t>B.</w:t>
      </w:r>
      <w:r w:rsidR="0070525B" w:rsidRPr="00E57A11">
        <w:rPr>
          <w:rFonts w:ascii="Times New Roman" w:hAnsi="Times New Roman" w:cs="Times New Roman"/>
          <w:color w:val="000000" w:themeColor="text1"/>
          <w:sz w:val="24"/>
          <w:szCs w:val="24"/>
          <w:shd w:val="clear" w:color="auto" w:fill="FFFFFF"/>
          <w:lang w:val="en-US"/>
        </w:rPr>
        <w:t>,</w:t>
      </w:r>
      <w:r w:rsidRPr="00E57A11">
        <w:rPr>
          <w:rFonts w:ascii="Times New Roman" w:hAnsi="Times New Roman" w:cs="Times New Roman"/>
          <w:color w:val="000000" w:themeColor="text1"/>
          <w:sz w:val="24"/>
          <w:szCs w:val="24"/>
          <w:shd w:val="clear" w:color="auto" w:fill="FFFFFF"/>
          <w:lang w:val="en-US"/>
        </w:rPr>
        <w:t xml:space="preserve"> </w:t>
      </w:r>
      <w:r w:rsidR="002F76B2">
        <w:rPr>
          <w:rFonts w:ascii="Times New Roman" w:hAnsi="Times New Roman" w:cs="Times New Roman"/>
          <w:color w:val="000000" w:themeColor="text1"/>
          <w:sz w:val="24"/>
          <w:szCs w:val="24"/>
          <w:shd w:val="clear" w:color="auto" w:fill="FFFFFF"/>
          <w:lang w:val="en-US"/>
        </w:rPr>
        <w:t xml:space="preserve">and M. I. </w:t>
      </w:r>
      <w:r w:rsidRPr="00E57A11">
        <w:rPr>
          <w:rFonts w:ascii="Times New Roman" w:hAnsi="Times New Roman" w:cs="Times New Roman"/>
          <w:color w:val="000000" w:themeColor="text1"/>
          <w:sz w:val="24"/>
          <w:szCs w:val="24"/>
          <w:shd w:val="clear" w:color="auto" w:fill="FFFFFF"/>
          <w:lang w:val="en-US"/>
        </w:rPr>
        <w:t>Wardlaw</w:t>
      </w:r>
      <w:r w:rsidR="002F76B2">
        <w:rPr>
          <w:rFonts w:ascii="Times New Roman" w:hAnsi="Times New Roman" w:cs="Times New Roman"/>
          <w:color w:val="000000" w:themeColor="text1"/>
          <w:sz w:val="24"/>
          <w:szCs w:val="24"/>
          <w:shd w:val="clear" w:color="auto" w:fill="FFFFFF"/>
          <w:lang w:val="en-US"/>
        </w:rPr>
        <w:t xml:space="preserve">. </w:t>
      </w:r>
      <w:r w:rsidRPr="00E57A11">
        <w:rPr>
          <w:rFonts w:ascii="Times New Roman" w:hAnsi="Times New Roman" w:cs="Times New Roman"/>
          <w:color w:val="000000" w:themeColor="text1"/>
          <w:sz w:val="24"/>
          <w:szCs w:val="24"/>
          <w:shd w:val="clear" w:color="auto" w:fill="FFFFFF"/>
          <w:lang w:val="en-US"/>
        </w:rPr>
        <w:t>2016. Financing constraints and workplace safety. </w:t>
      </w:r>
      <w:r w:rsidRPr="00E57A11">
        <w:rPr>
          <w:rFonts w:ascii="Times New Roman" w:hAnsi="Times New Roman" w:cs="Times New Roman"/>
          <w:i/>
          <w:iCs/>
          <w:color w:val="000000" w:themeColor="text1"/>
          <w:sz w:val="24"/>
          <w:szCs w:val="24"/>
          <w:shd w:val="clear" w:color="auto" w:fill="FFFFFF"/>
          <w:lang w:val="en-US"/>
        </w:rPr>
        <w:t>The Journal of Finance</w:t>
      </w:r>
      <w:r w:rsidRPr="00E57A11">
        <w:rPr>
          <w:rFonts w:ascii="Times New Roman" w:hAnsi="Times New Roman" w:cs="Times New Roman"/>
          <w:color w:val="000000" w:themeColor="text1"/>
          <w:sz w:val="24"/>
          <w:szCs w:val="24"/>
          <w:shd w:val="clear" w:color="auto" w:fill="FFFFFF"/>
          <w:lang w:val="en-US"/>
        </w:rPr>
        <w:t> </w:t>
      </w:r>
      <w:r w:rsidRPr="00B2146B">
        <w:rPr>
          <w:rFonts w:ascii="Times New Roman" w:hAnsi="Times New Roman" w:cs="Times New Roman"/>
          <w:iCs/>
          <w:color w:val="000000" w:themeColor="text1"/>
          <w:sz w:val="24"/>
          <w:szCs w:val="24"/>
          <w:shd w:val="clear" w:color="auto" w:fill="FFFFFF"/>
          <w:lang w:val="en-US"/>
        </w:rPr>
        <w:t>71</w:t>
      </w:r>
      <w:r w:rsidR="002F76B2">
        <w:rPr>
          <w:rFonts w:ascii="Times New Roman" w:hAnsi="Times New Roman" w:cs="Times New Roman"/>
          <w:iCs/>
          <w:color w:val="000000" w:themeColor="text1"/>
          <w:sz w:val="24"/>
          <w:szCs w:val="24"/>
          <w:shd w:val="clear" w:color="auto" w:fill="FFFFFF"/>
          <w:lang w:val="en-US"/>
        </w:rPr>
        <w:t xml:space="preserve"> </w:t>
      </w:r>
      <w:r w:rsidRPr="00B0289A">
        <w:rPr>
          <w:rFonts w:ascii="Times New Roman" w:hAnsi="Times New Roman" w:cs="Times New Roman"/>
          <w:color w:val="000000" w:themeColor="text1"/>
          <w:sz w:val="24"/>
          <w:szCs w:val="24"/>
          <w:shd w:val="clear" w:color="auto" w:fill="FFFFFF"/>
          <w:lang w:val="en-US"/>
        </w:rPr>
        <w:t>(5</w:t>
      </w:r>
      <w:r w:rsidRPr="00E57A11">
        <w:rPr>
          <w:rFonts w:ascii="Times New Roman" w:hAnsi="Times New Roman" w:cs="Times New Roman"/>
          <w:color w:val="000000" w:themeColor="text1"/>
          <w:sz w:val="24"/>
          <w:szCs w:val="24"/>
          <w:shd w:val="clear" w:color="auto" w:fill="FFFFFF"/>
          <w:lang w:val="en-US"/>
        </w:rPr>
        <w:t>)</w:t>
      </w:r>
      <w:r w:rsidR="002F76B2">
        <w:rPr>
          <w:rFonts w:ascii="Times New Roman" w:hAnsi="Times New Roman" w:cs="Times New Roman"/>
          <w:color w:val="000000" w:themeColor="text1"/>
          <w:sz w:val="24"/>
          <w:szCs w:val="24"/>
          <w:shd w:val="clear" w:color="auto" w:fill="FFFFFF"/>
          <w:lang w:val="en-US"/>
        </w:rPr>
        <w:t xml:space="preserve">: </w:t>
      </w:r>
      <w:r w:rsidRPr="00E57A11">
        <w:rPr>
          <w:rFonts w:ascii="Times New Roman" w:hAnsi="Times New Roman" w:cs="Times New Roman"/>
          <w:color w:val="000000" w:themeColor="text1"/>
          <w:sz w:val="24"/>
          <w:szCs w:val="24"/>
          <w:shd w:val="clear" w:color="auto" w:fill="FFFFFF"/>
          <w:lang w:val="en-US"/>
        </w:rPr>
        <w:t>2017-2058.</w:t>
      </w:r>
    </w:p>
    <w:bookmarkEnd w:id="14"/>
    <w:p w14:paraId="447BCD85" w14:textId="5BBF144A" w:rsidR="006F5696" w:rsidRPr="00E57A11" w:rsidRDefault="006F5696" w:rsidP="0023586E">
      <w:pPr>
        <w:spacing w:after="0" w:line="240" w:lineRule="auto"/>
        <w:ind w:left="720" w:hanging="720"/>
        <w:jc w:val="both"/>
        <w:rPr>
          <w:rFonts w:ascii="Times New Roman" w:hAnsi="Times New Roman" w:cs="Times New Roman"/>
          <w:color w:val="000000" w:themeColor="text1"/>
          <w:sz w:val="24"/>
          <w:szCs w:val="24"/>
          <w:lang w:val="en-US"/>
        </w:rPr>
      </w:pPr>
      <w:r w:rsidRPr="00E57A11">
        <w:rPr>
          <w:rFonts w:ascii="Times New Roman" w:hAnsi="Times New Roman" w:cs="Times New Roman"/>
          <w:color w:val="000000" w:themeColor="text1"/>
          <w:sz w:val="24"/>
          <w:szCs w:val="24"/>
          <w:lang w:val="en-US"/>
        </w:rPr>
        <w:t xml:space="preserve">Coles, J., </w:t>
      </w:r>
      <w:r w:rsidR="002F76B2">
        <w:rPr>
          <w:rFonts w:ascii="Times New Roman" w:hAnsi="Times New Roman" w:cs="Times New Roman"/>
          <w:color w:val="000000" w:themeColor="text1"/>
          <w:sz w:val="24"/>
          <w:szCs w:val="24"/>
          <w:lang w:val="en-US"/>
        </w:rPr>
        <w:t xml:space="preserve">N. </w:t>
      </w:r>
      <w:r w:rsidRPr="00E57A11">
        <w:rPr>
          <w:rFonts w:ascii="Times New Roman" w:hAnsi="Times New Roman" w:cs="Times New Roman"/>
          <w:color w:val="000000" w:themeColor="text1"/>
          <w:sz w:val="24"/>
          <w:szCs w:val="24"/>
          <w:lang w:val="en-US"/>
        </w:rPr>
        <w:t>Daniel,</w:t>
      </w:r>
      <w:r w:rsidR="002F76B2">
        <w:rPr>
          <w:rFonts w:ascii="Times New Roman" w:hAnsi="Times New Roman" w:cs="Times New Roman"/>
          <w:color w:val="000000" w:themeColor="text1"/>
          <w:sz w:val="24"/>
          <w:szCs w:val="24"/>
          <w:lang w:val="en-US"/>
        </w:rPr>
        <w:t xml:space="preserve"> and L.</w:t>
      </w:r>
      <w:r w:rsidRPr="00E57A11">
        <w:rPr>
          <w:rFonts w:ascii="Times New Roman" w:hAnsi="Times New Roman" w:cs="Times New Roman"/>
          <w:color w:val="000000" w:themeColor="text1"/>
          <w:sz w:val="24"/>
          <w:szCs w:val="24"/>
          <w:lang w:val="en-US"/>
        </w:rPr>
        <w:t xml:space="preserve"> Naveen</w:t>
      </w:r>
      <w:r w:rsidR="002F76B2">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2006. Managerial incentives and risk taking. </w:t>
      </w:r>
      <w:r w:rsidRPr="00E57A11">
        <w:rPr>
          <w:rFonts w:ascii="Times New Roman" w:hAnsi="Times New Roman" w:cs="Times New Roman"/>
          <w:i/>
          <w:iCs/>
          <w:color w:val="000000" w:themeColor="text1"/>
          <w:sz w:val="24"/>
          <w:szCs w:val="24"/>
          <w:lang w:val="en-US"/>
        </w:rPr>
        <w:t>Journal of Financial Economics</w:t>
      </w:r>
      <w:r w:rsidR="002F76B2">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79</w:t>
      </w:r>
      <w:r w:rsidR="002F76B2">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(2)</w:t>
      </w:r>
      <w:r w:rsidR="002F76B2">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431</w:t>
      </w:r>
      <w:r w:rsidR="00B0289A">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468.</w:t>
      </w:r>
    </w:p>
    <w:p w14:paraId="17D5A007" w14:textId="7E62EAE6" w:rsidR="00F50878" w:rsidRPr="00E57A11" w:rsidRDefault="002F76B2" w:rsidP="0023586E">
      <w:pPr>
        <w:spacing w:after="0" w:line="240" w:lineRule="auto"/>
        <w:ind w:left="720" w:hanging="720"/>
        <w:jc w:val="both"/>
        <w:rPr>
          <w:rFonts w:asciiTheme="majorBidi" w:hAnsiTheme="majorBidi" w:cstheme="majorBidi"/>
          <w:sz w:val="24"/>
          <w:szCs w:val="24"/>
          <w:lang w:val="en-US"/>
        </w:rPr>
      </w:pPr>
      <w:r w:rsidRPr="00E57A11">
        <w:rPr>
          <w:rFonts w:ascii="Times New Roman" w:hAnsi="Times New Roman" w:cs="Times New Roman"/>
          <w:color w:val="000000" w:themeColor="text1"/>
          <w:sz w:val="24"/>
          <w:szCs w:val="24"/>
          <w:lang w:val="en-US"/>
        </w:rPr>
        <w:t xml:space="preserve">Coles, J., </w:t>
      </w:r>
      <w:r>
        <w:rPr>
          <w:rFonts w:ascii="Times New Roman" w:hAnsi="Times New Roman" w:cs="Times New Roman"/>
          <w:color w:val="000000" w:themeColor="text1"/>
          <w:sz w:val="24"/>
          <w:szCs w:val="24"/>
          <w:lang w:val="en-US"/>
        </w:rPr>
        <w:t xml:space="preserve">N. </w:t>
      </w:r>
      <w:r w:rsidRPr="00E57A11">
        <w:rPr>
          <w:rFonts w:ascii="Times New Roman" w:hAnsi="Times New Roman" w:cs="Times New Roman"/>
          <w:color w:val="000000" w:themeColor="text1"/>
          <w:sz w:val="24"/>
          <w:szCs w:val="24"/>
          <w:lang w:val="en-US"/>
        </w:rPr>
        <w:t>Daniel,</w:t>
      </w:r>
      <w:r>
        <w:rPr>
          <w:rFonts w:ascii="Times New Roman" w:hAnsi="Times New Roman" w:cs="Times New Roman"/>
          <w:color w:val="000000" w:themeColor="text1"/>
          <w:sz w:val="24"/>
          <w:szCs w:val="24"/>
          <w:lang w:val="en-US"/>
        </w:rPr>
        <w:t xml:space="preserve"> and L.</w:t>
      </w:r>
      <w:r w:rsidRPr="00E57A11">
        <w:rPr>
          <w:rFonts w:ascii="Times New Roman" w:hAnsi="Times New Roman" w:cs="Times New Roman"/>
          <w:color w:val="000000" w:themeColor="text1"/>
          <w:sz w:val="24"/>
          <w:szCs w:val="24"/>
          <w:lang w:val="en-US"/>
        </w:rPr>
        <w:t xml:space="preserve"> Naveen</w:t>
      </w:r>
      <w:r>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w:t>
      </w:r>
      <w:r w:rsidR="00F50878" w:rsidRPr="00E57A11">
        <w:rPr>
          <w:rFonts w:asciiTheme="majorBidi" w:hAnsiTheme="majorBidi" w:cstheme="majorBidi"/>
          <w:sz w:val="24"/>
          <w:szCs w:val="24"/>
          <w:shd w:val="clear" w:color="auto" w:fill="FFFFFF"/>
          <w:lang w:val="en-US"/>
        </w:rPr>
        <w:t>2013.</w:t>
      </w:r>
      <w:r w:rsidR="00F50878" w:rsidRPr="00E57A11">
        <w:rPr>
          <w:rFonts w:asciiTheme="majorBidi" w:hAnsiTheme="majorBidi" w:cstheme="majorBidi"/>
          <w:sz w:val="24"/>
          <w:szCs w:val="24"/>
          <w:lang w:val="en-US"/>
        </w:rPr>
        <w:t xml:space="preserve"> Calculation of Compensation Incentives and Firm-Related Wealth Using </w:t>
      </w:r>
      <w:proofErr w:type="spellStart"/>
      <w:r w:rsidR="00F50878" w:rsidRPr="00E57A11">
        <w:rPr>
          <w:rFonts w:asciiTheme="majorBidi" w:hAnsiTheme="majorBidi" w:cstheme="majorBidi"/>
          <w:sz w:val="24"/>
          <w:szCs w:val="24"/>
          <w:lang w:val="en-US"/>
        </w:rPr>
        <w:t>Execucomp</w:t>
      </w:r>
      <w:proofErr w:type="spellEnd"/>
      <w:r w:rsidR="00F50878" w:rsidRPr="00E57A11">
        <w:rPr>
          <w:rFonts w:asciiTheme="majorBidi" w:hAnsiTheme="majorBidi" w:cstheme="majorBidi"/>
          <w:sz w:val="24"/>
          <w:szCs w:val="24"/>
          <w:lang w:val="en-US"/>
        </w:rPr>
        <w:t xml:space="preserve">: Data, Program, and Explanation. Available at SSRN: </w:t>
      </w:r>
      <w:hyperlink r:id="rId12" w:tgtFrame="_blank" w:history="1">
        <w:r w:rsidR="00F50878" w:rsidRPr="00E57A11">
          <w:rPr>
            <w:rStyle w:val="Hyperlink"/>
            <w:rFonts w:asciiTheme="majorBidi" w:hAnsiTheme="majorBidi" w:cstheme="majorBidi"/>
            <w:color w:val="auto"/>
            <w:sz w:val="24"/>
            <w:szCs w:val="24"/>
            <w:u w:val="none"/>
            <w:lang w:val="en-US"/>
          </w:rPr>
          <w:t>https://ssrn.com/abstract=2296381</w:t>
        </w:r>
      </w:hyperlink>
      <w:r w:rsidR="00F50878" w:rsidRPr="00E57A11">
        <w:rPr>
          <w:rFonts w:asciiTheme="majorBidi" w:hAnsiTheme="majorBidi" w:cstheme="majorBidi"/>
          <w:sz w:val="24"/>
          <w:szCs w:val="24"/>
          <w:lang w:val="en-US"/>
        </w:rPr>
        <w:t>.</w:t>
      </w:r>
    </w:p>
    <w:p w14:paraId="5FE32B28" w14:textId="2D7D456B" w:rsidR="006F5696" w:rsidRDefault="006F5696" w:rsidP="0023586E">
      <w:pPr>
        <w:spacing w:after="0" w:line="240" w:lineRule="auto"/>
        <w:ind w:left="720" w:hanging="720"/>
        <w:jc w:val="both"/>
        <w:rPr>
          <w:rFonts w:ascii="Times New Roman" w:hAnsi="Times New Roman" w:cs="Times New Roman"/>
          <w:color w:val="000000" w:themeColor="text1"/>
          <w:sz w:val="24"/>
          <w:szCs w:val="24"/>
          <w:lang w:val="en-US"/>
        </w:rPr>
      </w:pPr>
      <w:r w:rsidRPr="00E57A11">
        <w:rPr>
          <w:rFonts w:ascii="Times New Roman" w:hAnsi="Times New Roman" w:cs="Times New Roman"/>
          <w:color w:val="000000" w:themeColor="text1"/>
          <w:sz w:val="24"/>
          <w:szCs w:val="24"/>
          <w:lang w:val="en-US"/>
        </w:rPr>
        <w:t xml:space="preserve">Core, J., </w:t>
      </w:r>
      <w:r w:rsidR="002F76B2">
        <w:rPr>
          <w:rFonts w:ascii="Times New Roman" w:hAnsi="Times New Roman" w:cs="Times New Roman"/>
          <w:color w:val="000000" w:themeColor="text1"/>
          <w:sz w:val="24"/>
          <w:szCs w:val="24"/>
          <w:lang w:val="en-US"/>
        </w:rPr>
        <w:t xml:space="preserve">and W. </w:t>
      </w:r>
      <w:r w:rsidRPr="00E57A11">
        <w:rPr>
          <w:rFonts w:ascii="Times New Roman" w:hAnsi="Times New Roman" w:cs="Times New Roman"/>
          <w:color w:val="000000" w:themeColor="text1"/>
          <w:sz w:val="24"/>
          <w:szCs w:val="24"/>
          <w:lang w:val="en-US"/>
        </w:rPr>
        <w:t>Guay</w:t>
      </w:r>
      <w:r w:rsidR="002F76B2">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2002. Estimating the value of employee stock option portfolios and their sensitivities to price and volatility. </w:t>
      </w:r>
      <w:r w:rsidRPr="00E57A11">
        <w:rPr>
          <w:rFonts w:ascii="Times New Roman" w:hAnsi="Times New Roman" w:cs="Times New Roman"/>
          <w:i/>
          <w:iCs/>
          <w:color w:val="000000" w:themeColor="text1"/>
          <w:sz w:val="24"/>
          <w:szCs w:val="24"/>
          <w:lang w:val="en-US"/>
        </w:rPr>
        <w:t>Journal of Accounting Research</w:t>
      </w:r>
      <w:r w:rsidRPr="00E57A11">
        <w:rPr>
          <w:rFonts w:ascii="Times New Roman" w:hAnsi="Times New Roman" w:cs="Times New Roman"/>
          <w:color w:val="000000" w:themeColor="text1"/>
          <w:sz w:val="24"/>
          <w:szCs w:val="24"/>
          <w:lang w:val="en-US"/>
        </w:rPr>
        <w:t xml:space="preserve"> 40</w:t>
      </w:r>
      <w:r w:rsidR="002F76B2">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(3)</w:t>
      </w:r>
      <w:r w:rsidR="002F76B2">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613</w:t>
      </w:r>
      <w:r w:rsidR="00B0289A">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630.</w:t>
      </w:r>
    </w:p>
    <w:p w14:paraId="6BC0A0DB" w14:textId="52EB053D" w:rsidR="00D21E88" w:rsidRPr="00FD2282" w:rsidRDefault="00D21E88" w:rsidP="00FD2282">
      <w:pPr>
        <w:spacing w:after="0" w:line="240" w:lineRule="auto"/>
        <w:ind w:left="720" w:hanging="720"/>
        <w:jc w:val="both"/>
        <w:rPr>
          <w:rFonts w:ascii="Times New Roman" w:hAnsi="Times New Roman" w:cs="Times New Roman"/>
          <w:color w:val="000000" w:themeColor="text1"/>
          <w:sz w:val="24"/>
          <w:szCs w:val="24"/>
          <w:lang w:val="en-US"/>
        </w:rPr>
      </w:pPr>
      <w:r w:rsidRPr="00FD2282">
        <w:rPr>
          <w:rFonts w:ascii="Times New Roman" w:hAnsi="Times New Roman" w:cs="Times New Roman"/>
          <w:color w:val="000000" w:themeColor="text1"/>
          <w:sz w:val="24"/>
          <w:szCs w:val="24"/>
          <w:lang w:val="en-US"/>
        </w:rPr>
        <w:t xml:space="preserve">Chatterji, A.K., </w:t>
      </w:r>
      <w:r w:rsidR="002F76B2">
        <w:rPr>
          <w:rFonts w:ascii="Times New Roman" w:hAnsi="Times New Roman" w:cs="Times New Roman"/>
          <w:color w:val="000000" w:themeColor="text1"/>
          <w:sz w:val="24"/>
          <w:szCs w:val="24"/>
          <w:lang w:val="en-US"/>
        </w:rPr>
        <w:t xml:space="preserve">R. </w:t>
      </w:r>
      <w:r w:rsidRPr="00FD2282">
        <w:rPr>
          <w:rFonts w:ascii="Times New Roman" w:hAnsi="Times New Roman" w:cs="Times New Roman"/>
          <w:color w:val="000000" w:themeColor="text1"/>
          <w:sz w:val="24"/>
          <w:szCs w:val="24"/>
          <w:lang w:val="en-US"/>
        </w:rPr>
        <w:t>Durand</w:t>
      </w:r>
      <w:r w:rsidR="002F76B2">
        <w:rPr>
          <w:rFonts w:ascii="Times New Roman" w:hAnsi="Times New Roman" w:cs="Times New Roman"/>
          <w:color w:val="000000" w:themeColor="text1"/>
          <w:sz w:val="24"/>
          <w:szCs w:val="24"/>
          <w:lang w:val="en-US"/>
        </w:rPr>
        <w:t>, D. I.</w:t>
      </w:r>
      <w:r w:rsidRPr="00FD2282">
        <w:rPr>
          <w:rFonts w:ascii="Times New Roman" w:hAnsi="Times New Roman" w:cs="Times New Roman"/>
          <w:color w:val="000000" w:themeColor="text1"/>
          <w:sz w:val="24"/>
          <w:szCs w:val="24"/>
          <w:lang w:val="en-US"/>
        </w:rPr>
        <w:t xml:space="preserve"> Levine, and </w:t>
      </w:r>
      <w:r w:rsidR="002F76B2">
        <w:rPr>
          <w:rFonts w:ascii="Times New Roman" w:hAnsi="Times New Roman" w:cs="Times New Roman"/>
          <w:color w:val="000000" w:themeColor="text1"/>
          <w:sz w:val="24"/>
          <w:szCs w:val="24"/>
          <w:lang w:val="en-US"/>
        </w:rPr>
        <w:t xml:space="preserve">S. </w:t>
      </w:r>
      <w:proofErr w:type="spellStart"/>
      <w:r w:rsidRPr="00FD2282">
        <w:rPr>
          <w:rFonts w:ascii="Times New Roman" w:hAnsi="Times New Roman" w:cs="Times New Roman"/>
          <w:color w:val="000000" w:themeColor="text1"/>
          <w:sz w:val="24"/>
          <w:szCs w:val="24"/>
          <w:lang w:val="en-US"/>
        </w:rPr>
        <w:t>Touboul</w:t>
      </w:r>
      <w:proofErr w:type="spellEnd"/>
      <w:r w:rsidRPr="00FD2282">
        <w:rPr>
          <w:rFonts w:ascii="Times New Roman" w:hAnsi="Times New Roman" w:cs="Times New Roman"/>
          <w:color w:val="000000" w:themeColor="text1"/>
          <w:sz w:val="24"/>
          <w:szCs w:val="24"/>
          <w:lang w:val="en-US"/>
        </w:rPr>
        <w:t>, 2016. Do ratings of firms converge? Implications for managers, investors and strategy researchers. </w:t>
      </w:r>
      <w:r w:rsidRPr="00AE3F87">
        <w:rPr>
          <w:rFonts w:ascii="Times New Roman" w:hAnsi="Times New Roman" w:cs="Times New Roman"/>
          <w:i/>
          <w:iCs/>
          <w:color w:val="000000" w:themeColor="text1"/>
          <w:sz w:val="24"/>
          <w:szCs w:val="24"/>
          <w:lang w:val="en-US"/>
        </w:rPr>
        <w:t>Strategic Management Journal</w:t>
      </w:r>
      <w:r w:rsidRPr="00FD2282">
        <w:rPr>
          <w:rFonts w:ascii="Times New Roman" w:hAnsi="Times New Roman" w:cs="Times New Roman"/>
          <w:color w:val="000000" w:themeColor="text1"/>
          <w:sz w:val="24"/>
          <w:szCs w:val="24"/>
          <w:lang w:val="en-US"/>
        </w:rPr>
        <w:t> 37</w:t>
      </w:r>
      <w:r w:rsidR="002F76B2">
        <w:rPr>
          <w:rFonts w:ascii="Times New Roman" w:hAnsi="Times New Roman" w:cs="Times New Roman"/>
          <w:color w:val="000000" w:themeColor="text1"/>
          <w:sz w:val="24"/>
          <w:szCs w:val="24"/>
          <w:lang w:val="en-US"/>
        </w:rPr>
        <w:t xml:space="preserve"> </w:t>
      </w:r>
      <w:r w:rsidRPr="00FD2282">
        <w:rPr>
          <w:rFonts w:ascii="Times New Roman" w:hAnsi="Times New Roman" w:cs="Times New Roman"/>
          <w:color w:val="000000" w:themeColor="text1"/>
          <w:sz w:val="24"/>
          <w:szCs w:val="24"/>
          <w:lang w:val="en-US"/>
        </w:rPr>
        <w:t>(8)</w:t>
      </w:r>
      <w:r w:rsidR="002F76B2">
        <w:rPr>
          <w:rFonts w:ascii="Times New Roman" w:hAnsi="Times New Roman" w:cs="Times New Roman"/>
          <w:color w:val="000000" w:themeColor="text1"/>
          <w:sz w:val="24"/>
          <w:szCs w:val="24"/>
          <w:lang w:val="en-US"/>
        </w:rPr>
        <w:t xml:space="preserve">: </w:t>
      </w:r>
      <w:r w:rsidRPr="00FD2282">
        <w:rPr>
          <w:rFonts w:ascii="Times New Roman" w:hAnsi="Times New Roman" w:cs="Times New Roman"/>
          <w:color w:val="000000" w:themeColor="text1"/>
          <w:sz w:val="24"/>
          <w:szCs w:val="24"/>
          <w:lang w:val="en-US"/>
        </w:rPr>
        <w:t>1597-1614.</w:t>
      </w:r>
    </w:p>
    <w:p w14:paraId="3FEAA715" w14:textId="16CE8C39" w:rsidR="000226FF" w:rsidRPr="00E57A11" w:rsidRDefault="000226FF" w:rsidP="0023586E">
      <w:pPr>
        <w:spacing w:after="0" w:line="240" w:lineRule="auto"/>
        <w:ind w:left="720" w:hanging="720"/>
        <w:jc w:val="both"/>
        <w:rPr>
          <w:rFonts w:asciiTheme="majorBidi" w:hAnsiTheme="majorBidi" w:cstheme="majorBidi"/>
          <w:sz w:val="24"/>
          <w:szCs w:val="24"/>
          <w:lang w:val="en-US"/>
        </w:rPr>
      </w:pPr>
      <w:r w:rsidRPr="00B2146B">
        <w:rPr>
          <w:rFonts w:asciiTheme="majorBidi" w:hAnsiTheme="majorBidi" w:cstheme="majorBidi"/>
          <w:sz w:val="24"/>
          <w:szCs w:val="24"/>
          <w:lang w:val="en-US"/>
        </w:rPr>
        <w:lastRenderedPageBreak/>
        <w:t>Chevron, 2018</w:t>
      </w:r>
      <w:r w:rsidR="00CB20BC" w:rsidRPr="00B2146B">
        <w:rPr>
          <w:rFonts w:asciiTheme="majorBidi" w:hAnsiTheme="majorBidi" w:cstheme="majorBidi"/>
          <w:sz w:val="24"/>
          <w:szCs w:val="24"/>
          <w:lang w:val="en-US"/>
        </w:rPr>
        <w:t>.</w:t>
      </w:r>
      <w:r w:rsidRPr="00B2146B">
        <w:rPr>
          <w:rFonts w:asciiTheme="majorBidi" w:hAnsiTheme="majorBidi" w:cstheme="majorBidi"/>
          <w:sz w:val="24"/>
          <w:szCs w:val="24"/>
          <w:lang w:val="en-US"/>
        </w:rPr>
        <w:t xml:space="preserve"> Corporate Responsibility Report</w:t>
      </w:r>
      <w:r w:rsidR="00C8135D">
        <w:rPr>
          <w:rFonts w:asciiTheme="majorBidi" w:hAnsiTheme="majorBidi" w:cstheme="majorBidi"/>
          <w:sz w:val="24"/>
          <w:szCs w:val="24"/>
          <w:lang w:val="en-US"/>
        </w:rPr>
        <w:t>.</w:t>
      </w:r>
      <w:r w:rsidR="00385660" w:rsidRPr="00B2146B">
        <w:rPr>
          <w:rFonts w:asciiTheme="majorBidi" w:hAnsiTheme="majorBidi" w:cstheme="majorBidi"/>
          <w:sz w:val="24"/>
          <w:szCs w:val="24"/>
          <w:lang w:val="en-US"/>
        </w:rPr>
        <w:t xml:space="preserve"> Available at:</w:t>
      </w:r>
      <w:r w:rsidRPr="00B2146B">
        <w:rPr>
          <w:rFonts w:asciiTheme="majorBidi" w:hAnsiTheme="majorBidi" w:cstheme="majorBidi"/>
          <w:sz w:val="24"/>
          <w:szCs w:val="24"/>
          <w:lang w:val="en-US"/>
        </w:rPr>
        <w:t xml:space="preserve"> </w:t>
      </w:r>
      <w:hyperlink r:id="rId13" w:history="1">
        <w:r w:rsidRPr="00B2146B">
          <w:rPr>
            <w:rFonts w:asciiTheme="majorBidi" w:hAnsiTheme="majorBidi" w:cstheme="majorBidi"/>
            <w:sz w:val="24"/>
            <w:szCs w:val="24"/>
            <w:lang w:val="en-US"/>
          </w:rPr>
          <w:t>https://www.chevron.com/-/media/shared-media/documents/2018-corporate-responsibility-report.pdf</w:t>
        </w:r>
      </w:hyperlink>
      <w:r w:rsidR="005E4E07" w:rsidRPr="00E57A11">
        <w:rPr>
          <w:rFonts w:asciiTheme="majorBidi" w:hAnsiTheme="majorBidi" w:cstheme="majorBidi"/>
          <w:sz w:val="24"/>
          <w:szCs w:val="24"/>
          <w:lang w:val="en-US"/>
        </w:rPr>
        <w:t>.</w:t>
      </w:r>
      <w:r w:rsidR="00D955AD">
        <w:rPr>
          <w:rFonts w:asciiTheme="majorBidi" w:hAnsiTheme="majorBidi" w:cstheme="majorBidi"/>
          <w:sz w:val="24"/>
          <w:szCs w:val="24"/>
          <w:lang w:val="en-US"/>
        </w:rPr>
        <w:t xml:space="preserve"> </w:t>
      </w:r>
      <w:r w:rsidR="00D955AD" w:rsidRPr="002F76B2">
        <w:rPr>
          <w:rFonts w:ascii="Times New Roman" w:hAnsi="Times New Roman" w:cs="Times New Roman"/>
          <w:color w:val="000000" w:themeColor="text1"/>
          <w:sz w:val="24"/>
          <w:szCs w:val="24"/>
          <w:lang w:val="en-US"/>
        </w:rPr>
        <w:t xml:space="preserve">(last accessed </w:t>
      </w:r>
      <w:r w:rsidR="00D955AD">
        <w:rPr>
          <w:rFonts w:ascii="Times New Roman" w:hAnsi="Times New Roman" w:cs="Times New Roman"/>
          <w:color w:val="000000" w:themeColor="text1"/>
          <w:sz w:val="24"/>
          <w:szCs w:val="24"/>
          <w:lang w:val="en-US"/>
        </w:rPr>
        <w:t>June 11</w:t>
      </w:r>
      <w:r w:rsidR="00D955AD" w:rsidRPr="002F76B2">
        <w:rPr>
          <w:rFonts w:ascii="Times New Roman" w:hAnsi="Times New Roman" w:cs="Times New Roman"/>
          <w:color w:val="000000" w:themeColor="text1"/>
          <w:sz w:val="24"/>
          <w:szCs w:val="24"/>
          <w:lang w:val="en-US"/>
        </w:rPr>
        <w:t>, 20</w:t>
      </w:r>
      <w:r w:rsidR="00D955AD">
        <w:rPr>
          <w:rFonts w:ascii="Times New Roman" w:hAnsi="Times New Roman" w:cs="Times New Roman"/>
          <w:color w:val="000000" w:themeColor="text1"/>
          <w:sz w:val="24"/>
          <w:szCs w:val="24"/>
          <w:lang w:val="en-US"/>
        </w:rPr>
        <w:t>24).</w:t>
      </w:r>
    </w:p>
    <w:p w14:paraId="59358B6A" w14:textId="28F7D45E" w:rsidR="00B24876" w:rsidRPr="00B24876" w:rsidRDefault="00B24876" w:rsidP="009F5A3D">
      <w:pPr>
        <w:autoSpaceDE w:val="0"/>
        <w:autoSpaceDN w:val="0"/>
        <w:adjustRightInd w:val="0"/>
        <w:spacing w:after="0" w:line="240" w:lineRule="auto"/>
        <w:ind w:left="720" w:hanging="720"/>
        <w:jc w:val="both"/>
        <w:rPr>
          <w:rFonts w:asciiTheme="majorBidi" w:hAnsiTheme="majorBidi" w:cstheme="majorBidi"/>
          <w:sz w:val="24"/>
          <w:szCs w:val="24"/>
          <w:lang w:val="en-US"/>
        </w:rPr>
      </w:pPr>
      <w:r w:rsidRPr="00D955AD">
        <w:rPr>
          <w:rFonts w:asciiTheme="majorBidi" w:hAnsiTheme="majorBidi" w:cstheme="majorBidi"/>
          <w:sz w:val="24"/>
          <w:szCs w:val="24"/>
        </w:rPr>
        <w:t xml:space="preserve">Choudhary, P., </w:t>
      </w:r>
      <w:r w:rsidR="00D955AD" w:rsidRPr="00D955AD">
        <w:rPr>
          <w:rFonts w:asciiTheme="majorBidi" w:hAnsiTheme="majorBidi" w:cstheme="majorBidi"/>
          <w:sz w:val="24"/>
          <w:szCs w:val="24"/>
        </w:rPr>
        <w:t xml:space="preserve">S. </w:t>
      </w:r>
      <w:proofErr w:type="spellStart"/>
      <w:r w:rsidRPr="00D955AD">
        <w:rPr>
          <w:rFonts w:asciiTheme="majorBidi" w:hAnsiTheme="majorBidi" w:cstheme="majorBidi"/>
          <w:sz w:val="24"/>
          <w:szCs w:val="24"/>
        </w:rPr>
        <w:t>Rajgopal</w:t>
      </w:r>
      <w:proofErr w:type="spellEnd"/>
      <w:r w:rsidRPr="00D955AD">
        <w:rPr>
          <w:rFonts w:asciiTheme="majorBidi" w:hAnsiTheme="majorBidi" w:cstheme="majorBidi"/>
          <w:sz w:val="24"/>
          <w:szCs w:val="24"/>
        </w:rPr>
        <w:t xml:space="preserve">, </w:t>
      </w:r>
      <w:r w:rsidR="00D955AD" w:rsidRPr="00D955AD">
        <w:rPr>
          <w:rFonts w:asciiTheme="majorBidi" w:hAnsiTheme="majorBidi" w:cstheme="majorBidi"/>
          <w:sz w:val="24"/>
          <w:szCs w:val="24"/>
        </w:rPr>
        <w:t xml:space="preserve">and </w:t>
      </w:r>
      <w:r w:rsidR="00D955AD">
        <w:rPr>
          <w:rFonts w:asciiTheme="majorBidi" w:hAnsiTheme="majorBidi" w:cstheme="majorBidi"/>
          <w:sz w:val="24"/>
          <w:szCs w:val="24"/>
        </w:rPr>
        <w:t xml:space="preserve">M. </w:t>
      </w:r>
      <w:r w:rsidRPr="00D955AD">
        <w:rPr>
          <w:rFonts w:asciiTheme="majorBidi" w:hAnsiTheme="majorBidi" w:cstheme="majorBidi"/>
          <w:sz w:val="24"/>
          <w:szCs w:val="24"/>
        </w:rPr>
        <w:t>Venkatachalam</w:t>
      </w:r>
      <w:r w:rsidR="00D955AD">
        <w:rPr>
          <w:rFonts w:asciiTheme="majorBidi" w:hAnsiTheme="majorBidi" w:cstheme="majorBidi"/>
          <w:sz w:val="24"/>
          <w:szCs w:val="24"/>
        </w:rPr>
        <w:t>,</w:t>
      </w:r>
      <w:r w:rsidRPr="00D955AD">
        <w:rPr>
          <w:rFonts w:asciiTheme="majorBidi" w:hAnsiTheme="majorBidi" w:cstheme="majorBidi"/>
          <w:sz w:val="24"/>
          <w:szCs w:val="24"/>
        </w:rPr>
        <w:t xml:space="preserve"> 2009. </w:t>
      </w:r>
      <w:r>
        <w:rPr>
          <w:rFonts w:asciiTheme="majorBidi" w:hAnsiTheme="majorBidi" w:cstheme="majorBidi"/>
          <w:sz w:val="24"/>
          <w:szCs w:val="24"/>
          <w:lang w:val="en-US"/>
        </w:rPr>
        <w:t xml:space="preserve">Accelerated vesting of employee options in anticipation of FAS 123-R. </w:t>
      </w:r>
      <w:r>
        <w:rPr>
          <w:rFonts w:asciiTheme="majorBidi" w:hAnsiTheme="majorBidi" w:cstheme="majorBidi"/>
          <w:i/>
          <w:iCs/>
          <w:sz w:val="24"/>
          <w:szCs w:val="24"/>
          <w:lang w:val="en-US"/>
        </w:rPr>
        <w:t xml:space="preserve">Journal of Accounting Research </w:t>
      </w:r>
      <w:r>
        <w:rPr>
          <w:rFonts w:asciiTheme="majorBidi" w:hAnsiTheme="majorBidi" w:cstheme="majorBidi"/>
          <w:sz w:val="24"/>
          <w:szCs w:val="24"/>
          <w:lang w:val="en-US"/>
        </w:rPr>
        <w:t>47</w:t>
      </w:r>
      <w:r w:rsidR="00D955AD">
        <w:rPr>
          <w:rFonts w:asciiTheme="majorBidi" w:hAnsiTheme="majorBidi" w:cstheme="majorBidi"/>
          <w:sz w:val="24"/>
          <w:szCs w:val="24"/>
          <w:lang w:val="en-US"/>
        </w:rPr>
        <w:t xml:space="preserve"> </w:t>
      </w:r>
      <w:r>
        <w:rPr>
          <w:rFonts w:asciiTheme="majorBidi" w:hAnsiTheme="majorBidi" w:cstheme="majorBidi"/>
          <w:sz w:val="24"/>
          <w:szCs w:val="24"/>
          <w:lang w:val="en-US"/>
        </w:rPr>
        <w:t>(1)</w:t>
      </w:r>
      <w:r w:rsidR="00D955AD">
        <w:rPr>
          <w:rFonts w:asciiTheme="majorBidi" w:hAnsiTheme="majorBidi" w:cstheme="majorBidi"/>
          <w:sz w:val="24"/>
          <w:szCs w:val="24"/>
          <w:lang w:val="en-US"/>
        </w:rPr>
        <w:t>:</w:t>
      </w:r>
      <w:r>
        <w:rPr>
          <w:rFonts w:asciiTheme="majorBidi" w:hAnsiTheme="majorBidi" w:cstheme="majorBidi"/>
          <w:sz w:val="24"/>
          <w:szCs w:val="24"/>
          <w:lang w:val="en-US"/>
        </w:rPr>
        <w:t xml:space="preserve"> 105-146.</w:t>
      </w:r>
    </w:p>
    <w:p w14:paraId="368BE8E6" w14:textId="3DD83FDD" w:rsidR="00B62CB2" w:rsidRDefault="006F5696" w:rsidP="009F5A3D">
      <w:pPr>
        <w:autoSpaceDE w:val="0"/>
        <w:autoSpaceDN w:val="0"/>
        <w:adjustRightInd w:val="0"/>
        <w:spacing w:after="0" w:line="240" w:lineRule="auto"/>
        <w:ind w:left="720" w:hanging="720"/>
        <w:jc w:val="both"/>
        <w:rPr>
          <w:color w:val="000000" w:themeColor="text1"/>
          <w:lang w:val="en-US"/>
        </w:rPr>
      </w:pPr>
      <w:r w:rsidRPr="00E57A11">
        <w:rPr>
          <w:rFonts w:asciiTheme="majorBidi" w:hAnsiTheme="majorBidi" w:cstheme="majorBidi"/>
          <w:sz w:val="24"/>
          <w:szCs w:val="24"/>
          <w:lang w:val="en-US"/>
        </w:rPr>
        <w:t>Christensen, H.</w:t>
      </w:r>
      <w:r w:rsidR="00C45F3D" w:rsidRPr="00E57A11">
        <w:rPr>
          <w:rFonts w:asciiTheme="majorBidi" w:hAnsiTheme="majorBidi" w:cstheme="majorBidi"/>
          <w:sz w:val="24"/>
          <w:szCs w:val="24"/>
          <w:lang w:val="en-US"/>
        </w:rPr>
        <w:t xml:space="preserve">B., </w:t>
      </w:r>
      <w:r w:rsidR="00D955AD">
        <w:rPr>
          <w:rFonts w:asciiTheme="majorBidi" w:hAnsiTheme="majorBidi" w:cstheme="majorBidi"/>
          <w:sz w:val="24"/>
          <w:szCs w:val="24"/>
          <w:lang w:val="en-US"/>
        </w:rPr>
        <w:t xml:space="preserve">E. </w:t>
      </w:r>
      <w:r w:rsidR="00C45F3D" w:rsidRPr="00E57A11">
        <w:rPr>
          <w:rFonts w:asciiTheme="majorBidi" w:hAnsiTheme="majorBidi" w:cstheme="majorBidi"/>
          <w:sz w:val="24"/>
          <w:szCs w:val="24"/>
          <w:lang w:val="en-US"/>
        </w:rPr>
        <w:t xml:space="preserve">Floyd, </w:t>
      </w:r>
      <w:r w:rsidR="00D955AD">
        <w:rPr>
          <w:rFonts w:asciiTheme="majorBidi" w:hAnsiTheme="majorBidi" w:cstheme="majorBidi"/>
          <w:sz w:val="24"/>
          <w:szCs w:val="24"/>
          <w:lang w:val="en-US"/>
        </w:rPr>
        <w:t xml:space="preserve">L. Y. </w:t>
      </w:r>
      <w:r w:rsidR="00C45F3D" w:rsidRPr="00E57A11">
        <w:rPr>
          <w:rFonts w:asciiTheme="majorBidi" w:hAnsiTheme="majorBidi" w:cstheme="majorBidi"/>
          <w:sz w:val="24"/>
          <w:szCs w:val="24"/>
          <w:lang w:val="en-US"/>
        </w:rPr>
        <w:t xml:space="preserve">Liu, </w:t>
      </w:r>
      <w:r w:rsidR="00D955AD">
        <w:rPr>
          <w:rFonts w:asciiTheme="majorBidi" w:hAnsiTheme="majorBidi" w:cstheme="majorBidi"/>
          <w:sz w:val="24"/>
          <w:szCs w:val="24"/>
          <w:lang w:val="en-US"/>
        </w:rPr>
        <w:t xml:space="preserve">and M. </w:t>
      </w:r>
      <w:r w:rsidR="00C45F3D" w:rsidRPr="00E57A11">
        <w:rPr>
          <w:rFonts w:ascii="Times New Roman" w:hAnsi="Times New Roman" w:cs="Times New Roman"/>
          <w:color w:val="000000" w:themeColor="text1"/>
          <w:sz w:val="24"/>
          <w:szCs w:val="24"/>
          <w:lang w:val="en-US"/>
        </w:rPr>
        <w:t>Maffett</w:t>
      </w:r>
      <w:r w:rsidR="00D955AD">
        <w:rPr>
          <w:rFonts w:ascii="Times New Roman" w:hAnsi="Times New Roman" w:cs="Times New Roman"/>
          <w:color w:val="000000" w:themeColor="text1"/>
          <w:sz w:val="24"/>
          <w:szCs w:val="24"/>
          <w:lang w:val="en-US"/>
        </w:rPr>
        <w:t xml:space="preserve">. </w:t>
      </w:r>
      <w:r w:rsidR="00C45F3D" w:rsidRPr="00E57A11">
        <w:rPr>
          <w:rFonts w:ascii="Times New Roman" w:hAnsi="Times New Roman" w:cs="Times New Roman"/>
          <w:color w:val="000000" w:themeColor="text1"/>
          <w:sz w:val="24"/>
          <w:szCs w:val="24"/>
          <w:lang w:val="en-US"/>
        </w:rPr>
        <w:t xml:space="preserve">2017. The real effects of mandated information on social responsibility in financial reports: Evidence from mine-safety records. </w:t>
      </w:r>
      <w:r w:rsidR="00C45F3D" w:rsidRPr="00E57A11">
        <w:rPr>
          <w:rFonts w:ascii="Times New Roman" w:hAnsi="Times New Roman" w:cs="Times New Roman"/>
          <w:i/>
          <w:iCs/>
          <w:color w:val="000000" w:themeColor="text1"/>
          <w:sz w:val="24"/>
          <w:szCs w:val="24"/>
          <w:lang w:val="en-US"/>
        </w:rPr>
        <w:t xml:space="preserve">Journal of Accounting and Economics </w:t>
      </w:r>
      <w:r w:rsidR="00C45F3D" w:rsidRPr="00E57A11">
        <w:rPr>
          <w:rFonts w:ascii="Times New Roman" w:hAnsi="Times New Roman" w:cs="Times New Roman"/>
          <w:color w:val="000000" w:themeColor="text1"/>
          <w:sz w:val="24"/>
          <w:szCs w:val="24"/>
          <w:lang w:val="en-US"/>
        </w:rPr>
        <w:t>64</w:t>
      </w:r>
      <w:r w:rsidR="00D955AD">
        <w:rPr>
          <w:rFonts w:ascii="Times New Roman" w:hAnsi="Times New Roman" w:cs="Times New Roman"/>
          <w:color w:val="000000" w:themeColor="text1"/>
          <w:sz w:val="24"/>
          <w:szCs w:val="24"/>
          <w:lang w:val="en-US"/>
        </w:rPr>
        <w:t xml:space="preserve"> </w:t>
      </w:r>
      <w:r w:rsidR="00C45F3D" w:rsidRPr="00E57A11">
        <w:rPr>
          <w:rFonts w:ascii="Times New Roman" w:hAnsi="Times New Roman" w:cs="Times New Roman"/>
          <w:color w:val="000000" w:themeColor="text1"/>
          <w:sz w:val="24"/>
          <w:szCs w:val="24"/>
          <w:lang w:val="en-US"/>
        </w:rPr>
        <w:t>(2-3)</w:t>
      </w:r>
      <w:r w:rsidR="00D955AD">
        <w:rPr>
          <w:rFonts w:ascii="Times New Roman" w:hAnsi="Times New Roman" w:cs="Times New Roman"/>
          <w:color w:val="000000" w:themeColor="text1"/>
          <w:sz w:val="24"/>
          <w:szCs w:val="24"/>
          <w:lang w:val="en-US"/>
        </w:rPr>
        <w:t>:</w:t>
      </w:r>
      <w:r w:rsidR="00C45F3D" w:rsidRPr="00E57A11">
        <w:rPr>
          <w:rFonts w:ascii="Times New Roman" w:hAnsi="Times New Roman" w:cs="Times New Roman"/>
          <w:color w:val="000000" w:themeColor="text1"/>
          <w:sz w:val="24"/>
          <w:szCs w:val="24"/>
          <w:lang w:val="en-US"/>
        </w:rPr>
        <w:t xml:space="preserve"> 284</w:t>
      </w:r>
      <w:r w:rsidR="00B0289A">
        <w:rPr>
          <w:rFonts w:ascii="Times New Roman" w:hAnsi="Times New Roman" w:cs="Times New Roman"/>
          <w:color w:val="000000" w:themeColor="text1"/>
          <w:sz w:val="24"/>
          <w:szCs w:val="24"/>
          <w:lang w:val="en-US"/>
        </w:rPr>
        <w:t>-</w:t>
      </w:r>
      <w:r w:rsidR="00C45F3D" w:rsidRPr="00E57A11">
        <w:rPr>
          <w:rFonts w:ascii="Times New Roman" w:hAnsi="Times New Roman" w:cs="Times New Roman"/>
          <w:color w:val="000000" w:themeColor="text1"/>
          <w:sz w:val="24"/>
          <w:szCs w:val="24"/>
          <w:lang w:val="en-US"/>
        </w:rPr>
        <w:t>304.</w:t>
      </w:r>
    </w:p>
    <w:p w14:paraId="065D34C2" w14:textId="5CF960EB" w:rsidR="004330AE" w:rsidRDefault="00B62CB2" w:rsidP="009F5A3D">
      <w:pPr>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1D4CFE">
        <w:rPr>
          <w:rFonts w:ascii="Times New Roman" w:hAnsi="Times New Roman" w:cs="Times New Roman"/>
          <w:color w:val="222222"/>
          <w:sz w:val="24"/>
          <w:szCs w:val="24"/>
          <w:shd w:val="clear" w:color="auto" w:fill="FFFFFF"/>
        </w:rPr>
        <w:t>Derigs, U. 1988. Solving non-bipartite matching problems via shortest path techniques. </w:t>
      </w:r>
      <w:r w:rsidRPr="001D4CFE">
        <w:rPr>
          <w:rFonts w:ascii="Times New Roman" w:hAnsi="Times New Roman" w:cs="Times New Roman"/>
          <w:i/>
          <w:iCs/>
          <w:color w:val="222222"/>
          <w:sz w:val="24"/>
          <w:szCs w:val="24"/>
          <w:shd w:val="clear" w:color="auto" w:fill="FFFFFF"/>
        </w:rPr>
        <w:t>Annals of Operations Research</w:t>
      </w:r>
      <w:r w:rsidRPr="001D4CFE">
        <w:rPr>
          <w:rFonts w:ascii="Times New Roman" w:hAnsi="Times New Roman" w:cs="Times New Roman"/>
          <w:color w:val="222222"/>
          <w:sz w:val="24"/>
          <w:szCs w:val="24"/>
          <w:shd w:val="clear" w:color="auto" w:fill="FFFFFF"/>
        </w:rPr>
        <w:t> </w:t>
      </w:r>
      <w:r w:rsidRPr="00D955AD">
        <w:rPr>
          <w:rFonts w:ascii="Times New Roman" w:hAnsi="Times New Roman" w:cs="Times New Roman"/>
          <w:color w:val="222222"/>
          <w:sz w:val="24"/>
          <w:szCs w:val="24"/>
          <w:shd w:val="clear" w:color="auto" w:fill="FFFFFF"/>
        </w:rPr>
        <w:t>13</w:t>
      </w:r>
      <w:r w:rsidR="00D955AD">
        <w:rPr>
          <w:rFonts w:ascii="Times New Roman" w:hAnsi="Times New Roman" w:cs="Times New Roman"/>
          <w:color w:val="222222"/>
          <w:sz w:val="24"/>
          <w:szCs w:val="24"/>
          <w:shd w:val="clear" w:color="auto" w:fill="FFFFFF"/>
        </w:rPr>
        <w:t xml:space="preserve"> </w:t>
      </w:r>
      <w:r w:rsidRPr="00D955AD">
        <w:rPr>
          <w:rFonts w:ascii="Times New Roman" w:hAnsi="Times New Roman" w:cs="Times New Roman"/>
          <w:color w:val="222222"/>
          <w:sz w:val="24"/>
          <w:szCs w:val="24"/>
          <w:shd w:val="clear" w:color="auto" w:fill="FFFFFF"/>
        </w:rPr>
        <w:t>(</w:t>
      </w:r>
      <w:r w:rsidRPr="009F5A3D">
        <w:rPr>
          <w:rFonts w:ascii="Times New Roman" w:hAnsi="Times New Roman" w:cs="Times New Roman"/>
          <w:color w:val="222222"/>
          <w:sz w:val="24"/>
          <w:szCs w:val="24"/>
          <w:shd w:val="clear" w:color="auto" w:fill="FFFFFF"/>
        </w:rPr>
        <w:t>1)</w:t>
      </w:r>
      <w:r w:rsidR="00D955AD">
        <w:rPr>
          <w:rFonts w:ascii="Times New Roman" w:hAnsi="Times New Roman" w:cs="Times New Roman"/>
          <w:color w:val="222222"/>
          <w:sz w:val="24"/>
          <w:szCs w:val="24"/>
          <w:shd w:val="clear" w:color="auto" w:fill="FFFFFF"/>
        </w:rPr>
        <w:t xml:space="preserve">: </w:t>
      </w:r>
      <w:r w:rsidRPr="004330AE">
        <w:rPr>
          <w:rFonts w:ascii="Times New Roman" w:hAnsi="Times New Roman" w:cs="Times New Roman"/>
          <w:color w:val="222222"/>
          <w:sz w:val="24"/>
          <w:szCs w:val="24"/>
          <w:shd w:val="clear" w:color="auto" w:fill="FFFFFF"/>
        </w:rPr>
        <w:t>225</w:t>
      </w:r>
      <w:r w:rsidRPr="001D4CFE">
        <w:rPr>
          <w:rFonts w:ascii="Times New Roman" w:hAnsi="Times New Roman" w:cs="Times New Roman"/>
          <w:color w:val="222222"/>
          <w:sz w:val="24"/>
          <w:szCs w:val="24"/>
          <w:shd w:val="clear" w:color="auto" w:fill="FFFFFF"/>
        </w:rPr>
        <w:t>-261.</w:t>
      </w:r>
      <w:r w:rsidR="004330AE">
        <w:rPr>
          <w:rFonts w:ascii="Times New Roman" w:hAnsi="Times New Roman" w:cs="Times New Roman"/>
          <w:color w:val="222222"/>
          <w:sz w:val="24"/>
          <w:szCs w:val="24"/>
          <w:shd w:val="clear" w:color="auto" w:fill="FFFFFF"/>
        </w:rPr>
        <w:t xml:space="preserve"> </w:t>
      </w:r>
    </w:p>
    <w:p w14:paraId="0B02A7CE" w14:textId="75400D8C" w:rsidR="00F76A06" w:rsidRPr="00F76A06" w:rsidRDefault="00F76A06" w:rsidP="00F76A06">
      <w:pPr>
        <w:autoSpaceDE w:val="0"/>
        <w:autoSpaceDN w:val="0"/>
        <w:adjustRightInd w:val="0"/>
        <w:spacing w:after="0" w:line="240" w:lineRule="auto"/>
        <w:ind w:left="720" w:hanging="720"/>
        <w:jc w:val="both"/>
        <w:rPr>
          <w:rFonts w:ascii="Times New Roman" w:hAnsi="Times New Roman" w:cs="Times New Roman"/>
          <w:sz w:val="24"/>
          <w:szCs w:val="24"/>
        </w:rPr>
      </w:pPr>
      <w:r w:rsidRPr="00F76A06">
        <w:rPr>
          <w:rFonts w:ascii="Times New Roman" w:hAnsi="Times New Roman" w:cs="Times New Roman"/>
          <w:color w:val="222222"/>
          <w:sz w:val="24"/>
          <w:szCs w:val="24"/>
          <w:shd w:val="clear" w:color="auto" w:fill="FFFFFF"/>
        </w:rPr>
        <w:t xml:space="preserve">Demerjian, P., </w:t>
      </w:r>
      <w:r w:rsidR="00D955AD">
        <w:rPr>
          <w:rFonts w:ascii="Times New Roman" w:hAnsi="Times New Roman" w:cs="Times New Roman"/>
          <w:color w:val="222222"/>
          <w:sz w:val="24"/>
          <w:szCs w:val="24"/>
          <w:shd w:val="clear" w:color="auto" w:fill="FFFFFF"/>
        </w:rPr>
        <w:t xml:space="preserve">B. </w:t>
      </w:r>
      <w:r w:rsidRPr="00F76A06">
        <w:rPr>
          <w:rFonts w:ascii="Times New Roman" w:hAnsi="Times New Roman" w:cs="Times New Roman"/>
          <w:color w:val="222222"/>
          <w:sz w:val="24"/>
          <w:szCs w:val="24"/>
          <w:shd w:val="clear" w:color="auto" w:fill="FFFFFF"/>
        </w:rPr>
        <w:t xml:space="preserve">Lev, and </w:t>
      </w:r>
      <w:r w:rsidR="00D955AD">
        <w:rPr>
          <w:rFonts w:ascii="Times New Roman" w:hAnsi="Times New Roman" w:cs="Times New Roman"/>
          <w:color w:val="222222"/>
          <w:sz w:val="24"/>
          <w:szCs w:val="24"/>
          <w:shd w:val="clear" w:color="auto" w:fill="FFFFFF"/>
        </w:rPr>
        <w:t xml:space="preserve">S. </w:t>
      </w:r>
      <w:r w:rsidRPr="00F76A06">
        <w:rPr>
          <w:rFonts w:ascii="Times New Roman" w:hAnsi="Times New Roman" w:cs="Times New Roman"/>
          <w:color w:val="222222"/>
          <w:sz w:val="24"/>
          <w:szCs w:val="24"/>
          <w:shd w:val="clear" w:color="auto" w:fill="FFFFFF"/>
        </w:rPr>
        <w:t>McVay</w:t>
      </w:r>
      <w:r w:rsidR="00D955AD">
        <w:rPr>
          <w:rFonts w:ascii="Times New Roman" w:hAnsi="Times New Roman" w:cs="Times New Roman"/>
          <w:color w:val="222222"/>
          <w:sz w:val="24"/>
          <w:szCs w:val="24"/>
          <w:shd w:val="clear" w:color="auto" w:fill="FFFFFF"/>
        </w:rPr>
        <w:t xml:space="preserve">. </w:t>
      </w:r>
      <w:r w:rsidRPr="00F76A06">
        <w:rPr>
          <w:rFonts w:ascii="Times New Roman" w:hAnsi="Times New Roman" w:cs="Times New Roman"/>
          <w:color w:val="222222"/>
          <w:sz w:val="24"/>
          <w:szCs w:val="24"/>
          <w:shd w:val="clear" w:color="auto" w:fill="FFFFFF"/>
        </w:rPr>
        <w:t>2012. Quantifying managerial ability: A new measure and validity tests. </w:t>
      </w:r>
      <w:r w:rsidRPr="00F76A06">
        <w:rPr>
          <w:rFonts w:ascii="Times New Roman" w:hAnsi="Times New Roman" w:cs="Times New Roman"/>
          <w:i/>
          <w:iCs/>
          <w:color w:val="222222"/>
          <w:sz w:val="24"/>
          <w:szCs w:val="24"/>
          <w:shd w:val="clear" w:color="auto" w:fill="FFFFFF"/>
        </w:rPr>
        <w:t>Management Science</w:t>
      </w:r>
      <w:r w:rsidRPr="00F76A06">
        <w:rPr>
          <w:rFonts w:ascii="Times New Roman" w:hAnsi="Times New Roman" w:cs="Times New Roman"/>
          <w:color w:val="222222"/>
          <w:sz w:val="24"/>
          <w:szCs w:val="24"/>
          <w:shd w:val="clear" w:color="auto" w:fill="FFFFFF"/>
        </w:rPr>
        <w:t> </w:t>
      </w:r>
      <w:r w:rsidRPr="00A705CD">
        <w:rPr>
          <w:rFonts w:ascii="Times New Roman" w:hAnsi="Times New Roman" w:cs="Times New Roman"/>
          <w:color w:val="222222"/>
          <w:sz w:val="24"/>
          <w:szCs w:val="24"/>
          <w:shd w:val="clear" w:color="auto" w:fill="FFFFFF"/>
        </w:rPr>
        <w:t>58</w:t>
      </w:r>
      <w:r w:rsidR="00D955AD">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(7)</w:t>
      </w:r>
      <w:r w:rsidR="00D955AD">
        <w:rPr>
          <w:rFonts w:ascii="Times New Roman" w:hAnsi="Times New Roman" w:cs="Times New Roman"/>
          <w:color w:val="222222"/>
          <w:sz w:val="24"/>
          <w:szCs w:val="24"/>
          <w:shd w:val="clear" w:color="auto" w:fill="FFFFFF"/>
        </w:rPr>
        <w:t xml:space="preserve">: </w:t>
      </w:r>
      <w:r w:rsidRPr="00F76A06">
        <w:rPr>
          <w:rFonts w:ascii="Times New Roman" w:hAnsi="Times New Roman" w:cs="Times New Roman"/>
          <w:color w:val="222222"/>
          <w:sz w:val="24"/>
          <w:szCs w:val="24"/>
          <w:shd w:val="clear" w:color="auto" w:fill="FFFFFF"/>
        </w:rPr>
        <w:t>1229-1248.</w:t>
      </w:r>
    </w:p>
    <w:p w14:paraId="27C124DB" w14:textId="7F7C1342" w:rsidR="00F62082" w:rsidRPr="00F62082" w:rsidRDefault="00F62082" w:rsidP="0023586E">
      <w:pPr>
        <w:spacing w:after="0" w:line="240" w:lineRule="auto"/>
        <w:ind w:left="720" w:hanging="720"/>
        <w:jc w:val="both"/>
        <w:rPr>
          <w:rFonts w:ascii="Times New Roman" w:hAnsi="Times New Roman" w:cs="Times New Roman"/>
          <w:color w:val="000000" w:themeColor="text1"/>
          <w:sz w:val="24"/>
          <w:szCs w:val="24"/>
          <w:lang w:val="en-US"/>
        </w:rPr>
      </w:pPr>
      <w:bookmarkStart w:id="15" w:name="_Hlk88214511"/>
      <w:r w:rsidRPr="00D955AD">
        <w:rPr>
          <w:rFonts w:ascii="Times New Roman" w:hAnsi="Times New Roman" w:cs="Times New Roman"/>
          <w:color w:val="000000" w:themeColor="text1"/>
          <w:sz w:val="24"/>
          <w:szCs w:val="24"/>
        </w:rPr>
        <w:t xml:space="preserve">Dunbar, C., </w:t>
      </w:r>
      <w:r w:rsidR="00D955AD" w:rsidRPr="00D955AD">
        <w:rPr>
          <w:rFonts w:ascii="Times New Roman" w:hAnsi="Times New Roman" w:cs="Times New Roman"/>
          <w:color w:val="000000" w:themeColor="text1"/>
          <w:sz w:val="24"/>
          <w:szCs w:val="24"/>
        </w:rPr>
        <w:t xml:space="preserve">Z. F. </w:t>
      </w:r>
      <w:r w:rsidRPr="00D955AD">
        <w:rPr>
          <w:rFonts w:ascii="Times New Roman" w:hAnsi="Times New Roman" w:cs="Times New Roman"/>
          <w:color w:val="000000" w:themeColor="text1"/>
          <w:sz w:val="24"/>
          <w:szCs w:val="24"/>
        </w:rPr>
        <w:t xml:space="preserve">Li, </w:t>
      </w:r>
      <w:r w:rsidR="00D955AD">
        <w:rPr>
          <w:rFonts w:ascii="Times New Roman" w:hAnsi="Times New Roman" w:cs="Times New Roman"/>
          <w:color w:val="000000" w:themeColor="text1"/>
          <w:sz w:val="24"/>
          <w:szCs w:val="24"/>
        </w:rPr>
        <w:t xml:space="preserve">Y. </w:t>
      </w:r>
      <w:r w:rsidRPr="00D955AD">
        <w:rPr>
          <w:rFonts w:ascii="Times New Roman" w:hAnsi="Times New Roman" w:cs="Times New Roman"/>
          <w:color w:val="000000" w:themeColor="text1"/>
          <w:sz w:val="24"/>
          <w:szCs w:val="24"/>
        </w:rPr>
        <w:t>Shi</w:t>
      </w:r>
      <w:r w:rsidR="00D955AD">
        <w:rPr>
          <w:rFonts w:ascii="Times New Roman" w:hAnsi="Times New Roman" w:cs="Times New Roman"/>
          <w:color w:val="000000" w:themeColor="text1"/>
          <w:sz w:val="24"/>
          <w:szCs w:val="24"/>
        </w:rPr>
        <w:t>.</w:t>
      </w:r>
      <w:r w:rsidRPr="00D955AD">
        <w:rPr>
          <w:rFonts w:ascii="Times New Roman" w:hAnsi="Times New Roman" w:cs="Times New Roman"/>
          <w:color w:val="000000" w:themeColor="text1"/>
          <w:sz w:val="24"/>
          <w:szCs w:val="24"/>
        </w:rPr>
        <w:t xml:space="preserve"> 2020. </w:t>
      </w:r>
      <w:r w:rsidRPr="00F62082">
        <w:rPr>
          <w:rFonts w:ascii="Times New Roman" w:hAnsi="Times New Roman" w:cs="Times New Roman"/>
          <w:color w:val="000000" w:themeColor="text1"/>
          <w:sz w:val="24"/>
          <w:szCs w:val="24"/>
          <w:lang w:val="en-US"/>
        </w:rPr>
        <w:t>CEO risk-taking incentives and corporate social responsibility</w:t>
      </w:r>
      <w:r>
        <w:rPr>
          <w:rFonts w:ascii="Times New Roman" w:hAnsi="Times New Roman" w:cs="Times New Roman"/>
          <w:color w:val="000000" w:themeColor="text1"/>
          <w:sz w:val="24"/>
          <w:szCs w:val="24"/>
          <w:lang w:val="en-US"/>
        </w:rPr>
        <w:t xml:space="preserve">. </w:t>
      </w:r>
      <w:r w:rsidRPr="00E57A11">
        <w:rPr>
          <w:rFonts w:ascii="Times New Roman" w:hAnsi="Times New Roman" w:cs="Times New Roman"/>
          <w:i/>
          <w:color w:val="000000" w:themeColor="text1"/>
          <w:sz w:val="24"/>
          <w:szCs w:val="24"/>
          <w:lang w:val="en-US"/>
        </w:rPr>
        <w:t>Journal of Corporate Finance</w:t>
      </w:r>
      <w:r>
        <w:rPr>
          <w:rFonts w:ascii="Times New Roman" w:hAnsi="Times New Roman" w:cs="Times New Roman"/>
          <w:i/>
          <w:color w:val="000000" w:themeColor="text1"/>
          <w:sz w:val="24"/>
          <w:szCs w:val="24"/>
          <w:lang w:val="en-US"/>
        </w:rPr>
        <w:t xml:space="preserve"> </w:t>
      </w:r>
      <w:r>
        <w:rPr>
          <w:rFonts w:ascii="Times New Roman" w:hAnsi="Times New Roman" w:cs="Times New Roman"/>
          <w:color w:val="000000" w:themeColor="text1"/>
          <w:sz w:val="24"/>
          <w:szCs w:val="24"/>
          <w:lang w:val="en-US"/>
        </w:rPr>
        <w:t>64</w:t>
      </w:r>
      <w:r w:rsidR="00D955AD">
        <w:rPr>
          <w:rFonts w:ascii="Times New Roman" w:hAnsi="Times New Roman" w:cs="Times New Roman"/>
          <w:color w:val="000000" w:themeColor="text1"/>
          <w:sz w:val="24"/>
          <w:szCs w:val="24"/>
          <w:lang w:val="en-US"/>
        </w:rPr>
        <w:t>:</w:t>
      </w:r>
      <w:r w:rsidR="00B0289A">
        <w:rPr>
          <w:rFonts w:ascii="Times New Roman" w:hAnsi="Times New Roman" w:cs="Times New Roman"/>
          <w:color w:val="000000" w:themeColor="text1"/>
          <w:sz w:val="24"/>
          <w:szCs w:val="24"/>
          <w:lang w:val="en-US"/>
        </w:rPr>
        <w:t xml:space="preserve"> </w:t>
      </w:r>
      <w:r w:rsidR="00B0289A" w:rsidRPr="00B2146B">
        <w:rPr>
          <w:rFonts w:ascii="Times New Roman" w:hAnsi="Times New Roman" w:cs="Times New Roman"/>
          <w:color w:val="000000" w:themeColor="text1"/>
          <w:sz w:val="24"/>
          <w:szCs w:val="24"/>
          <w:lang w:val="en-US"/>
        </w:rPr>
        <w:t>101714</w:t>
      </w:r>
      <w:r>
        <w:rPr>
          <w:rFonts w:ascii="Times New Roman" w:hAnsi="Times New Roman" w:cs="Times New Roman"/>
          <w:color w:val="000000" w:themeColor="text1"/>
          <w:sz w:val="24"/>
          <w:szCs w:val="24"/>
          <w:lang w:val="en-US"/>
        </w:rPr>
        <w:t>.</w:t>
      </w:r>
    </w:p>
    <w:bookmarkEnd w:id="15"/>
    <w:p w14:paraId="1DF6F48C" w14:textId="309ED56C" w:rsidR="00C45F3D" w:rsidRPr="00E57A11" w:rsidRDefault="00C45F3D" w:rsidP="0023586E">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en-US"/>
        </w:rPr>
      </w:pPr>
      <w:r w:rsidRPr="00E57A11">
        <w:rPr>
          <w:rFonts w:ascii="Times New Roman" w:hAnsi="Times New Roman" w:cs="Times New Roman"/>
          <w:color w:val="000000" w:themeColor="text1"/>
          <w:sz w:val="24"/>
          <w:szCs w:val="24"/>
          <w:lang w:val="en-US"/>
        </w:rPr>
        <w:t xml:space="preserve">Efendi, J., </w:t>
      </w:r>
      <w:r w:rsidR="00253A0F">
        <w:rPr>
          <w:rFonts w:ascii="Times New Roman" w:hAnsi="Times New Roman" w:cs="Times New Roman"/>
          <w:color w:val="000000" w:themeColor="text1"/>
          <w:sz w:val="24"/>
          <w:szCs w:val="24"/>
          <w:lang w:val="en-US"/>
        </w:rPr>
        <w:t xml:space="preserve">A. </w:t>
      </w:r>
      <w:r w:rsidRPr="00E57A11">
        <w:rPr>
          <w:rFonts w:ascii="Times New Roman" w:hAnsi="Times New Roman" w:cs="Times New Roman"/>
          <w:color w:val="000000" w:themeColor="text1"/>
          <w:sz w:val="24"/>
          <w:szCs w:val="24"/>
          <w:lang w:val="en-US"/>
        </w:rPr>
        <w:t xml:space="preserve">Srivastava, </w:t>
      </w:r>
      <w:r w:rsidR="00253A0F">
        <w:rPr>
          <w:rFonts w:ascii="Times New Roman" w:hAnsi="Times New Roman" w:cs="Times New Roman"/>
          <w:color w:val="000000" w:themeColor="text1"/>
          <w:sz w:val="24"/>
          <w:szCs w:val="24"/>
          <w:lang w:val="en-US"/>
        </w:rPr>
        <w:t xml:space="preserve">and E. </w:t>
      </w:r>
      <w:r w:rsidRPr="00E57A11">
        <w:rPr>
          <w:rFonts w:ascii="Times New Roman" w:hAnsi="Times New Roman" w:cs="Times New Roman"/>
          <w:color w:val="000000" w:themeColor="text1"/>
          <w:sz w:val="24"/>
          <w:szCs w:val="24"/>
          <w:lang w:val="en-US"/>
        </w:rPr>
        <w:t>Swanson</w:t>
      </w:r>
      <w:r w:rsidR="00253A0F">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 xml:space="preserve">2007. Why do corporate managers misstate financial statements? The role of option compensation and other factors. </w:t>
      </w:r>
      <w:r w:rsidRPr="00E57A11">
        <w:rPr>
          <w:rFonts w:ascii="Times New Roman" w:hAnsi="Times New Roman" w:cs="Times New Roman"/>
          <w:i/>
          <w:iCs/>
          <w:color w:val="000000" w:themeColor="text1"/>
          <w:sz w:val="24"/>
          <w:szCs w:val="24"/>
          <w:lang w:val="en-US"/>
        </w:rPr>
        <w:t>Journal of Financial Economic</w:t>
      </w:r>
      <w:r w:rsidR="00253A0F">
        <w:rPr>
          <w:rFonts w:ascii="Times New Roman" w:hAnsi="Times New Roman" w:cs="Times New Roman"/>
          <w:i/>
          <w:iCs/>
          <w:color w:val="000000" w:themeColor="text1"/>
          <w:sz w:val="24"/>
          <w:szCs w:val="24"/>
          <w:lang w:val="en-US"/>
        </w:rPr>
        <w:t xml:space="preserve">s </w:t>
      </w:r>
      <w:r w:rsidRPr="00E57A11">
        <w:rPr>
          <w:rFonts w:ascii="Times New Roman" w:hAnsi="Times New Roman" w:cs="Times New Roman"/>
          <w:color w:val="000000" w:themeColor="text1"/>
          <w:sz w:val="24"/>
          <w:szCs w:val="24"/>
          <w:lang w:val="en-US"/>
        </w:rPr>
        <w:t>85</w:t>
      </w:r>
      <w:r w:rsidR="00253A0F">
        <w:rPr>
          <w:rFonts w:ascii="Times New Roman" w:hAnsi="Times New Roman" w:cs="Times New Roman"/>
          <w:color w:val="000000" w:themeColor="text1"/>
          <w:sz w:val="24"/>
          <w:szCs w:val="24"/>
          <w:lang w:val="en-US"/>
        </w:rPr>
        <w:t xml:space="preserve"> </w:t>
      </w:r>
      <w:r w:rsidR="005E4E07" w:rsidRPr="00E57A11">
        <w:rPr>
          <w:rFonts w:ascii="Times New Roman" w:hAnsi="Times New Roman" w:cs="Times New Roman"/>
          <w:color w:val="000000" w:themeColor="text1"/>
          <w:sz w:val="24"/>
          <w:szCs w:val="24"/>
          <w:lang w:val="en-US"/>
        </w:rPr>
        <w:t>(3)</w:t>
      </w:r>
      <w:r w:rsidR="00253A0F">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667</w:t>
      </w:r>
      <w:r w:rsidR="00B0289A">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708.</w:t>
      </w:r>
    </w:p>
    <w:p w14:paraId="5B759BF0" w14:textId="679C2A1B" w:rsidR="00C45F3D" w:rsidRDefault="00C45F3D" w:rsidP="0023586E">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en-US"/>
        </w:rPr>
      </w:pPr>
      <w:r w:rsidRPr="00E57A11">
        <w:rPr>
          <w:rFonts w:ascii="Times New Roman" w:hAnsi="Times New Roman" w:cs="Times New Roman"/>
          <w:color w:val="000000" w:themeColor="text1"/>
          <w:sz w:val="24"/>
          <w:szCs w:val="24"/>
          <w:lang w:val="en-US"/>
        </w:rPr>
        <w:t xml:space="preserve">Erickson, M., </w:t>
      </w:r>
      <w:r w:rsidR="0021660D">
        <w:rPr>
          <w:rFonts w:ascii="Times New Roman" w:hAnsi="Times New Roman" w:cs="Times New Roman"/>
          <w:color w:val="000000" w:themeColor="text1"/>
          <w:sz w:val="24"/>
          <w:szCs w:val="24"/>
          <w:lang w:val="en-US"/>
        </w:rPr>
        <w:t xml:space="preserve">M. </w:t>
      </w:r>
      <w:r w:rsidRPr="00E57A11">
        <w:rPr>
          <w:rFonts w:ascii="Times New Roman" w:hAnsi="Times New Roman" w:cs="Times New Roman"/>
          <w:color w:val="000000" w:themeColor="text1"/>
          <w:sz w:val="24"/>
          <w:szCs w:val="24"/>
          <w:lang w:val="en-US"/>
        </w:rPr>
        <w:t xml:space="preserve">Hanlon, </w:t>
      </w:r>
      <w:r w:rsidR="0021660D">
        <w:rPr>
          <w:rFonts w:ascii="Times New Roman" w:hAnsi="Times New Roman" w:cs="Times New Roman"/>
          <w:color w:val="000000" w:themeColor="text1"/>
          <w:sz w:val="24"/>
          <w:szCs w:val="24"/>
          <w:lang w:val="en-US"/>
        </w:rPr>
        <w:t>and E.</w:t>
      </w:r>
      <w:r w:rsidRPr="00E57A11">
        <w:rPr>
          <w:rFonts w:ascii="Times New Roman" w:hAnsi="Times New Roman" w:cs="Times New Roman"/>
          <w:color w:val="000000" w:themeColor="text1"/>
          <w:sz w:val="24"/>
          <w:szCs w:val="24"/>
          <w:lang w:val="en-US"/>
        </w:rPr>
        <w:t xml:space="preserve"> Maydew, 2006. Is there a link between executive equity incentives and accounting fraud? </w:t>
      </w:r>
      <w:r w:rsidRPr="00E57A11">
        <w:rPr>
          <w:rFonts w:ascii="Times New Roman" w:hAnsi="Times New Roman" w:cs="Times New Roman"/>
          <w:i/>
          <w:iCs/>
          <w:color w:val="000000" w:themeColor="text1"/>
          <w:sz w:val="24"/>
          <w:szCs w:val="24"/>
          <w:lang w:val="en-US"/>
        </w:rPr>
        <w:t>Journal of Accounting Research</w:t>
      </w:r>
      <w:r w:rsidR="0021660D">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44</w:t>
      </w:r>
      <w:r w:rsidR="0021660D">
        <w:rPr>
          <w:rFonts w:ascii="Times New Roman" w:hAnsi="Times New Roman" w:cs="Times New Roman"/>
          <w:color w:val="000000" w:themeColor="text1"/>
          <w:sz w:val="24"/>
          <w:szCs w:val="24"/>
          <w:lang w:val="en-US"/>
        </w:rPr>
        <w:t xml:space="preserve"> </w:t>
      </w:r>
      <w:r w:rsidR="004A5FC4" w:rsidRPr="00E57A11">
        <w:rPr>
          <w:rFonts w:ascii="Times New Roman" w:hAnsi="Times New Roman" w:cs="Times New Roman"/>
          <w:color w:val="000000" w:themeColor="text1"/>
          <w:sz w:val="24"/>
          <w:szCs w:val="24"/>
          <w:lang w:val="en-US"/>
        </w:rPr>
        <w:t>(1)</w:t>
      </w:r>
      <w:r w:rsidR="0021660D">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113</w:t>
      </w:r>
      <w:r w:rsidR="00B0289A">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143.</w:t>
      </w:r>
    </w:p>
    <w:p w14:paraId="30DAACAD" w14:textId="3486A70C" w:rsidR="00B36682" w:rsidRPr="00E57A11" w:rsidRDefault="00B36682" w:rsidP="0023586E">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en-US"/>
        </w:rPr>
      </w:pPr>
      <w:r w:rsidRPr="00B36682">
        <w:rPr>
          <w:rFonts w:ascii="Times New Roman" w:hAnsi="Times New Roman" w:cs="Times New Roman"/>
          <w:color w:val="000000" w:themeColor="text1"/>
          <w:sz w:val="24"/>
          <w:szCs w:val="24"/>
          <w:lang w:val="en-US"/>
        </w:rPr>
        <w:t xml:space="preserve">Falato, A., </w:t>
      </w:r>
      <w:r w:rsidR="0021660D">
        <w:rPr>
          <w:rFonts w:ascii="Times New Roman" w:hAnsi="Times New Roman" w:cs="Times New Roman"/>
          <w:color w:val="000000" w:themeColor="text1"/>
          <w:sz w:val="24"/>
          <w:szCs w:val="24"/>
          <w:lang w:val="en-US"/>
        </w:rPr>
        <w:t xml:space="preserve">D. </w:t>
      </w:r>
      <w:r w:rsidRPr="00B36682">
        <w:rPr>
          <w:rFonts w:ascii="Times New Roman" w:hAnsi="Times New Roman" w:cs="Times New Roman"/>
          <w:color w:val="000000" w:themeColor="text1"/>
          <w:sz w:val="24"/>
          <w:szCs w:val="24"/>
          <w:lang w:val="en-US"/>
        </w:rPr>
        <w:t xml:space="preserve">Kadyrzhanova, and </w:t>
      </w:r>
      <w:r w:rsidR="0021660D">
        <w:rPr>
          <w:rFonts w:ascii="Times New Roman" w:hAnsi="Times New Roman" w:cs="Times New Roman"/>
          <w:color w:val="000000" w:themeColor="text1"/>
          <w:sz w:val="24"/>
          <w:szCs w:val="24"/>
          <w:lang w:val="en-US"/>
        </w:rPr>
        <w:t xml:space="preserve">U. </w:t>
      </w:r>
      <w:r w:rsidRPr="00B36682">
        <w:rPr>
          <w:rFonts w:ascii="Times New Roman" w:hAnsi="Times New Roman" w:cs="Times New Roman"/>
          <w:color w:val="000000" w:themeColor="text1"/>
          <w:sz w:val="24"/>
          <w:szCs w:val="24"/>
          <w:lang w:val="en-US"/>
        </w:rPr>
        <w:t>Lel</w:t>
      </w:r>
      <w:r w:rsidR="0021660D">
        <w:rPr>
          <w:rFonts w:ascii="Times New Roman" w:hAnsi="Times New Roman" w:cs="Times New Roman"/>
          <w:color w:val="000000" w:themeColor="text1"/>
          <w:sz w:val="24"/>
          <w:szCs w:val="24"/>
          <w:lang w:val="en-US"/>
        </w:rPr>
        <w:t xml:space="preserve">. </w:t>
      </w:r>
      <w:r w:rsidRPr="00B36682">
        <w:rPr>
          <w:rFonts w:ascii="Times New Roman" w:hAnsi="Times New Roman" w:cs="Times New Roman"/>
          <w:color w:val="000000" w:themeColor="text1"/>
          <w:sz w:val="24"/>
          <w:szCs w:val="24"/>
          <w:lang w:val="en-US"/>
        </w:rPr>
        <w:t xml:space="preserve">2014. Distracted directors: Does board busyness hurt shareholder value? </w:t>
      </w:r>
      <w:r w:rsidRPr="00B36682">
        <w:rPr>
          <w:rFonts w:ascii="Times New Roman" w:hAnsi="Times New Roman" w:cs="Times New Roman"/>
          <w:i/>
          <w:iCs/>
          <w:color w:val="000000" w:themeColor="text1"/>
          <w:sz w:val="24"/>
          <w:szCs w:val="24"/>
          <w:lang w:val="en-US"/>
        </w:rPr>
        <w:t>Journal of Financial Economics</w:t>
      </w:r>
      <w:r w:rsidRPr="00B36682">
        <w:rPr>
          <w:rFonts w:ascii="Times New Roman" w:hAnsi="Times New Roman" w:cs="Times New Roman"/>
          <w:color w:val="000000" w:themeColor="text1"/>
          <w:sz w:val="24"/>
          <w:szCs w:val="24"/>
          <w:lang w:val="en-US"/>
        </w:rPr>
        <w:t xml:space="preserve"> 113</w:t>
      </w:r>
      <w:r w:rsidR="0021660D">
        <w:rPr>
          <w:rFonts w:ascii="Times New Roman" w:hAnsi="Times New Roman" w:cs="Times New Roman"/>
          <w:color w:val="000000" w:themeColor="text1"/>
          <w:sz w:val="24"/>
          <w:szCs w:val="24"/>
          <w:lang w:val="en-US"/>
        </w:rPr>
        <w:t xml:space="preserve"> </w:t>
      </w:r>
      <w:r w:rsidRPr="00B36682">
        <w:rPr>
          <w:rFonts w:ascii="Times New Roman" w:hAnsi="Times New Roman" w:cs="Times New Roman"/>
          <w:color w:val="000000" w:themeColor="text1"/>
          <w:sz w:val="24"/>
          <w:szCs w:val="24"/>
          <w:lang w:val="en-US"/>
        </w:rPr>
        <w:t>(3)</w:t>
      </w:r>
      <w:r w:rsidR="0021660D">
        <w:rPr>
          <w:rFonts w:ascii="Times New Roman" w:hAnsi="Times New Roman" w:cs="Times New Roman"/>
          <w:color w:val="000000" w:themeColor="text1"/>
          <w:sz w:val="24"/>
          <w:szCs w:val="24"/>
          <w:lang w:val="en-US"/>
        </w:rPr>
        <w:t>:</w:t>
      </w:r>
      <w:r w:rsidRPr="00B36682">
        <w:rPr>
          <w:rFonts w:ascii="Times New Roman" w:hAnsi="Times New Roman" w:cs="Times New Roman"/>
          <w:color w:val="000000" w:themeColor="text1"/>
          <w:sz w:val="24"/>
          <w:szCs w:val="24"/>
          <w:lang w:val="en-US"/>
        </w:rPr>
        <w:t xml:space="preserve"> 404-426.</w:t>
      </w:r>
    </w:p>
    <w:p w14:paraId="6EEA22F2" w14:textId="12CF9827" w:rsidR="00CE270A" w:rsidRDefault="00CE270A" w:rsidP="00CE270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en-US"/>
        </w:rPr>
      </w:pPr>
      <w:r w:rsidRPr="00E57A11">
        <w:rPr>
          <w:rFonts w:ascii="Times New Roman" w:hAnsi="Times New Roman" w:cs="Times New Roman"/>
          <w:color w:val="000000" w:themeColor="text1"/>
          <w:sz w:val="24"/>
          <w:szCs w:val="24"/>
          <w:lang w:val="en-US"/>
        </w:rPr>
        <w:t xml:space="preserve">Ferri, F., </w:t>
      </w:r>
      <w:r w:rsidR="0021660D">
        <w:rPr>
          <w:rFonts w:ascii="Times New Roman" w:hAnsi="Times New Roman" w:cs="Times New Roman"/>
          <w:color w:val="000000" w:themeColor="text1"/>
          <w:sz w:val="24"/>
          <w:szCs w:val="24"/>
          <w:lang w:val="en-US"/>
        </w:rPr>
        <w:t xml:space="preserve">and N. </w:t>
      </w:r>
      <w:r w:rsidRPr="00E57A11">
        <w:rPr>
          <w:rFonts w:ascii="Times New Roman" w:hAnsi="Times New Roman" w:cs="Times New Roman"/>
          <w:color w:val="000000" w:themeColor="text1"/>
          <w:sz w:val="24"/>
          <w:szCs w:val="24"/>
          <w:lang w:val="en-US"/>
        </w:rPr>
        <w:t>Li</w:t>
      </w:r>
      <w:r w:rsidR="0021660D">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2020. Does Option-Based Compensation Affect Payout Policy? Evidence from FAS123R. </w:t>
      </w:r>
      <w:r w:rsidRPr="00E57A11">
        <w:rPr>
          <w:rFonts w:ascii="Times New Roman" w:hAnsi="Times New Roman" w:cs="Times New Roman"/>
          <w:i/>
          <w:iCs/>
          <w:color w:val="000000" w:themeColor="text1"/>
          <w:sz w:val="24"/>
          <w:szCs w:val="24"/>
          <w:lang w:val="en-US"/>
        </w:rPr>
        <w:t>Journal of Financial and Quantitative Analysis</w:t>
      </w:r>
      <w:r w:rsidRPr="00E57A11">
        <w:rPr>
          <w:rFonts w:ascii="Times New Roman" w:hAnsi="Times New Roman" w:cs="Times New Roman"/>
          <w:color w:val="000000" w:themeColor="text1"/>
          <w:sz w:val="24"/>
          <w:szCs w:val="24"/>
          <w:lang w:val="en-US"/>
        </w:rPr>
        <w:t xml:space="preserve"> 55</w:t>
      </w:r>
      <w:r w:rsidR="0021660D">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(1)</w:t>
      </w:r>
      <w:r w:rsidR="0021660D">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291-329.</w:t>
      </w:r>
    </w:p>
    <w:p w14:paraId="6F593CC9" w14:textId="01D5BFA1" w:rsidR="00B36682" w:rsidRPr="00B36682" w:rsidRDefault="00B36682" w:rsidP="00B36682">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en-US"/>
        </w:rPr>
      </w:pPr>
      <w:r w:rsidRPr="00B36682">
        <w:rPr>
          <w:rFonts w:ascii="Times New Roman" w:hAnsi="Times New Roman" w:cs="Times New Roman"/>
          <w:color w:val="000000" w:themeColor="text1"/>
          <w:sz w:val="24"/>
          <w:szCs w:val="24"/>
          <w:lang w:val="en-US"/>
        </w:rPr>
        <w:t>Fich, E.</w:t>
      </w:r>
      <w:r w:rsidR="0021660D">
        <w:rPr>
          <w:rFonts w:ascii="Times New Roman" w:hAnsi="Times New Roman" w:cs="Times New Roman"/>
          <w:color w:val="000000" w:themeColor="text1"/>
          <w:sz w:val="24"/>
          <w:szCs w:val="24"/>
          <w:lang w:val="en-US"/>
        </w:rPr>
        <w:t xml:space="preserve"> </w:t>
      </w:r>
      <w:r w:rsidRPr="00B36682">
        <w:rPr>
          <w:rFonts w:ascii="Times New Roman" w:hAnsi="Times New Roman" w:cs="Times New Roman"/>
          <w:color w:val="000000" w:themeColor="text1"/>
          <w:sz w:val="24"/>
          <w:szCs w:val="24"/>
          <w:lang w:val="en-US"/>
        </w:rPr>
        <w:t>M.</w:t>
      </w:r>
      <w:r w:rsidR="0021660D">
        <w:rPr>
          <w:rFonts w:ascii="Times New Roman" w:hAnsi="Times New Roman" w:cs="Times New Roman"/>
          <w:color w:val="000000" w:themeColor="text1"/>
          <w:sz w:val="24"/>
          <w:szCs w:val="24"/>
          <w:lang w:val="en-US"/>
        </w:rPr>
        <w:t>,</w:t>
      </w:r>
      <w:r w:rsidRPr="00B36682">
        <w:rPr>
          <w:rFonts w:ascii="Times New Roman" w:hAnsi="Times New Roman" w:cs="Times New Roman"/>
          <w:color w:val="000000" w:themeColor="text1"/>
          <w:sz w:val="24"/>
          <w:szCs w:val="24"/>
          <w:lang w:val="en-US"/>
        </w:rPr>
        <w:t xml:space="preserve"> and </w:t>
      </w:r>
      <w:r w:rsidR="0021660D">
        <w:rPr>
          <w:rFonts w:ascii="Times New Roman" w:hAnsi="Times New Roman" w:cs="Times New Roman"/>
          <w:color w:val="000000" w:themeColor="text1"/>
          <w:sz w:val="24"/>
          <w:szCs w:val="24"/>
          <w:lang w:val="en-US"/>
        </w:rPr>
        <w:t xml:space="preserve">A. </w:t>
      </w:r>
      <w:r w:rsidRPr="00B36682">
        <w:rPr>
          <w:rFonts w:ascii="Times New Roman" w:hAnsi="Times New Roman" w:cs="Times New Roman"/>
          <w:color w:val="000000" w:themeColor="text1"/>
          <w:sz w:val="24"/>
          <w:szCs w:val="24"/>
          <w:lang w:val="en-US"/>
        </w:rPr>
        <w:t>Shivdasani</w:t>
      </w:r>
      <w:r w:rsidR="0021660D">
        <w:rPr>
          <w:rFonts w:ascii="Times New Roman" w:hAnsi="Times New Roman" w:cs="Times New Roman"/>
          <w:color w:val="000000" w:themeColor="text1"/>
          <w:sz w:val="24"/>
          <w:szCs w:val="24"/>
          <w:lang w:val="en-US"/>
        </w:rPr>
        <w:t xml:space="preserve">. </w:t>
      </w:r>
      <w:r w:rsidRPr="00B36682">
        <w:rPr>
          <w:rFonts w:ascii="Times New Roman" w:hAnsi="Times New Roman" w:cs="Times New Roman"/>
          <w:color w:val="000000" w:themeColor="text1"/>
          <w:sz w:val="24"/>
          <w:szCs w:val="24"/>
          <w:lang w:val="en-US"/>
        </w:rPr>
        <w:t xml:space="preserve">2006. Are busy boards effective monitors? </w:t>
      </w:r>
      <w:r w:rsidRPr="00B36682">
        <w:rPr>
          <w:rFonts w:ascii="Times New Roman" w:hAnsi="Times New Roman" w:cs="Times New Roman"/>
          <w:i/>
          <w:iCs/>
          <w:color w:val="000000" w:themeColor="text1"/>
          <w:sz w:val="24"/>
          <w:szCs w:val="24"/>
          <w:lang w:val="en-US"/>
        </w:rPr>
        <w:t xml:space="preserve">The Journal of </w:t>
      </w:r>
      <w:r w:rsidR="001913D2">
        <w:rPr>
          <w:rFonts w:ascii="Times New Roman" w:hAnsi="Times New Roman" w:cs="Times New Roman"/>
          <w:i/>
          <w:iCs/>
          <w:color w:val="000000" w:themeColor="text1"/>
          <w:sz w:val="24"/>
          <w:szCs w:val="24"/>
          <w:lang w:val="en-US"/>
        </w:rPr>
        <w:t>F</w:t>
      </w:r>
      <w:r w:rsidR="001913D2" w:rsidRPr="00B36682">
        <w:rPr>
          <w:rFonts w:ascii="Times New Roman" w:hAnsi="Times New Roman" w:cs="Times New Roman"/>
          <w:i/>
          <w:iCs/>
          <w:color w:val="000000" w:themeColor="text1"/>
          <w:sz w:val="24"/>
          <w:szCs w:val="24"/>
          <w:lang w:val="en-US"/>
        </w:rPr>
        <w:t>inance</w:t>
      </w:r>
      <w:r w:rsidRPr="00B36682">
        <w:rPr>
          <w:rFonts w:ascii="Times New Roman" w:hAnsi="Times New Roman" w:cs="Times New Roman"/>
          <w:color w:val="000000" w:themeColor="text1"/>
          <w:sz w:val="24"/>
          <w:szCs w:val="24"/>
          <w:lang w:val="en-US"/>
        </w:rPr>
        <w:t xml:space="preserve"> 61</w:t>
      </w:r>
      <w:r w:rsidR="0021660D">
        <w:rPr>
          <w:rFonts w:ascii="Times New Roman" w:hAnsi="Times New Roman" w:cs="Times New Roman"/>
          <w:color w:val="000000" w:themeColor="text1"/>
          <w:sz w:val="24"/>
          <w:szCs w:val="24"/>
          <w:lang w:val="en-US"/>
        </w:rPr>
        <w:t xml:space="preserve"> </w:t>
      </w:r>
      <w:r w:rsidRPr="00B36682">
        <w:rPr>
          <w:rFonts w:ascii="Times New Roman" w:hAnsi="Times New Roman" w:cs="Times New Roman"/>
          <w:color w:val="000000" w:themeColor="text1"/>
          <w:sz w:val="24"/>
          <w:szCs w:val="24"/>
          <w:lang w:val="en-US"/>
        </w:rPr>
        <w:t>(2)</w:t>
      </w:r>
      <w:r w:rsidR="0021660D">
        <w:rPr>
          <w:rFonts w:ascii="Times New Roman" w:hAnsi="Times New Roman" w:cs="Times New Roman"/>
          <w:color w:val="000000" w:themeColor="text1"/>
          <w:sz w:val="24"/>
          <w:szCs w:val="24"/>
          <w:lang w:val="en-US"/>
        </w:rPr>
        <w:t>:</w:t>
      </w:r>
      <w:r w:rsidRPr="00B36682">
        <w:rPr>
          <w:rFonts w:ascii="Times New Roman" w:hAnsi="Times New Roman" w:cs="Times New Roman"/>
          <w:color w:val="000000" w:themeColor="text1"/>
          <w:sz w:val="24"/>
          <w:szCs w:val="24"/>
          <w:lang w:val="en-US"/>
        </w:rPr>
        <w:t xml:space="preserve"> 689-724.</w:t>
      </w:r>
    </w:p>
    <w:p w14:paraId="4D7DEB12" w14:textId="4D47BD52" w:rsidR="00B36682" w:rsidRDefault="00B36682" w:rsidP="00B36682">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en-US"/>
        </w:rPr>
      </w:pPr>
      <w:r w:rsidRPr="00B36682">
        <w:rPr>
          <w:rFonts w:ascii="Times New Roman" w:hAnsi="Times New Roman" w:cs="Times New Roman"/>
          <w:color w:val="000000" w:themeColor="text1"/>
          <w:sz w:val="24"/>
          <w:szCs w:val="24"/>
          <w:lang w:val="en-US"/>
        </w:rPr>
        <w:t xml:space="preserve">Field, L., </w:t>
      </w:r>
      <w:r w:rsidR="0021660D">
        <w:rPr>
          <w:rFonts w:ascii="Times New Roman" w:hAnsi="Times New Roman" w:cs="Times New Roman"/>
          <w:color w:val="000000" w:themeColor="text1"/>
          <w:sz w:val="24"/>
          <w:szCs w:val="24"/>
          <w:lang w:val="en-US"/>
        </w:rPr>
        <w:t xml:space="preserve">M. </w:t>
      </w:r>
      <w:r w:rsidRPr="00B36682">
        <w:rPr>
          <w:rFonts w:ascii="Times New Roman" w:hAnsi="Times New Roman" w:cs="Times New Roman"/>
          <w:color w:val="000000" w:themeColor="text1"/>
          <w:sz w:val="24"/>
          <w:szCs w:val="24"/>
          <w:lang w:val="en-US"/>
        </w:rPr>
        <w:t xml:space="preserve">Lowry, and </w:t>
      </w:r>
      <w:r w:rsidR="0021660D">
        <w:rPr>
          <w:rFonts w:ascii="Times New Roman" w:hAnsi="Times New Roman" w:cs="Times New Roman"/>
          <w:color w:val="000000" w:themeColor="text1"/>
          <w:sz w:val="24"/>
          <w:szCs w:val="24"/>
          <w:lang w:val="en-US"/>
        </w:rPr>
        <w:t xml:space="preserve">A. </w:t>
      </w:r>
      <w:r w:rsidRPr="00B36682">
        <w:rPr>
          <w:rFonts w:ascii="Times New Roman" w:hAnsi="Times New Roman" w:cs="Times New Roman"/>
          <w:color w:val="000000" w:themeColor="text1"/>
          <w:sz w:val="24"/>
          <w:szCs w:val="24"/>
          <w:lang w:val="en-US"/>
        </w:rPr>
        <w:t>Mkrtchyan</w:t>
      </w:r>
      <w:r w:rsidR="0021660D">
        <w:rPr>
          <w:rFonts w:ascii="Times New Roman" w:hAnsi="Times New Roman" w:cs="Times New Roman"/>
          <w:color w:val="000000" w:themeColor="text1"/>
          <w:sz w:val="24"/>
          <w:szCs w:val="24"/>
          <w:lang w:val="en-US"/>
        </w:rPr>
        <w:t>.</w:t>
      </w:r>
      <w:r w:rsidRPr="00B36682">
        <w:rPr>
          <w:rFonts w:ascii="Times New Roman" w:hAnsi="Times New Roman" w:cs="Times New Roman"/>
          <w:color w:val="000000" w:themeColor="text1"/>
          <w:sz w:val="24"/>
          <w:szCs w:val="24"/>
          <w:lang w:val="en-US"/>
        </w:rPr>
        <w:t xml:space="preserve"> 2013. Are busy boards detrimental? </w:t>
      </w:r>
      <w:r w:rsidRPr="00B36682">
        <w:rPr>
          <w:rFonts w:ascii="Times New Roman" w:hAnsi="Times New Roman" w:cs="Times New Roman"/>
          <w:i/>
          <w:iCs/>
          <w:color w:val="000000" w:themeColor="text1"/>
          <w:sz w:val="24"/>
          <w:szCs w:val="24"/>
          <w:lang w:val="en-US"/>
        </w:rPr>
        <w:t>Journal of Financial Economics</w:t>
      </w:r>
      <w:r w:rsidRPr="00B36682">
        <w:rPr>
          <w:rFonts w:ascii="Times New Roman" w:hAnsi="Times New Roman" w:cs="Times New Roman"/>
          <w:color w:val="000000" w:themeColor="text1"/>
          <w:sz w:val="24"/>
          <w:szCs w:val="24"/>
          <w:lang w:val="en-US"/>
        </w:rPr>
        <w:t xml:space="preserve"> 109</w:t>
      </w:r>
      <w:r w:rsidR="0021660D">
        <w:rPr>
          <w:rFonts w:ascii="Times New Roman" w:hAnsi="Times New Roman" w:cs="Times New Roman"/>
          <w:color w:val="000000" w:themeColor="text1"/>
          <w:sz w:val="24"/>
          <w:szCs w:val="24"/>
          <w:lang w:val="en-US"/>
        </w:rPr>
        <w:t xml:space="preserve"> </w:t>
      </w:r>
      <w:r w:rsidRPr="00B36682">
        <w:rPr>
          <w:rFonts w:ascii="Times New Roman" w:hAnsi="Times New Roman" w:cs="Times New Roman"/>
          <w:color w:val="000000" w:themeColor="text1"/>
          <w:sz w:val="24"/>
          <w:szCs w:val="24"/>
          <w:lang w:val="en-US"/>
        </w:rPr>
        <w:t>(1)</w:t>
      </w:r>
      <w:r w:rsidR="0021660D">
        <w:rPr>
          <w:rFonts w:ascii="Times New Roman" w:hAnsi="Times New Roman" w:cs="Times New Roman"/>
          <w:color w:val="000000" w:themeColor="text1"/>
          <w:sz w:val="24"/>
          <w:szCs w:val="24"/>
          <w:lang w:val="en-US"/>
        </w:rPr>
        <w:t>:</w:t>
      </w:r>
      <w:r w:rsidRPr="00B36682">
        <w:rPr>
          <w:rFonts w:ascii="Times New Roman" w:hAnsi="Times New Roman" w:cs="Times New Roman"/>
          <w:color w:val="000000" w:themeColor="text1"/>
          <w:sz w:val="24"/>
          <w:szCs w:val="24"/>
          <w:lang w:val="en-US"/>
        </w:rPr>
        <w:t xml:space="preserve"> 63-82.</w:t>
      </w:r>
    </w:p>
    <w:p w14:paraId="7F29B01B" w14:textId="59E9CE30" w:rsidR="00552A94" w:rsidRPr="00E57A11" w:rsidRDefault="00552A94" w:rsidP="0023586E">
      <w:pPr>
        <w:spacing w:after="0" w:line="240" w:lineRule="auto"/>
        <w:ind w:left="720" w:hanging="720"/>
        <w:jc w:val="both"/>
        <w:rPr>
          <w:rFonts w:ascii="Times New Roman" w:hAnsi="Times New Roman" w:cs="Times New Roman"/>
          <w:color w:val="000000" w:themeColor="text1"/>
          <w:sz w:val="24"/>
          <w:szCs w:val="24"/>
          <w:lang w:val="en-US"/>
        </w:rPr>
      </w:pPr>
      <w:r w:rsidRPr="00E57A11">
        <w:rPr>
          <w:rFonts w:ascii="Times New Roman" w:hAnsi="Times New Roman" w:cs="Times New Roman"/>
          <w:color w:val="000000" w:themeColor="text1"/>
          <w:sz w:val="24"/>
          <w:szCs w:val="24"/>
          <w:lang w:val="en-US"/>
        </w:rPr>
        <w:t>Gormley, R</w:t>
      </w:r>
      <w:r w:rsidR="0021660D">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2013. CEO compensation and corporate risk: Evidence from a natural experiment. </w:t>
      </w:r>
      <w:r w:rsidRPr="00E57A11">
        <w:rPr>
          <w:rFonts w:ascii="Times New Roman" w:hAnsi="Times New Roman" w:cs="Times New Roman"/>
          <w:i/>
          <w:iCs/>
          <w:color w:val="000000" w:themeColor="text1"/>
          <w:sz w:val="24"/>
          <w:szCs w:val="24"/>
          <w:lang w:val="en-US"/>
        </w:rPr>
        <w:t>Journal of Accounting and Economics</w:t>
      </w:r>
      <w:r w:rsidR="0021660D">
        <w:rPr>
          <w:rFonts w:ascii="Times New Roman" w:hAnsi="Times New Roman" w:cs="Times New Roman"/>
          <w:color w:val="000000" w:themeColor="text1"/>
          <w:sz w:val="24"/>
          <w:szCs w:val="24"/>
          <w:lang w:val="en-US"/>
        </w:rPr>
        <w:t xml:space="preserve"> </w:t>
      </w:r>
      <w:r w:rsidR="005E4E07" w:rsidRPr="00E57A11">
        <w:rPr>
          <w:rFonts w:ascii="Times New Roman" w:hAnsi="Times New Roman" w:cs="Times New Roman"/>
          <w:color w:val="000000" w:themeColor="text1"/>
          <w:sz w:val="24"/>
          <w:szCs w:val="24"/>
          <w:lang w:val="en-US"/>
        </w:rPr>
        <w:t>56</w:t>
      </w:r>
      <w:r w:rsidR="0021660D">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(2-3)</w:t>
      </w:r>
      <w:r w:rsidR="0021660D">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79-101.</w:t>
      </w:r>
    </w:p>
    <w:p w14:paraId="058F3BF3" w14:textId="28712759" w:rsidR="00C45F3D" w:rsidRPr="00E57A11" w:rsidRDefault="00C45F3D" w:rsidP="0023586E">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en-US"/>
        </w:rPr>
      </w:pPr>
      <w:r w:rsidRPr="00E57A11">
        <w:rPr>
          <w:rFonts w:ascii="Times New Roman" w:hAnsi="Times New Roman" w:cs="Times New Roman"/>
          <w:color w:val="000000" w:themeColor="text1"/>
          <w:sz w:val="24"/>
          <w:szCs w:val="24"/>
          <w:lang w:val="en-US"/>
        </w:rPr>
        <w:t xml:space="preserve">Guay, W. 1999. The sensitivity of CEO wealth to equity risk: an analysis of the magnitude and determinants. </w:t>
      </w:r>
      <w:r w:rsidRPr="00E57A11">
        <w:rPr>
          <w:rFonts w:ascii="Times New Roman" w:hAnsi="Times New Roman" w:cs="Times New Roman"/>
          <w:i/>
          <w:iCs/>
          <w:color w:val="000000" w:themeColor="text1"/>
          <w:sz w:val="24"/>
          <w:szCs w:val="24"/>
          <w:lang w:val="en-US"/>
        </w:rPr>
        <w:t>Journal of Accounting and Economics</w:t>
      </w:r>
      <w:r w:rsidR="0021660D">
        <w:rPr>
          <w:rFonts w:ascii="Times New Roman" w:hAnsi="Times New Roman" w:cs="Times New Roman"/>
          <w:i/>
          <w:iCs/>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53</w:t>
      </w:r>
      <w:r w:rsidR="0021660D">
        <w:rPr>
          <w:rFonts w:ascii="Times New Roman" w:hAnsi="Times New Roman" w:cs="Times New Roman"/>
          <w:color w:val="000000" w:themeColor="text1"/>
          <w:sz w:val="24"/>
          <w:szCs w:val="24"/>
          <w:lang w:val="en-US"/>
        </w:rPr>
        <w:t xml:space="preserve"> </w:t>
      </w:r>
      <w:r w:rsidR="005E4E07" w:rsidRPr="00E57A11">
        <w:rPr>
          <w:rFonts w:ascii="Times New Roman" w:hAnsi="Times New Roman" w:cs="Times New Roman"/>
          <w:color w:val="000000" w:themeColor="text1"/>
          <w:sz w:val="24"/>
          <w:szCs w:val="24"/>
          <w:lang w:val="en-US"/>
        </w:rPr>
        <w:t>(1)</w:t>
      </w:r>
      <w:r w:rsidR="0021660D">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43</w:t>
      </w:r>
      <w:r w:rsidR="00B0289A">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71.</w:t>
      </w:r>
    </w:p>
    <w:p w14:paraId="64935978" w14:textId="40599906" w:rsidR="00C45F3D" w:rsidRPr="00E57A11" w:rsidRDefault="00A969E5" w:rsidP="0023586E">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en-US"/>
        </w:rPr>
      </w:pPr>
      <w:r w:rsidRPr="00E57A11">
        <w:rPr>
          <w:rFonts w:ascii="Times New Roman" w:hAnsi="Times New Roman" w:cs="Times New Roman"/>
          <w:color w:val="000000" w:themeColor="text1"/>
          <w:sz w:val="24"/>
          <w:szCs w:val="24"/>
          <w:lang w:val="en-US"/>
        </w:rPr>
        <w:t>Hayes, R.</w:t>
      </w:r>
      <w:r w:rsidR="0021660D">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 xml:space="preserve">M., </w:t>
      </w:r>
      <w:r w:rsidR="0021660D">
        <w:rPr>
          <w:rFonts w:ascii="Times New Roman" w:hAnsi="Times New Roman" w:cs="Times New Roman"/>
          <w:color w:val="000000" w:themeColor="text1"/>
          <w:sz w:val="24"/>
          <w:szCs w:val="24"/>
          <w:lang w:val="en-US"/>
        </w:rPr>
        <w:t xml:space="preserve">M. </w:t>
      </w:r>
      <w:r w:rsidRPr="00E57A11">
        <w:rPr>
          <w:rFonts w:ascii="Times New Roman" w:hAnsi="Times New Roman" w:cs="Times New Roman"/>
          <w:color w:val="000000" w:themeColor="text1"/>
          <w:sz w:val="24"/>
          <w:szCs w:val="24"/>
          <w:lang w:val="en-US"/>
        </w:rPr>
        <w:t>Lemmon,</w:t>
      </w:r>
      <w:r w:rsidR="0021660D">
        <w:rPr>
          <w:rFonts w:ascii="Times New Roman" w:hAnsi="Times New Roman" w:cs="Times New Roman"/>
          <w:color w:val="000000" w:themeColor="text1"/>
          <w:sz w:val="24"/>
          <w:szCs w:val="24"/>
          <w:lang w:val="en-US"/>
        </w:rPr>
        <w:t xml:space="preserve"> and M.</w:t>
      </w:r>
      <w:r w:rsidR="00C45F3D" w:rsidRPr="00E57A11">
        <w:rPr>
          <w:rFonts w:ascii="Times New Roman" w:hAnsi="Times New Roman" w:cs="Times New Roman"/>
          <w:color w:val="000000" w:themeColor="text1"/>
          <w:sz w:val="24"/>
          <w:szCs w:val="24"/>
          <w:lang w:val="en-US"/>
        </w:rPr>
        <w:t xml:space="preserve"> Qiu</w:t>
      </w:r>
      <w:r w:rsidR="0021660D">
        <w:rPr>
          <w:rFonts w:ascii="Times New Roman" w:hAnsi="Times New Roman" w:cs="Times New Roman"/>
          <w:color w:val="000000" w:themeColor="text1"/>
          <w:sz w:val="24"/>
          <w:szCs w:val="24"/>
          <w:lang w:val="en-US"/>
        </w:rPr>
        <w:t>.</w:t>
      </w:r>
      <w:r w:rsidR="00C45F3D" w:rsidRPr="00E57A11">
        <w:rPr>
          <w:rFonts w:ascii="Times New Roman" w:hAnsi="Times New Roman" w:cs="Times New Roman"/>
          <w:color w:val="000000" w:themeColor="text1"/>
          <w:sz w:val="24"/>
          <w:szCs w:val="24"/>
          <w:lang w:val="en-US"/>
        </w:rPr>
        <w:t xml:space="preserve"> 2012. Stock options and managerial incentives for risk taking: Evidence from FAS 123R. </w:t>
      </w:r>
      <w:r w:rsidR="00C45F3D" w:rsidRPr="00E57A11">
        <w:rPr>
          <w:rFonts w:ascii="Times New Roman" w:hAnsi="Times New Roman" w:cs="Times New Roman"/>
          <w:i/>
          <w:iCs/>
          <w:color w:val="000000" w:themeColor="text1"/>
          <w:sz w:val="24"/>
          <w:szCs w:val="24"/>
          <w:lang w:val="en-US"/>
        </w:rPr>
        <w:t>Journal of Financial Economics</w:t>
      </w:r>
      <w:r w:rsidR="00AD6677" w:rsidRPr="00E57A11">
        <w:rPr>
          <w:rFonts w:ascii="Times New Roman" w:hAnsi="Times New Roman" w:cs="Times New Roman"/>
          <w:color w:val="000000" w:themeColor="text1"/>
          <w:sz w:val="24"/>
          <w:szCs w:val="24"/>
          <w:lang w:val="en-US"/>
        </w:rPr>
        <w:t> 105</w:t>
      </w:r>
      <w:r w:rsidR="0021660D">
        <w:rPr>
          <w:rFonts w:ascii="Times New Roman" w:hAnsi="Times New Roman" w:cs="Times New Roman"/>
          <w:color w:val="000000" w:themeColor="text1"/>
          <w:sz w:val="24"/>
          <w:szCs w:val="24"/>
          <w:lang w:val="en-US"/>
        </w:rPr>
        <w:t xml:space="preserve"> </w:t>
      </w:r>
      <w:r w:rsidR="00AD6677" w:rsidRPr="00E57A11">
        <w:rPr>
          <w:rFonts w:ascii="Times New Roman" w:hAnsi="Times New Roman" w:cs="Times New Roman"/>
          <w:color w:val="000000" w:themeColor="text1"/>
          <w:sz w:val="24"/>
          <w:szCs w:val="24"/>
          <w:lang w:val="en-US"/>
        </w:rPr>
        <w:t>(1)</w:t>
      </w:r>
      <w:r w:rsidR="0021660D">
        <w:rPr>
          <w:rFonts w:ascii="Times New Roman" w:hAnsi="Times New Roman" w:cs="Times New Roman"/>
          <w:color w:val="000000" w:themeColor="text1"/>
          <w:sz w:val="24"/>
          <w:szCs w:val="24"/>
          <w:lang w:val="en-US"/>
        </w:rPr>
        <w:t>:</w:t>
      </w:r>
      <w:r w:rsidR="00AD6677" w:rsidRPr="00E57A11">
        <w:rPr>
          <w:rFonts w:ascii="Times New Roman" w:hAnsi="Times New Roman" w:cs="Times New Roman"/>
          <w:color w:val="000000" w:themeColor="text1"/>
          <w:sz w:val="24"/>
          <w:szCs w:val="24"/>
          <w:lang w:val="en-US"/>
        </w:rPr>
        <w:t xml:space="preserve"> </w:t>
      </w:r>
      <w:r w:rsidR="00C45F3D" w:rsidRPr="00E57A11">
        <w:rPr>
          <w:rFonts w:ascii="Times New Roman" w:hAnsi="Times New Roman" w:cs="Times New Roman"/>
          <w:color w:val="000000" w:themeColor="text1"/>
          <w:sz w:val="24"/>
          <w:szCs w:val="24"/>
          <w:lang w:val="en-US"/>
        </w:rPr>
        <w:t>174-190.</w:t>
      </w:r>
    </w:p>
    <w:p w14:paraId="4FF43946" w14:textId="37B5B569" w:rsidR="00A948CE" w:rsidRDefault="00C45F3D" w:rsidP="00A948CE">
      <w:pPr>
        <w:spacing w:after="0" w:line="240" w:lineRule="auto"/>
        <w:ind w:left="720" w:hanging="720"/>
        <w:jc w:val="both"/>
        <w:rPr>
          <w:rFonts w:ascii="Times New Roman" w:hAnsi="Times New Roman" w:cs="Times New Roman"/>
          <w:color w:val="000000" w:themeColor="text1"/>
          <w:sz w:val="24"/>
          <w:szCs w:val="24"/>
          <w:lang w:val="en-US"/>
        </w:rPr>
      </w:pPr>
      <w:r w:rsidRPr="00F62082">
        <w:rPr>
          <w:rFonts w:ascii="Times New Roman" w:hAnsi="Times New Roman" w:cs="Times New Roman"/>
          <w:color w:val="000000" w:themeColor="text1"/>
          <w:sz w:val="24"/>
          <w:szCs w:val="24"/>
          <w:lang w:val="en-US"/>
        </w:rPr>
        <w:t>Heese, J</w:t>
      </w:r>
      <w:r w:rsidR="006C276B" w:rsidRPr="00F62082">
        <w:rPr>
          <w:rFonts w:ascii="Times New Roman" w:hAnsi="Times New Roman" w:cs="Times New Roman"/>
          <w:color w:val="000000" w:themeColor="text1"/>
          <w:sz w:val="24"/>
          <w:szCs w:val="24"/>
          <w:lang w:val="en-US"/>
        </w:rPr>
        <w:t>.</w:t>
      </w:r>
      <w:r w:rsidRPr="00F62082">
        <w:rPr>
          <w:rFonts w:ascii="Times New Roman" w:hAnsi="Times New Roman" w:cs="Times New Roman"/>
          <w:color w:val="000000" w:themeColor="text1"/>
          <w:sz w:val="24"/>
          <w:szCs w:val="24"/>
          <w:lang w:val="en-US"/>
        </w:rPr>
        <w:t xml:space="preserve">, </w:t>
      </w:r>
      <w:r w:rsidR="0021660D">
        <w:rPr>
          <w:rFonts w:ascii="Times New Roman" w:hAnsi="Times New Roman" w:cs="Times New Roman"/>
          <w:color w:val="000000" w:themeColor="text1"/>
          <w:sz w:val="24"/>
          <w:szCs w:val="24"/>
          <w:lang w:val="en-US"/>
        </w:rPr>
        <w:t xml:space="preserve">and G. </w:t>
      </w:r>
      <w:r w:rsidR="006C276B" w:rsidRPr="00F62082">
        <w:rPr>
          <w:rFonts w:ascii="Times New Roman" w:hAnsi="Times New Roman" w:cs="Times New Roman"/>
          <w:color w:val="000000" w:themeColor="text1"/>
          <w:sz w:val="24"/>
          <w:szCs w:val="24"/>
          <w:lang w:val="en-US"/>
        </w:rPr>
        <w:t>Pérez-</w:t>
      </w:r>
      <w:r w:rsidRPr="00F62082">
        <w:rPr>
          <w:rFonts w:ascii="Times New Roman" w:hAnsi="Times New Roman" w:cs="Times New Roman"/>
          <w:color w:val="000000" w:themeColor="text1"/>
          <w:sz w:val="24"/>
          <w:szCs w:val="24"/>
          <w:lang w:val="en-US"/>
        </w:rPr>
        <w:t>Cavazos</w:t>
      </w:r>
      <w:r w:rsidR="0021660D">
        <w:rPr>
          <w:rFonts w:ascii="Times New Roman" w:hAnsi="Times New Roman" w:cs="Times New Roman"/>
          <w:color w:val="000000" w:themeColor="text1"/>
          <w:sz w:val="24"/>
          <w:szCs w:val="24"/>
          <w:lang w:val="en-US"/>
        </w:rPr>
        <w:t>.</w:t>
      </w:r>
      <w:r w:rsidR="006C276B" w:rsidRPr="00F62082">
        <w:rPr>
          <w:rFonts w:ascii="Times New Roman" w:hAnsi="Times New Roman" w:cs="Times New Roman"/>
          <w:color w:val="000000" w:themeColor="text1"/>
          <w:sz w:val="24"/>
          <w:szCs w:val="24"/>
          <w:lang w:val="en-US"/>
        </w:rPr>
        <w:t xml:space="preserve"> 20</w:t>
      </w:r>
      <w:r w:rsidR="00E21317">
        <w:rPr>
          <w:rFonts w:ascii="Times New Roman" w:hAnsi="Times New Roman" w:cs="Times New Roman"/>
          <w:color w:val="000000" w:themeColor="text1"/>
          <w:sz w:val="24"/>
          <w:szCs w:val="24"/>
          <w:lang w:val="en-US"/>
        </w:rPr>
        <w:t>20</w:t>
      </w:r>
      <w:r w:rsidR="006C276B" w:rsidRPr="00F62082">
        <w:rPr>
          <w:rFonts w:ascii="Times New Roman" w:hAnsi="Times New Roman" w:cs="Times New Roman"/>
          <w:color w:val="000000" w:themeColor="text1"/>
          <w:sz w:val="24"/>
          <w:szCs w:val="24"/>
          <w:lang w:val="en-US"/>
        </w:rPr>
        <w:t xml:space="preserve">. When the Boss Comes to Town: The Effects of Headquarters’ Visits on Facility-Level Misconduct. </w:t>
      </w:r>
      <w:r w:rsidRPr="00F62082">
        <w:rPr>
          <w:rFonts w:ascii="Times New Roman" w:hAnsi="Times New Roman" w:cs="Times New Roman"/>
          <w:i/>
          <w:iCs/>
          <w:color w:val="000000" w:themeColor="text1"/>
          <w:sz w:val="24"/>
          <w:szCs w:val="24"/>
          <w:lang w:val="en-US"/>
        </w:rPr>
        <w:t>The Accounting Review</w:t>
      </w:r>
      <w:r w:rsidR="006C276B" w:rsidRPr="00F62082">
        <w:rPr>
          <w:rFonts w:ascii="Times New Roman" w:hAnsi="Times New Roman" w:cs="Times New Roman"/>
          <w:color w:val="000000" w:themeColor="text1"/>
          <w:sz w:val="24"/>
          <w:szCs w:val="24"/>
          <w:lang w:val="en-US"/>
        </w:rPr>
        <w:t xml:space="preserve"> </w:t>
      </w:r>
      <w:r w:rsidR="00A948CE" w:rsidRPr="00B2146B">
        <w:rPr>
          <w:rFonts w:ascii="Times New Roman" w:hAnsi="Times New Roman" w:cs="Times New Roman"/>
          <w:color w:val="000000" w:themeColor="text1"/>
          <w:sz w:val="24"/>
          <w:szCs w:val="24"/>
          <w:lang w:val="en-US"/>
        </w:rPr>
        <w:t>95</w:t>
      </w:r>
      <w:r w:rsidR="0021660D">
        <w:rPr>
          <w:rFonts w:ascii="Times New Roman" w:hAnsi="Times New Roman" w:cs="Times New Roman"/>
          <w:color w:val="000000" w:themeColor="text1"/>
          <w:sz w:val="24"/>
          <w:szCs w:val="24"/>
          <w:lang w:val="en-US"/>
        </w:rPr>
        <w:t xml:space="preserve"> </w:t>
      </w:r>
      <w:r w:rsidR="00A948CE" w:rsidRPr="00A948CE">
        <w:rPr>
          <w:rFonts w:ascii="Times New Roman" w:hAnsi="Times New Roman" w:cs="Times New Roman"/>
          <w:color w:val="000000" w:themeColor="text1"/>
          <w:sz w:val="24"/>
          <w:szCs w:val="24"/>
          <w:lang w:val="en-US"/>
        </w:rPr>
        <w:t>(6)</w:t>
      </w:r>
      <w:r w:rsidR="0021660D">
        <w:rPr>
          <w:rFonts w:ascii="Times New Roman" w:hAnsi="Times New Roman" w:cs="Times New Roman"/>
          <w:color w:val="000000" w:themeColor="text1"/>
          <w:sz w:val="24"/>
          <w:szCs w:val="24"/>
          <w:lang w:val="en-US"/>
        </w:rPr>
        <w:t>:</w:t>
      </w:r>
      <w:r w:rsidR="00A948CE" w:rsidRPr="00A948CE">
        <w:rPr>
          <w:rFonts w:ascii="Times New Roman" w:hAnsi="Times New Roman" w:cs="Times New Roman"/>
          <w:color w:val="000000" w:themeColor="text1"/>
          <w:sz w:val="24"/>
          <w:szCs w:val="24"/>
          <w:lang w:val="en-US"/>
        </w:rPr>
        <w:t xml:space="preserve"> </w:t>
      </w:r>
      <w:r w:rsidR="00A948CE" w:rsidRPr="00B2146B">
        <w:rPr>
          <w:rFonts w:ascii="Times New Roman" w:hAnsi="Times New Roman" w:cs="Times New Roman"/>
          <w:color w:val="000000" w:themeColor="text1"/>
          <w:sz w:val="24"/>
          <w:szCs w:val="24"/>
          <w:lang w:val="en-US"/>
        </w:rPr>
        <w:t>235-261.</w:t>
      </w:r>
    </w:p>
    <w:p w14:paraId="4DF6BF91" w14:textId="42A94656" w:rsidR="008E1BCF" w:rsidRPr="00F62082" w:rsidRDefault="008E1BCF" w:rsidP="00A948CE">
      <w:pPr>
        <w:spacing w:after="0" w:line="240" w:lineRule="auto"/>
        <w:ind w:left="720" w:hanging="720"/>
        <w:jc w:val="both"/>
        <w:rPr>
          <w:rFonts w:ascii="Times New Roman" w:hAnsi="Times New Roman" w:cs="Times New Roman"/>
          <w:color w:val="000000" w:themeColor="text1"/>
          <w:sz w:val="24"/>
          <w:szCs w:val="24"/>
          <w:lang w:val="en-US"/>
        </w:rPr>
      </w:pPr>
      <w:r w:rsidRPr="008E1BCF">
        <w:rPr>
          <w:rFonts w:ascii="Times New Roman" w:hAnsi="Times New Roman" w:cs="Times New Roman"/>
          <w:color w:val="000000" w:themeColor="text1"/>
          <w:sz w:val="24"/>
          <w:szCs w:val="24"/>
          <w:lang w:val="en-US"/>
        </w:rPr>
        <w:t xml:space="preserve">Hong, J. 2019. Managerial compensation incentives and corporate debt maturity: Evidence from FAS 123R. </w:t>
      </w:r>
      <w:r w:rsidRPr="008E1BCF">
        <w:rPr>
          <w:rFonts w:ascii="Times New Roman" w:hAnsi="Times New Roman" w:cs="Times New Roman"/>
          <w:i/>
          <w:iCs/>
          <w:color w:val="000000" w:themeColor="text1"/>
          <w:sz w:val="24"/>
          <w:szCs w:val="24"/>
          <w:lang w:val="en-US"/>
        </w:rPr>
        <w:t>Journal of Corporate Finance</w:t>
      </w:r>
      <w:r w:rsidRPr="008E1BCF">
        <w:rPr>
          <w:rFonts w:ascii="Times New Roman" w:hAnsi="Times New Roman" w:cs="Times New Roman"/>
          <w:color w:val="000000" w:themeColor="text1"/>
          <w:sz w:val="24"/>
          <w:szCs w:val="24"/>
          <w:lang w:val="en-US"/>
        </w:rPr>
        <w:t xml:space="preserve"> 56</w:t>
      </w:r>
      <w:r w:rsidR="0021660D">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r w:rsidRPr="008E1BCF">
        <w:rPr>
          <w:rFonts w:ascii="Times New Roman" w:hAnsi="Times New Roman" w:cs="Times New Roman"/>
          <w:color w:val="000000" w:themeColor="text1"/>
          <w:sz w:val="24"/>
          <w:szCs w:val="24"/>
          <w:lang w:val="en-US"/>
        </w:rPr>
        <w:t>388-414.</w:t>
      </w:r>
    </w:p>
    <w:p w14:paraId="41A0451F" w14:textId="11AC6742" w:rsidR="000226FF" w:rsidRPr="0009187D" w:rsidRDefault="000226FF" w:rsidP="0009187D">
      <w:pPr>
        <w:spacing w:after="0" w:line="240" w:lineRule="auto"/>
        <w:ind w:left="720" w:hanging="720"/>
        <w:jc w:val="both"/>
        <w:rPr>
          <w:rFonts w:asciiTheme="majorBidi" w:hAnsiTheme="majorBidi" w:cstheme="majorBidi"/>
          <w:sz w:val="24"/>
          <w:szCs w:val="24"/>
          <w:lang w:val="en-US"/>
        </w:rPr>
      </w:pPr>
      <w:r w:rsidRPr="00E57A11">
        <w:rPr>
          <w:rFonts w:ascii="Times New Roman" w:hAnsi="Times New Roman" w:cs="Times New Roman"/>
          <w:color w:val="000000" w:themeColor="text1"/>
          <w:sz w:val="24"/>
          <w:szCs w:val="24"/>
          <w:lang w:val="en-US"/>
        </w:rPr>
        <w:t>ILO,</w:t>
      </w:r>
      <w:r w:rsidR="00891D31">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20</w:t>
      </w:r>
      <w:r w:rsidR="00667F58" w:rsidRPr="00E57A11">
        <w:rPr>
          <w:rFonts w:ascii="Times New Roman" w:hAnsi="Times New Roman" w:cs="Times New Roman"/>
          <w:color w:val="000000" w:themeColor="text1"/>
          <w:sz w:val="24"/>
          <w:szCs w:val="24"/>
          <w:lang w:val="en-US"/>
        </w:rPr>
        <w:t>1</w:t>
      </w:r>
      <w:r w:rsidRPr="00E57A11">
        <w:rPr>
          <w:rFonts w:ascii="Times New Roman" w:hAnsi="Times New Roman" w:cs="Times New Roman"/>
          <w:color w:val="000000" w:themeColor="text1"/>
          <w:sz w:val="24"/>
          <w:szCs w:val="24"/>
          <w:lang w:val="en-US"/>
        </w:rPr>
        <w:t>3</w:t>
      </w:r>
      <w:r w:rsidR="0070525B" w:rsidRPr="00E57A11">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International </w:t>
      </w:r>
      <w:r w:rsidR="006753AD" w:rsidRPr="00E57A11">
        <w:rPr>
          <w:rFonts w:ascii="Times New Roman" w:hAnsi="Times New Roman" w:cs="Times New Roman"/>
          <w:color w:val="000000" w:themeColor="text1"/>
          <w:sz w:val="24"/>
          <w:szCs w:val="24"/>
          <w:lang w:val="en-US"/>
        </w:rPr>
        <w:t>Labor</w:t>
      </w:r>
      <w:r w:rsidRPr="00E57A11">
        <w:rPr>
          <w:rFonts w:ascii="Times New Roman" w:hAnsi="Times New Roman" w:cs="Times New Roman"/>
          <w:color w:val="000000" w:themeColor="text1"/>
          <w:sz w:val="24"/>
          <w:szCs w:val="24"/>
          <w:lang w:val="en-US"/>
        </w:rPr>
        <w:t xml:space="preserve"> Organization</w:t>
      </w:r>
      <w:r w:rsidR="00D41F77">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w:t>
      </w:r>
      <w:r w:rsidR="00385660" w:rsidRPr="00E57A11">
        <w:rPr>
          <w:rFonts w:ascii="Times New Roman" w:hAnsi="Times New Roman" w:cs="Times New Roman"/>
          <w:color w:val="000000" w:themeColor="text1"/>
          <w:sz w:val="24"/>
          <w:szCs w:val="24"/>
          <w:lang w:val="en-US"/>
        </w:rPr>
        <w:t xml:space="preserve">Available at: </w:t>
      </w:r>
      <w:r w:rsidR="0009187D" w:rsidRPr="0009187D">
        <w:rPr>
          <w:rFonts w:ascii="Times New Roman" w:hAnsi="Times New Roman" w:cs="Times New Roman"/>
          <w:sz w:val="24"/>
          <w:szCs w:val="24"/>
          <w:lang w:val="en-US"/>
        </w:rPr>
        <w:t>https://www.ilo.org/publications/prevention-occupational-diseases</w:t>
      </w:r>
      <w:r w:rsidR="0009187D">
        <w:rPr>
          <w:rFonts w:ascii="Times New Roman" w:hAnsi="Times New Roman" w:cs="Times New Roman"/>
          <w:sz w:val="24"/>
          <w:szCs w:val="24"/>
          <w:lang w:val="en-US"/>
        </w:rPr>
        <w:t xml:space="preserve"> </w:t>
      </w:r>
      <w:r w:rsidR="0009187D" w:rsidRPr="002F76B2">
        <w:rPr>
          <w:rFonts w:ascii="Times New Roman" w:hAnsi="Times New Roman" w:cs="Times New Roman"/>
          <w:color w:val="000000" w:themeColor="text1"/>
          <w:sz w:val="24"/>
          <w:szCs w:val="24"/>
          <w:lang w:val="en-US"/>
        </w:rPr>
        <w:t xml:space="preserve">(last accessed </w:t>
      </w:r>
      <w:r w:rsidR="0009187D">
        <w:rPr>
          <w:rFonts w:ascii="Times New Roman" w:hAnsi="Times New Roman" w:cs="Times New Roman"/>
          <w:color w:val="000000" w:themeColor="text1"/>
          <w:sz w:val="24"/>
          <w:szCs w:val="24"/>
          <w:lang w:val="en-US"/>
        </w:rPr>
        <w:t>June 11</w:t>
      </w:r>
      <w:r w:rsidR="0009187D" w:rsidRPr="002F76B2">
        <w:rPr>
          <w:rFonts w:ascii="Times New Roman" w:hAnsi="Times New Roman" w:cs="Times New Roman"/>
          <w:color w:val="000000" w:themeColor="text1"/>
          <w:sz w:val="24"/>
          <w:szCs w:val="24"/>
          <w:lang w:val="en-US"/>
        </w:rPr>
        <w:t>, 20</w:t>
      </w:r>
      <w:r w:rsidR="0009187D">
        <w:rPr>
          <w:rFonts w:ascii="Times New Roman" w:hAnsi="Times New Roman" w:cs="Times New Roman"/>
          <w:color w:val="000000" w:themeColor="text1"/>
          <w:sz w:val="24"/>
          <w:szCs w:val="24"/>
          <w:lang w:val="en-US"/>
        </w:rPr>
        <w:t>24).</w:t>
      </w:r>
    </w:p>
    <w:p w14:paraId="59A21818" w14:textId="7D069840" w:rsidR="00F76A06" w:rsidRDefault="00C45F3D" w:rsidP="00F76A0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en-US"/>
        </w:rPr>
      </w:pPr>
      <w:r w:rsidRPr="00E57A11">
        <w:rPr>
          <w:rFonts w:ascii="Times New Roman" w:hAnsi="Times New Roman" w:cs="Times New Roman"/>
          <w:color w:val="000000" w:themeColor="text1"/>
          <w:sz w:val="24"/>
          <w:szCs w:val="24"/>
          <w:lang w:val="en-US"/>
        </w:rPr>
        <w:t xml:space="preserve">Jensen, M., </w:t>
      </w:r>
      <w:r w:rsidR="0009187D">
        <w:rPr>
          <w:rFonts w:ascii="Times New Roman" w:hAnsi="Times New Roman" w:cs="Times New Roman"/>
          <w:color w:val="000000" w:themeColor="text1"/>
          <w:sz w:val="24"/>
          <w:szCs w:val="24"/>
          <w:lang w:val="en-US"/>
        </w:rPr>
        <w:t xml:space="preserve">and W. </w:t>
      </w:r>
      <w:r w:rsidRPr="00E57A11">
        <w:rPr>
          <w:rFonts w:ascii="Times New Roman" w:hAnsi="Times New Roman" w:cs="Times New Roman"/>
          <w:color w:val="000000" w:themeColor="text1"/>
          <w:sz w:val="24"/>
          <w:szCs w:val="24"/>
          <w:lang w:val="en-US"/>
        </w:rPr>
        <w:t>Meckling</w:t>
      </w:r>
      <w:r w:rsidR="0009187D">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1976. Theory of the firm: managerial behavior, agency costs, and ownership structure. </w:t>
      </w:r>
      <w:r w:rsidRPr="00E57A11">
        <w:rPr>
          <w:rFonts w:ascii="Times New Roman" w:hAnsi="Times New Roman" w:cs="Times New Roman"/>
          <w:i/>
          <w:iCs/>
          <w:color w:val="000000" w:themeColor="text1"/>
          <w:sz w:val="24"/>
          <w:szCs w:val="24"/>
          <w:lang w:val="en-US"/>
        </w:rPr>
        <w:t>Journal of Financial Economics</w:t>
      </w:r>
      <w:r w:rsidRPr="00E57A11">
        <w:rPr>
          <w:rFonts w:ascii="Times New Roman" w:hAnsi="Times New Roman" w:cs="Times New Roman"/>
          <w:color w:val="000000" w:themeColor="text1"/>
          <w:sz w:val="24"/>
          <w:szCs w:val="24"/>
          <w:lang w:val="en-US"/>
        </w:rPr>
        <w:t xml:space="preserve"> 3</w:t>
      </w:r>
      <w:r w:rsidR="0009187D">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305</w:t>
      </w:r>
      <w:r w:rsidR="00B0289A">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360.</w:t>
      </w:r>
    </w:p>
    <w:p w14:paraId="1A64DDD1" w14:textId="63C42506" w:rsidR="00F76A06" w:rsidRPr="00F76A06" w:rsidRDefault="00F76A06" w:rsidP="00F76A06">
      <w:pPr>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F76A06">
        <w:rPr>
          <w:rFonts w:ascii="Times New Roman" w:hAnsi="Times New Roman" w:cs="Times New Roman"/>
          <w:color w:val="222222"/>
          <w:sz w:val="24"/>
          <w:szCs w:val="24"/>
          <w:shd w:val="clear" w:color="auto" w:fill="FFFFFF"/>
        </w:rPr>
        <w:t>Jenter, D.</w:t>
      </w:r>
      <w:r w:rsidR="0009187D">
        <w:rPr>
          <w:rFonts w:ascii="Times New Roman" w:hAnsi="Times New Roman" w:cs="Times New Roman"/>
          <w:color w:val="222222"/>
          <w:sz w:val="24"/>
          <w:szCs w:val="24"/>
          <w:shd w:val="clear" w:color="auto" w:fill="FFFFFF"/>
        </w:rPr>
        <w:t>,</w:t>
      </w:r>
      <w:r w:rsidRPr="00F76A06">
        <w:rPr>
          <w:rFonts w:ascii="Times New Roman" w:hAnsi="Times New Roman" w:cs="Times New Roman"/>
          <w:color w:val="222222"/>
          <w:sz w:val="24"/>
          <w:szCs w:val="24"/>
          <w:shd w:val="clear" w:color="auto" w:fill="FFFFFF"/>
        </w:rPr>
        <w:t xml:space="preserve"> and</w:t>
      </w:r>
      <w:r w:rsidR="0009187D">
        <w:rPr>
          <w:rFonts w:ascii="Times New Roman" w:hAnsi="Times New Roman" w:cs="Times New Roman"/>
          <w:color w:val="222222"/>
          <w:sz w:val="24"/>
          <w:szCs w:val="24"/>
          <w:shd w:val="clear" w:color="auto" w:fill="FFFFFF"/>
        </w:rPr>
        <w:t xml:space="preserve"> F.</w:t>
      </w:r>
      <w:r w:rsidRPr="00F76A06">
        <w:rPr>
          <w:rFonts w:ascii="Times New Roman" w:hAnsi="Times New Roman" w:cs="Times New Roman"/>
          <w:color w:val="222222"/>
          <w:sz w:val="24"/>
          <w:szCs w:val="24"/>
          <w:shd w:val="clear" w:color="auto" w:fill="FFFFFF"/>
        </w:rPr>
        <w:t xml:space="preserve"> Kanaan</w:t>
      </w:r>
      <w:r w:rsidR="0009187D">
        <w:rPr>
          <w:rFonts w:ascii="Times New Roman" w:hAnsi="Times New Roman" w:cs="Times New Roman"/>
          <w:color w:val="222222"/>
          <w:sz w:val="24"/>
          <w:szCs w:val="24"/>
          <w:shd w:val="clear" w:color="auto" w:fill="FFFFFF"/>
        </w:rPr>
        <w:t xml:space="preserve">. </w:t>
      </w:r>
      <w:r w:rsidRPr="00F76A06">
        <w:rPr>
          <w:rFonts w:ascii="Times New Roman" w:hAnsi="Times New Roman" w:cs="Times New Roman"/>
          <w:color w:val="222222"/>
          <w:sz w:val="24"/>
          <w:szCs w:val="24"/>
          <w:shd w:val="clear" w:color="auto" w:fill="FFFFFF"/>
        </w:rPr>
        <w:t>2015. CEO turnover and relative performance evaluation. </w:t>
      </w:r>
      <w:r w:rsidRPr="00F76A06">
        <w:rPr>
          <w:rFonts w:ascii="Times New Roman" w:hAnsi="Times New Roman" w:cs="Times New Roman"/>
          <w:i/>
          <w:color w:val="222222"/>
          <w:sz w:val="24"/>
          <w:szCs w:val="24"/>
          <w:shd w:val="clear" w:color="auto" w:fill="FFFFFF"/>
        </w:rPr>
        <w:t>Journal of Finance</w:t>
      </w:r>
      <w:r>
        <w:rPr>
          <w:rFonts w:ascii="Times New Roman" w:hAnsi="Times New Roman" w:cs="Times New Roman"/>
          <w:color w:val="222222"/>
          <w:sz w:val="24"/>
          <w:szCs w:val="24"/>
          <w:shd w:val="clear" w:color="auto" w:fill="FFFFFF"/>
        </w:rPr>
        <w:t>, 70</w:t>
      </w:r>
      <w:r w:rsidR="0009187D">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(5)</w:t>
      </w:r>
      <w:r w:rsidR="0009187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F76A06">
        <w:rPr>
          <w:rFonts w:ascii="Times New Roman" w:hAnsi="Times New Roman" w:cs="Times New Roman"/>
          <w:color w:val="222222"/>
          <w:sz w:val="24"/>
          <w:szCs w:val="24"/>
          <w:shd w:val="clear" w:color="auto" w:fill="FFFFFF"/>
        </w:rPr>
        <w:t>2155-2184.</w:t>
      </w:r>
    </w:p>
    <w:p w14:paraId="44B5BD0C" w14:textId="036AE155" w:rsidR="00001AA4" w:rsidRPr="00E57A11" w:rsidRDefault="007721F4" w:rsidP="0023586E">
      <w:pPr>
        <w:spacing w:after="0" w:line="240" w:lineRule="auto"/>
        <w:ind w:left="720" w:hanging="720"/>
        <w:jc w:val="both"/>
        <w:rPr>
          <w:rFonts w:ascii="Times New Roman" w:hAnsi="Times New Roman" w:cs="Times New Roman"/>
          <w:color w:val="000000" w:themeColor="text1"/>
          <w:sz w:val="24"/>
          <w:szCs w:val="24"/>
          <w:lang w:val="en-US"/>
        </w:rPr>
      </w:pPr>
      <w:r w:rsidRPr="00E57A11">
        <w:rPr>
          <w:rFonts w:ascii="Times New Roman" w:hAnsi="Times New Roman" w:cs="Times New Roman"/>
          <w:color w:val="000000" w:themeColor="text1"/>
          <w:sz w:val="24"/>
          <w:szCs w:val="24"/>
          <w:lang w:val="en-US"/>
        </w:rPr>
        <w:t xml:space="preserve">Lambert, R., </w:t>
      </w:r>
      <w:r w:rsidR="0009187D">
        <w:rPr>
          <w:rFonts w:ascii="Times New Roman" w:hAnsi="Times New Roman" w:cs="Times New Roman"/>
          <w:color w:val="000000" w:themeColor="text1"/>
          <w:sz w:val="24"/>
          <w:szCs w:val="24"/>
          <w:lang w:val="en-US"/>
        </w:rPr>
        <w:t xml:space="preserve">D. </w:t>
      </w:r>
      <w:r w:rsidRPr="00E57A11">
        <w:rPr>
          <w:rFonts w:ascii="Times New Roman" w:hAnsi="Times New Roman" w:cs="Times New Roman"/>
          <w:color w:val="000000" w:themeColor="text1"/>
          <w:sz w:val="24"/>
          <w:szCs w:val="24"/>
          <w:lang w:val="en-US"/>
        </w:rPr>
        <w:t>Larcker,</w:t>
      </w:r>
      <w:r w:rsidR="0009187D">
        <w:rPr>
          <w:rFonts w:ascii="Times New Roman" w:hAnsi="Times New Roman" w:cs="Times New Roman"/>
          <w:color w:val="000000" w:themeColor="text1"/>
          <w:sz w:val="24"/>
          <w:szCs w:val="24"/>
          <w:lang w:val="en-US"/>
        </w:rPr>
        <w:t xml:space="preserve"> and R.</w:t>
      </w:r>
      <w:r w:rsidRPr="00E57A11">
        <w:rPr>
          <w:rFonts w:ascii="Times New Roman" w:hAnsi="Times New Roman" w:cs="Times New Roman"/>
          <w:color w:val="000000" w:themeColor="text1"/>
          <w:sz w:val="24"/>
          <w:szCs w:val="24"/>
          <w:lang w:val="en-US"/>
        </w:rPr>
        <w:t xml:space="preserve"> Verrecchia</w:t>
      </w:r>
      <w:r w:rsidR="0009187D">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1991. Portfolio considerations in valuing executive compensation. </w:t>
      </w:r>
      <w:r w:rsidRPr="00E57A11">
        <w:rPr>
          <w:rFonts w:ascii="Times New Roman" w:hAnsi="Times New Roman" w:cs="Times New Roman"/>
          <w:i/>
          <w:iCs/>
          <w:color w:val="000000" w:themeColor="text1"/>
          <w:sz w:val="24"/>
          <w:szCs w:val="24"/>
          <w:lang w:val="en-US"/>
        </w:rPr>
        <w:t>Journal of Accounting Research</w:t>
      </w:r>
      <w:r w:rsidRPr="00E57A11">
        <w:rPr>
          <w:rFonts w:ascii="Times New Roman" w:hAnsi="Times New Roman" w:cs="Times New Roman"/>
          <w:color w:val="000000" w:themeColor="text1"/>
          <w:sz w:val="24"/>
          <w:szCs w:val="24"/>
          <w:lang w:val="en-US"/>
        </w:rPr>
        <w:t xml:space="preserve"> 29</w:t>
      </w:r>
      <w:r w:rsidR="0009187D">
        <w:rPr>
          <w:rFonts w:ascii="Times New Roman" w:hAnsi="Times New Roman" w:cs="Times New Roman"/>
          <w:color w:val="000000" w:themeColor="text1"/>
          <w:sz w:val="24"/>
          <w:szCs w:val="24"/>
          <w:lang w:val="en-US"/>
        </w:rPr>
        <w:t xml:space="preserve"> </w:t>
      </w:r>
      <w:r w:rsidR="003A15E4" w:rsidRPr="00E57A11">
        <w:rPr>
          <w:rFonts w:ascii="Times New Roman" w:hAnsi="Times New Roman" w:cs="Times New Roman"/>
          <w:color w:val="000000" w:themeColor="text1"/>
          <w:sz w:val="24"/>
          <w:szCs w:val="24"/>
          <w:lang w:val="en-US"/>
        </w:rPr>
        <w:t>(1)</w:t>
      </w:r>
      <w:r w:rsidR="0009187D">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129</w:t>
      </w:r>
      <w:r w:rsidR="00B0289A">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149.</w:t>
      </w:r>
      <w:r w:rsidR="00001AA4" w:rsidRPr="00E57A11">
        <w:rPr>
          <w:rFonts w:ascii="Times New Roman" w:hAnsi="Times New Roman" w:cs="Times New Roman"/>
          <w:color w:val="000000" w:themeColor="text1"/>
          <w:sz w:val="24"/>
          <w:szCs w:val="24"/>
          <w:lang w:val="en-US"/>
        </w:rPr>
        <w:t xml:space="preserve"> </w:t>
      </w:r>
    </w:p>
    <w:p w14:paraId="7ACC6C4A" w14:textId="5FE8D8F3" w:rsidR="00D03CD9" w:rsidRPr="00E57A11" w:rsidRDefault="00D03CD9" w:rsidP="00D03CD9">
      <w:pPr>
        <w:spacing w:after="0" w:line="240" w:lineRule="auto"/>
        <w:ind w:left="720" w:hanging="720"/>
        <w:jc w:val="both"/>
        <w:rPr>
          <w:rFonts w:ascii="Times New Roman" w:hAnsi="Times New Roman" w:cs="Times New Roman"/>
          <w:color w:val="000000" w:themeColor="text1"/>
          <w:sz w:val="24"/>
          <w:szCs w:val="24"/>
          <w:lang w:val="en-US"/>
        </w:rPr>
      </w:pPr>
      <w:r w:rsidRPr="00E57A11">
        <w:rPr>
          <w:rFonts w:ascii="Times New Roman" w:hAnsi="Times New Roman" w:cs="Times New Roman"/>
          <w:color w:val="000000" w:themeColor="text1"/>
          <w:sz w:val="24"/>
          <w:szCs w:val="24"/>
          <w:lang w:val="en-US"/>
        </w:rPr>
        <w:t xml:space="preserve">Leone, A. J., </w:t>
      </w:r>
      <w:r w:rsidR="0009187D">
        <w:rPr>
          <w:rFonts w:ascii="Times New Roman" w:hAnsi="Times New Roman" w:cs="Times New Roman"/>
          <w:color w:val="000000" w:themeColor="text1"/>
          <w:sz w:val="24"/>
          <w:szCs w:val="24"/>
          <w:lang w:val="en-US"/>
        </w:rPr>
        <w:t xml:space="preserve">and S. </w:t>
      </w:r>
      <w:r w:rsidRPr="00E57A11">
        <w:rPr>
          <w:rFonts w:ascii="Times New Roman" w:hAnsi="Times New Roman" w:cs="Times New Roman"/>
          <w:color w:val="000000" w:themeColor="text1"/>
          <w:sz w:val="24"/>
          <w:szCs w:val="24"/>
          <w:lang w:val="en-US"/>
        </w:rPr>
        <w:t>Rock</w:t>
      </w:r>
      <w:r w:rsidR="0009187D">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2002. Empirical tests of budget ratcheting and its effect on managers’</w:t>
      </w:r>
    </w:p>
    <w:p w14:paraId="04137B5B" w14:textId="158B5DBA" w:rsidR="004457CB" w:rsidRDefault="00D03CD9" w:rsidP="004457CB">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ab/>
      </w:r>
      <w:r w:rsidRPr="00E57A11">
        <w:rPr>
          <w:rFonts w:ascii="Times New Roman" w:hAnsi="Times New Roman" w:cs="Times New Roman"/>
          <w:color w:val="000000" w:themeColor="text1"/>
          <w:sz w:val="24"/>
          <w:szCs w:val="24"/>
          <w:lang w:val="en-US"/>
        </w:rPr>
        <w:t>discretionary accrual choices</w:t>
      </w:r>
      <w:r w:rsidRPr="00E57A11">
        <w:rPr>
          <w:rFonts w:ascii="Times New Roman" w:hAnsi="Times New Roman" w:cs="Times New Roman"/>
          <w:i/>
          <w:color w:val="000000" w:themeColor="text1"/>
          <w:sz w:val="24"/>
          <w:szCs w:val="24"/>
          <w:lang w:val="en-US"/>
        </w:rPr>
        <w:t>. Journal of Accounting and Economics</w:t>
      </w:r>
      <w:r w:rsidR="0009187D">
        <w:rPr>
          <w:rFonts w:ascii="Times New Roman" w:hAnsi="Times New Roman" w:cs="Times New Roman"/>
          <w:i/>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33</w:t>
      </w:r>
      <w:r w:rsidR="0009187D">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(1)</w:t>
      </w:r>
      <w:r w:rsidR="0009187D">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43</w:t>
      </w:r>
      <w:r w:rsidR="00B0289A">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67.</w:t>
      </w:r>
    </w:p>
    <w:p w14:paraId="21805351" w14:textId="45836AA2" w:rsidR="004457CB" w:rsidRPr="004457CB" w:rsidRDefault="004457CB" w:rsidP="004457CB">
      <w:pPr>
        <w:spacing w:after="0" w:line="240" w:lineRule="auto"/>
        <w:ind w:left="720" w:hanging="720"/>
        <w:jc w:val="both"/>
        <w:rPr>
          <w:rFonts w:ascii="Times New Roman" w:hAnsi="Times New Roman" w:cs="Times New Roman"/>
          <w:sz w:val="24"/>
          <w:szCs w:val="24"/>
          <w:lang w:val="en-US"/>
        </w:rPr>
      </w:pPr>
      <w:r w:rsidRPr="004457CB">
        <w:rPr>
          <w:rFonts w:ascii="Times New Roman" w:hAnsi="Times New Roman" w:cs="Times New Roman"/>
          <w:sz w:val="24"/>
          <w:szCs w:val="24"/>
          <w:lang w:val="en-US"/>
        </w:rPr>
        <w:lastRenderedPageBreak/>
        <w:t>Leverty, J.</w:t>
      </w:r>
      <w:r w:rsidR="0009187D">
        <w:rPr>
          <w:rFonts w:ascii="Times New Roman" w:hAnsi="Times New Roman" w:cs="Times New Roman"/>
          <w:sz w:val="24"/>
          <w:szCs w:val="24"/>
          <w:lang w:val="en-US"/>
        </w:rPr>
        <w:t xml:space="preserve"> </w:t>
      </w:r>
      <w:r w:rsidRPr="004457CB">
        <w:rPr>
          <w:rFonts w:ascii="Times New Roman" w:hAnsi="Times New Roman" w:cs="Times New Roman"/>
          <w:sz w:val="24"/>
          <w:szCs w:val="24"/>
          <w:lang w:val="en-US"/>
        </w:rPr>
        <w:t>T.</w:t>
      </w:r>
      <w:r w:rsidR="0009187D">
        <w:rPr>
          <w:rFonts w:ascii="Times New Roman" w:hAnsi="Times New Roman" w:cs="Times New Roman"/>
          <w:sz w:val="24"/>
          <w:szCs w:val="24"/>
          <w:lang w:val="en-US"/>
        </w:rPr>
        <w:t>,</w:t>
      </w:r>
      <w:r w:rsidRPr="004457CB">
        <w:rPr>
          <w:rFonts w:ascii="Times New Roman" w:hAnsi="Times New Roman" w:cs="Times New Roman"/>
          <w:sz w:val="24"/>
          <w:szCs w:val="24"/>
          <w:lang w:val="en-US"/>
        </w:rPr>
        <w:t xml:space="preserve"> and </w:t>
      </w:r>
      <w:r w:rsidR="0009187D">
        <w:rPr>
          <w:rFonts w:ascii="Times New Roman" w:hAnsi="Times New Roman" w:cs="Times New Roman"/>
          <w:sz w:val="24"/>
          <w:szCs w:val="24"/>
          <w:lang w:val="en-US"/>
        </w:rPr>
        <w:t xml:space="preserve">M. F. </w:t>
      </w:r>
      <w:r w:rsidRPr="004457CB">
        <w:rPr>
          <w:rFonts w:ascii="Times New Roman" w:hAnsi="Times New Roman" w:cs="Times New Roman"/>
          <w:sz w:val="24"/>
          <w:szCs w:val="24"/>
          <w:lang w:val="en-US"/>
        </w:rPr>
        <w:t>Grace</w:t>
      </w:r>
      <w:r w:rsidR="0009187D">
        <w:rPr>
          <w:rFonts w:ascii="Times New Roman" w:hAnsi="Times New Roman" w:cs="Times New Roman"/>
          <w:sz w:val="24"/>
          <w:szCs w:val="24"/>
          <w:lang w:val="en-US"/>
        </w:rPr>
        <w:t>.</w:t>
      </w:r>
      <w:r w:rsidRPr="004457CB">
        <w:rPr>
          <w:rFonts w:ascii="Times New Roman" w:hAnsi="Times New Roman" w:cs="Times New Roman"/>
          <w:sz w:val="24"/>
          <w:szCs w:val="24"/>
          <w:lang w:val="en-US"/>
        </w:rPr>
        <w:t xml:space="preserve"> 2012. Dupes or incompetents? An examination of management's impact on firm distress. </w:t>
      </w:r>
      <w:r w:rsidRPr="004457CB">
        <w:rPr>
          <w:rFonts w:ascii="Times New Roman" w:hAnsi="Times New Roman" w:cs="Times New Roman"/>
          <w:i/>
          <w:sz w:val="24"/>
          <w:szCs w:val="24"/>
          <w:lang w:val="en-US"/>
        </w:rPr>
        <w:t>Journal of Risk and Insurance</w:t>
      </w:r>
      <w:r w:rsidRPr="004457CB">
        <w:rPr>
          <w:rFonts w:ascii="Times New Roman" w:hAnsi="Times New Roman" w:cs="Times New Roman"/>
          <w:sz w:val="24"/>
          <w:szCs w:val="24"/>
          <w:lang w:val="en-US"/>
        </w:rPr>
        <w:t> 79</w:t>
      </w:r>
      <w:r w:rsidR="0009187D">
        <w:rPr>
          <w:rFonts w:ascii="Times New Roman" w:hAnsi="Times New Roman" w:cs="Times New Roman"/>
          <w:sz w:val="24"/>
          <w:szCs w:val="24"/>
          <w:lang w:val="en-US"/>
        </w:rPr>
        <w:t xml:space="preserve"> </w:t>
      </w:r>
      <w:r>
        <w:rPr>
          <w:rFonts w:ascii="Times New Roman" w:hAnsi="Times New Roman" w:cs="Times New Roman"/>
          <w:sz w:val="24"/>
          <w:szCs w:val="24"/>
          <w:lang w:val="en-US"/>
        </w:rPr>
        <w:t>(3)</w:t>
      </w:r>
      <w:r w:rsidR="0009187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457CB">
        <w:rPr>
          <w:rFonts w:ascii="Times New Roman" w:hAnsi="Times New Roman" w:cs="Times New Roman"/>
          <w:sz w:val="24"/>
          <w:szCs w:val="24"/>
          <w:lang w:val="en-US"/>
        </w:rPr>
        <w:t>751-783.</w:t>
      </w:r>
    </w:p>
    <w:p w14:paraId="7209ED42" w14:textId="615D63A8" w:rsidR="007721F4" w:rsidRPr="00E57A11" w:rsidRDefault="007721F4" w:rsidP="0023586E">
      <w:pPr>
        <w:spacing w:after="0" w:line="240" w:lineRule="auto"/>
        <w:ind w:left="720" w:hanging="720"/>
        <w:jc w:val="both"/>
        <w:rPr>
          <w:rFonts w:ascii="Times New Roman" w:hAnsi="Times New Roman" w:cs="Times New Roman"/>
          <w:color w:val="000000" w:themeColor="text1"/>
          <w:sz w:val="24"/>
          <w:szCs w:val="24"/>
          <w:lang w:val="en-US"/>
        </w:rPr>
      </w:pPr>
      <w:r w:rsidRPr="00E57A11">
        <w:rPr>
          <w:rFonts w:ascii="Times New Roman" w:hAnsi="Times New Roman" w:cs="Times New Roman"/>
          <w:color w:val="000000" w:themeColor="text1"/>
          <w:sz w:val="24"/>
          <w:szCs w:val="24"/>
          <w:lang w:val="en-US"/>
        </w:rPr>
        <w:t xml:space="preserve">Lewellen, K. 2006. Financing decisions when managers are risk averse. </w:t>
      </w:r>
      <w:r w:rsidRPr="00E57A11">
        <w:rPr>
          <w:rFonts w:ascii="Times New Roman" w:hAnsi="Times New Roman" w:cs="Times New Roman"/>
          <w:i/>
          <w:iCs/>
          <w:color w:val="000000" w:themeColor="text1"/>
          <w:sz w:val="24"/>
          <w:szCs w:val="24"/>
          <w:lang w:val="en-US"/>
        </w:rPr>
        <w:t>Journal of Financial Economics</w:t>
      </w:r>
      <w:r w:rsidR="00B478E8" w:rsidRPr="00E57A11">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82</w:t>
      </w:r>
      <w:r w:rsidR="0009187D">
        <w:rPr>
          <w:rFonts w:ascii="Times New Roman" w:hAnsi="Times New Roman" w:cs="Times New Roman"/>
          <w:color w:val="000000" w:themeColor="text1"/>
          <w:sz w:val="24"/>
          <w:szCs w:val="24"/>
          <w:lang w:val="en-US"/>
        </w:rPr>
        <w:t xml:space="preserve"> </w:t>
      </w:r>
      <w:r w:rsidR="00B478E8" w:rsidRPr="00E57A11">
        <w:rPr>
          <w:rFonts w:ascii="Times New Roman" w:hAnsi="Times New Roman" w:cs="Times New Roman"/>
          <w:color w:val="000000" w:themeColor="text1"/>
          <w:sz w:val="24"/>
          <w:szCs w:val="24"/>
          <w:lang w:val="en-US"/>
        </w:rPr>
        <w:t>(3)</w:t>
      </w:r>
      <w:r w:rsidR="0009187D">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551</w:t>
      </w:r>
      <w:r w:rsidR="00B0289A">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589.</w:t>
      </w:r>
    </w:p>
    <w:p w14:paraId="22515479" w14:textId="239092FF" w:rsidR="007C4840" w:rsidRPr="00B0289A" w:rsidRDefault="007C4840" w:rsidP="00B0289A">
      <w:pPr>
        <w:spacing w:after="0" w:line="240" w:lineRule="auto"/>
        <w:ind w:left="720" w:hanging="720"/>
        <w:jc w:val="both"/>
        <w:rPr>
          <w:rFonts w:ascii="Times New Roman" w:hAnsi="Times New Roman" w:cs="Times New Roman"/>
          <w:color w:val="000000" w:themeColor="text1"/>
          <w:sz w:val="24"/>
          <w:szCs w:val="24"/>
          <w:lang w:val="en-US"/>
        </w:rPr>
      </w:pPr>
      <w:r w:rsidRPr="00E57A11">
        <w:rPr>
          <w:rFonts w:ascii="Times New Roman" w:hAnsi="Times New Roman" w:cs="Times New Roman"/>
          <w:color w:val="000000" w:themeColor="text1"/>
          <w:sz w:val="24"/>
          <w:szCs w:val="24"/>
          <w:lang w:val="en-US"/>
        </w:rPr>
        <w:t xml:space="preserve">Li, X., </w:t>
      </w:r>
      <w:r w:rsidR="0009187D">
        <w:rPr>
          <w:rFonts w:ascii="Times New Roman" w:hAnsi="Times New Roman" w:cs="Times New Roman"/>
          <w:color w:val="000000" w:themeColor="text1"/>
          <w:sz w:val="24"/>
          <w:szCs w:val="24"/>
          <w:lang w:val="en-US"/>
        </w:rPr>
        <w:t xml:space="preserve">and A. </w:t>
      </w:r>
      <w:r w:rsidRPr="00E57A11">
        <w:rPr>
          <w:rFonts w:ascii="Times New Roman" w:hAnsi="Times New Roman" w:cs="Times New Roman"/>
          <w:color w:val="000000" w:themeColor="text1"/>
          <w:sz w:val="24"/>
          <w:szCs w:val="24"/>
          <w:lang w:val="en-US"/>
        </w:rPr>
        <w:t>Raghunandan</w:t>
      </w:r>
      <w:r w:rsidR="0009187D">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202</w:t>
      </w:r>
      <w:r w:rsidR="00A948CE">
        <w:rPr>
          <w:rFonts w:ascii="Times New Roman" w:hAnsi="Times New Roman" w:cs="Times New Roman"/>
          <w:color w:val="000000" w:themeColor="text1"/>
          <w:sz w:val="24"/>
          <w:szCs w:val="24"/>
          <w:lang w:val="en-US"/>
        </w:rPr>
        <w:t>1</w:t>
      </w:r>
      <w:r w:rsidRPr="00E57A11">
        <w:rPr>
          <w:rFonts w:ascii="Times New Roman" w:hAnsi="Times New Roman" w:cs="Times New Roman"/>
          <w:color w:val="000000" w:themeColor="text1"/>
          <w:sz w:val="24"/>
          <w:szCs w:val="24"/>
          <w:lang w:val="en-US"/>
        </w:rPr>
        <w:t xml:space="preserve">. Institutional ownership and labor-related misconduct: Evidence from U.S. federal violations. Available at SSRN: </w:t>
      </w:r>
      <w:r w:rsidR="00B0289A" w:rsidRPr="00B2146B">
        <w:rPr>
          <w:rFonts w:ascii="Times New Roman" w:hAnsi="Times New Roman" w:cs="Times New Roman"/>
          <w:sz w:val="24"/>
          <w:szCs w:val="24"/>
        </w:rPr>
        <w:t>https://ssrn.com/abstract=3460126</w:t>
      </w:r>
      <w:r w:rsidR="0009187D">
        <w:rPr>
          <w:rFonts w:ascii="Times New Roman" w:hAnsi="Times New Roman" w:cs="Times New Roman"/>
          <w:color w:val="505050"/>
          <w:sz w:val="24"/>
          <w:szCs w:val="24"/>
          <w:shd w:val="clear" w:color="auto" w:fill="FFFFFF"/>
        </w:rPr>
        <w:t>.</w:t>
      </w:r>
      <w:r w:rsidR="00B0289A" w:rsidRPr="00B0289A" w:rsidDel="00B0289A">
        <w:rPr>
          <w:rStyle w:val="Hyperlink"/>
          <w:rFonts w:ascii="Times New Roman" w:hAnsi="Times New Roman" w:cs="Times New Roman"/>
          <w:sz w:val="24"/>
          <w:szCs w:val="24"/>
          <w:lang w:val="en-US"/>
        </w:rPr>
        <w:t xml:space="preserve"> </w:t>
      </w:r>
    </w:p>
    <w:p w14:paraId="691F522F" w14:textId="1EDB2799" w:rsidR="00BD5CE8" w:rsidRPr="00E57A11" w:rsidRDefault="00BD5CE8" w:rsidP="007C4840">
      <w:pPr>
        <w:spacing w:after="0" w:line="240" w:lineRule="auto"/>
        <w:ind w:left="720" w:hanging="720"/>
        <w:jc w:val="both"/>
        <w:rPr>
          <w:rFonts w:ascii="Times New Roman" w:hAnsi="Times New Roman" w:cs="Times New Roman"/>
          <w:color w:val="000000" w:themeColor="text1"/>
          <w:sz w:val="24"/>
          <w:szCs w:val="24"/>
          <w:lang w:val="en-US"/>
        </w:rPr>
      </w:pPr>
      <w:r w:rsidRPr="00BD5CE8">
        <w:rPr>
          <w:rFonts w:ascii="Times New Roman" w:hAnsi="Times New Roman" w:cs="Times New Roman"/>
          <w:color w:val="000000" w:themeColor="text1"/>
          <w:sz w:val="24"/>
          <w:szCs w:val="24"/>
          <w:lang w:val="en-US"/>
        </w:rPr>
        <w:t xml:space="preserve">Lins, K. V., </w:t>
      </w:r>
      <w:r w:rsidR="0009187D">
        <w:rPr>
          <w:rFonts w:ascii="Times New Roman" w:hAnsi="Times New Roman" w:cs="Times New Roman"/>
          <w:color w:val="000000" w:themeColor="text1"/>
          <w:sz w:val="24"/>
          <w:szCs w:val="24"/>
          <w:lang w:val="en-US"/>
        </w:rPr>
        <w:t xml:space="preserve">H. </w:t>
      </w:r>
      <w:r w:rsidRPr="00BD5CE8">
        <w:rPr>
          <w:rFonts w:ascii="Times New Roman" w:hAnsi="Times New Roman" w:cs="Times New Roman"/>
          <w:color w:val="000000" w:themeColor="text1"/>
          <w:sz w:val="24"/>
          <w:szCs w:val="24"/>
          <w:lang w:val="en-US"/>
        </w:rPr>
        <w:t xml:space="preserve">Servaes, </w:t>
      </w:r>
      <w:r w:rsidR="0009187D">
        <w:rPr>
          <w:rFonts w:ascii="Times New Roman" w:hAnsi="Times New Roman" w:cs="Times New Roman"/>
          <w:color w:val="000000" w:themeColor="text1"/>
          <w:sz w:val="24"/>
          <w:szCs w:val="24"/>
          <w:lang w:val="en-US"/>
        </w:rPr>
        <w:t xml:space="preserve">and A. </w:t>
      </w:r>
      <w:r w:rsidRPr="00BD5CE8">
        <w:rPr>
          <w:rFonts w:ascii="Times New Roman" w:hAnsi="Times New Roman" w:cs="Times New Roman"/>
          <w:color w:val="000000" w:themeColor="text1"/>
          <w:sz w:val="24"/>
          <w:szCs w:val="24"/>
          <w:lang w:val="en-US"/>
        </w:rPr>
        <w:t>Tamayo</w:t>
      </w:r>
      <w:r w:rsidR="0009187D">
        <w:rPr>
          <w:rFonts w:ascii="Times New Roman" w:hAnsi="Times New Roman" w:cs="Times New Roman"/>
          <w:color w:val="000000" w:themeColor="text1"/>
          <w:sz w:val="24"/>
          <w:szCs w:val="24"/>
          <w:lang w:val="en-US"/>
        </w:rPr>
        <w:t>.</w:t>
      </w:r>
      <w:r w:rsidRPr="00BD5CE8">
        <w:rPr>
          <w:rFonts w:ascii="Times New Roman" w:hAnsi="Times New Roman" w:cs="Times New Roman"/>
          <w:color w:val="000000" w:themeColor="text1"/>
          <w:sz w:val="24"/>
          <w:szCs w:val="24"/>
          <w:lang w:val="en-US"/>
        </w:rPr>
        <w:t xml:space="preserve"> 2017. Social capital, trust, and firm performance: The value of corporate social responsibility during the financial crisis. </w:t>
      </w:r>
      <w:r w:rsidRPr="00E57A11">
        <w:rPr>
          <w:rFonts w:ascii="Times New Roman" w:hAnsi="Times New Roman" w:cs="Times New Roman"/>
          <w:i/>
          <w:color w:val="000000" w:themeColor="text1"/>
          <w:sz w:val="24"/>
          <w:szCs w:val="24"/>
          <w:lang w:val="en-US"/>
        </w:rPr>
        <w:t>The Journal of Finance</w:t>
      </w:r>
      <w:r w:rsidRPr="00BD5CE8">
        <w:rPr>
          <w:rFonts w:ascii="Times New Roman" w:hAnsi="Times New Roman" w:cs="Times New Roman"/>
          <w:color w:val="000000" w:themeColor="text1"/>
          <w:sz w:val="24"/>
          <w:szCs w:val="24"/>
          <w:lang w:val="en-US"/>
        </w:rPr>
        <w:t>, 72</w:t>
      </w:r>
      <w:r w:rsidR="00DF7E69">
        <w:rPr>
          <w:rFonts w:ascii="Times New Roman" w:hAnsi="Times New Roman" w:cs="Times New Roman"/>
          <w:color w:val="000000" w:themeColor="text1"/>
          <w:sz w:val="24"/>
          <w:szCs w:val="24"/>
          <w:lang w:val="en-US"/>
        </w:rPr>
        <w:t xml:space="preserve"> </w:t>
      </w:r>
      <w:r w:rsidRPr="00BD5CE8">
        <w:rPr>
          <w:rFonts w:ascii="Times New Roman" w:hAnsi="Times New Roman" w:cs="Times New Roman"/>
          <w:color w:val="000000" w:themeColor="text1"/>
          <w:sz w:val="24"/>
          <w:szCs w:val="24"/>
          <w:lang w:val="en-US"/>
        </w:rPr>
        <w:t>(4</w:t>
      </w:r>
      <w:r w:rsidR="00DF7E69">
        <w:rPr>
          <w:rFonts w:ascii="Times New Roman" w:hAnsi="Times New Roman" w:cs="Times New Roman"/>
          <w:color w:val="000000" w:themeColor="text1"/>
          <w:sz w:val="24"/>
          <w:szCs w:val="24"/>
          <w:lang w:val="en-US"/>
        </w:rPr>
        <w:t>):</w:t>
      </w:r>
      <w:r w:rsidRPr="00BD5CE8">
        <w:rPr>
          <w:rFonts w:ascii="Times New Roman" w:hAnsi="Times New Roman" w:cs="Times New Roman"/>
          <w:color w:val="000000" w:themeColor="text1"/>
          <w:sz w:val="24"/>
          <w:szCs w:val="24"/>
          <w:lang w:val="en-US"/>
        </w:rPr>
        <w:t xml:space="preserve"> 1785-1824.</w:t>
      </w:r>
    </w:p>
    <w:p w14:paraId="0E89F1FE" w14:textId="66F73DC8" w:rsidR="00C45F3D" w:rsidRDefault="00C45F3D" w:rsidP="0023586E">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en-US"/>
        </w:rPr>
      </w:pPr>
      <w:r w:rsidRPr="00E57A11">
        <w:rPr>
          <w:rFonts w:ascii="Times New Roman" w:hAnsi="Times New Roman" w:cs="Times New Roman"/>
          <w:color w:val="000000" w:themeColor="text1"/>
          <w:sz w:val="24"/>
          <w:szCs w:val="24"/>
          <w:lang w:val="en-US"/>
        </w:rPr>
        <w:t xml:space="preserve">Low, A. 2009. Managerial </w:t>
      </w:r>
      <w:r w:rsidR="00635BBA" w:rsidRPr="00E57A11">
        <w:rPr>
          <w:rFonts w:ascii="Times New Roman" w:hAnsi="Times New Roman" w:cs="Times New Roman"/>
          <w:color w:val="000000" w:themeColor="text1"/>
          <w:sz w:val="24"/>
          <w:szCs w:val="24"/>
          <w:lang w:val="en-US"/>
        </w:rPr>
        <w:t>risk-taking</w:t>
      </w:r>
      <w:r w:rsidRPr="00E57A11">
        <w:rPr>
          <w:rFonts w:ascii="Times New Roman" w:hAnsi="Times New Roman" w:cs="Times New Roman"/>
          <w:color w:val="000000" w:themeColor="text1"/>
          <w:sz w:val="24"/>
          <w:szCs w:val="24"/>
          <w:lang w:val="en-US"/>
        </w:rPr>
        <w:t xml:space="preserve"> behavior and equity-based compensation. </w:t>
      </w:r>
      <w:r w:rsidRPr="00E57A11">
        <w:rPr>
          <w:rFonts w:ascii="Times New Roman" w:hAnsi="Times New Roman" w:cs="Times New Roman"/>
          <w:i/>
          <w:iCs/>
          <w:color w:val="000000" w:themeColor="text1"/>
          <w:sz w:val="24"/>
          <w:szCs w:val="24"/>
          <w:lang w:val="en-US"/>
        </w:rPr>
        <w:t>Journal of Financial Economics</w:t>
      </w:r>
      <w:r w:rsidRPr="00E57A11">
        <w:rPr>
          <w:rFonts w:ascii="Times New Roman" w:hAnsi="Times New Roman" w:cs="Times New Roman"/>
          <w:color w:val="000000" w:themeColor="text1"/>
          <w:sz w:val="24"/>
          <w:szCs w:val="24"/>
          <w:lang w:val="en-US"/>
        </w:rPr>
        <w:t xml:space="preserve"> 92</w:t>
      </w:r>
      <w:r w:rsidR="00DF7E69">
        <w:rPr>
          <w:rFonts w:ascii="Times New Roman" w:hAnsi="Times New Roman" w:cs="Times New Roman"/>
          <w:color w:val="000000" w:themeColor="text1"/>
          <w:sz w:val="24"/>
          <w:szCs w:val="24"/>
          <w:lang w:val="en-US"/>
        </w:rPr>
        <w:t xml:space="preserve"> </w:t>
      </w:r>
      <w:r w:rsidR="00B478E8" w:rsidRPr="00E57A11">
        <w:rPr>
          <w:rFonts w:ascii="Times New Roman" w:hAnsi="Times New Roman" w:cs="Times New Roman"/>
          <w:color w:val="000000" w:themeColor="text1"/>
          <w:sz w:val="24"/>
          <w:szCs w:val="24"/>
          <w:lang w:val="en-US"/>
        </w:rPr>
        <w:t>(3)</w:t>
      </w:r>
      <w:r w:rsidR="00DF7E69">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470</w:t>
      </w:r>
      <w:r w:rsidR="00B0289A">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490. </w:t>
      </w:r>
    </w:p>
    <w:p w14:paraId="53766737" w14:textId="1BC17C48" w:rsidR="00AD30E3" w:rsidRPr="00E57A11" w:rsidRDefault="00AD30E3" w:rsidP="00FE52E6">
      <w:pPr>
        <w:spacing w:after="0" w:line="240" w:lineRule="auto"/>
        <w:ind w:left="720" w:hanging="720"/>
        <w:jc w:val="both"/>
        <w:rPr>
          <w:rFonts w:ascii="Times New Roman" w:hAnsi="Times New Roman" w:cs="Times New Roman"/>
          <w:color w:val="000000" w:themeColor="text1"/>
          <w:sz w:val="24"/>
          <w:szCs w:val="24"/>
          <w:lang w:val="en-US"/>
        </w:rPr>
      </w:pPr>
      <w:r w:rsidRPr="001D4CFE">
        <w:rPr>
          <w:rFonts w:ascii="Times New Roman" w:hAnsi="Times New Roman" w:cs="Times New Roman"/>
          <w:color w:val="222222"/>
          <w:sz w:val="24"/>
          <w:szCs w:val="24"/>
          <w:shd w:val="clear" w:color="auto" w:fill="FFFFFF"/>
        </w:rPr>
        <w:t xml:space="preserve">Lu, B., </w:t>
      </w:r>
      <w:r w:rsidR="00DF7E69">
        <w:rPr>
          <w:rFonts w:ascii="Times New Roman" w:hAnsi="Times New Roman" w:cs="Times New Roman"/>
          <w:color w:val="222222"/>
          <w:sz w:val="24"/>
          <w:szCs w:val="24"/>
          <w:shd w:val="clear" w:color="auto" w:fill="FFFFFF"/>
        </w:rPr>
        <w:t xml:space="preserve">E. </w:t>
      </w:r>
      <w:proofErr w:type="spellStart"/>
      <w:r w:rsidRPr="001D4CFE">
        <w:rPr>
          <w:rFonts w:ascii="Times New Roman" w:hAnsi="Times New Roman" w:cs="Times New Roman"/>
          <w:color w:val="222222"/>
          <w:sz w:val="24"/>
          <w:szCs w:val="24"/>
          <w:shd w:val="clear" w:color="auto" w:fill="FFFFFF"/>
        </w:rPr>
        <w:t>Zanutto</w:t>
      </w:r>
      <w:proofErr w:type="spellEnd"/>
      <w:r w:rsidRPr="001D4CFE">
        <w:rPr>
          <w:rFonts w:ascii="Times New Roman" w:hAnsi="Times New Roman" w:cs="Times New Roman"/>
          <w:color w:val="222222"/>
          <w:sz w:val="24"/>
          <w:szCs w:val="24"/>
          <w:shd w:val="clear" w:color="auto" w:fill="FFFFFF"/>
        </w:rPr>
        <w:t xml:space="preserve">, </w:t>
      </w:r>
      <w:r w:rsidR="00DF7E69">
        <w:rPr>
          <w:rFonts w:ascii="Times New Roman" w:hAnsi="Times New Roman" w:cs="Times New Roman"/>
          <w:color w:val="222222"/>
          <w:sz w:val="24"/>
          <w:szCs w:val="24"/>
          <w:shd w:val="clear" w:color="auto" w:fill="FFFFFF"/>
        </w:rPr>
        <w:t xml:space="preserve">R. </w:t>
      </w:r>
      <w:r w:rsidRPr="001D4CFE">
        <w:rPr>
          <w:rFonts w:ascii="Times New Roman" w:hAnsi="Times New Roman" w:cs="Times New Roman"/>
          <w:color w:val="222222"/>
          <w:sz w:val="24"/>
          <w:szCs w:val="24"/>
          <w:shd w:val="clear" w:color="auto" w:fill="FFFFFF"/>
        </w:rPr>
        <w:t>Hornik,</w:t>
      </w:r>
      <w:r w:rsidR="00DF7E69">
        <w:rPr>
          <w:rFonts w:ascii="Times New Roman" w:hAnsi="Times New Roman" w:cs="Times New Roman"/>
          <w:color w:val="222222"/>
          <w:sz w:val="24"/>
          <w:szCs w:val="24"/>
          <w:shd w:val="clear" w:color="auto" w:fill="FFFFFF"/>
        </w:rPr>
        <w:t xml:space="preserve"> </w:t>
      </w:r>
      <w:r w:rsidRPr="001D4CFE">
        <w:rPr>
          <w:rFonts w:ascii="Times New Roman" w:hAnsi="Times New Roman" w:cs="Times New Roman"/>
          <w:color w:val="222222"/>
          <w:sz w:val="24"/>
          <w:szCs w:val="24"/>
          <w:shd w:val="clear" w:color="auto" w:fill="FFFFFF"/>
        </w:rPr>
        <w:t>and</w:t>
      </w:r>
      <w:r w:rsidR="00DF7E69">
        <w:rPr>
          <w:rFonts w:ascii="Times New Roman" w:hAnsi="Times New Roman" w:cs="Times New Roman"/>
          <w:color w:val="222222"/>
          <w:sz w:val="24"/>
          <w:szCs w:val="24"/>
          <w:shd w:val="clear" w:color="auto" w:fill="FFFFFF"/>
        </w:rPr>
        <w:t xml:space="preserve"> P. R.</w:t>
      </w:r>
      <w:r w:rsidRPr="001D4CFE">
        <w:rPr>
          <w:rFonts w:ascii="Times New Roman" w:hAnsi="Times New Roman" w:cs="Times New Roman"/>
          <w:color w:val="222222"/>
          <w:sz w:val="24"/>
          <w:szCs w:val="24"/>
          <w:shd w:val="clear" w:color="auto" w:fill="FFFFFF"/>
        </w:rPr>
        <w:t xml:space="preserve"> </w:t>
      </w:r>
      <w:r w:rsidRPr="00AD30E3">
        <w:rPr>
          <w:rFonts w:ascii="Times New Roman" w:hAnsi="Times New Roman" w:cs="Times New Roman"/>
          <w:color w:val="222222"/>
          <w:sz w:val="24"/>
          <w:szCs w:val="24"/>
          <w:shd w:val="clear" w:color="auto" w:fill="FFFFFF"/>
        </w:rPr>
        <w:t>Rosenbaum</w:t>
      </w:r>
      <w:r w:rsidR="00DF7E69">
        <w:rPr>
          <w:rFonts w:ascii="Times New Roman" w:hAnsi="Times New Roman" w:cs="Times New Roman"/>
          <w:color w:val="222222"/>
          <w:sz w:val="24"/>
          <w:szCs w:val="24"/>
          <w:shd w:val="clear" w:color="auto" w:fill="FFFFFF"/>
        </w:rPr>
        <w:t>.</w:t>
      </w:r>
      <w:r w:rsidRPr="00AD30E3">
        <w:rPr>
          <w:rFonts w:ascii="Times New Roman" w:hAnsi="Times New Roman" w:cs="Times New Roman"/>
          <w:color w:val="222222"/>
          <w:sz w:val="24"/>
          <w:szCs w:val="24"/>
          <w:shd w:val="clear" w:color="auto" w:fill="FFFFFF"/>
        </w:rPr>
        <w:t xml:space="preserve"> 2001. Matching with doses in an observational study of a media campaign against drug abuse. </w:t>
      </w:r>
      <w:r w:rsidRPr="00AD30E3">
        <w:rPr>
          <w:rFonts w:ascii="Times New Roman" w:hAnsi="Times New Roman" w:cs="Times New Roman"/>
          <w:i/>
          <w:iCs/>
          <w:color w:val="222222"/>
          <w:sz w:val="24"/>
          <w:szCs w:val="24"/>
          <w:shd w:val="clear" w:color="auto" w:fill="FFFFFF"/>
        </w:rPr>
        <w:t>Journal of the American Statistical Association</w:t>
      </w:r>
      <w:r w:rsidR="00DF7E69">
        <w:rPr>
          <w:rFonts w:ascii="Times New Roman" w:hAnsi="Times New Roman" w:cs="Times New Roman"/>
          <w:color w:val="222222"/>
          <w:sz w:val="24"/>
          <w:szCs w:val="24"/>
          <w:shd w:val="clear" w:color="auto" w:fill="FFFFFF"/>
        </w:rPr>
        <w:t xml:space="preserve"> </w:t>
      </w:r>
      <w:r w:rsidRPr="00FE52E6">
        <w:rPr>
          <w:rFonts w:ascii="Times New Roman" w:hAnsi="Times New Roman" w:cs="Times New Roman"/>
          <w:color w:val="222222"/>
          <w:sz w:val="24"/>
          <w:szCs w:val="24"/>
          <w:shd w:val="clear" w:color="auto" w:fill="FFFFFF"/>
        </w:rPr>
        <w:t>96</w:t>
      </w:r>
      <w:r w:rsidR="00DF7E69">
        <w:rPr>
          <w:rFonts w:ascii="Times New Roman" w:hAnsi="Times New Roman" w:cs="Times New Roman"/>
          <w:color w:val="222222"/>
          <w:sz w:val="24"/>
          <w:szCs w:val="24"/>
          <w:shd w:val="clear" w:color="auto" w:fill="FFFFFF"/>
        </w:rPr>
        <w:t xml:space="preserve"> </w:t>
      </w:r>
      <w:r w:rsidRPr="00FE52E6">
        <w:rPr>
          <w:rFonts w:ascii="Times New Roman" w:hAnsi="Times New Roman" w:cs="Times New Roman"/>
          <w:color w:val="222222"/>
          <w:sz w:val="24"/>
          <w:szCs w:val="24"/>
          <w:shd w:val="clear" w:color="auto" w:fill="FFFFFF"/>
        </w:rPr>
        <w:t>(456)</w:t>
      </w:r>
      <w:r w:rsidR="00DF7E69">
        <w:rPr>
          <w:rFonts w:ascii="Times New Roman" w:hAnsi="Times New Roman" w:cs="Times New Roman"/>
          <w:color w:val="222222"/>
          <w:sz w:val="24"/>
          <w:szCs w:val="24"/>
          <w:shd w:val="clear" w:color="auto" w:fill="FFFFFF"/>
        </w:rPr>
        <w:t>:</w:t>
      </w:r>
      <w:r w:rsidRPr="00FE52E6">
        <w:rPr>
          <w:rFonts w:ascii="Times New Roman" w:hAnsi="Times New Roman" w:cs="Times New Roman"/>
          <w:color w:val="222222"/>
          <w:sz w:val="24"/>
          <w:szCs w:val="24"/>
          <w:shd w:val="clear" w:color="auto" w:fill="FFFFFF"/>
        </w:rPr>
        <w:t xml:space="preserve"> </w:t>
      </w:r>
      <w:r w:rsidRPr="00AD30E3">
        <w:rPr>
          <w:rFonts w:ascii="Times New Roman" w:hAnsi="Times New Roman" w:cs="Times New Roman"/>
          <w:color w:val="222222"/>
          <w:sz w:val="24"/>
          <w:szCs w:val="24"/>
          <w:shd w:val="clear" w:color="auto" w:fill="FFFFFF"/>
        </w:rPr>
        <w:t>1245-1253.</w:t>
      </w:r>
    </w:p>
    <w:p w14:paraId="185C83FA" w14:textId="1DA54B30" w:rsidR="00B62CB2" w:rsidRDefault="005E77F2" w:rsidP="009F5A3D">
      <w:pPr>
        <w:spacing w:after="0" w:line="240" w:lineRule="auto"/>
        <w:ind w:left="720" w:hanging="720"/>
        <w:jc w:val="both"/>
        <w:rPr>
          <w:rFonts w:ascii="Times New Roman" w:hAnsi="Times New Roman" w:cs="Times New Roman"/>
          <w:color w:val="000000" w:themeColor="text1"/>
          <w:sz w:val="24"/>
          <w:szCs w:val="24"/>
          <w:lang w:val="en-US"/>
        </w:rPr>
      </w:pPr>
      <w:r w:rsidRPr="00635BBA">
        <w:rPr>
          <w:rFonts w:ascii="Times New Roman" w:hAnsi="Times New Roman" w:cs="Times New Roman"/>
          <w:color w:val="000000" w:themeColor="text1"/>
          <w:sz w:val="24"/>
          <w:szCs w:val="24"/>
          <w:lang w:val="en-US"/>
        </w:rPr>
        <w:t>Mao, C.</w:t>
      </w:r>
      <w:r w:rsidR="00DF7E69">
        <w:rPr>
          <w:rFonts w:ascii="Times New Roman" w:hAnsi="Times New Roman" w:cs="Times New Roman"/>
          <w:color w:val="000000" w:themeColor="text1"/>
          <w:sz w:val="24"/>
          <w:szCs w:val="24"/>
          <w:lang w:val="en-US"/>
        </w:rPr>
        <w:t xml:space="preserve"> </w:t>
      </w:r>
      <w:r w:rsidRPr="00635BBA">
        <w:rPr>
          <w:rFonts w:ascii="Times New Roman" w:hAnsi="Times New Roman" w:cs="Times New Roman"/>
          <w:color w:val="000000" w:themeColor="text1"/>
          <w:sz w:val="24"/>
          <w:szCs w:val="24"/>
          <w:lang w:val="en-US"/>
        </w:rPr>
        <w:t>X.</w:t>
      </w:r>
      <w:r w:rsidR="00DF7E69">
        <w:rPr>
          <w:rFonts w:ascii="Times New Roman" w:hAnsi="Times New Roman" w:cs="Times New Roman"/>
          <w:color w:val="000000" w:themeColor="text1"/>
          <w:sz w:val="24"/>
          <w:szCs w:val="24"/>
          <w:lang w:val="en-US"/>
        </w:rPr>
        <w:t>,</w:t>
      </w:r>
      <w:r w:rsidRPr="00635BBA">
        <w:rPr>
          <w:rFonts w:ascii="Times New Roman" w:hAnsi="Times New Roman" w:cs="Times New Roman"/>
          <w:color w:val="000000" w:themeColor="text1"/>
          <w:sz w:val="24"/>
          <w:szCs w:val="24"/>
          <w:lang w:val="en-US"/>
        </w:rPr>
        <w:t xml:space="preserve"> and </w:t>
      </w:r>
      <w:r w:rsidR="00DF7E69">
        <w:rPr>
          <w:rFonts w:ascii="Times New Roman" w:hAnsi="Times New Roman" w:cs="Times New Roman"/>
          <w:color w:val="000000" w:themeColor="text1"/>
          <w:sz w:val="24"/>
          <w:szCs w:val="24"/>
          <w:lang w:val="en-US"/>
        </w:rPr>
        <w:t xml:space="preserve">C. </w:t>
      </w:r>
      <w:r w:rsidRPr="00635BBA">
        <w:rPr>
          <w:rFonts w:ascii="Times New Roman" w:hAnsi="Times New Roman" w:cs="Times New Roman"/>
          <w:color w:val="000000" w:themeColor="text1"/>
          <w:sz w:val="24"/>
          <w:szCs w:val="24"/>
          <w:lang w:val="en-US"/>
        </w:rPr>
        <w:t>Zhang</w:t>
      </w:r>
      <w:r w:rsidR="00DF7E69">
        <w:rPr>
          <w:rFonts w:ascii="Times New Roman" w:hAnsi="Times New Roman" w:cs="Times New Roman"/>
          <w:color w:val="000000" w:themeColor="text1"/>
          <w:sz w:val="24"/>
          <w:szCs w:val="24"/>
          <w:lang w:val="en-US"/>
        </w:rPr>
        <w:t>.</w:t>
      </w:r>
      <w:r w:rsidRPr="00635BBA">
        <w:rPr>
          <w:rFonts w:ascii="Times New Roman" w:hAnsi="Times New Roman" w:cs="Times New Roman"/>
          <w:color w:val="000000" w:themeColor="text1"/>
          <w:sz w:val="24"/>
          <w:szCs w:val="24"/>
          <w:lang w:val="en-US"/>
        </w:rPr>
        <w:t xml:space="preserve"> 2018. Managerial risk-taking incentive and firm innovation: Evidence from FAS 123R. </w:t>
      </w:r>
      <w:r w:rsidRPr="00635BBA">
        <w:rPr>
          <w:rFonts w:ascii="Times New Roman" w:hAnsi="Times New Roman" w:cs="Times New Roman"/>
          <w:i/>
          <w:color w:val="000000" w:themeColor="text1"/>
          <w:sz w:val="24"/>
          <w:szCs w:val="24"/>
          <w:lang w:val="en-US"/>
        </w:rPr>
        <w:t>Journal of Financial and Quantitative Analysis</w:t>
      </w:r>
      <w:r w:rsidRPr="00635BBA">
        <w:rPr>
          <w:rFonts w:ascii="Times New Roman" w:hAnsi="Times New Roman" w:cs="Times New Roman"/>
          <w:color w:val="000000" w:themeColor="text1"/>
          <w:sz w:val="24"/>
          <w:szCs w:val="24"/>
          <w:lang w:val="en-US"/>
        </w:rPr>
        <w:t> 53</w:t>
      </w:r>
      <w:r w:rsidR="00DF7E69">
        <w:rPr>
          <w:rFonts w:ascii="Times New Roman" w:hAnsi="Times New Roman" w:cs="Times New Roman"/>
          <w:color w:val="000000" w:themeColor="text1"/>
          <w:sz w:val="24"/>
          <w:szCs w:val="24"/>
          <w:lang w:val="en-US"/>
        </w:rPr>
        <w:t xml:space="preserve"> </w:t>
      </w:r>
      <w:r w:rsidRPr="00635BBA">
        <w:rPr>
          <w:rFonts w:ascii="Times New Roman" w:hAnsi="Times New Roman" w:cs="Times New Roman"/>
          <w:color w:val="000000" w:themeColor="text1"/>
          <w:sz w:val="24"/>
          <w:szCs w:val="24"/>
          <w:lang w:val="en-US"/>
        </w:rPr>
        <w:t>(2)</w:t>
      </w:r>
      <w:r w:rsidR="00DF7E69">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r w:rsidRPr="00635BBA">
        <w:rPr>
          <w:rFonts w:ascii="Times New Roman" w:hAnsi="Times New Roman" w:cs="Times New Roman"/>
          <w:color w:val="000000" w:themeColor="text1"/>
          <w:sz w:val="24"/>
          <w:szCs w:val="24"/>
          <w:lang w:val="en-US"/>
        </w:rPr>
        <w:t>867-898.</w:t>
      </w:r>
      <w:r w:rsidR="00B62CB2">
        <w:rPr>
          <w:rFonts w:ascii="Times New Roman" w:hAnsi="Times New Roman" w:cs="Times New Roman"/>
          <w:color w:val="000000" w:themeColor="text1"/>
          <w:sz w:val="24"/>
          <w:szCs w:val="24"/>
          <w:lang w:val="en-US"/>
        </w:rPr>
        <w:t xml:space="preserve"> </w:t>
      </w:r>
    </w:p>
    <w:p w14:paraId="16F299FA" w14:textId="5935A2CD" w:rsidR="00C45F3D" w:rsidRPr="00E57A11" w:rsidRDefault="00C45F3D" w:rsidP="0023586E">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en-US"/>
        </w:rPr>
      </w:pPr>
      <w:r w:rsidRPr="00E57A11">
        <w:rPr>
          <w:rFonts w:ascii="Times New Roman" w:hAnsi="Times New Roman" w:cs="Times New Roman"/>
          <w:color w:val="000000" w:themeColor="text1"/>
          <w:sz w:val="24"/>
          <w:szCs w:val="24"/>
          <w:lang w:val="en-US"/>
        </w:rPr>
        <w:t>Murphy, K.</w:t>
      </w:r>
      <w:r w:rsidR="00DF7E69">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 xml:space="preserve">J. 2013. Executive compensation: where we are, and how we got there. </w:t>
      </w:r>
      <w:r w:rsidR="00BD5CE8" w:rsidRPr="00BD5CE8">
        <w:rPr>
          <w:rFonts w:ascii="Times New Roman" w:hAnsi="Times New Roman" w:cs="Times New Roman"/>
          <w:color w:val="000000" w:themeColor="text1"/>
          <w:sz w:val="24"/>
          <w:szCs w:val="24"/>
          <w:lang w:val="en-US"/>
        </w:rPr>
        <w:t>Handbook of the Economics of Finance</w:t>
      </w:r>
      <w:r w:rsidRPr="00E57A11">
        <w:rPr>
          <w:rFonts w:ascii="Times New Roman" w:hAnsi="Times New Roman" w:cs="Times New Roman"/>
          <w:color w:val="000000" w:themeColor="text1"/>
          <w:sz w:val="24"/>
          <w:szCs w:val="24"/>
          <w:lang w:val="en-US"/>
        </w:rPr>
        <w:t>. Elsevier Sci. N. Holland, 4</w:t>
      </w:r>
      <w:r w:rsidR="00DF7E69">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211</w:t>
      </w:r>
      <w:r w:rsidR="00B0289A">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367.</w:t>
      </w:r>
    </w:p>
    <w:p w14:paraId="65342FDE" w14:textId="5951EC18" w:rsidR="001D01DF" w:rsidRDefault="007721F4" w:rsidP="00A705CD">
      <w:pPr>
        <w:spacing w:after="0" w:line="240" w:lineRule="auto"/>
        <w:ind w:left="720" w:hanging="720"/>
        <w:jc w:val="both"/>
        <w:rPr>
          <w:rFonts w:ascii="Times New Roman" w:hAnsi="Times New Roman" w:cs="Times New Roman"/>
          <w:color w:val="000000" w:themeColor="text1"/>
          <w:sz w:val="24"/>
          <w:szCs w:val="24"/>
          <w:lang w:val="en-US"/>
        </w:rPr>
      </w:pPr>
      <w:proofErr w:type="spellStart"/>
      <w:r w:rsidRPr="00E57A11">
        <w:rPr>
          <w:rFonts w:ascii="Times New Roman" w:hAnsi="Times New Roman" w:cs="Times New Roman"/>
          <w:color w:val="000000" w:themeColor="text1"/>
          <w:sz w:val="24"/>
          <w:szCs w:val="24"/>
          <w:lang w:val="en-US"/>
        </w:rPr>
        <w:t>Rajgopal</w:t>
      </w:r>
      <w:proofErr w:type="spellEnd"/>
      <w:r w:rsidRPr="00E57A11">
        <w:rPr>
          <w:rFonts w:ascii="Times New Roman" w:hAnsi="Times New Roman" w:cs="Times New Roman"/>
          <w:color w:val="000000" w:themeColor="text1"/>
          <w:sz w:val="24"/>
          <w:szCs w:val="24"/>
          <w:lang w:val="en-US"/>
        </w:rPr>
        <w:t xml:space="preserve">, S., </w:t>
      </w:r>
      <w:r w:rsidR="00DF7E69">
        <w:rPr>
          <w:rFonts w:ascii="Times New Roman" w:hAnsi="Times New Roman" w:cs="Times New Roman"/>
          <w:color w:val="000000" w:themeColor="text1"/>
          <w:sz w:val="24"/>
          <w:szCs w:val="24"/>
          <w:lang w:val="en-US"/>
        </w:rPr>
        <w:t xml:space="preserve">and T. </w:t>
      </w:r>
      <w:r w:rsidRPr="00E57A11">
        <w:rPr>
          <w:rFonts w:ascii="Times New Roman" w:hAnsi="Times New Roman" w:cs="Times New Roman"/>
          <w:color w:val="000000" w:themeColor="text1"/>
          <w:sz w:val="24"/>
          <w:szCs w:val="24"/>
          <w:lang w:val="en-US"/>
        </w:rPr>
        <w:t>Shevlin</w:t>
      </w:r>
      <w:r w:rsidR="00DF7E69">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2002. Empirical evidence on the relation between stock option compensation and risk taking. </w:t>
      </w:r>
      <w:r w:rsidRPr="00E57A11">
        <w:rPr>
          <w:rFonts w:ascii="Times New Roman" w:hAnsi="Times New Roman" w:cs="Times New Roman"/>
          <w:i/>
          <w:iCs/>
          <w:color w:val="000000" w:themeColor="text1"/>
          <w:sz w:val="24"/>
          <w:szCs w:val="24"/>
          <w:lang w:val="en-US"/>
        </w:rPr>
        <w:t>Journal of Accounting and Economics</w:t>
      </w:r>
      <w:r w:rsidR="00B478E8" w:rsidRPr="00E57A11">
        <w:rPr>
          <w:rFonts w:ascii="Times New Roman" w:hAnsi="Times New Roman" w:cs="Times New Roman"/>
          <w:i/>
          <w:iCs/>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33</w:t>
      </w:r>
      <w:r w:rsidR="00DF7E69">
        <w:rPr>
          <w:rFonts w:ascii="Times New Roman" w:hAnsi="Times New Roman" w:cs="Times New Roman"/>
          <w:color w:val="000000" w:themeColor="text1"/>
          <w:sz w:val="24"/>
          <w:szCs w:val="24"/>
          <w:lang w:val="en-US"/>
        </w:rPr>
        <w:t xml:space="preserve"> </w:t>
      </w:r>
      <w:r w:rsidR="00B478E8" w:rsidRPr="00E57A11">
        <w:rPr>
          <w:rFonts w:ascii="Times New Roman" w:hAnsi="Times New Roman" w:cs="Times New Roman"/>
          <w:color w:val="000000" w:themeColor="text1"/>
          <w:sz w:val="24"/>
          <w:szCs w:val="24"/>
          <w:lang w:val="en-US"/>
        </w:rPr>
        <w:t>(2</w:t>
      </w:r>
      <w:r w:rsidR="00DF7E69">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 xml:space="preserve">145–171. </w:t>
      </w:r>
    </w:p>
    <w:p w14:paraId="23EBE6E3" w14:textId="45ECCA4E" w:rsidR="00B62CB2" w:rsidRPr="001D4CFE" w:rsidRDefault="00B62CB2" w:rsidP="009F5A3D">
      <w:pPr>
        <w:spacing w:after="0" w:line="240" w:lineRule="auto"/>
        <w:ind w:left="720" w:hanging="720"/>
        <w:jc w:val="both"/>
        <w:rPr>
          <w:rFonts w:ascii="Times New Roman" w:hAnsi="Times New Roman" w:cs="Times New Roman"/>
          <w:color w:val="222222"/>
          <w:sz w:val="24"/>
          <w:szCs w:val="24"/>
          <w:shd w:val="clear" w:color="auto" w:fill="FFFFFF"/>
        </w:rPr>
      </w:pPr>
      <w:r w:rsidRPr="001D4CFE">
        <w:rPr>
          <w:rFonts w:ascii="Times New Roman" w:hAnsi="Times New Roman" w:cs="Times New Roman"/>
          <w:color w:val="222222"/>
          <w:sz w:val="24"/>
          <w:szCs w:val="24"/>
          <w:shd w:val="clear" w:color="auto" w:fill="FFFFFF"/>
        </w:rPr>
        <w:t xml:space="preserve">Rosenbaum, P.R. and </w:t>
      </w:r>
      <w:r w:rsidR="00DF7E69">
        <w:rPr>
          <w:rFonts w:ascii="Times New Roman" w:hAnsi="Times New Roman" w:cs="Times New Roman"/>
          <w:color w:val="222222"/>
          <w:sz w:val="24"/>
          <w:szCs w:val="24"/>
          <w:shd w:val="clear" w:color="auto" w:fill="FFFFFF"/>
        </w:rPr>
        <w:t xml:space="preserve">D. B. </w:t>
      </w:r>
      <w:r w:rsidRPr="001D4CFE">
        <w:rPr>
          <w:rFonts w:ascii="Times New Roman" w:hAnsi="Times New Roman" w:cs="Times New Roman"/>
          <w:color w:val="222222"/>
          <w:sz w:val="24"/>
          <w:szCs w:val="24"/>
          <w:shd w:val="clear" w:color="auto" w:fill="FFFFFF"/>
        </w:rPr>
        <w:t>Rubin</w:t>
      </w:r>
      <w:r w:rsidR="00DF7E69">
        <w:rPr>
          <w:rFonts w:ascii="Times New Roman" w:hAnsi="Times New Roman" w:cs="Times New Roman"/>
          <w:color w:val="222222"/>
          <w:sz w:val="24"/>
          <w:szCs w:val="24"/>
          <w:shd w:val="clear" w:color="auto" w:fill="FFFFFF"/>
        </w:rPr>
        <w:t xml:space="preserve">. </w:t>
      </w:r>
      <w:r w:rsidRPr="001D4CFE">
        <w:rPr>
          <w:rFonts w:ascii="Times New Roman" w:hAnsi="Times New Roman" w:cs="Times New Roman"/>
          <w:color w:val="222222"/>
          <w:sz w:val="24"/>
          <w:szCs w:val="24"/>
          <w:shd w:val="clear" w:color="auto" w:fill="FFFFFF"/>
        </w:rPr>
        <w:t>1983. The central role of the propensity score in observational studies for causal effects. </w:t>
      </w:r>
      <w:proofErr w:type="spellStart"/>
      <w:r w:rsidRPr="00DF7E69">
        <w:rPr>
          <w:rFonts w:ascii="Times New Roman" w:hAnsi="Times New Roman" w:cs="Times New Roman"/>
          <w:i/>
          <w:iCs/>
          <w:color w:val="222222"/>
          <w:sz w:val="24"/>
          <w:szCs w:val="24"/>
          <w:shd w:val="clear" w:color="auto" w:fill="FFFFFF"/>
        </w:rPr>
        <w:t>Biometrika</w:t>
      </w:r>
      <w:proofErr w:type="spellEnd"/>
      <w:r w:rsidR="00DF7E69" w:rsidRPr="00DF7E69">
        <w:rPr>
          <w:rFonts w:ascii="Times New Roman" w:hAnsi="Times New Roman" w:cs="Times New Roman"/>
          <w:color w:val="222222"/>
          <w:sz w:val="24"/>
          <w:szCs w:val="24"/>
          <w:shd w:val="clear" w:color="auto" w:fill="FFFFFF"/>
        </w:rPr>
        <w:t xml:space="preserve"> </w:t>
      </w:r>
      <w:r w:rsidRPr="00DF7E69">
        <w:rPr>
          <w:rFonts w:ascii="Times New Roman" w:hAnsi="Times New Roman" w:cs="Times New Roman"/>
          <w:i/>
          <w:iCs/>
          <w:color w:val="222222"/>
          <w:sz w:val="24"/>
          <w:szCs w:val="24"/>
          <w:shd w:val="clear" w:color="auto" w:fill="FFFFFF"/>
        </w:rPr>
        <w:t>70</w:t>
      </w:r>
      <w:r w:rsidR="00DF7E69" w:rsidRPr="00DF7E69">
        <w:rPr>
          <w:rFonts w:ascii="Times New Roman" w:hAnsi="Times New Roman" w:cs="Times New Roman"/>
          <w:i/>
          <w:iCs/>
          <w:color w:val="222222"/>
          <w:sz w:val="24"/>
          <w:szCs w:val="24"/>
          <w:shd w:val="clear" w:color="auto" w:fill="FFFFFF"/>
        </w:rPr>
        <w:t xml:space="preserve"> </w:t>
      </w:r>
      <w:r w:rsidRPr="00DF7E69">
        <w:rPr>
          <w:rFonts w:ascii="Times New Roman" w:hAnsi="Times New Roman" w:cs="Times New Roman"/>
          <w:color w:val="222222"/>
          <w:sz w:val="24"/>
          <w:szCs w:val="24"/>
          <w:shd w:val="clear" w:color="auto" w:fill="FFFFFF"/>
        </w:rPr>
        <w:t>(1)</w:t>
      </w:r>
      <w:r w:rsidR="00DF7E69">
        <w:rPr>
          <w:rFonts w:ascii="Times New Roman" w:hAnsi="Times New Roman" w:cs="Times New Roman"/>
          <w:color w:val="222222"/>
          <w:sz w:val="24"/>
          <w:szCs w:val="24"/>
          <w:shd w:val="clear" w:color="auto" w:fill="FFFFFF"/>
        </w:rPr>
        <w:t xml:space="preserve">: </w:t>
      </w:r>
      <w:r w:rsidRPr="00DF7E69">
        <w:rPr>
          <w:rFonts w:ascii="Times New Roman" w:hAnsi="Times New Roman" w:cs="Times New Roman"/>
          <w:color w:val="222222"/>
          <w:sz w:val="24"/>
          <w:szCs w:val="24"/>
          <w:shd w:val="clear" w:color="auto" w:fill="FFFFFF"/>
        </w:rPr>
        <w:t>41-55</w:t>
      </w:r>
      <w:r w:rsidRPr="001D4CFE">
        <w:rPr>
          <w:rFonts w:ascii="Times New Roman" w:hAnsi="Times New Roman" w:cs="Times New Roman"/>
          <w:color w:val="222222"/>
          <w:sz w:val="24"/>
          <w:szCs w:val="24"/>
          <w:shd w:val="clear" w:color="auto" w:fill="FFFFFF"/>
        </w:rPr>
        <w:t>.</w:t>
      </w:r>
    </w:p>
    <w:p w14:paraId="3D6FE506" w14:textId="4616E472" w:rsidR="00C45F3D" w:rsidRPr="00E57A11" w:rsidRDefault="00C45F3D" w:rsidP="0023586E">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en-US"/>
        </w:rPr>
      </w:pPr>
      <w:r w:rsidRPr="00E57A11">
        <w:rPr>
          <w:rFonts w:ascii="Times New Roman" w:hAnsi="Times New Roman" w:cs="Times New Roman"/>
          <w:color w:val="000000" w:themeColor="text1"/>
          <w:sz w:val="24"/>
          <w:szCs w:val="24"/>
          <w:lang w:val="en-US"/>
        </w:rPr>
        <w:t xml:space="preserve">Ross, S. 2004. Compensation, incentives, and the duality of risk aversion and riskiness. </w:t>
      </w:r>
      <w:r w:rsidR="00B478E8" w:rsidRPr="00E57A11">
        <w:rPr>
          <w:rFonts w:ascii="Times New Roman" w:hAnsi="Times New Roman" w:cs="Times New Roman"/>
          <w:i/>
          <w:iCs/>
          <w:color w:val="000000" w:themeColor="text1"/>
          <w:sz w:val="24"/>
          <w:szCs w:val="24"/>
          <w:lang w:val="en-US"/>
        </w:rPr>
        <w:t>The J</w:t>
      </w:r>
      <w:r w:rsidRPr="00E57A11">
        <w:rPr>
          <w:rFonts w:ascii="Times New Roman" w:hAnsi="Times New Roman" w:cs="Times New Roman"/>
          <w:i/>
          <w:iCs/>
          <w:color w:val="000000" w:themeColor="text1"/>
          <w:sz w:val="24"/>
          <w:szCs w:val="24"/>
          <w:lang w:val="en-US"/>
        </w:rPr>
        <w:t xml:space="preserve">ournal </w:t>
      </w:r>
      <w:r w:rsidR="00594FAC" w:rsidRPr="00E57A11">
        <w:rPr>
          <w:rFonts w:ascii="Times New Roman" w:hAnsi="Times New Roman" w:cs="Times New Roman"/>
          <w:i/>
          <w:iCs/>
          <w:color w:val="000000" w:themeColor="text1"/>
          <w:sz w:val="24"/>
          <w:szCs w:val="24"/>
          <w:lang w:val="en-US"/>
        </w:rPr>
        <w:t>o</w:t>
      </w:r>
      <w:r w:rsidRPr="00E57A11">
        <w:rPr>
          <w:rFonts w:ascii="Times New Roman" w:hAnsi="Times New Roman" w:cs="Times New Roman"/>
          <w:i/>
          <w:iCs/>
          <w:color w:val="000000" w:themeColor="text1"/>
          <w:sz w:val="24"/>
          <w:szCs w:val="24"/>
          <w:lang w:val="en-US"/>
        </w:rPr>
        <w:t xml:space="preserve">f Finance </w:t>
      </w:r>
      <w:r w:rsidRPr="00E57A11">
        <w:rPr>
          <w:rFonts w:ascii="Times New Roman" w:hAnsi="Times New Roman" w:cs="Times New Roman"/>
          <w:color w:val="000000" w:themeColor="text1"/>
          <w:sz w:val="24"/>
          <w:szCs w:val="24"/>
          <w:lang w:val="en-US"/>
        </w:rPr>
        <w:t>59</w:t>
      </w:r>
      <w:r w:rsidR="00DF7E69">
        <w:rPr>
          <w:rFonts w:ascii="Times New Roman" w:hAnsi="Times New Roman" w:cs="Times New Roman"/>
          <w:color w:val="000000" w:themeColor="text1"/>
          <w:sz w:val="24"/>
          <w:szCs w:val="24"/>
          <w:lang w:val="en-US"/>
        </w:rPr>
        <w:t xml:space="preserve"> </w:t>
      </w:r>
      <w:r w:rsidR="00B17150" w:rsidRPr="00E57A11">
        <w:rPr>
          <w:rFonts w:ascii="Times New Roman" w:hAnsi="Times New Roman" w:cs="Times New Roman"/>
          <w:color w:val="000000" w:themeColor="text1"/>
          <w:sz w:val="24"/>
          <w:szCs w:val="24"/>
          <w:lang w:val="en-US"/>
        </w:rPr>
        <w:t>(1)</w:t>
      </w:r>
      <w:r w:rsidR="00DF7E69">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207</w:t>
      </w:r>
      <w:r w:rsidR="00B0289A">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225. </w:t>
      </w:r>
    </w:p>
    <w:p w14:paraId="1E4938C3" w14:textId="4EA2B9CD" w:rsidR="00977A22" w:rsidRDefault="00977A22" w:rsidP="0023586E">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en-US"/>
        </w:rPr>
      </w:pPr>
      <w:r w:rsidRPr="00E57A11">
        <w:rPr>
          <w:rFonts w:ascii="Times New Roman" w:hAnsi="Times New Roman" w:cs="Times New Roman"/>
          <w:color w:val="000000" w:themeColor="text1"/>
          <w:sz w:val="24"/>
          <w:szCs w:val="24"/>
          <w:lang w:val="en-US"/>
        </w:rPr>
        <w:t xml:space="preserve">Roychowdhury, S. 2006. Earnings management through real activities manipulation. </w:t>
      </w:r>
      <w:r w:rsidRPr="00E57A11">
        <w:rPr>
          <w:rFonts w:ascii="Times New Roman" w:hAnsi="Times New Roman" w:cs="Times New Roman"/>
          <w:i/>
          <w:iCs/>
          <w:color w:val="000000" w:themeColor="text1"/>
          <w:sz w:val="24"/>
          <w:szCs w:val="24"/>
          <w:lang w:val="en-US"/>
        </w:rPr>
        <w:t xml:space="preserve">Journal of Accounting and Economics </w:t>
      </w:r>
      <w:r w:rsidRPr="00E57A11">
        <w:rPr>
          <w:rFonts w:ascii="Times New Roman" w:hAnsi="Times New Roman" w:cs="Times New Roman"/>
          <w:color w:val="000000" w:themeColor="text1"/>
          <w:sz w:val="24"/>
          <w:szCs w:val="24"/>
          <w:lang w:val="en-US"/>
        </w:rPr>
        <w:t>42</w:t>
      </w:r>
      <w:r w:rsidR="00DF7E69">
        <w:rPr>
          <w:rFonts w:ascii="Times New Roman" w:hAnsi="Times New Roman" w:cs="Times New Roman"/>
          <w:color w:val="000000" w:themeColor="text1"/>
          <w:sz w:val="24"/>
          <w:szCs w:val="24"/>
          <w:lang w:val="en-US"/>
        </w:rPr>
        <w:t xml:space="preserve"> </w:t>
      </w:r>
      <w:r w:rsidRPr="00E57A11">
        <w:rPr>
          <w:rFonts w:ascii="Times New Roman" w:hAnsi="Times New Roman" w:cs="Times New Roman"/>
          <w:color w:val="000000" w:themeColor="text1"/>
          <w:sz w:val="24"/>
          <w:szCs w:val="24"/>
          <w:lang w:val="en-US"/>
        </w:rPr>
        <w:t>(3)</w:t>
      </w:r>
      <w:r w:rsidR="00DF7E69">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 xml:space="preserve"> 335</w:t>
      </w:r>
      <w:r w:rsidR="00B0289A">
        <w:rPr>
          <w:rFonts w:ascii="Times New Roman" w:hAnsi="Times New Roman" w:cs="Times New Roman"/>
          <w:color w:val="000000" w:themeColor="text1"/>
          <w:sz w:val="24"/>
          <w:szCs w:val="24"/>
          <w:lang w:val="en-US"/>
        </w:rPr>
        <w:t>-</w:t>
      </w:r>
      <w:r w:rsidRPr="00E57A11">
        <w:rPr>
          <w:rFonts w:ascii="Times New Roman" w:hAnsi="Times New Roman" w:cs="Times New Roman"/>
          <w:color w:val="000000" w:themeColor="text1"/>
          <w:sz w:val="24"/>
          <w:szCs w:val="24"/>
          <w:lang w:val="en-US"/>
        </w:rPr>
        <w:t>370.</w:t>
      </w:r>
    </w:p>
    <w:p w14:paraId="79758D24" w14:textId="4FD69476" w:rsidR="00244C3D" w:rsidRPr="00DA1D07" w:rsidRDefault="00244C3D" w:rsidP="0023586E">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en-US"/>
        </w:rPr>
      </w:pPr>
      <w:r w:rsidRPr="00244C3D">
        <w:rPr>
          <w:rFonts w:ascii="Times New Roman" w:hAnsi="Times New Roman" w:cs="Times New Roman"/>
          <w:color w:val="000000" w:themeColor="text1"/>
          <w:sz w:val="24"/>
          <w:szCs w:val="24"/>
          <w:lang w:val="en-US"/>
        </w:rPr>
        <w:t xml:space="preserve">Servaes, H., </w:t>
      </w:r>
      <w:r w:rsidR="00DF7E69">
        <w:rPr>
          <w:rFonts w:ascii="Times New Roman" w:hAnsi="Times New Roman" w:cs="Times New Roman"/>
          <w:color w:val="000000" w:themeColor="text1"/>
          <w:sz w:val="24"/>
          <w:szCs w:val="24"/>
          <w:lang w:val="en-US"/>
        </w:rPr>
        <w:t xml:space="preserve">and A. </w:t>
      </w:r>
      <w:r w:rsidRPr="00244C3D">
        <w:rPr>
          <w:rFonts w:ascii="Times New Roman" w:hAnsi="Times New Roman" w:cs="Times New Roman"/>
          <w:color w:val="000000" w:themeColor="text1"/>
          <w:sz w:val="24"/>
          <w:szCs w:val="24"/>
          <w:lang w:val="en-US"/>
        </w:rPr>
        <w:t>Tamayo</w:t>
      </w:r>
      <w:r w:rsidR="00DF7E69">
        <w:rPr>
          <w:rFonts w:ascii="Times New Roman" w:hAnsi="Times New Roman" w:cs="Times New Roman"/>
          <w:color w:val="000000" w:themeColor="text1"/>
          <w:sz w:val="24"/>
          <w:szCs w:val="24"/>
          <w:lang w:val="en-US"/>
        </w:rPr>
        <w:t>.</w:t>
      </w:r>
      <w:r w:rsidRPr="00244C3D">
        <w:rPr>
          <w:rFonts w:ascii="Times New Roman" w:hAnsi="Times New Roman" w:cs="Times New Roman"/>
          <w:color w:val="000000" w:themeColor="text1"/>
          <w:sz w:val="24"/>
          <w:szCs w:val="24"/>
          <w:lang w:val="en-US"/>
        </w:rPr>
        <w:t xml:space="preserve"> 2013. The impact of corporate social responsibility on firm value: The role of customer awareness. </w:t>
      </w:r>
      <w:r w:rsidRPr="00E57A11">
        <w:rPr>
          <w:rFonts w:ascii="Times New Roman" w:hAnsi="Times New Roman" w:cs="Times New Roman"/>
          <w:i/>
          <w:color w:val="000000" w:themeColor="text1"/>
          <w:sz w:val="24"/>
          <w:szCs w:val="24"/>
          <w:lang w:val="en-US"/>
        </w:rPr>
        <w:t>Management Science</w:t>
      </w:r>
      <w:r w:rsidR="00DF7E69">
        <w:rPr>
          <w:rFonts w:ascii="Times New Roman" w:hAnsi="Times New Roman" w:cs="Times New Roman"/>
          <w:color w:val="000000" w:themeColor="text1"/>
          <w:sz w:val="24"/>
          <w:szCs w:val="24"/>
          <w:lang w:val="en-US"/>
        </w:rPr>
        <w:t xml:space="preserve"> </w:t>
      </w:r>
      <w:r w:rsidRPr="00244C3D">
        <w:rPr>
          <w:rFonts w:ascii="Times New Roman" w:hAnsi="Times New Roman" w:cs="Times New Roman"/>
          <w:color w:val="000000" w:themeColor="text1"/>
          <w:sz w:val="24"/>
          <w:szCs w:val="24"/>
          <w:lang w:val="en-US"/>
        </w:rPr>
        <w:t>59</w:t>
      </w:r>
      <w:r w:rsidR="00EF409C">
        <w:rPr>
          <w:rFonts w:ascii="Times New Roman" w:hAnsi="Times New Roman" w:cs="Times New Roman"/>
          <w:color w:val="000000" w:themeColor="text1"/>
          <w:sz w:val="24"/>
          <w:szCs w:val="24"/>
          <w:lang w:val="en-US"/>
        </w:rPr>
        <w:t xml:space="preserve"> </w:t>
      </w:r>
      <w:r w:rsidRPr="00244C3D">
        <w:rPr>
          <w:rFonts w:ascii="Times New Roman" w:hAnsi="Times New Roman" w:cs="Times New Roman"/>
          <w:color w:val="000000" w:themeColor="text1"/>
          <w:sz w:val="24"/>
          <w:szCs w:val="24"/>
          <w:lang w:val="en-US"/>
        </w:rPr>
        <w:t>(5)</w:t>
      </w:r>
      <w:r w:rsidR="00DF7E69">
        <w:rPr>
          <w:rFonts w:ascii="Times New Roman" w:hAnsi="Times New Roman" w:cs="Times New Roman"/>
          <w:color w:val="000000" w:themeColor="text1"/>
          <w:sz w:val="24"/>
          <w:szCs w:val="24"/>
          <w:lang w:val="en-US"/>
        </w:rPr>
        <w:t>:</w:t>
      </w:r>
      <w:r w:rsidRPr="00244C3D">
        <w:rPr>
          <w:rFonts w:ascii="Times New Roman" w:hAnsi="Times New Roman" w:cs="Times New Roman"/>
          <w:color w:val="000000" w:themeColor="text1"/>
          <w:sz w:val="24"/>
          <w:szCs w:val="24"/>
          <w:lang w:val="en-US"/>
        </w:rPr>
        <w:t xml:space="preserve"> 1045-1061.</w:t>
      </w:r>
    </w:p>
    <w:p w14:paraId="4630FAE4" w14:textId="38CFC1F2" w:rsidR="00C3554F" w:rsidRDefault="007721F4" w:rsidP="009F5A3D">
      <w:pPr>
        <w:spacing w:after="0" w:line="240" w:lineRule="auto"/>
        <w:ind w:left="720" w:hanging="720"/>
        <w:jc w:val="both"/>
        <w:rPr>
          <w:rFonts w:ascii="Times New Roman" w:hAnsi="Times New Roman" w:cs="Times New Roman"/>
          <w:color w:val="000000" w:themeColor="text1"/>
          <w:sz w:val="24"/>
          <w:szCs w:val="24"/>
          <w:lang w:val="en-US"/>
        </w:rPr>
      </w:pPr>
      <w:r w:rsidRPr="00DA1D07">
        <w:rPr>
          <w:rFonts w:ascii="Times New Roman" w:hAnsi="Times New Roman" w:cs="Times New Roman"/>
          <w:color w:val="000000" w:themeColor="text1"/>
          <w:sz w:val="24"/>
          <w:szCs w:val="24"/>
          <w:lang w:val="en-US"/>
        </w:rPr>
        <w:t xml:space="preserve">Smith, C., </w:t>
      </w:r>
      <w:r w:rsidR="00DF7E69">
        <w:rPr>
          <w:rFonts w:ascii="Times New Roman" w:hAnsi="Times New Roman" w:cs="Times New Roman"/>
          <w:color w:val="000000" w:themeColor="text1"/>
          <w:sz w:val="24"/>
          <w:szCs w:val="24"/>
          <w:lang w:val="en-US"/>
        </w:rPr>
        <w:t xml:space="preserve">and R. </w:t>
      </w:r>
      <w:r w:rsidRPr="00DA1D07">
        <w:rPr>
          <w:rFonts w:ascii="Times New Roman" w:hAnsi="Times New Roman" w:cs="Times New Roman"/>
          <w:color w:val="000000" w:themeColor="text1"/>
          <w:sz w:val="24"/>
          <w:szCs w:val="24"/>
          <w:lang w:val="en-US"/>
        </w:rPr>
        <w:t>Stulz</w:t>
      </w:r>
      <w:r w:rsidR="00DF7E69">
        <w:rPr>
          <w:rFonts w:ascii="Times New Roman" w:hAnsi="Times New Roman" w:cs="Times New Roman"/>
          <w:color w:val="000000" w:themeColor="text1"/>
          <w:sz w:val="24"/>
          <w:szCs w:val="24"/>
          <w:lang w:val="en-US"/>
        </w:rPr>
        <w:t>.</w:t>
      </w:r>
      <w:r w:rsidRPr="00DA1D07">
        <w:rPr>
          <w:rFonts w:ascii="Times New Roman" w:hAnsi="Times New Roman" w:cs="Times New Roman"/>
          <w:color w:val="000000" w:themeColor="text1"/>
          <w:sz w:val="24"/>
          <w:szCs w:val="24"/>
          <w:lang w:val="en-US"/>
        </w:rPr>
        <w:t xml:space="preserve"> 1985. The determinants of firms’ hedging policies. </w:t>
      </w:r>
      <w:r w:rsidRPr="00DA1D07">
        <w:rPr>
          <w:rFonts w:ascii="Times New Roman" w:hAnsi="Times New Roman" w:cs="Times New Roman"/>
          <w:i/>
          <w:iCs/>
          <w:color w:val="000000" w:themeColor="text1"/>
          <w:sz w:val="24"/>
          <w:szCs w:val="24"/>
          <w:lang w:val="en-US"/>
        </w:rPr>
        <w:t xml:space="preserve">Journal of Financial and </w:t>
      </w:r>
      <w:proofErr w:type="spellStart"/>
      <w:r w:rsidRPr="00DA1D07">
        <w:rPr>
          <w:rFonts w:ascii="Times New Roman" w:hAnsi="Times New Roman" w:cs="Times New Roman"/>
          <w:i/>
          <w:iCs/>
          <w:color w:val="000000" w:themeColor="text1"/>
          <w:sz w:val="24"/>
          <w:szCs w:val="24"/>
          <w:lang w:val="en-US"/>
        </w:rPr>
        <w:t>Quantitive</w:t>
      </w:r>
      <w:proofErr w:type="spellEnd"/>
      <w:r w:rsidRPr="00DA1D07">
        <w:rPr>
          <w:rFonts w:ascii="Times New Roman" w:hAnsi="Times New Roman" w:cs="Times New Roman"/>
          <w:i/>
          <w:iCs/>
          <w:color w:val="000000" w:themeColor="text1"/>
          <w:sz w:val="24"/>
          <w:szCs w:val="24"/>
          <w:lang w:val="en-US"/>
        </w:rPr>
        <w:t xml:space="preserve"> Analysis</w:t>
      </w:r>
      <w:r w:rsidRPr="00DA1D07">
        <w:rPr>
          <w:rFonts w:ascii="Times New Roman" w:hAnsi="Times New Roman" w:cs="Times New Roman"/>
          <w:color w:val="000000" w:themeColor="text1"/>
          <w:sz w:val="24"/>
          <w:szCs w:val="24"/>
          <w:lang w:val="en-US"/>
        </w:rPr>
        <w:t xml:space="preserve"> 20</w:t>
      </w:r>
      <w:r w:rsidR="00DF7E69">
        <w:rPr>
          <w:rFonts w:ascii="Times New Roman" w:hAnsi="Times New Roman" w:cs="Times New Roman"/>
          <w:color w:val="000000" w:themeColor="text1"/>
          <w:sz w:val="24"/>
          <w:szCs w:val="24"/>
          <w:lang w:val="en-US"/>
        </w:rPr>
        <w:t xml:space="preserve"> </w:t>
      </w:r>
      <w:r w:rsidR="00B17150" w:rsidRPr="00DA1D07">
        <w:rPr>
          <w:rFonts w:ascii="Times New Roman" w:hAnsi="Times New Roman" w:cs="Times New Roman"/>
          <w:color w:val="000000" w:themeColor="text1"/>
          <w:sz w:val="24"/>
          <w:szCs w:val="24"/>
          <w:lang w:val="en-US"/>
        </w:rPr>
        <w:t>(4)</w:t>
      </w:r>
      <w:r w:rsidR="00DF7E69">
        <w:rPr>
          <w:rFonts w:ascii="Times New Roman" w:hAnsi="Times New Roman" w:cs="Times New Roman"/>
          <w:color w:val="000000" w:themeColor="text1"/>
          <w:sz w:val="24"/>
          <w:szCs w:val="24"/>
          <w:lang w:val="en-US"/>
        </w:rPr>
        <w:t>:</w:t>
      </w:r>
      <w:r w:rsidRPr="00DA1D07">
        <w:rPr>
          <w:rFonts w:ascii="Times New Roman" w:hAnsi="Times New Roman" w:cs="Times New Roman"/>
          <w:color w:val="000000" w:themeColor="text1"/>
          <w:sz w:val="24"/>
          <w:szCs w:val="24"/>
          <w:lang w:val="en-US"/>
        </w:rPr>
        <w:t xml:space="preserve"> 391</w:t>
      </w:r>
      <w:r w:rsidR="00B0289A">
        <w:rPr>
          <w:rFonts w:ascii="Times New Roman" w:hAnsi="Times New Roman" w:cs="Times New Roman"/>
          <w:color w:val="000000" w:themeColor="text1"/>
          <w:sz w:val="24"/>
          <w:szCs w:val="24"/>
          <w:lang w:val="en-US"/>
        </w:rPr>
        <w:t>-</w:t>
      </w:r>
      <w:r w:rsidRPr="00DA1D07">
        <w:rPr>
          <w:rFonts w:ascii="Times New Roman" w:hAnsi="Times New Roman" w:cs="Times New Roman"/>
          <w:color w:val="000000" w:themeColor="text1"/>
          <w:sz w:val="24"/>
          <w:szCs w:val="24"/>
          <w:lang w:val="en-US"/>
        </w:rPr>
        <w:t xml:space="preserve">405. </w:t>
      </w:r>
    </w:p>
    <w:bookmarkEnd w:id="12"/>
    <w:p w14:paraId="2D11E826" w14:textId="7C29281D" w:rsidR="006F4ABE" w:rsidRDefault="006F4ABE">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br w:type="page"/>
      </w:r>
    </w:p>
    <w:tbl>
      <w:tblPr>
        <w:tblW w:w="5000" w:type="pct"/>
        <w:tblLook w:val="04A0" w:firstRow="1" w:lastRow="0" w:firstColumn="1" w:lastColumn="0" w:noHBand="0" w:noVBand="1"/>
      </w:tblPr>
      <w:tblGrid>
        <w:gridCol w:w="1993"/>
        <w:gridCol w:w="4867"/>
        <w:gridCol w:w="1098"/>
        <w:gridCol w:w="1398"/>
      </w:tblGrid>
      <w:tr w:rsidR="006F4ABE" w:rsidRPr="006F4ABE" w14:paraId="2C71018C" w14:textId="77777777" w:rsidTr="00306538">
        <w:trPr>
          <w:trHeight w:val="87"/>
        </w:trPr>
        <w:tc>
          <w:tcPr>
            <w:tcW w:w="5000" w:type="pct"/>
            <w:gridSpan w:val="4"/>
            <w:tcBorders>
              <w:top w:val="nil"/>
              <w:left w:val="nil"/>
              <w:bottom w:val="nil"/>
              <w:right w:val="nil"/>
            </w:tcBorders>
            <w:shd w:val="clear" w:color="auto" w:fill="auto"/>
            <w:noWrap/>
            <w:vAlign w:val="bottom"/>
            <w:hideMark/>
          </w:tcPr>
          <w:p w14:paraId="7233131C" w14:textId="77777777" w:rsidR="006F4ABE" w:rsidRPr="00AE3F87" w:rsidRDefault="006F4ABE" w:rsidP="00306538">
            <w:pPr>
              <w:spacing w:line="240" w:lineRule="auto"/>
              <w:jc w:val="center"/>
              <w:rPr>
                <w:rFonts w:ascii="Times New Roman" w:eastAsia="Times New Roman" w:hAnsi="Times New Roman" w:cs="Times New Roman"/>
                <w:b/>
                <w:bCs/>
                <w:color w:val="000000"/>
                <w:sz w:val="24"/>
                <w:szCs w:val="24"/>
                <w:lang w:eastAsia="en-GB"/>
              </w:rPr>
            </w:pPr>
            <w:r w:rsidRPr="00AE3F87">
              <w:rPr>
                <w:rFonts w:ascii="Times New Roman" w:eastAsia="Times New Roman" w:hAnsi="Times New Roman" w:cs="Times New Roman"/>
                <w:b/>
                <w:bCs/>
                <w:color w:val="000000"/>
                <w:sz w:val="24"/>
                <w:szCs w:val="24"/>
                <w:lang w:eastAsia="en-GB"/>
              </w:rPr>
              <w:lastRenderedPageBreak/>
              <w:t>TABLE 1</w:t>
            </w:r>
          </w:p>
        </w:tc>
      </w:tr>
      <w:tr w:rsidR="006F4ABE" w:rsidRPr="006F4ABE" w14:paraId="0D88AFE4" w14:textId="77777777" w:rsidTr="00306538">
        <w:trPr>
          <w:trHeight w:val="310"/>
        </w:trPr>
        <w:tc>
          <w:tcPr>
            <w:tcW w:w="5000" w:type="pct"/>
            <w:gridSpan w:val="4"/>
            <w:tcBorders>
              <w:top w:val="nil"/>
              <w:left w:val="nil"/>
              <w:bottom w:val="nil"/>
              <w:right w:val="nil"/>
            </w:tcBorders>
            <w:shd w:val="clear" w:color="auto" w:fill="auto"/>
            <w:noWrap/>
            <w:vAlign w:val="bottom"/>
            <w:hideMark/>
          </w:tcPr>
          <w:p w14:paraId="065532C0" w14:textId="77777777" w:rsidR="006F4ABE" w:rsidRPr="006F4ABE" w:rsidRDefault="006F4ABE" w:rsidP="00306538">
            <w:pPr>
              <w:spacing w:line="240" w:lineRule="auto"/>
              <w:jc w:val="center"/>
              <w:rPr>
                <w:rFonts w:ascii="Times New Roman" w:eastAsia="Times New Roman" w:hAnsi="Times New Roman" w:cs="Times New Roman"/>
                <w:b/>
                <w:bCs/>
                <w:color w:val="000000"/>
                <w:sz w:val="24"/>
                <w:szCs w:val="24"/>
                <w:lang w:eastAsia="en-GB"/>
              </w:rPr>
            </w:pPr>
            <w:r w:rsidRPr="006F4ABE">
              <w:rPr>
                <w:rFonts w:ascii="Times New Roman" w:eastAsia="Times New Roman" w:hAnsi="Times New Roman" w:cs="Times New Roman"/>
                <w:b/>
                <w:bCs/>
                <w:color w:val="000000"/>
                <w:sz w:val="24"/>
                <w:szCs w:val="24"/>
                <w:lang w:eastAsia="en-GB"/>
              </w:rPr>
              <w:t>Sample Composition</w:t>
            </w:r>
          </w:p>
        </w:tc>
      </w:tr>
      <w:tr w:rsidR="006F4ABE" w:rsidRPr="006F4ABE" w14:paraId="0D606EF0" w14:textId="77777777" w:rsidTr="00306538">
        <w:trPr>
          <w:trHeight w:val="603"/>
        </w:trPr>
        <w:tc>
          <w:tcPr>
            <w:tcW w:w="5000" w:type="pct"/>
            <w:gridSpan w:val="4"/>
            <w:tcBorders>
              <w:top w:val="nil"/>
              <w:left w:val="nil"/>
              <w:bottom w:val="single" w:sz="4" w:space="0" w:color="auto"/>
              <w:right w:val="nil"/>
            </w:tcBorders>
            <w:shd w:val="clear" w:color="auto" w:fill="auto"/>
            <w:vAlign w:val="bottom"/>
            <w:hideMark/>
          </w:tcPr>
          <w:p w14:paraId="4FD083E3" w14:textId="718C11D6" w:rsidR="006F4ABE" w:rsidRPr="006F4ABE" w:rsidRDefault="006F4ABE" w:rsidP="00306538">
            <w:pPr>
              <w:spacing w:line="240" w:lineRule="auto"/>
              <w:jc w:val="both"/>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 xml:space="preserve">This table reports the </w:t>
            </w:r>
            <w:r w:rsidR="00BF3F22">
              <w:rPr>
                <w:rFonts w:ascii="Times New Roman" w:eastAsia="Times New Roman" w:hAnsi="Times New Roman" w:cs="Times New Roman"/>
                <w:color w:val="000000"/>
                <w:sz w:val="24"/>
                <w:szCs w:val="24"/>
                <w:lang w:eastAsia="en-GB"/>
              </w:rPr>
              <w:t xml:space="preserve">sample </w:t>
            </w:r>
            <w:r w:rsidRPr="006F4ABE">
              <w:rPr>
                <w:rFonts w:ascii="Times New Roman" w:eastAsia="Times New Roman" w:hAnsi="Times New Roman" w:cs="Times New Roman"/>
                <w:color w:val="000000"/>
                <w:sz w:val="24"/>
                <w:szCs w:val="24"/>
                <w:lang w:eastAsia="en-GB"/>
              </w:rPr>
              <w:t>composition by fiscal year in Panel A and by industry</w:t>
            </w:r>
            <w:r w:rsidR="00BF3F22">
              <w:rPr>
                <w:rFonts w:ascii="Times New Roman" w:eastAsia="Times New Roman" w:hAnsi="Times New Roman" w:cs="Times New Roman"/>
                <w:color w:val="000000"/>
                <w:sz w:val="24"/>
                <w:szCs w:val="24"/>
                <w:lang w:eastAsia="en-GB"/>
              </w:rPr>
              <w:t xml:space="preserve">, </w:t>
            </w:r>
            <w:r w:rsidRPr="006F4ABE">
              <w:rPr>
                <w:rFonts w:ascii="Times New Roman" w:eastAsia="Times New Roman" w:hAnsi="Times New Roman" w:cs="Times New Roman"/>
                <w:color w:val="000000"/>
                <w:sz w:val="24"/>
                <w:szCs w:val="24"/>
                <w:lang w:eastAsia="en-GB"/>
              </w:rPr>
              <w:t>accord</w:t>
            </w:r>
            <w:r w:rsidR="00BF3F22">
              <w:rPr>
                <w:rFonts w:ascii="Times New Roman" w:eastAsia="Times New Roman" w:hAnsi="Times New Roman" w:cs="Times New Roman"/>
                <w:color w:val="000000"/>
                <w:sz w:val="24"/>
                <w:szCs w:val="24"/>
                <w:lang w:eastAsia="en-GB"/>
              </w:rPr>
              <w:t>ing to</w:t>
            </w:r>
            <w:r w:rsidRPr="006F4ABE">
              <w:rPr>
                <w:rFonts w:ascii="Times New Roman" w:eastAsia="Times New Roman" w:hAnsi="Times New Roman" w:cs="Times New Roman"/>
                <w:color w:val="000000"/>
                <w:sz w:val="24"/>
                <w:szCs w:val="24"/>
                <w:lang w:eastAsia="en-GB"/>
              </w:rPr>
              <w:t xml:space="preserve"> the Fama-French Industry Classification Type-48</w:t>
            </w:r>
            <w:r w:rsidR="00BF3F22">
              <w:rPr>
                <w:rFonts w:ascii="Times New Roman" w:eastAsia="Times New Roman" w:hAnsi="Times New Roman" w:cs="Times New Roman"/>
                <w:color w:val="000000"/>
                <w:sz w:val="24"/>
                <w:szCs w:val="24"/>
                <w:lang w:eastAsia="en-GB"/>
              </w:rPr>
              <w:t xml:space="preserve">, </w:t>
            </w:r>
            <w:r w:rsidRPr="006F4ABE">
              <w:rPr>
                <w:rFonts w:ascii="Times New Roman" w:eastAsia="Times New Roman" w:hAnsi="Times New Roman" w:cs="Times New Roman"/>
                <w:color w:val="000000"/>
                <w:sz w:val="24"/>
                <w:szCs w:val="24"/>
                <w:lang w:eastAsia="en-GB"/>
              </w:rPr>
              <w:t>in Panel B.</w:t>
            </w:r>
          </w:p>
        </w:tc>
      </w:tr>
      <w:tr w:rsidR="006F4ABE" w:rsidRPr="006F4ABE" w14:paraId="7AFC1468" w14:textId="77777777" w:rsidTr="00306538">
        <w:trPr>
          <w:trHeight w:val="310"/>
        </w:trPr>
        <w:tc>
          <w:tcPr>
            <w:tcW w:w="5000" w:type="pct"/>
            <w:gridSpan w:val="4"/>
            <w:tcBorders>
              <w:top w:val="single" w:sz="4" w:space="0" w:color="auto"/>
              <w:left w:val="nil"/>
              <w:bottom w:val="nil"/>
              <w:right w:val="nil"/>
            </w:tcBorders>
            <w:shd w:val="clear" w:color="auto" w:fill="auto"/>
            <w:noWrap/>
            <w:vAlign w:val="bottom"/>
            <w:hideMark/>
          </w:tcPr>
          <w:p w14:paraId="478CAE00" w14:textId="1E855C59" w:rsidR="006F4ABE" w:rsidRPr="006F4ABE" w:rsidRDefault="006F4ABE" w:rsidP="006F4ABE">
            <w:pPr>
              <w:spacing w:after="0" w:line="240" w:lineRule="auto"/>
              <w:rPr>
                <w:rFonts w:ascii="Times New Roman" w:eastAsia="Times New Roman" w:hAnsi="Times New Roman" w:cs="Times New Roman"/>
                <w:b/>
                <w:bCs/>
                <w:color w:val="000000"/>
                <w:sz w:val="24"/>
                <w:szCs w:val="24"/>
                <w:lang w:eastAsia="en-GB"/>
              </w:rPr>
            </w:pPr>
            <w:r w:rsidRPr="006F4ABE">
              <w:rPr>
                <w:rFonts w:ascii="Times New Roman" w:eastAsia="Times New Roman" w:hAnsi="Times New Roman" w:cs="Times New Roman"/>
                <w:b/>
                <w:bCs/>
                <w:color w:val="000000"/>
                <w:sz w:val="24"/>
                <w:szCs w:val="24"/>
                <w:lang w:eastAsia="en-GB"/>
              </w:rPr>
              <w:t>Panel A</w:t>
            </w:r>
            <w:r w:rsidR="001913D2">
              <w:rPr>
                <w:rFonts w:ascii="Times New Roman" w:eastAsia="Times New Roman" w:hAnsi="Times New Roman" w:cs="Times New Roman"/>
                <w:b/>
                <w:bCs/>
                <w:color w:val="000000"/>
                <w:sz w:val="24"/>
                <w:szCs w:val="24"/>
                <w:lang w:eastAsia="en-GB"/>
              </w:rPr>
              <w:t>:</w:t>
            </w:r>
            <w:r w:rsidR="001913D2" w:rsidRPr="006F4ABE">
              <w:rPr>
                <w:rFonts w:ascii="Times New Roman" w:eastAsia="Times New Roman" w:hAnsi="Times New Roman" w:cs="Times New Roman"/>
                <w:b/>
                <w:bCs/>
                <w:color w:val="000000"/>
                <w:sz w:val="24"/>
                <w:szCs w:val="24"/>
                <w:lang w:eastAsia="en-GB"/>
              </w:rPr>
              <w:t xml:space="preserve"> </w:t>
            </w:r>
            <w:r w:rsidRPr="006F4ABE">
              <w:rPr>
                <w:rFonts w:ascii="Times New Roman" w:eastAsia="Times New Roman" w:hAnsi="Times New Roman" w:cs="Times New Roman"/>
                <w:b/>
                <w:bCs/>
                <w:color w:val="000000"/>
                <w:sz w:val="24"/>
                <w:szCs w:val="24"/>
                <w:lang w:eastAsia="en-GB"/>
              </w:rPr>
              <w:t>Sample Composition by Year</w:t>
            </w:r>
          </w:p>
        </w:tc>
      </w:tr>
      <w:tr w:rsidR="006F4ABE" w:rsidRPr="006F4ABE" w14:paraId="7324C48A" w14:textId="77777777" w:rsidTr="00306538">
        <w:trPr>
          <w:trHeight w:val="310"/>
        </w:trPr>
        <w:tc>
          <w:tcPr>
            <w:tcW w:w="1065" w:type="pct"/>
            <w:tcBorders>
              <w:top w:val="nil"/>
              <w:left w:val="nil"/>
              <w:bottom w:val="nil"/>
              <w:right w:val="nil"/>
            </w:tcBorders>
            <w:shd w:val="clear" w:color="auto" w:fill="auto"/>
            <w:noWrap/>
            <w:vAlign w:val="bottom"/>
            <w:hideMark/>
          </w:tcPr>
          <w:p w14:paraId="33A7D4E4" w14:textId="77777777" w:rsidR="006F4ABE" w:rsidRPr="006F4ABE" w:rsidRDefault="006F4ABE" w:rsidP="006F4ABE">
            <w:pPr>
              <w:spacing w:after="0" w:line="240" w:lineRule="auto"/>
              <w:rPr>
                <w:rFonts w:ascii="Times New Roman" w:eastAsia="Times New Roman" w:hAnsi="Times New Roman" w:cs="Times New Roman"/>
                <w:b/>
                <w:bCs/>
                <w:color w:val="000000"/>
                <w:sz w:val="24"/>
                <w:szCs w:val="24"/>
                <w:lang w:eastAsia="en-GB"/>
              </w:rPr>
            </w:pPr>
          </w:p>
        </w:tc>
        <w:tc>
          <w:tcPr>
            <w:tcW w:w="2601" w:type="pct"/>
            <w:tcBorders>
              <w:top w:val="nil"/>
              <w:left w:val="nil"/>
              <w:bottom w:val="nil"/>
              <w:right w:val="nil"/>
            </w:tcBorders>
            <w:shd w:val="clear" w:color="auto" w:fill="auto"/>
            <w:noWrap/>
            <w:vAlign w:val="bottom"/>
            <w:hideMark/>
          </w:tcPr>
          <w:p w14:paraId="489EF316" w14:textId="77777777" w:rsidR="006F4ABE" w:rsidRPr="006F4ABE" w:rsidRDefault="006F4ABE" w:rsidP="006F4ABE">
            <w:pPr>
              <w:spacing w:after="0" w:line="240" w:lineRule="auto"/>
              <w:jc w:val="right"/>
              <w:rPr>
                <w:rFonts w:ascii="Times New Roman" w:eastAsia="Times New Roman" w:hAnsi="Times New Roman" w:cs="Times New Roman"/>
                <w:i/>
                <w:iCs/>
                <w:color w:val="000000"/>
                <w:sz w:val="24"/>
                <w:szCs w:val="24"/>
                <w:lang w:eastAsia="en-GB"/>
              </w:rPr>
            </w:pPr>
            <w:r w:rsidRPr="006F4ABE">
              <w:rPr>
                <w:rFonts w:ascii="Times New Roman" w:eastAsia="Times New Roman" w:hAnsi="Times New Roman" w:cs="Times New Roman"/>
                <w:i/>
                <w:iCs/>
                <w:color w:val="000000"/>
                <w:sz w:val="24"/>
                <w:szCs w:val="24"/>
                <w:lang w:eastAsia="en-GB"/>
              </w:rPr>
              <w:t>Year</w:t>
            </w:r>
          </w:p>
        </w:tc>
        <w:tc>
          <w:tcPr>
            <w:tcW w:w="587" w:type="pct"/>
            <w:tcBorders>
              <w:top w:val="nil"/>
              <w:left w:val="nil"/>
              <w:bottom w:val="nil"/>
              <w:right w:val="nil"/>
            </w:tcBorders>
            <w:shd w:val="clear" w:color="auto" w:fill="auto"/>
            <w:noWrap/>
            <w:vAlign w:val="bottom"/>
            <w:hideMark/>
          </w:tcPr>
          <w:p w14:paraId="14E07F0B" w14:textId="77777777" w:rsidR="006F4ABE" w:rsidRPr="006F4ABE" w:rsidRDefault="006F4ABE" w:rsidP="006F4ABE">
            <w:pPr>
              <w:spacing w:after="0" w:line="240" w:lineRule="auto"/>
              <w:jc w:val="right"/>
              <w:rPr>
                <w:rFonts w:ascii="Times New Roman" w:eastAsia="Times New Roman" w:hAnsi="Times New Roman" w:cs="Times New Roman"/>
                <w:i/>
                <w:iCs/>
                <w:color w:val="000000"/>
                <w:sz w:val="24"/>
                <w:szCs w:val="24"/>
                <w:lang w:eastAsia="en-GB"/>
              </w:rPr>
            </w:pPr>
            <w:r w:rsidRPr="006F4ABE">
              <w:rPr>
                <w:rFonts w:ascii="Times New Roman" w:eastAsia="Times New Roman" w:hAnsi="Times New Roman" w:cs="Times New Roman"/>
                <w:i/>
                <w:iCs/>
                <w:color w:val="000000"/>
                <w:sz w:val="24"/>
                <w:szCs w:val="24"/>
                <w:lang w:eastAsia="en-GB"/>
              </w:rPr>
              <w:t>Freq.</w:t>
            </w:r>
          </w:p>
        </w:tc>
        <w:tc>
          <w:tcPr>
            <w:tcW w:w="747" w:type="pct"/>
            <w:tcBorders>
              <w:top w:val="nil"/>
              <w:left w:val="nil"/>
              <w:bottom w:val="nil"/>
              <w:right w:val="nil"/>
            </w:tcBorders>
            <w:shd w:val="clear" w:color="auto" w:fill="auto"/>
            <w:noWrap/>
            <w:vAlign w:val="bottom"/>
            <w:hideMark/>
          </w:tcPr>
          <w:p w14:paraId="037679A1" w14:textId="77777777" w:rsidR="006F4ABE" w:rsidRPr="006F4ABE" w:rsidRDefault="006F4ABE" w:rsidP="006F4ABE">
            <w:pPr>
              <w:spacing w:after="0" w:line="240" w:lineRule="auto"/>
              <w:jc w:val="right"/>
              <w:rPr>
                <w:rFonts w:ascii="Times New Roman" w:eastAsia="Times New Roman" w:hAnsi="Times New Roman" w:cs="Times New Roman"/>
                <w:i/>
                <w:iCs/>
                <w:color w:val="000000"/>
                <w:sz w:val="24"/>
                <w:szCs w:val="24"/>
                <w:lang w:eastAsia="en-GB"/>
              </w:rPr>
            </w:pPr>
            <w:r w:rsidRPr="006F4ABE">
              <w:rPr>
                <w:rFonts w:ascii="Times New Roman" w:eastAsia="Times New Roman" w:hAnsi="Times New Roman" w:cs="Times New Roman"/>
                <w:i/>
                <w:iCs/>
                <w:color w:val="000000"/>
                <w:sz w:val="24"/>
                <w:szCs w:val="24"/>
                <w:lang w:eastAsia="en-GB"/>
              </w:rPr>
              <w:t>Percent</w:t>
            </w:r>
          </w:p>
        </w:tc>
      </w:tr>
      <w:tr w:rsidR="006F4ABE" w:rsidRPr="006F4ABE" w14:paraId="1C9C4A66" w14:textId="77777777" w:rsidTr="00306538">
        <w:trPr>
          <w:trHeight w:val="310"/>
        </w:trPr>
        <w:tc>
          <w:tcPr>
            <w:tcW w:w="1065" w:type="pct"/>
            <w:tcBorders>
              <w:top w:val="nil"/>
              <w:left w:val="nil"/>
              <w:bottom w:val="nil"/>
              <w:right w:val="nil"/>
            </w:tcBorders>
            <w:shd w:val="clear" w:color="auto" w:fill="auto"/>
            <w:noWrap/>
            <w:vAlign w:val="bottom"/>
            <w:hideMark/>
          </w:tcPr>
          <w:p w14:paraId="6494E508" w14:textId="77777777" w:rsidR="006F4ABE" w:rsidRPr="006F4ABE" w:rsidRDefault="006F4ABE" w:rsidP="006F4ABE">
            <w:pPr>
              <w:spacing w:after="0" w:line="240" w:lineRule="auto"/>
              <w:jc w:val="right"/>
              <w:rPr>
                <w:rFonts w:ascii="Times New Roman" w:eastAsia="Times New Roman" w:hAnsi="Times New Roman" w:cs="Times New Roman"/>
                <w:i/>
                <w:iCs/>
                <w:color w:val="000000"/>
                <w:sz w:val="24"/>
                <w:szCs w:val="24"/>
                <w:lang w:eastAsia="en-GB"/>
              </w:rPr>
            </w:pPr>
          </w:p>
        </w:tc>
        <w:tc>
          <w:tcPr>
            <w:tcW w:w="2601" w:type="pct"/>
            <w:tcBorders>
              <w:top w:val="nil"/>
              <w:left w:val="nil"/>
              <w:bottom w:val="nil"/>
              <w:right w:val="nil"/>
            </w:tcBorders>
            <w:shd w:val="clear" w:color="auto" w:fill="auto"/>
            <w:noWrap/>
            <w:vAlign w:val="bottom"/>
            <w:hideMark/>
          </w:tcPr>
          <w:p w14:paraId="3F234A55"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2000</w:t>
            </w:r>
          </w:p>
        </w:tc>
        <w:tc>
          <w:tcPr>
            <w:tcW w:w="587" w:type="pct"/>
            <w:tcBorders>
              <w:top w:val="nil"/>
              <w:left w:val="nil"/>
              <w:bottom w:val="nil"/>
              <w:right w:val="nil"/>
            </w:tcBorders>
            <w:shd w:val="clear" w:color="auto" w:fill="auto"/>
            <w:noWrap/>
            <w:vAlign w:val="bottom"/>
            <w:hideMark/>
          </w:tcPr>
          <w:p w14:paraId="47E78455"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952</w:t>
            </w:r>
          </w:p>
        </w:tc>
        <w:tc>
          <w:tcPr>
            <w:tcW w:w="747" w:type="pct"/>
            <w:tcBorders>
              <w:top w:val="nil"/>
              <w:left w:val="nil"/>
              <w:bottom w:val="nil"/>
              <w:right w:val="nil"/>
            </w:tcBorders>
            <w:shd w:val="clear" w:color="auto" w:fill="auto"/>
            <w:noWrap/>
            <w:vAlign w:val="bottom"/>
            <w:hideMark/>
          </w:tcPr>
          <w:p w14:paraId="17CC8879"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5.34</w:t>
            </w:r>
          </w:p>
        </w:tc>
      </w:tr>
      <w:tr w:rsidR="006F4ABE" w:rsidRPr="006F4ABE" w14:paraId="74AB8F94" w14:textId="77777777" w:rsidTr="00306538">
        <w:trPr>
          <w:trHeight w:val="310"/>
        </w:trPr>
        <w:tc>
          <w:tcPr>
            <w:tcW w:w="1065" w:type="pct"/>
            <w:tcBorders>
              <w:top w:val="nil"/>
              <w:left w:val="nil"/>
              <w:bottom w:val="nil"/>
              <w:right w:val="nil"/>
            </w:tcBorders>
            <w:shd w:val="clear" w:color="auto" w:fill="auto"/>
            <w:noWrap/>
            <w:vAlign w:val="bottom"/>
            <w:hideMark/>
          </w:tcPr>
          <w:p w14:paraId="32DEE6A0"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p>
        </w:tc>
        <w:tc>
          <w:tcPr>
            <w:tcW w:w="2601" w:type="pct"/>
            <w:tcBorders>
              <w:top w:val="nil"/>
              <w:left w:val="nil"/>
              <w:bottom w:val="nil"/>
              <w:right w:val="nil"/>
            </w:tcBorders>
            <w:shd w:val="clear" w:color="auto" w:fill="auto"/>
            <w:noWrap/>
            <w:vAlign w:val="bottom"/>
            <w:hideMark/>
          </w:tcPr>
          <w:p w14:paraId="2C424B1D"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2001</w:t>
            </w:r>
          </w:p>
        </w:tc>
        <w:tc>
          <w:tcPr>
            <w:tcW w:w="587" w:type="pct"/>
            <w:tcBorders>
              <w:top w:val="nil"/>
              <w:left w:val="nil"/>
              <w:bottom w:val="nil"/>
              <w:right w:val="nil"/>
            </w:tcBorders>
            <w:shd w:val="clear" w:color="auto" w:fill="auto"/>
            <w:noWrap/>
            <w:vAlign w:val="bottom"/>
            <w:hideMark/>
          </w:tcPr>
          <w:p w14:paraId="064859DA"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957</w:t>
            </w:r>
          </w:p>
        </w:tc>
        <w:tc>
          <w:tcPr>
            <w:tcW w:w="747" w:type="pct"/>
            <w:tcBorders>
              <w:top w:val="nil"/>
              <w:left w:val="nil"/>
              <w:bottom w:val="nil"/>
              <w:right w:val="nil"/>
            </w:tcBorders>
            <w:shd w:val="clear" w:color="auto" w:fill="auto"/>
            <w:noWrap/>
            <w:vAlign w:val="bottom"/>
            <w:hideMark/>
          </w:tcPr>
          <w:p w14:paraId="20ABAA28"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5.37</w:t>
            </w:r>
          </w:p>
        </w:tc>
      </w:tr>
      <w:tr w:rsidR="006F4ABE" w:rsidRPr="006F4ABE" w14:paraId="2C830AB9" w14:textId="77777777" w:rsidTr="00306538">
        <w:trPr>
          <w:trHeight w:val="310"/>
        </w:trPr>
        <w:tc>
          <w:tcPr>
            <w:tcW w:w="1065" w:type="pct"/>
            <w:tcBorders>
              <w:top w:val="nil"/>
              <w:left w:val="nil"/>
              <w:bottom w:val="nil"/>
              <w:right w:val="nil"/>
            </w:tcBorders>
            <w:shd w:val="clear" w:color="auto" w:fill="auto"/>
            <w:noWrap/>
            <w:vAlign w:val="bottom"/>
            <w:hideMark/>
          </w:tcPr>
          <w:p w14:paraId="74B012CE"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p>
        </w:tc>
        <w:tc>
          <w:tcPr>
            <w:tcW w:w="2601" w:type="pct"/>
            <w:tcBorders>
              <w:top w:val="nil"/>
              <w:left w:val="nil"/>
              <w:bottom w:val="nil"/>
              <w:right w:val="nil"/>
            </w:tcBorders>
            <w:shd w:val="clear" w:color="auto" w:fill="auto"/>
            <w:noWrap/>
            <w:vAlign w:val="bottom"/>
            <w:hideMark/>
          </w:tcPr>
          <w:p w14:paraId="21CE545C"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2002</w:t>
            </w:r>
          </w:p>
        </w:tc>
        <w:tc>
          <w:tcPr>
            <w:tcW w:w="587" w:type="pct"/>
            <w:tcBorders>
              <w:top w:val="nil"/>
              <w:left w:val="nil"/>
              <w:bottom w:val="nil"/>
              <w:right w:val="nil"/>
            </w:tcBorders>
            <w:shd w:val="clear" w:color="auto" w:fill="auto"/>
            <w:noWrap/>
            <w:vAlign w:val="bottom"/>
            <w:hideMark/>
          </w:tcPr>
          <w:p w14:paraId="03871A14"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977</w:t>
            </w:r>
          </w:p>
        </w:tc>
        <w:tc>
          <w:tcPr>
            <w:tcW w:w="747" w:type="pct"/>
            <w:tcBorders>
              <w:top w:val="nil"/>
              <w:left w:val="nil"/>
              <w:bottom w:val="nil"/>
              <w:right w:val="nil"/>
            </w:tcBorders>
            <w:shd w:val="clear" w:color="auto" w:fill="auto"/>
            <w:noWrap/>
            <w:vAlign w:val="bottom"/>
            <w:hideMark/>
          </w:tcPr>
          <w:p w14:paraId="71001DC5"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5.48</w:t>
            </w:r>
          </w:p>
        </w:tc>
      </w:tr>
      <w:tr w:rsidR="006F4ABE" w:rsidRPr="006F4ABE" w14:paraId="217E07CF" w14:textId="77777777" w:rsidTr="00306538">
        <w:trPr>
          <w:trHeight w:val="310"/>
        </w:trPr>
        <w:tc>
          <w:tcPr>
            <w:tcW w:w="1065" w:type="pct"/>
            <w:tcBorders>
              <w:top w:val="nil"/>
              <w:left w:val="nil"/>
              <w:bottom w:val="nil"/>
              <w:right w:val="nil"/>
            </w:tcBorders>
            <w:shd w:val="clear" w:color="auto" w:fill="auto"/>
            <w:noWrap/>
            <w:vAlign w:val="bottom"/>
            <w:hideMark/>
          </w:tcPr>
          <w:p w14:paraId="3A3F344C"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p>
        </w:tc>
        <w:tc>
          <w:tcPr>
            <w:tcW w:w="2601" w:type="pct"/>
            <w:tcBorders>
              <w:top w:val="nil"/>
              <w:left w:val="nil"/>
              <w:bottom w:val="nil"/>
              <w:right w:val="nil"/>
            </w:tcBorders>
            <w:shd w:val="clear" w:color="auto" w:fill="auto"/>
            <w:noWrap/>
            <w:vAlign w:val="bottom"/>
            <w:hideMark/>
          </w:tcPr>
          <w:p w14:paraId="25C62054"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2003</w:t>
            </w:r>
          </w:p>
        </w:tc>
        <w:tc>
          <w:tcPr>
            <w:tcW w:w="587" w:type="pct"/>
            <w:tcBorders>
              <w:top w:val="nil"/>
              <w:left w:val="nil"/>
              <w:bottom w:val="nil"/>
              <w:right w:val="nil"/>
            </w:tcBorders>
            <w:shd w:val="clear" w:color="auto" w:fill="auto"/>
            <w:noWrap/>
            <w:vAlign w:val="bottom"/>
            <w:hideMark/>
          </w:tcPr>
          <w:p w14:paraId="3CD2EC64"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1012</w:t>
            </w:r>
          </w:p>
        </w:tc>
        <w:tc>
          <w:tcPr>
            <w:tcW w:w="747" w:type="pct"/>
            <w:tcBorders>
              <w:top w:val="nil"/>
              <w:left w:val="nil"/>
              <w:bottom w:val="nil"/>
              <w:right w:val="nil"/>
            </w:tcBorders>
            <w:shd w:val="clear" w:color="auto" w:fill="auto"/>
            <w:noWrap/>
            <w:vAlign w:val="bottom"/>
            <w:hideMark/>
          </w:tcPr>
          <w:p w14:paraId="02C382D0"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5.68</w:t>
            </w:r>
          </w:p>
        </w:tc>
      </w:tr>
      <w:tr w:rsidR="006F4ABE" w:rsidRPr="006F4ABE" w14:paraId="4D7960D0" w14:textId="77777777" w:rsidTr="00306538">
        <w:trPr>
          <w:trHeight w:val="310"/>
        </w:trPr>
        <w:tc>
          <w:tcPr>
            <w:tcW w:w="1065" w:type="pct"/>
            <w:tcBorders>
              <w:top w:val="nil"/>
              <w:left w:val="nil"/>
              <w:bottom w:val="nil"/>
              <w:right w:val="nil"/>
            </w:tcBorders>
            <w:shd w:val="clear" w:color="auto" w:fill="auto"/>
            <w:noWrap/>
            <w:vAlign w:val="bottom"/>
            <w:hideMark/>
          </w:tcPr>
          <w:p w14:paraId="7AFE440C"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p>
        </w:tc>
        <w:tc>
          <w:tcPr>
            <w:tcW w:w="2601" w:type="pct"/>
            <w:tcBorders>
              <w:top w:val="nil"/>
              <w:left w:val="nil"/>
              <w:bottom w:val="nil"/>
              <w:right w:val="nil"/>
            </w:tcBorders>
            <w:shd w:val="clear" w:color="auto" w:fill="auto"/>
            <w:noWrap/>
            <w:vAlign w:val="bottom"/>
            <w:hideMark/>
          </w:tcPr>
          <w:p w14:paraId="07858BE1"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2004</w:t>
            </w:r>
          </w:p>
        </w:tc>
        <w:tc>
          <w:tcPr>
            <w:tcW w:w="587" w:type="pct"/>
            <w:tcBorders>
              <w:top w:val="nil"/>
              <w:left w:val="nil"/>
              <w:bottom w:val="nil"/>
              <w:right w:val="nil"/>
            </w:tcBorders>
            <w:shd w:val="clear" w:color="auto" w:fill="auto"/>
            <w:noWrap/>
            <w:vAlign w:val="bottom"/>
            <w:hideMark/>
          </w:tcPr>
          <w:p w14:paraId="2953F29C"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1008</w:t>
            </w:r>
          </w:p>
        </w:tc>
        <w:tc>
          <w:tcPr>
            <w:tcW w:w="747" w:type="pct"/>
            <w:tcBorders>
              <w:top w:val="nil"/>
              <w:left w:val="nil"/>
              <w:bottom w:val="nil"/>
              <w:right w:val="nil"/>
            </w:tcBorders>
            <w:shd w:val="clear" w:color="auto" w:fill="auto"/>
            <w:noWrap/>
            <w:vAlign w:val="bottom"/>
            <w:hideMark/>
          </w:tcPr>
          <w:p w14:paraId="148F032C"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5.65</w:t>
            </w:r>
          </w:p>
        </w:tc>
      </w:tr>
      <w:tr w:rsidR="006F4ABE" w:rsidRPr="006F4ABE" w14:paraId="6475044E" w14:textId="77777777" w:rsidTr="00306538">
        <w:trPr>
          <w:trHeight w:val="310"/>
        </w:trPr>
        <w:tc>
          <w:tcPr>
            <w:tcW w:w="1065" w:type="pct"/>
            <w:tcBorders>
              <w:top w:val="nil"/>
              <w:left w:val="nil"/>
              <w:bottom w:val="nil"/>
              <w:right w:val="nil"/>
            </w:tcBorders>
            <w:shd w:val="clear" w:color="auto" w:fill="auto"/>
            <w:noWrap/>
            <w:vAlign w:val="bottom"/>
            <w:hideMark/>
          </w:tcPr>
          <w:p w14:paraId="4483DD62"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p>
        </w:tc>
        <w:tc>
          <w:tcPr>
            <w:tcW w:w="2601" w:type="pct"/>
            <w:tcBorders>
              <w:top w:val="nil"/>
              <w:left w:val="nil"/>
              <w:bottom w:val="nil"/>
              <w:right w:val="nil"/>
            </w:tcBorders>
            <w:shd w:val="clear" w:color="auto" w:fill="auto"/>
            <w:noWrap/>
            <w:vAlign w:val="bottom"/>
            <w:hideMark/>
          </w:tcPr>
          <w:p w14:paraId="11D0DFEE"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2005</w:t>
            </w:r>
          </w:p>
        </w:tc>
        <w:tc>
          <w:tcPr>
            <w:tcW w:w="587" w:type="pct"/>
            <w:tcBorders>
              <w:top w:val="nil"/>
              <w:left w:val="nil"/>
              <w:bottom w:val="nil"/>
              <w:right w:val="nil"/>
            </w:tcBorders>
            <w:shd w:val="clear" w:color="auto" w:fill="auto"/>
            <w:noWrap/>
            <w:vAlign w:val="bottom"/>
            <w:hideMark/>
          </w:tcPr>
          <w:p w14:paraId="152B7372"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969</w:t>
            </w:r>
          </w:p>
        </w:tc>
        <w:tc>
          <w:tcPr>
            <w:tcW w:w="747" w:type="pct"/>
            <w:tcBorders>
              <w:top w:val="nil"/>
              <w:left w:val="nil"/>
              <w:bottom w:val="nil"/>
              <w:right w:val="nil"/>
            </w:tcBorders>
            <w:shd w:val="clear" w:color="auto" w:fill="auto"/>
            <w:noWrap/>
            <w:vAlign w:val="bottom"/>
            <w:hideMark/>
          </w:tcPr>
          <w:p w14:paraId="3EF8A8EB"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5.43</w:t>
            </w:r>
          </w:p>
        </w:tc>
      </w:tr>
      <w:tr w:rsidR="006F4ABE" w:rsidRPr="006F4ABE" w14:paraId="2A15DD08" w14:textId="77777777" w:rsidTr="00306538">
        <w:trPr>
          <w:trHeight w:val="310"/>
        </w:trPr>
        <w:tc>
          <w:tcPr>
            <w:tcW w:w="1065" w:type="pct"/>
            <w:tcBorders>
              <w:top w:val="nil"/>
              <w:left w:val="nil"/>
              <w:bottom w:val="nil"/>
              <w:right w:val="nil"/>
            </w:tcBorders>
            <w:shd w:val="clear" w:color="auto" w:fill="auto"/>
            <w:noWrap/>
            <w:vAlign w:val="bottom"/>
            <w:hideMark/>
          </w:tcPr>
          <w:p w14:paraId="7833025E"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p>
        </w:tc>
        <w:tc>
          <w:tcPr>
            <w:tcW w:w="2601" w:type="pct"/>
            <w:tcBorders>
              <w:top w:val="nil"/>
              <w:left w:val="nil"/>
              <w:bottom w:val="nil"/>
              <w:right w:val="nil"/>
            </w:tcBorders>
            <w:shd w:val="clear" w:color="auto" w:fill="auto"/>
            <w:noWrap/>
            <w:vAlign w:val="bottom"/>
            <w:hideMark/>
          </w:tcPr>
          <w:p w14:paraId="57EECEC7"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2006</w:t>
            </w:r>
          </w:p>
        </w:tc>
        <w:tc>
          <w:tcPr>
            <w:tcW w:w="587" w:type="pct"/>
            <w:tcBorders>
              <w:top w:val="nil"/>
              <w:left w:val="nil"/>
              <w:bottom w:val="nil"/>
              <w:right w:val="nil"/>
            </w:tcBorders>
            <w:shd w:val="clear" w:color="auto" w:fill="auto"/>
            <w:noWrap/>
            <w:vAlign w:val="bottom"/>
            <w:hideMark/>
          </w:tcPr>
          <w:p w14:paraId="7F7F813B"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982</w:t>
            </w:r>
          </w:p>
        </w:tc>
        <w:tc>
          <w:tcPr>
            <w:tcW w:w="747" w:type="pct"/>
            <w:tcBorders>
              <w:top w:val="nil"/>
              <w:left w:val="nil"/>
              <w:bottom w:val="nil"/>
              <w:right w:val="nil"/>
            </w:tcBorders>
            <w:shd w:val="clear" w:color="auto" w:fill="auto"/>
            <w:noWrap/>
            <w:vAlign w:val="bottom"/>
            <w:hideMark/>
          </w:tcPr>
          <w:p w14:paraId="598DA593"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5.51</w:t>
            </w:r>
          </w:p>
        </w:tc>
      </w:tr>
      <w:tr w:rsidR="006F4ABE" w:rsidRPr="006F4ABE" w14:paraId="379EC2EE" w14:textId="77777777" w:rsidTr="00306538">
        <w:trPr>
          <w:trHeight w:val="310"/>
        </w:trPr>
        <w:tc>
          <w:tcPr>
            <w:tcW w:w="1065" w:type="pct"/>
            <w:tcBorders>
              <w:top w:val="nil"/>
              <w:left w:val="nil"/>
              <w:bottom w:val="nil"/>
              <w:right w:val="nil"/>
            </w:tcBorders>
            <w:shd w:val="clear" w:color="auto" w:fill="auto"/>
            <w:noWrap/>
            <w:vAlign w:val="bottom"/>
            <w:hideMark/>
          </w:tcPr>
          <w:p w14:paraId="23CD5393"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p>
        </w:tc>
        <w:tc>
          <w:tcPr>
            <w:tcW w:w="2601" w:type="pct"/>
            <w:tcBorders>
              <w:top w:val="nil"/>
              <w:left w:val="nil"/>
              <w:bottom w:val="nil"/>
              <w:right w:val="nil"/>
            </w:tcBorders>
            <w:shd w:val="clear" w:color="auto" w:fill="auto"/>
            <w:noWrap/>
            <w:vAlign w:val="bottom"/>
            <w:hideMark/>
          </w:tcPr>
          <w:p w14:paraId="170BF5D0"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2007</w:t>
            </w:r>
          </w:p>
        </w:tc>
        <w:tc>
          <w:tcPr>
            <w:tcW w:w="587" w:type="pct"/>
            <w:tcBorders>
              <w:top w:val="nil"/>
              <w:left w:val="nil"/>
              <w:bottom w:val="nil"/>
              <w:right w:val="nil"/>
            </w:tcBorders>
            <w:shd w:val="clear" w:color="auto" w:fill="auto"/>
            <w:noWrap/>
            <w:vAlign w:val="bottom"/>
            <w:hideMark/>
          </w:tcPr>
          <w:p w14:paraId="40E1E402"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1124</w:t>
            </w:r>
          </w:p>
        </w:tc>
        <w:tc>
          <w:tcPr>
            <w:tcW w:w="747" w:type="pct"/>
            <w:tcBorders>
              <w:top w:val="nil"/>
              <w:left w:val="nil"/>
              <w:bottom w:val="nil"/>
              <w:right w:val="nil"/>
            </w:tcBorders>
            <w:shd w:val="clear" w:color="auto" w:fill="auto"/>
            <w:noWrap/>
            <w:vAlign w:val="bottom"/>
            <w:hideMark/>
          </w:tcPr>
          <w:p w14:paraId="34F50A74"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6.3</w:t>
            </w:r>
          </w:p>
        </w:tc>
      </w:tr>
      <w:tr w:rsidR="006F4ABE" w:rsidRPr="006F4ABE" w14:paraId="09D97127" w14:textId="77777777" w:rsidTr="00306538">
        <w:trPr>
          <w:trHeight w:val="310"/>
        </w:trPr>
        <w:tc>
          <w:tcPr>
            <w:tcW w:w="1065" w:type="pct"/>
            <w:tcBorders>
              <w:top w:val="nil"/>
              <w:left w:val="nil"/>
              <w:bottom w:val="nil"/>
              <w:right w:val="nil"/>
            </w:tcBorders>
            <w:shd w:val="clear" w:color="auto" w:fill="auto"/>
            <w:noWrap/>
            <w:vAlign w:val="bottom"/>
            <w:hideMark/>
          </w:tcPr>
          <w:p w14:paraId="60A9068A"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p>
        </w:tc>
        <w:tc>
          <w:tcPr>
            <w:tcW w:w="2601" w:type="pct"/>
            <w:tcBorders>
              <w:top w:val="nil"/>
              <w:left w:val="nil"/>
              <w:bottom w:val="nil"/>
              <w:right w:val="nil"/>
            </w:tcBorders>
            <w:shd w:val="clear" w:color="auto" w:fill="auto"/>
            <w:noWrap/>
            <w:vAlign w:val="bottom"/>
            <w:hideMark/>
          </w:tcPr>
          <w:p w14:paraId="4F6CD36B"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2008</w:t>
            </w:r>
          </w:p>
        </w:tc>
        <w:tc>
          <w:tcPr>
            <w:tcW w:w="587" w:type="pct"/>
            <w:tcBorders>
              <w:top w:val="nil"/>
              <w:left w:val="nil"/>
              <w:bottom w:val="nil"/>
              <w:right w:val="nil"/>
            </w:tcBorders>
            <w:shd w:val="clear" w:color="auto" w:fill="auto"/>
            <w:noWrap/>
            <w:vAlign w:val="bottom"/>
            <w:hideMark/>
          </w:tcPr>
          <w:p w14:paraId="1CF7904E"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1151</w:t>
            </w:r>
          </w:p>
        </w:tc>
        <w:tc>
          <w:tcPr>
            <w:tcW w:w="747" w:type="pct"/>
            <w:tcBorders>
              <w:top w:val="nil"/>
              <w:left w:val="nil"/>
              <w:bottom w:val="nil"/>
              <w:right w:val="nil"/>
            </w:tcBorders>
            <w:shd w:val="clear" w:color="auto" w:fill="auto"/>
            <w:noWrap/>
            <w:vAlign w:val="bottom"/>
            <w:hideMark/>
          </w:tcPr>
          <w:p w14:paraId="6067D168"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6.46</w:t>
            </w:r>
          </w:p>
        </w:tc>
      </w:tr>
      <w:tr w:rsidR="006F4ABE" w:rsidRPr="006F4ABE" w14:paraId="5A677E75" w14:textId="77777777" w:rsidTr="00306538">
        <w:trPr>
          <w:trHeight w:val="310"/>
        </w:trPr>
        <w:tc>
          <w:tcPr>
            <w:tcW w:w="1065" w:type="pct"/>
            <w:tcBorders>
              <w:top w:val="nil"/>
              <w:left w:val="nil"/>
              <w:bottom w:val="nil"/>
              <w:right w:val="nil"/>
            </w:tcBorders>
            <w:shd w:val="clear" w:color="auto" w:fill="auto"/>
            <w:noWrap/>
            <w:vAlign w:val="bottom"/>
            <w:hideMark/>
          </w:tcPr>
          <w:p w14:paraId="75D6ADFF"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p>
        </w:tc>
        <w:tc>
          <w:tcPr>
            <w:tcW w:w="2601" w:type="pct"/>
            <w:tcBorders>
              <w:top w:val="nil"/>
              <w:left w:val="nil"/>
              <w:bottom w:val="nil"/>
              <w:right w:val="nil"/>
            </w:tcBorders>
            <w:shd w:val="clear" w:color="auto" w:fill="auto"/>
            <w:noWrap/>
            <w:vAlign w:val="bottom"/>
            <w:hideMark/>
          </w:tcPr>
          <w:p w14:paraId="47DDFEC1"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2009</w:t>
            </w:r>
          </w:p>
        </w:tc>
        <w:tc>
          <w:tcPr>
            <w:tcW w:w="587" w:type="pct"/>
            <w:tcBorders>
              <w:top w:val="nil"/>
              <w:left w:val="nil"/>
              <w:bottom w:val="nil"/>
              <w:right w:val="nil"/>
            </w:tcBorders>
            <w:shd w:val="clear" w:color="auto" w:fill="auto"/>
            <w:noWrap/>
            <w:vAlign w:val="bottom"/>
            <w:hideMark/>
          </w:tcPr>
          <w:p w14:paraId="2A831A57"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1116</w:t>
            </w:r>
          </w:p>
        </w:tc>
        <w:tc>
          <w:tcPr>
            <w:tcW w:w="747" w:type="pct"/>
            <w:tcBorders>
              <w:top w:val="nil"/>
              <w:left w:val="nil"/>
              <w:bottom w:val="nil"/>
              <w:right w:val="nil"/>
            </w:tcBorders>
            <w:shd w:val="clear" w:color="auto" w:fill="auto"/>
            <w:noWrap/>
            <w:vAlign w:val="bottom"/>
            <w:hideMark/>
          </w:tcPr>
          <w:p w14:paraId="0296487C"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6.26</w:t>
            </w:r>
          </w:p>
        </w:tc>
      </w:tr>
      <w:tr w:rsidR="006F4ABE" w:rsidRPr="006F4ABE" w14:paraId="15A653E9" w14:textId="77777777" w:rsidTr="00306538">
        <w:trPr>
          <w:trHeight w:val="310"/>
        </w:trPr>
        <w:tc>
          <w:tcPr>
            <w:tcW w:w="1065" w:type="pct"/>
            <w:tcBorders>
              <w:top w:val="nil"/>
              <w:left w:val="nil"/>
              <w:bottom w:val="nil"/>
              <w:right w:val="nil"/>
            </w:tcBorders>
            <w:shd w:val="clear" w:color="auto" w:fill="auto"/>
            <w:noWrap/>
            <w:vAlign w:val="bottom"/>
            <w:hideMark/>
          </w:tcPr>
          <w:p w14:paraId="4F6B3E4C"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p>
        </w:tc>
        <w:tc>
          <w:tcPr>
            <w:tcW w:w="2601" w:type="pct"/>
            <w:tcBorders>
              <w:top w:val="nil"/>
              <w:left w:val="nil"/>
              <w:bottom w:val="nil"/>
              <w:right w:val="nil"/>
            </w:tcBorders>
            <w:shd w:val="clear" w:color="auto" w:fill="auto"/>
            <w:noWrap/>
            <w:vAlign w:val="bottom"/>
            <w:hideMark/>
          </w:tcPr>
          <w:p w14:paraId="6041DAC0"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2010</w:t>
            </w:r>
          </w:p>
        </w:tc>
        <w:tc>
          <w:tcPr>
            <w:tcW w:w="587" w:type="pct"/>
            <w:tcBorders>
              <w:top w:val="nil"/>
              <w:left w:val="nil"/>
              <w:bottom w:val="nil"/>
              <w:right w:val="nil"/>
            </w:tcBorders>
            <w:shd w:val="clear" w:color="auto" w:fill="auto"/>
            <w:noWrap/>
            <w:vAlign w:val="bottom"/>
            <w:hideMark/>
          </w:tcPr>
          <w:p w14:paraId="5971DC3A"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1080</w:t>
            </w:r>
          </w:p>
        </w:tc>
        <w:tc>
          <w:tcPr>
            <w:tcW w:w="747" w:type="pct"/>
            <w:tcBorders>
              <w:top w:val="nil"/>
              <w:left w:val="nil"/>
              <w:bottom w:val="nil"/>
              <w:right w:val="nil"/>
            </w:tcBorders>
            <w:shd w:val="clear" w:color="auto" w:fill="auto"/>
            <w:noWrap/>
            <w:vAlign w:val="bottom"/>
            <w:hideMark/>
          </w:tcPr>
          <w:p w14:paraId="001A8D2B"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6.06</w:t>
            </w:r>
          </w:p>
        </w:tc>
      </w:tr>
      <w:tr w:rsidR="006F4ABE" w:rsidRPr="006F4ABE" w14:paraId="6120903A" w14:textId="77777777" w:rsidTr="00306538">
        <w:trPr>
          <w:trHeight w:val="310"/>
        </w:trPr>
        <w:tc>
          <w:tcPr>
            <w:tcW w:w="1065" w:type="pct"/>
            <w:tcBorders>
              <w:top w:val="nil"/>
              <w:left w:val="nil"/>
              <w:bottom w:val="nil"/>
              <w:right w:val="nil"/>
            </w:tcBorders>
            <w:shd w:val="clear" w:color="auto" w:fill="auto"/>
            <w:noWrap/>
            <w:vAlign w:val="bottom"/>
            <w:hideMark/>
          </w:tcPr>
          <w:p w14:paraId="28EDC858"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p>
        </w:tc>
        <w:tc>
          <w:tcPr>
            <w:tcW w:w="2601" w:type="pct"/>
            <w:tcBorders>
              <w:top w:val="nil"/>
              <w:left w:val="nil"/>
              <w:bottom w:val="nil"/>
              <w:right w:val="nil"/>
            </w:tcBorders>
            <w:shd w:val="clear" w:color="auto" w:fill="auto"/>
            <w:noWrap/>
            <w:vAlign w:val="bottom"/>
            <w:hideMark/>
          </w:tcPr>
          <w:p w14:paraId="452BB0BD"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2011</w:t>
            </w:r>
          </w:p>
        </w:tc>
        <w:tc>
          <w:tcPr>
            <w:tcW w:w="587" w:type="pct"/>
            <w:tcBorders>
              <w:top w:val="nil"/>
              <w:left w:val="nil"/>
              <w:bottom w:val="nil"/>
              <w:right w:val="nil"/>
            </w:tcBorders>
            <w:shd w:val="clear" w:color="auto" w:fill="auto"/>
            <w:noWrap/>
            <w:vAlign w:val="bottom"/>
            <w:hideMark/>
          </w:tcPr>
          <w:p w14:paraId="38282DBC"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1064</w:t>
            </w:r>
          </w:p>
        </w:tc>
        <w:tc>
          <w:tcPr>
            <w:tcW w:w="747" w:type="pct"/>
            <w:tcBorders>
              <w:top w:val="nil"/>
              <w:left w:val="nil"/>
              <w:bottom w:val="nil"/>
              <w:right w:val="nil"/>
            </w:tcBorders>
            <w:shd w:val="clear" w:color="auto" w:fill="auto"/>
            <w:noWrap/>
            <w:vAlign w:val="bottom"/>
            <w:hideMark/>
          </w:tcPr>
          <w:p w14:paraId="786F4E6C"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5.97</w:t>
            </w:r>
          </w:p>
        </w:tc>
      </w:tr>
      <w:tr w:rsidR="006F4ABE" w:rsidRPr="006F4ABE" w14:paraId="0CBC3798" w14:textId="77777777" w:rsidTr="00306538">
        <w:trPr>
          <w:trHeight w:val="310"/>
        </w:trPr>
        <w:tc>
          <w:tcPr>
            <w:tcW w:w="1065" w:type="pct"/>
            <w:tcBorders>
              <w:top w:val="nil"/>
              <w:left w:val="nil"/>
              <w:bottom w:val="nil"/>
              <w:right w:val="nil"/>
            </w:tcBorders>
            <w:shd w:val="clear" w:color="auto" w:fill="auto"/>
            <w:noWrap/>
            <w:vAlign w:val="bottom"/>
            <w:hideMark/>
          </w:tcPr>
          <w:p w14:paraId="3949D8D0"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p>
        </w:tc>
        <w:tc>
          <w:tcPr>
            <w:tcW w:w="2601" w:type="pct"/>
            <w:tcBorders>
              <w:top w:val="nil"/>
              <w:left w:val="nil"/>
              <w:bottom w:val="nil"/>
              <w:right w:val="nil"/>
            </w:tcBorders>
            <w:shd w:val="clear" w:color="auto" w:fill="auto"/>
            <w:noWrap/>
            <w:vAlign w:val="bottom"/>
            <w:hideMark/>
          </w:tcPr>
          <w:p w14:paraId="610F71F0"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2012</w:t>
            </w:r>
          </w:p>
        </w:tc>
        <w:tc>
          <w:tcPr>
            <w:tcW w:w="587" w:type="pct"/>
            <w:tcBorders>
              <w:top w:val="nil"/>
              <w:left w:val="nil"/>
              <w:bottom w:val="nil"/>
              <w:right w:val="nil"/>
            </w:tcBorders>
            <w:shd w:val="clear" w:color="auto" w:fill="auto"/>
            <w:noWrap/>
            <w:vAlign w:val="bottom"/>
            <w:hideMark/>
          </w:tcPr>
          <w:p w14:paraId="2892DDE1"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1013</w:t>
            </w:r>
          </w:p>
        </w:tc>
        <w:tc>
          <w:tcPr>
            <w:tcW w:w="747" w:type="pct"/>
            <w:tcBorders>
              <w:top w:val="nil"/>
              <w:left w:val="nil"/>
              <w:bottom w:val="nil"/>
              <w:right w:val="nil"/>
            </w:tcBorders>
            <w:shd w:val="clear" w:color="auto" w:fill="auto"/>
            <w:noWrap/>
            <w:vAlign w:val="bottom"/>
            <w:hideMark/>
          </w:tcPr>
          <w:p w14:paraId="2556C47A"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5.68</w:t>
            </w:r>
          </w:p>
        </w:tc>
      </w:tr>
      <w:tr w:rsidR="006F4ABE" w:rsidRPr="006F4ABE" w14:paraId="0CE13323" w14:textId="77777777" w:rsidTr="00306538">
        <w:trPr>
          <w:trHeight w:val="310"/>
        </w:trPr>
        <w:tc>
          <w:tcPr>
            <w:tcW w:w="1065" w:type="pct"/>
            <w:tcBorders>
              <w:top w:val="nil"/>
              <w:left w:val="nil"/>
              <w:bottom w:val="nil"/>
              <w:right w:val="nil"/>
            </w:tcBorders>
            <w:shd w:val="clear" w:color="auto" w:fill="auto"/>
            <w:noWrap/>
            <w:vAlign w:val="bottom"/>
            <w:hideMark/>
          </w:tcPr>
          <w:p w14:paraId="2BAD6955"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p>
        </w:tc>
        <w:tc>
          <w:tcPr>
            <w:tcW w:w="2601" w:type="pct"/>
            <w:tcBorders>
              <w:top w:val="nil"/>
              <w:left w:val="nil"/>
              <w:bottom w:val="nil"/>
              <w:right w:val="nil"/>
            </w:tcBorders>
            <w:shd w:val="clear" w:color="auto" w:fill="auto"/>
            <w:noWrap/>
            <w:vAlign w:val="bottom"/>
            <w:hideMark/>
          </w:tcPr>
          <w:p w14:paraId="36AEB4AD"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2013</w:t>
            </w:r>
          </w:p>
        </w:tc>
        <w:tc>
          <w:tcPr>
            <w:tcW w:w="587" w:type="pct"/>
            <w:tcBorders>
              <w:top w:val="nil"/>
              <w:left w:val="nil"/>
              <w:bottom w:val="nil"/>
              <w:right w:val="nil"/>
            </w:tcBorders>
            <w:shd w:val="clear" w:color="auto" w:fill="auto"/>
            <w:noWrap/>
            <w:vAlign w:val="bottom"/>
            <w:hideMark/>
          </w:tcPr>
          <w:p w14:paraId="67561FAC"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952</w:t>
            </w:r>
          </w:p>
        </w:tc>
        <w:tc>
          <w:tcPr>
            <w:tcW w:w="747" w:type="pct"/>
            <w:tcBorders>
              <w:top w:val="nil"/>
              <w:left w:val="nil"/>
              <w:bottom w:val="nil"/>
              <w:right w:val="nil"/>
            </w:tcBorders>
            <w:shd w:val="clear" w:color="auto" w:fill="auto"/>
            <w:noWrap/>
            <w:vAlign w:val="bottom"/>
            <w:hideMark/>
          </w:tcPr>
          <w:p w14:paraId="6E09E69E"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5.34</w:t>
            </w:r>
          </w:p>
        </w:tc>
      </w:tr>
      <w:tr w:rsidR="006F4ABE" w:rsidRPr="006F4ABE" w14:paraId="666F60E2" w14:textId="77777777" w:rsidTr="00306538">
        <w:trPr>
          <w:trHeight w:val="310"/>
        </w:trPr>
        <w:tc>
          <w:tcPr>
            <w:tcW w:w="1065" w:type="pct"/>
            <w:tcBorders>
              <w:top w:val="nil"/>
              <w:left w:val="nil"/>
              <w:bottom w:val="nil"/>
              <w:right w:val="nil"/>
            </w:tcBorders>
            <w:shd w:val="clear" w:color="auto" w:fill="auto"/>
            <w:noWrap/>
            <w:vAlign w:val="bottom"/>
            <w:hideMark/>
          </w:tcPr>
          <w:p w14:paraId="36738362"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p>
        </w:tc>
        <w:tc>
          <w:tcPr>
            <w:tcW w:w="2601" w:type="pct"/>
            <w:tcBorders>
              <w:top w:val="nil"/>
              <w:left w:val="nil"/>
              <w:bottom w:val="nil"/>
              <w:right w:val="nil"/>
            </w:tcBorders>
            <w:shd w:val="clear" w:color="auto" w:fill="auto"/>
            <w:noWrap/>
            <w:vAlign w:val="bottom"/>
            <w:hideMark/>
          </w:tcPr>
          <w:p w14:paraId="08840CE3"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2014</w:t>
            </w:r>
          </w:p>
        </w:tc>
        <w:tc>
          <w:tcPr>
            <w:tcW w:w="587" w:type="pct"/>
            <w:tcBorders>
              <w:top w:val="nil"/>
              <w:left w:val="nil"/>
              <w:bottom w:val="nil"/>
              <w:right w:val="nil"/>
            </w:tcBorders>
            <w:shd w:val="clear" w:color="auto" w:fill="auto"/>
            <w:noWrap/>
            <w:vAlign w:val="bottom"/>
            <w:hideMark/>
          </w:tcPr>
          <w:p w14:paraId="4CEF227A"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892</w:t>
            </w:r>
          </w:p>
        </w:tc>
        <w:tc>
          <w:tcPr>
            <w:tcW w:w="747" w:type="pct"/>
            <w:tcBorders>
              <w:top w:val="nil"/>
              <w:left w:val="nil"/>
              <w:bottom w:val="nil"/>
              <w:right w:val="nil"/>
            </w:tcBorders>
            <w:shd w:val="clear" w:color="auto" w:fill="auto"/>
            <w:noWrap/>
            <w:vAlign w:val="bottom"/>
            <w:hideMark/>
          </w:tcPr>
          <w:p w14:paraId="0D0A7D23"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5</w:t>
            </w:r>
          </w:p>
        </w:tc>
      </w:tr>
      <w:tr w:rsidR="006F4ABE" w:rsidRPr="006F4ABE" w14:paraId="64153A41" w14:textId="77777777" w:rsidTr="00306538">
        <w:trPr>
          <w:trHeight w:val="310"/>
        </w:trPr>
        <w:tc>
          <w:tcPr>
            <w:tcW w:w="1065" w:type="pct"/>
            <w:tcBorders>
              <w:top w:val="nil"/>
              <w:left w:val="nil"/>
              <w:bottom w:val="nil"/>
              <w:right w:val="nil"/>
            </w:tcBorders>
            <w:shd w:val="clear" w:color="auto" w:fill="auto"/>
            <w:noWrap/>
            <w:vAlign w:val="bottom"/>
            <w:hideMark/>
          </w:tcPr>
          <w:p w14:paraId="59E4AEA5"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p>
        </w:tc>
        <w:tc>
          <w:tcPr>
            <w:tcW w:w="2601" w:type="pct"/>
            <w:tcBorders>
              <w:top w:val="nil"/>
              <w:left w:val="nil"/>
              <w:bottom w:val="nil"/>
              <w:right w:val="nil"/>
            </w:tcBorders>
            <w:shd w:val="clear" w:color="auto" w:fill="auto"/>
            <w:noWrap/>
            <w:vAlign w:val="bottom"/>
            <w:hideMark/>
          </w:tcPr>
          <w:p w14:paraId="350CC30A"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2015</w:t>
            </w:r>
          </w:p>
        </w:tc>
        <w:tc>
          <w:tcPr>
            <w:tcW w:w="587" w:type="pct"/>
            <w:tcBorders>
              <w:top w:val="nil"/>
              <w:left w:val="nil"/>
              <w:bottom w:val="nil"/>
              <w:right w:val="nil"/>
            </w:tcBorders>
            <w:shd w:val="clear" w:color="auto" w:fill="auto"/>
            <w:noWrap/>
            <w:vAlign w:val="bottom"/>
            <w:hideMark/>
          </w:tcPr>
          <w:p w14:paraId="45A31AF8"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861</w:t>
            </w:r>
          </w:p>
        </w:tc>
        <w:tc>
          <w:tcPr>
            <w:tcW w:w="747" w:type="pct"/>
            <w:tcBorders>
              <w:top w:val="nil"/>
              <w:left w:val="nil"/>
              <w:bottom w:val="nil"/>
              <w:right w:val="nil"/>
            </w:tcBorders>
            <w:shd w:val="clear" w:color="auto" w:fill="auto"/>
            <w:noWrap/>
            <w:vAlign w:val="bottom"/>
            <w:hideMark/>
          </w:tcPr>
          <w:p w14:paraId="1D4E68BF"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4.83</w:t>
            </w:r>
          </w:p>
        </w:tc>
      </w:tr>
      <w:tr w:rsidR="006F4ABE" w:rsidRPr="006F4ABE" w14:paraId="6335A166" w14:textId="77777777" w:rsidTr="00306538">
        <w:trPr>
          <w:trHeight w:val="310"/>
        </w:trPr>
        <w:tc>
          <w:tcPr>
            <w:tcW w:w="1065" w:type="pct"/>
            <w:tcBorders>
              <w:top w:val="nil"/>
              <w:left w:val="nil"/>
              <w:bottom w:val="nil"/>
              <w:right w:val="nil"/>
            </w:tcBorders>
            <w:shd w:val="clear" w:color="auto" w:fill="auto"/>
            <w:noWrap/>
            <w:vAlign w:val="bottom"/>
            <w:hideMark/>
          </w:tcPr>
          <w:p w14:paraId="1D68CBC6"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p>
        </w:tc>
        <w:tc>
          <w:tcPr>
            <w:tcW w:w="2601" w:type="pct"/>
            <w:tcBorders>
              <w:top w:val="nil"/>
              <w:left w:val="nil"/>
              <w:bottom w:val="nil"/>
              <w:right w:val="nil"/>
            </w:tcBorders>
            <w:shd w:val="clear" w:color="auto" w:fill="auto"/>
            <w:noWrap/>
            <w:vAlign w:val="bottom"/>
            <w:hideMark/>
          </w:tcPr>
          <w:p w14:paraId="585E1D94"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2016</w:t>
            </w:r>
          </w:p>
        </w:tc>
        <w:tc>
          <w:tcPr>
            <w:tcW w:w="587" w:type="pct"/>
            <w:tcBorders>
              <w:top w:val="nil"/>
              <w:left w:val="nil"/>
              <w:bottom w:val="nil"/>
              <w:right w:val="nil"/>
            </w:tcBorders>
            <w:shd w:val="clear" w:color="auto" w:fill="auto"/>
            <w:noWrap/>
            <w:vAlign w:val="bottom"/>
            <w:hideMark/>
          </w:tcPr>
          <w:p w14:paraId="2DA1AEE1"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711</w:t>
            </w:r>
          </w:p>
        </w:tc>
        <w:tc>
          <w:tcPr>
            <w:tcW w:w="747" w:type="pct"/>
            <w:tcBorders>
              <w:top w:val="nil"/>
              <w:left w:val="nil"/>
              <w:bottom w:val="nil"/>
              <w:right w:val="nil"/>
            </w:tcBorders>
            <w:shd w:val="clear" w:color="auto" w:fill="auto"/>
            <w:noWrap/>
            <w:vAlign w:val="bottom"/>
            <w:hideMark/>
          </w:tcPr>
          <w:p w14:paraId="2EBEA7BC"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3.99</w:t>
            </w:r>
          </w:p>
        </w:tc>
      </w:tr>
      <w:tr w:rsidR="006F4ABE" w:rsidRPr="006F4ABE" w14:paraId="090DC40F" w14:textId="77777777" w:rsidTr="00306538">
        <w:trPr>
          <w:trHeight w:val="310"/>
        </w:trPr>
        <w:tc>
          <w:tcPr>
            <w:tcW w:w="1065" w:type="pct"/>
            <w:tcBorders>
              <w:top w:val="nil"/>
              <w:left w:val="nil"/>
              <w:bottom w:val="nil"/>
              <w:right w:val="nil"/>
            </w:tcBorders>
            <w:shd w:val="clear" w:color="auto" w:fill="auto"/>
            <w:noWrap/>
            <w:vAlign w:val="bottom"/>
            <w:hideMark/>
          </w:tcPr>
          <w:p w14:paraId="1B7DB88C"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p>
        </w:tc>
        <w:tc>
          <w:tcPr>
            <w:tcW w:w="2601" w:type="pct"/>
            <w:tcBorders>
              <w:top w:val="nil"/>
              <w:left w:val="nil"/>
              <w:bottom w:val="nil"/>
              <w:right w:val="nil"/>
            </w:tcBorders>
            <w:shd w:val="clear" w:color="auto" w:fill="auto"/>
            <w:noWrap/>
            <w:vAlign w:val="bottom"/>
            <w:hideMark/>
          </w:tcPr>
          <w:p w14:paraId="411D9B51"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2017</w:t>
            </w:r>
          </w:p>
        </w:tc>
        <w:tc>
          <w:tcPr>
            <w:tcW w:w="587" w:type="pct"/>
            <w:tcBorders>
              <w:top w:val="nil"/>
              <w:left w:val="nil"/>
              <w:bottom w:val="nil"/>
              <w:right w:val="nil"/>
            </w:tcBorders>
            <w:shd w:val="clear" w:color="auto" w:fill="auto"/>
            <w:noWrap/>
            <w:vAlign w:val="bottom"/>
            <w:hideMark/>
          </w:tcPr>
          <w:p w14:paraId="27DC3EB4"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666</w:t>
            </w:r>
          </w:p>
        </w:tc>
        <w:tc>
          <w:tcPr>
            <w:tcW w:w="747" w:type="pct"/>
            <w:tcBorders>
              <w:top w:val="nil"/>
              <w:left w:val="nil"/>
              <w:bottom w:val="nil"/>
              <w:right w:val="nil"/>
            </w:tcBorders>
            <w:shd w:val="clear" w:color="auto" w:fill="auto"/>
            <w:noWrap/>
            <w:vAlign w:val="bottom"/>
            <w:hideMark/>
          </w:tcPr>
          <w:p w14:paraId="475E55C8"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3.74</w:t>
            </w:r>
          </w:p>
        </w:tc>
      </w:tr>
      <w:tr w:rsidR="006F4ABE" w:rsidRPr="006F4ABE" w14:paraId="6B02FBD5" w14:textId="77777777" w:rsidTr="00306538">
        <w:trPr>
          <w:trHeight w:val="310"/>
        </w:trPr>
        <w:tc>
          <w:tcPr>
            <w:tcW w:w="1065" w:type="pct"/>
            <w:tcBorders>
              <w:top w:val="nil"/>
              <w:left w:val="nil"/>
              <w:bottom w:val="nil"/>
              <w:right w:val="nil"/>
            </w:tcBorders>
            <w:shd w:val="clear" w:color="auto" w:fill="auto"/>
            <w:noWrap/>
            <w:vAlign w:val="bottom"/>
            <w:hideMark/>
          </w:tcPr>
          <w:p w14:paraId="7027243A"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p>
        </w:tc>
        <w:tc>
          <w:tcPr>
            <w:tcW w:w="2601" w:type="pct"/>
            <w:tcBorders>
              <w:top w:val="nil"/>
              <w:left w:val="nil"/>
              <w:bottom w:val="nil"/>
              <w:right w:val="nil"/>
            </w:tcBorders>
            <w:shd w:val="clear" w:color="auto" w:fill="auto"/>
            <w:noWrap/>
            <w:vAlign w:val="bottom"/>
            <w:hideMark/>
          </w:tcPr>
          <w:p w14:paraId="28A5A86D"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2018</w:t>
            </w:r>
          </w:p>
        </w:tc>
        <w:tc>
          <w:tcPr>
            <w:tcW w:w="587" w:type="pct"/>
            <w:tcBorders>
              <w:top w:val="nil"/>
              <w:left w:val="nil"/>
              <w:bottom w:val="nil"/>
              <w:right w:val="nil"/>
            </w:tcBorders>
            <w:shd w:val="clear" w:color="auto" w:fill="auto"/>
            <w:noWrap/>
            <w:vAlign w:val="bottom"/>
            <w:hideMark/>
          </w:tcPr>
          <w:p w14:paraId="763B320A"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344</w:t>
            </w:r>
          </w:p>
        </w:tc>
        <w:tc>
          <w:tcPr>
            <w:tcW w:w="747" w:type="pct"/>
            <w:tcBorders>
              <w:top w:val="nil"/>
              <w:left w:val="nil"/>
              <w:bottom w:val="nil"/>
              <w:right w:val="nil"/>
            </w:tcBorders>
            <w:shd w:val="clear" w:color="auto" w:fill="auto"/>
            <w:noWrap/>
            <w:vAlign w:val="bottom"/>
            <w:hideMark/>
          </w:tcPr>
          <w:p w14:paraId="57FB9EAB"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1.93</w:t>
            </w:r>
          </w:p>
        </w:tc>
      </w:tr>
      <w:tr w:rsidR="006F4ABE" w:rsidRPr="006F4ABE" w14:paraId="642A373D" w14:textId="77777777" w:rsidTr="00306538">
        <w:trPr>
          <w:trHeight w:val="310"/>
        </w:trPr>
        <w:tc>
          <w:tcPr>
            <w:tcW w:w="1065" w:type="pct"/>
            <w:tcBorders>
              <w:top w:val="nil"/>
              <w:left w:val="nil"/>
              <w:bottom w:val="nil"/>
              <w:right w:val="nil"/>
            </w:tcBorders>
            <w:shd w:val="clear" w:color="auto" w:fill="auto"/>
            <w:noWrap/>
            <w:vAlign w:val="bottom"/>
            <w:hideMark/>
          </w:tcPr>
          <w:p w14:paraId="6C8401ED"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p>
        </w:tc>
        <w:tc>
          <w:tcPr>
            <w:tcW w:w="2601" w:type="pct"/>
            <w:tcBorders>
              <w:top w:val="nil"/>
              <w:left w:val="nil"/>
              <w:bottom w:val="nil"/>
              <w:right w:val="nil"/>
            </w:tcBorders>
            <w:shd w:val="clear" w:color="auto" w:fill="auto"/>
            <w:noWrap/>
            <w:vAlign w:val="bottom"/>
            <w:hideMark/>
          </w:tcPr>
          <w:p w14:paraId="1F4AE280" w14:textId="77777777" w:rsidR="006F4ABE" w:rsidRPr="006F4ABE" w:rsidRDefault="006F4ABE" w:rsidP="006F4ABE">
            <w:pPr>
              <w:spacing w:after="0" w:line="240" w:lineRule="auto"/>
              <w:rPr>
                <w:rFonts w:ascii="Times New Roman" w:eastAsia="Times New Roman" w:hAnsi="Times New Roman" w:cs="Times New Roman"/>
                <w:sz w:val="20"/>
                <w:szCs w:val="20"/>
                <w:lang w:eastAsia="en-GB"/>
              </w:rPr>
            </w:pPr>
          </w:p>
        </w:tc>
        <w:tc>
          <w:tcPr>
            <w:tcW w:w="587" w:type="pct"/>
            <w:tcBorders>
              <w:top w:val="nil"/>
              <w:left w:val="nil"/>
              <w:bottom w:val="nil"/>
              <w:right w:val="nil"/>
            </w:tcBorders>
            <w:shd w:val="clear" w:color="auto" w:fill="auto"/>
            <w:noWrap/>
            <w:vAlign w:val="bottom"/>
            <w:hideMark/>
          </w:tcPr>
          <w:p w14:paraId="16E016A7" w14:textId="77777777" w:rsidR="006F4ABE" w:rsidRPr="006F4ABE" w:rsidRDefault="006F4ABE" w:rsidP="006F4ABE">
            <w:pPr>
              <w:spacing w:after="0" w:line="240" w:lineRule="auto"/>
              <w:rPr>
                <w:rFonts w:ascii="Times New Roman" w:eastAsia="Times New Roman" w:hAnsi="Times New Roman" w:cs="Times New Roman"/>
                <w:sz w:val="20"/>
                <w:szCs w:val="20"/>
                <w:lang w:eastAsia="en-GB"/>
              </w:rPr>
            </w:pPr>
          </w:p>
        </w:tc>
        <w:tc>
          <w:tcPr>
            <w:tcW w:w="747" w:type="pct"/>
            <w:tcBorders>
              <w:top w:val="nil"/>
              <w:left w:val="nil"/>
              <w:bottom w:val="nil"/>
              <w:right w:val="nil"/>
            </w:tcBorders>
            <w:shd w:val="clear" w:color="auto" w:fill="auto"/>
            <w:noWrap/>
            <w:vAlign w:val="bottom"/>
            <w:hideMark/>
          </w:tcPr>
          <w:p w14:paraId="2DD1C974" w14:textId="77777777" w:rsidR="006F4ABE" w:rsidRPr="006F4ABE" w:rsidRDefault="006F4ABE" w:rsidP="006F4ABE">
            <w:pPr>
              <w:spacing w:after="0" w:line="240" w:lineRule="auto"/>
              <w:rPr>
                <w:rFonts w:ascii="Times New Roman" w:eastAsia="Times New Roman" w:hAnsi="Times New Roman" w:cs="Times New Roman"/>
                <w:sz w:val="20"/>
                <w:szCs w:val="20"/>
                <w:lang w:eastAsia="en-GB"/>
              </w:rPr>
            </w:pPr>
          </w:p>
        </w:tc>
      </w:tr>
      <w:tr w:rsidR="006F4ABE" w:rsidRPr="006F4ABE" w14:paraId="0F7E1B2A" w14:textId="77777777" w:rsidTr="00306538">
        <w:trPr>
          <w:trHeight w:val="310"/>
        </w:trPr>
        <w:tc>
          <w:tcPr>
            <w:tcW w:w="5000" w:type="pct"/>
            <w:gridSpan w:val="4"/>
            <w:tcBorders>
              <w:top w:val="nil"/>
              <w:left w:val="nil"/>
              <w:bottom w:val="nil"/>
              <w:right w:val="nil"/>
            </w:tcBorders>
            <w:shd w:val="clear" w:color="auto" w:fill="auto"/>
            <w:noWrap/>
            <w:vAlign w:val="bottom"/>
            <w:hideMark/>
          </w:tcPr>
          <w:p w14:paraId="4295FFAB" w14:textId="7D3474E8" w:rsidR="006F4ABE" w:rsidRPr="006F4ABE" w:rsidRDefault="006F4ABE" w:rsidP="006F4ABE">
            <w:pPr>
              <w:spacing w:after="0" w:line="240" w:lineRule="auto"/>
              <w:rPr>
                <w:rFonts w:ascii="Times New Roman" w:eastAsia="Times New Roman" w:hAnsi="Times New Roman" w:cs="Times New Roman"/>
                <w:b/>
                <w:bCs/>
                <w:color w:val="000000"/>
                <w:sz w:val="24"/>
                <w:szCs w:val="24"/>
                <w:lang w:eastAsia="en-GB"/>
              </w:rPr>
            </w:pPr>
            <w:r w:rsidRPr="006F4ABE">
              <w:rPr>
                <w:rFonts w:ascii="Times New Roman" w:eastAsia="Times New Roman" w:hAnsi="Times New Roman" w:cs="Times New Roman"/>
                <w:b/>
                <w:bCs/>
                <w:color w:val="000000"/>
                <w:sz w:val="24"/>
                <w:szCs w:val="24"/>
                <w:lang w:eastAsia="en-GB"/>
              </w:rPr>
              <w:t>Panel B</w:t>
            </w:r>
            <w:r w:rsidR="001913D2">
              <w:rPr>
                <w:rFonts w:ascii="Times New Roman" w:eastAsia="Times New Roman" w:hAnsi="Times New Roman" w:cs="Times New Roman"/>
                <w:b/>
                <w:bCs/>
                <w:color w:val="000000"/>
                <w:sz w:val="24"/>
                <w:szCs w:val="24"/>
                <w:lang w:eastAsia="en-GB"/>
              </w:rPr>
              <w:t>:</w:t>
            </w:r>
            <w:r w:rsidR="001913D2" w:rsidRPr="006F4ABE">
              <w:rPr>
                <w:rFonts w:ascii="Times New Roman" w:eastAsia="Times New Roman" w:hAnsi="Times New Roman" w:cs="Times New Roman"/>
                <w:b/>
                <w:bCs/>
                <w:color w:val="000000"/>
                <w:sz w:val="24"/>
                <w:szCs w:val="24"/>
                <w:lang w:eastAsia="en-GB"/>
              </w:rPr>
              <w:t xml:space="preserve"> </w:t>
            </w:r>
            <w:r w:rsidRPr="006F4ABE">
              <w:rPr>
                <w:rFonts w:ascii="Times New Roman" w:eastAsia="Times New Roman" w:hAnsi="Times New Roman" w:cs="Times New Roman"/>
                <w:b/>
                <w:bCs/>
                <w:color w:val="000000"/>
                <w:sz w:val="24"/>
                <w:szCs w:val="24"/>
                <w:lang w:eastAsia="en-GB"/>
              </w:rPr>
              <w:t>Sample Composition by Industry</w:t>
            </w:r>
          </w:p>
        </w:tc>
      </w:tr>
      <w:tr w:rsidR="006F4ABE" w:rsidRPr="006F4ABE" w14:paraId="1C4590E3" w14:textId="77777777" w:rsidTr="00306538">
        <w:trPr>
          <w:trHeight w:val="310"/>
        </w:trPr>
        <w:tc>
          <w:tcPr>
            <w:tcW w:w="1065" w:type="pct"/>
            <w:tcBorders>
              <w:top w:val="nil"/>
              <w:left w:val="nil"/>
              <w:bottom w:val="nil"/>
              <w:right w:val="nil"/>
            </w:tcBorders>
            <w:shd w:val="clear" w:color="auto" w:fill="auto"/>
            <w:noWrap/>
            <w:vAlign w:val="bottom"/>
            <w:hideMark/>
          </w:tcPr>
          <w:p w14:paraId="73E4DE24" w14:textId="77777777" w:rsidR="006F4ABE" w:rsidRPr="006F4ABE" w:rsidRDefault="006F4ABE" w:rsidP="006F4ABE">
            <w:pPr>
              <w:spacing w:after="0" w:line="240" w:lineRule="auto"/>
              <w:jc w:val="right"/>
              <w:rPr>
                <w:rFonts w:ascii="Times New Roman" w:eastAsia="Times New Roman" w:hAnsi="Times New Roman" w:cs="Times New Roman"/>
                <w:i/>
                <w:iCs/>
                <w:color w:val="000000"/>
                <w:sz w:val="24"/>
                <w:szCs w:val="24"/>
                <w:lang w:eastAsia="en-GB"/>
              </w:rPr>
            </w:pPr>
            <w:r w:rsidRPr="006F4ABE">
              <w:rPr>
                <w:rFonts w:ascii="Times New Roman" w:eastAsia="Times New Roman" w:hAnsi="Times New Roman" w:cs="Times New Roman"/>
                <w:i/>
                <w:iCs/>
                <w:color w:val="000000"/>
                <w:sz w:val="24"/>
                <w:szCs w:val="24"/>
                <w:lang w:eastAsia="en-GB"/>
              </w:rPr>
              <w:t>Industry Code</w:t>
            </w:r>
          </w:p>
        </w:tc>
        <w:tc>
          <w:tcPr>
            <w:tcW w:w="2601" w:type="pct"/>
            <w:tcBorders>
              <w:top w:val="nil"/>
              <w:left w:val="nil"/>
              <w:bottom w:val="nil"/>
              <w:right w:val="nil"/>
            </w:tcBorders>
            <w:shd w:val="clear" w:color="auto" w:fill="auto"/>
            <w:noWrap/>
            <w:vAlign w:val="bottom"/>
            <w:hideMark/>
          </w:tcPr>
          <w:p w14:paraId="2E2AFAA6" w14:textId="77777777" w:rsidR="006F4ABE" w:rsidRPr="006F4ABE" w:rsidRDefault="006F4ABE" w:rsidP="006F4ABE">
            <w:pPr>
              <w:spacing w:after="0" w:line="240" w:lineRule="auto"/>
              <w:jc w:val="right"/>
              <w:rPr>
                <w:rFonts w:ascii="Times New Roman" w:eastAsia="Times New Roman" w:hAnsi="Times New Roman" w:cs="Times New Roman"/>
                <w:i/>
                <w:iCs/>
                <w:color w:val="000000"/>
                <w:sz w:val="24"/>
                <w:szCs w:val="24"/>
                <w:lang w:eastAsia="en-GB"/>
              </w:rPr>
            </w:pPr>
            <w:r w:rsidRPr="006F4ABE">
              <w:rPr>
                <w:rFonts w:ascii="Times New Roman" w:eastAsia="Times New Roman" w:hAnsi="Times New Roman" w:cs="Times New Roman"/>
                <w:i/>
                <w:iCs/>
                <w:color w:val="000000"/>
                <w:sz w:val="24"/>
                <w:szCs w:val="24"/>
                <w:lang w:eastAsia="en-GB"/>
              </w:rPr>
              <w:t>Industry Name</w:t>
            </w:r>
          </w:p>
        </w:tc>
        <w:tc>
          <w:tcPr>
            <w:tcW w:w="587" w:type="pct"/>
            <w:tcBorders>
              <w:top w:val="nil"/>
              <w:left w:val="nil"/>
              <w:bottom w:val="nil"/>
              <w:right w:val="nil"/>
            </w:tcBorders>
            <w:shd w:val="clear" w:color="auto" w:fill="auto"/>
            <w:noWrap/>
            <w:vAlign w:val="bottom"/>
            <w:hideMark/>
          </w:tcPr>
          <w:p w14:paraId="41DE779D" w14:textId="77777777" w:rsidR="006F4ABE" w:rsidRPr="006F4ABE" w:rsidRDefault="006F4ABE" w:rsidP="006F4ABE">
            <w:pPr>
              <w:spacing w:after="0" w:line="240" w:lineRule="auto"/>
              <w:jc w:val="right"/>
              <w:rPr>
                <w:rFonts w:ascii="Times New Roman" w:eastAsia="Times New Roman" w:hAnsi="Times New Roman" w:cs="Times New Roman"/>
                <w:i/>
                <w:iCs/>
                <w:color w:val="000000"/>
                <w:sz w:val="24"/>
                <w:szCs w:val="24"/>
                <w:lang w:eastAsia="en-GB"/>
              </w:rPr>
            </w:pPr>
            <w:r w:rsidRPr="006F4ABE">
              <w:rPr>
                <w:rFonts w:ascii="Times New Roman" w:eastAsia="Times New Roman" w:hAnsi="Times New Roman" w:cs="Times New Roman"/>
                <w:i/>
                <w:iCs/>
                <w:color w:val="000000"/>
                <w:sz w:val="24"/>
                <w:szCs w:val="24"/>
                <w:lang w:eastAsia="en-GB"/>
              </w:rPr>
              <w:t>Freq.</w:t>
            </w:r>
          </w:p>
        </w:tc>
        <w:tc>
          <w:tcPr>
            <w:tcW w:w="747" w:type="pct"/>
            <w:tcBorders>
              <w:top w:val="nil"/>
              <w:left w:val="nil"/>
              <w:bottom w:val="nil"/>
              <w:right w:val="nil"/>
            </w:tcBorders>
            <w:shd w:val="clear" w:color="auto" w:fill="auto"/>
            <w:noWrap/>
            <w:vAlign w:val="bottom"/>
            <w:hideMark/>
          </w:tcPr>
          <w:p w14:paraId="0E9F9C8D" w14:textId="77777777" w:rsidR="006F4ABE" w:rsidRPr="006F4ABE" w:rsidRDefault="006F4ABE" w:rsidP="006F4ABE">
            <w:pPr>
              <w:spacing w:after="0" w:line="240" w:lineRule="auto"/>
              <w:jc w:val="right"/>
              <w:rPr>
                <w:rFonts w:ascii="Times New Roman" w:eastAsia="Times New Roman" w:hAnsi="Times New Roman" w:cs="Times New Roman"/>
                <w:i/>
                <w:iCs/>
                <w:color w:val="000000"/>
                <w:sz w:val="24"/>
                <w:szCs w:val="24"/>
                <w:lang w:eastAsia="en-GB"/>
              </w:rPr>
            </w:pPr>
            <w:r w:rsidRPr="006F4ABE">
              <w:rPr>
                <w:rFonts w:ascii="Times New Roman" w:eastAsia="Times New Roman" w:hAnsi="Times New Roman" w:cs="Times New Roman"/>
                <w:i/>
                <w:iCs/>
                <w:color w:val="000000"/>
                <w:sz w:val="24"/>
                <w:szCs w:val="24"/>
                <w:lang w:eastAsia="en-GB"/>
              </w:rPr>
              <w:t>Percent</w:t>
            </w:r>
          </w:p>
        </w:tc>
      </w:tr>
      <w:tr w:rsidR="006F4ABE" w:rsidRPr="006F4ABE" w14:paraId="172A0297" w14:textId="77777777" w:rsidTr="00306538">
        <w:trPr>
          <w:trHeight w:val="310"/>
        </w:trPr>
        <w:tc>
          <w:tcPr>
            <w:tcW w:w="1065" w:type="pct"/>
            <w:tcBorders>
              <w:top w:val="nil"/>
              <w:left w:val="nil"/>
              <w:bottom w:val="nil"/>
              <w:right w:val="nil"/>
            </w:tcBorders>
            <w:shd w:val="clear" w:color="auto" w:fill="auto"/>
            <w:noWrap/>
            <w:vAlign w:val="bottom"/>
            <w:hideMark/>
          </w:tcPr>
          <w:p w14:paraId="33D408C4"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w:t>
            </w:r>
          </w:p>
        </w:tc>
        <w:tc>
          <w:tcPr>
            <w:tcW w:w="2601" w:type="pct"/>
            <w:tcBorders>
              <w:top w:val="nil"/>
              <w:left w:val="nil"/>
              <w:bottom w:val="nil"/>
              <w:right w:val="nil"/>
            </w:tcBorders>
            <w:shd w:val="clear" w:color="auto" w:fill="auto"/>
            <w:noWrap/>
            <w:vAlign w:val="bottom"/>
            <w:hideMark/>
          </w:tcPr>
          <w:p w14:paraId="686118CC"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Food Products</w:t>
            </w:r>
          </w:p>
        </w:tc>
        <w:tc>
          <w:tcPr>
            <w:tcW w:w="587" w:type="pct"/>
            <w:tcBorders>
              <w:top w:val="nil"/>
              <w:left w:val="nil"/>
              <w:bottom w:val="nil"/>
              <w:right w:val="nil"/>
            </w:tcBorders>
            <w:shd w:val="clear" w:color="auto" w:fill="auto"/>
            <w:noWrap/>
            <w:vAlign w:val="bottom"/>
            <w:hideMark/>
          </w:tcPr>
          <w:p w14:paraId="700142E4"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429</w:t>
            </w:r>
          </w:p>
        </w:tc>
        <w:tc>
          <w:tcPr>
            <w:tcW w:w="747" w:type="pct"/>
            <w:tcBorders>
              <w:top w:val="nil"/>
              <w:left w:val="nil"/>
              <w:bottom w:val="nil"/>
              <w:right w:val="nil"/>
            </w:tcBorders>
            <w:shd w:val="clear" w:color="auto" w:fill="auto"/>
            <w:noWrap/>
            <w:vAlign w:val="bottom"/>
            <w:hideMark/>
          </w:tcPr>
          <w:p w14:paraId="7B701D89"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2.41</w:t>
            </w:r>
          </w:p>
        </w:tc>
      </w:tr>
      <w:tr w:rsidR="006F4ABE" w:rsidRPr="006F4ABE" w14:paraId="2FF130DC" w14:textId="77777777" w:rsidTr="00306538">
        <w:trPr>
          <w:trHeight w:val="310"/>
        </w:trPr>
        <w:tc>
          <w:tcPr>
            <w:tcW w:w="1065" w:type="pct"/>
            <w:tcBorders>
              <w:top w:val="nil"/>
              <w:left w:val="nil"/>
              <w:bottom w:val="nil"/>
              <w:right w:val="nil"/>
            </w:tcBorders>
            <w:shd w:val="clear" w:color="auto" w:fill="auto"/>
            <w:noWrap/>
            <w:vAlign w:val="bottom"/>
            <w:hideMark/>
          </w:tcPr>
          <w:p w14:paraId="41B20B09"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3</w:t>
            </w:r>
          </w:p>
        </w:tc>
        <w:tc>
          <w:tcPr>
            <w:tcW w:w="2601" w:type="pct"/>
            <w:tcBorders>
              <w:top w:val="nil"/>
              <w:left w:val="nil"/>
              <w:bottom w:val="nil"/>
              <w:right w:val="nil"/>
            </w:tcBorders>
            <w:shd w:val="clear" w:color="auto" w:fill="auto"/>
            <w:noWrap/>
            <w:vAlign w:val="bottom"/>
            <w:hideMark/>
          </w:tcPr>
          <w:p w14:paraId="665E2A3D"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Candy &amp; Soda</w:t>
            </w:r>
          </w:p>
        </w:tc>
        <w:tc>
          <w:tcPr>
            <w:tcW w:w="587" w:type="pct"/>
            <w:tcBorders>
              <w:top w:val="nil"/>
              <w:left w:val="nil"/>
              <w:bottom w:val="nil"/>
              <w:right w:val="nil"/>
            </w:tcBorders>
            <w:shd w:val="clear" w:color="auto" w:fill="auto"/>
            <w:noWrap/>
            <w:vAlign w:val="bottom"/>
            <w:hideMark/>
          </w:tcPr>
          <w:p w14:paraId="45875B6C"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63</w:t>
            </w:r>
          </w:p>
        </w:tc>
        <w:tc>
          <w:tcPr>
            <w:tcW w:w="747" w:type="pct"/>
            <w:tcBorders>
              <w:top w:val="nil"/>
              <w:left w:val="nil"/>
              <w:bottom w:val="nil"/>
              <w:right w:val="nil"/>
            </w:tcBorders>
            <w:shd w:val="clear" w:color="auto" w:fill="auto"/>
            <w:noWrap/>
            <w:vAlign w:val="bottom"/>
            <w:hideMark/>
          </w:tcPr>
          <w:p w14:paraId="74CB2256"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0.35</w:t>
            </w:r>
          </w:p>
        </w:tc>
      </w:tr>
      <w:tr w:rsidR="006F4ABE" w:rsidRPr="006F4ABE" w14:paraId="21D27EA2" w14:textId="77777777" w:rsidTr="00306538">
        <w:trPr>
          <w:trHeight w:val="310"/>
        </w:trPr>
        <w:tc>
          <w:tcPr>
            <w:tcW w:w="1065" w:type="pct"/>
            <w:tcBorders>
              <w:top w:val="nil"/>
              <w:left w:val="nil"/>
              <w:bottom w:val="nil"/>
              <w:right w:val="nil"/>
            </w:tcBorders>
            <w:shd w:val="clear" w:color="auto" w:fill="auto"/>
            <w:noWrap/>
            <w:vAlign w:val="bottom"/>
            <w:hideMark/>
          </w:tcPr>
          <w:p w14:paraId="52EC25E3"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4</w:t>
            </w:r>
          </w:p>
        </w:tc>
        <w:tc>
          <w:tcPr>
            <w:tcW w:w="2601" w:type="pct"/>
            <w:tcBorders>
              <w:top w:val="nil"/>
              <w:left w:val="nil"/>
              <w:bottom w:val="nil"/>
              <w:right w:val="nil"/>
            </w:tcBorders>
            <w:shd w:val="clear" w:color="auto" w:fill="auto"/>
            <w:noWrap/>
            <w:vAlign w:val="bottom"/>
            <w:hideMark/>
          </w:tcPr>
          <w:p w14:paraId="4876579F"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Beer &amp; Liquor</w:t>
            </w:r>
          </w:p>
        </w:tc>
        <w:tc>
          <w:tcPr>
            <w:tcW w:w="587" w:type="pct"/>
            <w:tcBorders>
              <w:top w:val="nil"/>
              <w:left w:val="nil"/>
              <w:bottom w:val="nil"/>
              <w:right w:val="nil"/>
            </w:tcBorders>
            <w:shd w:val="clear" w:color="auto" w:fill="auto"/>
            <w:noWrap/>
            <w:vAlign w:val="bottom"/>
            <w:hideMark/>
          </w:tcPr>
          <w:p w14:paraId="7F0C46A6"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100</w:t>
            </w:r>
          </w:p>
        </w:tc>
        <w:tc>
          <w:tcPr>
            <w:tcW w:w="747" w:type="pct"/>
            <w:tcBorders>
              <w:top w:val="nil"/>
              <w:left w:val="nil"/>
              <w:bottom w:val="nil"/>
              <w:right w:val="nil"/>
            </w:tcBorders>
            <w:shd w:val="clear" w:color="auto" w:fill="auto"/>
            <w:noWrap/>
            <w:vAlign w:val="bottom"/>
            <w:hideMark/>
          </w:tcPr>
          <w:p w14:paraId="14FF50FC"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0.56</w:t>
            </w:r>
          </w:p>
        </w:tc>
      </w:tr>
      <w:tr w:rsidR="006F4ABE" w:rsidRPr="006F4ABE" w14:paraId="67C21809" w14:textId="77777777" w:rsidTr="00306538">
        <w:trPr>
          <w:trHeight w:val="310"/>
        </w:trPr>
        <w:tc>
          <w:tcPr>
            <w:tcW w:w="1065" w:type="pct"/>
            <w:tcBorders>
              <w:top w:val="nil"/>
              <w:left w:val="nil"/>
              <w:bottom w:val="nil"/>
              <w:right w:val="nil"/>
            </w:tcBorders>
            <w:shd w:val="clear" w:color="auto" w:fill="auto"/>
            <w:noWrap/>
            <w:vAlign w:val="bottom"/>
            <w:hideMark/>
          </w:tcPr>
          <w:p w14:paraId="2350D157"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5</w:t>
            </w:r>
          </w:p>
        </w:tc>
        <w:tc>
          <w:tcPr>
            <w:tcW w:w="2601" w:type="pct"/>
            <w:tcBorders>
              <w:top w:val="nil"/>
              <w:left w:val="nil"/>
              <w:bottom w:val="nil"/>
              <w:right w:val="nil"/>
            </w:tcBorders>
            <w:shd w:val="clear" w:color="auto" w:fill="auto"/>
            <w:noWrap/>
            <w:vAlign w:val="bottom"/>
            <w:hideMark/>
          </w:tcPr>
          <w:p w14:paraId="6E7BAAD4"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Tobacco Products</w:t>
            </w:r>
          </w:p>
        </w:tc>
        <w:tc>
          <w:tcPr>
            <w:tcW w:w="587" w:type="pct"/>
            <w:tcBorders>
              <w:top w:val="nil"/>
              <w:left w:val="nil"/>
              <w:bottom w:val="nil"/>
              <w:right w:val="nil"/>
            </w:tcBorders>
            <w:shd w:val="clear" w:color="auto" w:fill="auto"/>
            <w:noWrap/>
            <w:vAlign w:val="bottom"/>
            <w:hideMark/>
          </w:tcPr>
          <w:p w14:paraId="19557803"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30</w:t>
            </w:r>
          </w:p>
        </w:tc>
        <w:tc>
          <w:tcPr>
            <w:tcW w:w="747" w:type="pct"/>
            <w:tcBorders>
              <w:top w:val="nil"/>
              <w:left w:val="nil"/>
              <w:bottom w:val="nil"/>
              <w:right w:val="nil"/>
            </w:tcBorders>
            <w:shd w:val="clear" w:color="auto" w:fill="auto"/>
            <w:noWrap/>
            <w:vAlign w:val="bottom"/>
            <w:hideMark/>
          </w:tcPr>
          <w:p w14:paraId="7EE9BB44"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0.17</w:t>
            </w:r>
          </w:p>
        </w:tc>
      </w:tr>
      <w:tr w:rsidR="006F4ABE" w:rsidRPr="006F4ABE" w14:paraId="6E821C58" w14:textId="77777777" w:rsidTr="00306538">
        <w:trPr>
          <w:trHeight w:val="310"/>
        </w:trPr>
        <w:tc>
          <w:tcPr>
            <w:tcW w:w="1065" w:type="pct"/>
            <w:tcBorders>
              <w:top w:val="nil"/>
              <w:left w:val="nil"/>
              <w:bottom w:val="nil"/>
              <w:right w:val="nil"/>
            </w:tcBorders>
            <w:shd w:val="clear" w:color="auto" w:fill="auto"/>
            <w:noWrap/>
            <w:vAlign w:val="bottom"/>
            <w:hideMark/>
          </w:tcPr>
          <w:p w14:paraId="1C2106AF"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6</w:t>
            </w:r>
          </w:p>
        </w:tc>
        <w:tc>
          <w:tcPr>
            <w:tcW w:w="2601" w:type="pct"/>
            <w:tcBorders>
              <w:top w:val="nil"/>
              <w:left w:val="nil"/>
              <w:bottom w:val="nil"/>
              <w:right w:val="nil"/>
            </w:tcBorders>
            <w:shd w:val="clear" w:color="auto" w:fill="auto"/>
            <w:noWrap/>
            <w:vAlign w:val="bottom"/>
            <w:hideMark/>
          </w:tcPr>
          <w:p w14:paraId="3A0A3341"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Recreation</w:t>
            </w:r>
          </w:p>
        </w:tc>
        <w:tc>
          <w:tcPr>
            <w:tcW w:w="587" w:type="pct"/>
            <w:tcBorders>
              <w:top w:val="nil"/>
              <w:left w:val="nil"/>
              <w:bottom w:val="nil"/>
              <w:right w:val="nil"/>
            </w:tcBorders>
            <w:shd w:val="clear" w:color="auto" w:fill="auto"/>
            <w:noWrap/>
            <w:vAlign w:val="bottom"/>
            <w:hideMark/>
          </w:tcPr>
          <w:p w14:paraId="345D09A0"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180</w:t>
            </w:r>
          </w:p>
        </w:tc>
        <w:tc>
          <w:tcPr>
            <w:tcW w:w="747" w:type="pct"/>
            <w:tcBorders>
              <w:top w:val="nil"/>
              <w:left w:val="nil"/>
              <w:bottom w:val="nil"/>
              <w:right w:val="nil"/>
            </w:tcBorders>
            <w:shd w:val="clear" w:color="auto" w:fill="auto"/>
            <w:noWrap/>
            <w:vAlign w:val="bottom"/>
            <w:hideMark/>
          </w:tcPr>
          <w:p w14:paraId="7046FDC3"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1.01</w:t>
            </w:r>
          </w:p>
        </w:tc>
      </w:tr>
      <w:tr w:rsidR="006F4ABE" w:rsidRPr="006F4ABE" w14:paraId="36E0D7DF" w14:textId="77777777" w:rsidTr="00306538">
        <w:trPr>
          <w:trHeight w:val="310"/>
        </w:trPr>
        <w:tc>
          <w:tcPr>
            <w:tcW w:w="1065" w:type="pct"/>
            <w:tcBorders>
              <w:top w:val="nil"/>
              <w:left w:val="nil"/>
              <w:bottom w:val="nil"/>
              <w:right w:val="nil"/>
            </w:tcBorders>
            <w:shd w:val="clear" w:color="auto" w:fill="auto"/>
            <w:noWrap/>
            <w:vAlign w:val="bottom"/>
            <w:hideMark/>
          </w:tcPr>
          <w:p w14:paraId="10865B93"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7</w:t>
            </w:r>
          </w:p>
        </w:tc>
        <w:tc>
          <w:tcPr>
            <w:tcW w:w="2601" w:type="pct"/>
            <w:tcBorders>
              <w:top w:val="nil"/>
              <w:left w:val="nil"/>
              <w:bottom w:val="nil"/>
              <w:right w:val="nil"/>
            </w:tcBorders>
            <w:shd w:val="clear" w:color="auto" w:fill="auto"/>
            <w:noWrap/>
            <w:vAlign w:val="bottom"/>
            <w:hideMark/>
          </w:tcPr>
          <w:p w14:paraId="0D73D6C5"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Entertainment</w:t>
            </w:r>
          </w:p>
        </w:tc>
        <w:tc>
          <w:tcPr>
            <w:tcW w:w="587" w:type="pct"/>
            <w:tcBorders>
              <w:top w:val="nil"/>
              <w:left w:val="nil"/>
              <w:bottom w:val="nil"/>
              <w:right w:val="nil"/>
            </w:tcBorders>
            <w:shd w:val="clear" w:color="auto" w:fill="auto"/>
            <w:noWrap/>
            <w:vAlign w:val="bottom"/>
            <w:hideMark/>
          </w:tcPr>
          <w:p w14:paraId="3002F82B"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100</w:t>
            </w:r>
          </w:p>
        </w:tc>
        <w:tc>
          <w:tcPr>
            <w:tcW w:w="747" w:type="pct"/>
            <w:tcBorders>
              <w:top w:val="nil"/>
              <w:left w:val="nil"/>
              <w:bottom w:val="nil"/>
              <w:right w:val="nil"/>
            </w:tcBorders>
            <w:shd w:val="clear" w:color="auto" w:fill="auto"/>
            <w:noWrap/>
            <w:vAlign w:val="bottom"/>
            <w:hideMark/>
          </w:tcPr>
          <w:p w14:paraId="7CF750BA"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0.56</w:t>
            </w:r>
          </w:p>
        </w:tc>
      </w:tr>
      <w:tr w:rsidR="006F4ABE" w:rsidRPr="006F4ABE" w14:paraId="3F62CC16" w14:textId="77777777" w:rsidTr="00306538">
        <w:trPr>
          <w:trHeight w:val="310"/>
        </w:trPr>
        <w:tc>
          <w:tcPr>
            <w:tcW w:w="1065" w:type="pct"/>
            <w:tcBorders>
              <w:top w:val="nil"/>
              <w:left w:val="nil"/>
              <w:bottom w:val="nil"/>
              <w:right w:val="nil"/>
            </w:tcBorders>
            <w:shd w:val="clear" w:color="auto" w:fill="auto"/>
            <w:noWrap/>
            <w:vAlign w:val="bottom"/>
            <w:hideMark/>
          </w:tcPr>
          <w:p w14:paraId="6AC659DB"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8</w:t>
            </w:r>
          </w:p>
        </w:tc>
        <w:tc>
          <w:tcPr>
            <w:tcW w:w="2601" w:type="pct"/>
            <w:tcBorders>
              <w:top w:val="nil"/>
              <w:left w:val="nil"/>
              <w:bottom w:val="nil"/>
              <w:right w:val="nil"/>
            </w:tcBorders>
            <w:shd w:val="clear" w:color="auto" w:fill="auto"/>
            <w:noWrap/>
            <w:vAlign w:val="bottom"/>
            <w:hideMark/>
          </w:tcPr>
          <w:p w14:paraId="56720A36"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Printing and Publishing</w:t>
            </w:r>
          </w:p>
        </w:tc>
        <w:tc>
          <w:tcPr>
            <w:tcW w:w="587" w:type="pct"/>
            <w:tcBorders>
              <w:top w:val="nil"/>
              <w:left w:val="nil"/>
              <w:bottom w:val="nil"/>
              <w:right w:val="nil"/>
            </w:tcBorders>
            <w:shd w:val="clear" w:color="auto" w:fill="auto"/>
            <w:noWrap/>
            <w:vAlign w:val="bottom"/>
            <w:hideMark/>
          </w:tcPr>
          <w:p w14:paraId="6FFEA9EF"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159</w:t>
            </w:r>
          </w:p>
        </w:tc>
        <w:tc>
          <w:tcPr>
            <w:tcW w:w="747" w:type="pct"/>
            <w:tcBorders>
              <w:top w:val="nil"/>
              <w:left w:val="nil"/>
              <w:bottom w:val="nil"/>
              <w:right w:val="nil"/>
            </w:tcBorders>
            <w:shd w:val="clear" w:color="auto" w:fill="auto"/>
            <w:noWrap/>
            <w:vAlign w:val="bottom"/>
            <w:hideMark/>
          </w:tcPr>
          <w:p w14:paraId="17CA1A61"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0.89</w:t>
            </w:r>
          </w:p>
        </w:tc>
      </w:tr>
      <w:tr w:rsidR="006F4ABE" w:rsidRPr="006F4ABE" w14:paraId="17FE8BC0" w14:textId="77777777" w:rsidTr="00306538">
        <w:trPr>
          <w:trHeight w:val="310"/>
        </w:trPr>
        <w:tc>
          <w:tcPr>
            <w:tcW w:w="1065" w:type="pct"/>
            <w:tcBorders>
              <w:top w:val="nil"/>
              <w:left w:val="nil"/>
              <w:bottom w:val="nil"/>
              <w:right w:val="nil"/>
            </w:tcBorders>
            <w:shd w:val="clear" w:color="auto" w:fill="auto"/>
            <w:noWrap/>
            <w:vAlign w:val="bottom"/>
            <w:hideMark/>
          </w:tcPr>
          <w:p w14:paraId="4C3C4175"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9</w:t>
            </w:r>
          </w:p>
        </w:tc>
        <w:tc>
          <w:tcPr>
            <w:tcW w:w="2601" w:type="pct"/>
            <w:tcBorders>
              <w:top w:val="nil"/>
              <w:left w:val="nil"/>
              <w:bottom w:val="nil"/>
              <w:right w:val="nil"/>
            </w:tcBorders>
            <w:shd w:val="clear" w:color="auto" w:fill="auto"/>
            <w:noWrap/>
            <w:vAlign w:val="bottom"/>
            <w:hideMark/>
          </w:tcPr>
          <w:p w14:paraId="3EA7FAB3"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Consumer Goods</w:t>
            </w:r>
          </w:p>
        </w:tc>
        <w:tc>
          <w:tcPr>
            <w:tcW w:w="587" w:type="pct"/>
            <w:tcBorders>
              <w:top w:val="nil"/>
              <w:left w:val="nil"/>
              <w:bottom w:val="nil"/>
              <w:right w:val="nil"/>
            </w:tcBorders>
            <w:shd w:val="clear" w:color="auto" w:fill="auto"/>
            <w:noWrap/>
            <w:vAlign w:val="bottom"/>
            <w:hideMark/>
          </w:tcPr>
          <w:p w14:paraId="4D496CA9"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394</w:t>
            </w:r>
          </w:p>
        </w:tc>
        <w:tc>
          <w:tcPr>
            <w:tcW w:w="747" w:type="pct"/>
            <w:tcBorders>
              <w:top w:val="nil"/>
              <w:left w:val="nil"/>
              <w:bottom w:val="nil"/>
              <w:right w:val="nil"/>
            </w:tcBorders>
            <w:shd w:val="clear" w:color="auto" w:fill="auto"/>
            <w:noWrap/>
            <w:vAlign w:val="bottom"/>
            <w:hideMark/>
          </w:tcPr>
          <w:p w14:paraId="14DA5BC0"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2.21</w:t>
            </w:r>
          </w:p>
        </w:tc>
      </w:tr>
      <w:tr w:rsidR="006F4ABE" w:rsidRPr="006F4ABE" w14:paraId="1C3CF34E" w14:textId="77777777" w:rsidTr="00306538">
        <w:trPr>
          <w:trHeight w:val="310"/>
        </w:trPr>
        <w:tc>
          <w:tcPr>
            <w:tcW w:w="1065" w:type="pct"/>
            <w:tcBorders>
              <w:top w:val="nil"/>
              <w:left w:val="nil"/>
              <w:bottom w:val="nil"/>
              <w:right w:val="nil"/>
            </w:tcBorders>
            <w:shd w:val="clear" w:color="auto" w:fill="auto"/>
            <w:noWrap/>
            <w:vAlign w:val="bottom"/>
            <w:hideMark/>
          </w:tcPr>
          <w:p w14:paraId="1B4404AB"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10</w:t>
            </w:r>
          </w:p>
        </w:tc>
        <w:tc>
          <w:tcPr>
            <w:tcW w:w="2601" w:type="pct"/>
            <w:tcBorders>
              <w:top w:val="nil"/>
              <w:left w:val="nil"/>
              <w:bottom w:val="nil"/>
              <w:right w:val="nil"/>
            </w:tcBorders>
            <w:shd w:val="clear" w:color="auto" w:fill="auto"/>
            <w:noWrap/>
            <w:vAlign w:val="bottom"/>
            <w:hideMark/>
          </w:tcPr>
          <w:p w14:paraId="1B73C547"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Apparel</w:t>
            </w:r>
          </w:p>
        </w:tc>
        <w:tc>
          <w:tcPr>
            <w:tcW w:w="587" w:type="pct"/>
            <w:tcBorders>
              <w:top w:val="nil"/>
              <w:left w:val="nil"/>
              <w:bottom w:val="nil"/>
              <w:right w:val="nil"/>
            </w:tcBorders>
            <w:shd w:val="clear" w:color="auto" w:fill="auto"/>
            <w:noWrap/>
            <w:vAlign w:val="bottom"/>
            <w:hideMark/>
          </w:tcPr>
          <w:p w14:paraId="4363EE43"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330</w:t>
            </w:r>
          </w:p>
        </w:tc>
        <w:tc>
          <w:tcPr>
            <w:tcW w:w="747" w:type="pct"/>
            <w:tcBorders>
              <w:top w:val="nil"/>
              <w:left w:val="nil"/>
              <w:bottom w:val="nil"/>
              <w:right w:val="nil"/>
            </w:tcBorders>
            <w:shd w:val="clear" w:color="auto" w:fill="auto"/>
            <w:noWrap/>
            <w:vAlign w:val="bottom"/>
            <w:hideMark/>
          </w:tcPr>
          <w:p w14:paraId="6BB86664"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1.85</w:t>
            </w:r>
          </w:p>
        </w:tc>
      </w:tr>
      <w:tr w:rsidR="006F4ABE" w:rsidRPr="006F4ABE" w14:paraId="60D66748" w14:textId="77777777" w:rsidTr="00306538">
        <w:trPr>
          <w:trHeight w:val="310"/>
        </w:trPr>
        <w:tc>
          <w:tcPr>
            <w:tcW w:w="1065" w:type="pct"/>
            <w:tcBorders>
              <w:top w:val="nil"/>
              <w:left w:val="nil"/>
              <w:bottom w:val="nil"/>
              <w:right w:val="nil"/>
            </w:tcBorders>
            <w:shd w:val="clear" w:color="auto" w:fill="auto"/>
            <w:noWrap/>
            <w:vAlign w:val="bottom"/>
            <w:hideMark/>
          </w:tcPr>
          <w:p w14:paraId="694EBD3E"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11</w:t>
            </w:r>
          </w:p>
        </w:tc>
        <w:tc>
          <w:tcPr>
            <w:tcW w:w="2601" w:type="pct"/>
            <w:tcBorders>
              <w:top w:val="nil"/>
              <w:left w:val="nil"/>
              <w:bottom w:val="nil"/>
              <w:right w:val="nil"/>
            </w:tcBorders>
            <w:shd w:val="clear" w:color="auto" w:fill="auto"/>
            <w:noWrap/>
            <w:vAlign w:val="bottom"/>
            <w:hideMark/>
          </w:tcPr>
          <w:p w14:paraId="0CBEDF6C"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Healthcare</w:t>
            </w:r>
          </w:p>
        </w:tc>
        <w:tc>
          <w:tcPr>
            <w:tcW w:w="587" w:type="pct"/>
            <w:tcBorders>
              <w:top w:val="nil"/>
              <w:left w:val="nil"/>
              <w:bottom w:val="nil"/>
              <w:right w:val="nil"/>
            </w:tcBorders>
            <w:shd w:val="clear" w:color="auto" w:fill="auto"/>
            <w:noWrap/>
            <w:vAlign w:val="bottom"/>
            <w:hideMark/>
          </w:tcPr>
          <w:p w14:paraId="118DFB4B"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381</w:t>
            </w:r>
          </w:p>
        </w:tc>
        <w:tc>
          <w:tcPr>
            <w:tcW w:w="747" w:type="pct"/>
            <w:tcBorders>
              <w:top w:val="nil"/>
              <w:left w:val="nil"/>
              <w:bottom w:val="nil"/>
              <w:right w:val="nil"/>
            </w:tcBorders>
            <w:shd w:val="clear" w:color="auto" w:fill="auto"/>
            <w:noWrap/>
            <w:vAlign w:val="bottom"/>
            <w:hideMark/>
          </w:tcPr>
          <w:p w14:paraId="0EEE238C"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2.14</w:t>
            </w:r>
          </w:p>
        </w:tc>
      </w:tr>
      <w:tr w:rsidR="006F4ABE" w:rsidRPr="006F4ABE" w14:paraId="0719B931" w14:textId="77777777" w:rsidTr="00306538">
        <w:trPr>
          <w:trHeight w:val="310"/>
        </w:trPr>
        <w:tc>
          <w:tcPr>
            <w:tcW w:w="1065" w:type="pct"/>
            <w:tcBorders>
              <w:top w:val="nil"/>
              <w:left w:val="nil"/>
              <w:bottom w:val="nil"/>
              <w:right w:val="nil"/>
            </w:tcBorders>
            <w:shd w:val="clear" w:color="auto" w:fill="auto"/>
            <w:noWrap/>
            <w:vAlign w:val="bottom"/>
            <w:hideMark/>
          </w:tcPr>
          <w:p w14:paraId="1C45228E"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12</w:t>
            </w:r>
          </w:p>
        </w:tc>
        <w:tc>
          <w:tcPr>
            <w:tcW w:w="2601" w:type="pct"/>
            <w:tcBorders>
              <w:top w:val="nil"/>
              <w:left w:val="nil"/>
              <w:bottom w:val="nil"/>
              <w:right w:val="nil"/>
            </w:tcBorders>
            <w:shd w:val="clear" w:color="auto" w:fill="auto"/>
            <w:noWrap/>
            <w:vAlign w:val="bottom"/>
            <w:hideMark/>
          </w:tcPr>
          <w:p w14:paraId="234B5C8E"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Medical Equipment</w:t>
            </w:r>
          </w:p>
        </w:tc>
        <w:tc>
          <w:tcPr>
            <w:tcW w:w="587" w:type="pct"/>
            <w:tcBorders>
              <w:top w:val="nil"/>
              <w:left w:val="nil"/>
              <w:bottom w:val="nil"/>
              <w:right w:val="nil"/>
            </w:tcBorders>
            <w:shd w:val="clear" w:color="auto" w:fill="auto"/>
            <w:noWrap/>
            <w:vAlign w:val="bottom"/>
            <w:hideMark/>
          </w:tcPr>
          <w:p w14:paraId="1D2A8B8E"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772</w:t>
            </w:r>
          </w:p>
        </w:tc>
        <w:tc>
          <w:tcPr>
            <w:tcW w:w="747" w:type="pct"/>
            <w:tcBorders>
              <w:top w:val="nil"/>
              <w:left w:val="nil"/>
              <w:bottom w:val="nil"/>
              <w:right w:val="nil"/>
            </w:tcBorders>
            <w:shd w:val="clear" w:color="auto" w:fill="auto"/>
            <w:noWrap/>
            <w:vAlign w:val="bottom"/>
            <w:hideMark/>
          </w:tcPr>
          <w:p w14:paraId="04388382"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4.33</w:t>
            </w:r>
          </w:p>
        </w:tc>
      </w:tr>
      <w:tr w:rsidR="006F4ABE" w:rsidRPr="006F4ABE" w14:paraId="38C39573" w14:textId="77777777" w:rsidTr="00306538">
        <w:trPr>
          <w:trHeight w:val="310"/>
        </w:trPr>
        <w:tc>
          <w:tcPr>
            <w:tcW w:w="1065" w:type="pct"/>
            <w:tcBorders>
              <w:top w:val="nil"/>
              <w:left w:val="nil"/>
              <w:bottom w:val="nil"/>
              <w:right w:val="nil"/>
            </w:tcBorders>
            <w:shd w:val="clear" w:color="auto" w:fill="auto"/>
            <w:noWrap/>
            <w:vAlign w:val="bottom"/>
            <w:hideMark/>
          </w:tcPr>
          <w:p w14:paraId="00E251AA"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13</w:t>
            </w:r>
          </w:p>
        </w:tc>
        <w:tc>
          <w:tcPr>
            <w:tcW w:w="2601" w:type="pct"/>
            <w:tcBorders>
              <w:top w:val="nil"/>
              <w:left w:val="nil"/>
              <w:bottom w:val="nil"/>
              <w:right w:val="nil"/>
            </w:tcBorders>
            <w:shd w:val="clear" w:color="auto" w:fill="auto"/>
            <w:noWrap/>
            <w:vAlign w:val="bottom"/>
            <w:hideMark/>
          </w:tcPr>
          <w:p w14:paraId="05639777"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Pharmaceutical Products</w:t>
            </w:r>
          </w:p>
        </w:tc>
        <w:tc>
          <w:tcPr>
            <w:tcW w:w="587" w:type="pct"/>
            <w:tcBorders>
              <w:top w:val="nil"/>
              <w:left w:val="nil"/>
              <w:bottom w:val="nil"/>
              <w:right w:val="nil"/>
            </w:tcBorders>
            <w:shd w:val="clear" w:color="auto" w:fill="auto"/>
            <w:noWrap/>
            <w:vAlign w:val="bottom"/>
            <w:hideMark/>
          </w:tcPr>
          <w:p w14:paraId="58B66641"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1,023</w:t>
            </w:r>
          </w:p>
        </w:tc>
        <w:tc>
          <w:tcPr>
            <w:tcW w:w="747" w:type="pct"/>
            <w:tcBorders>
              <w:top w:val="nil"/>
              <w:left w:val="nil"/>
              <w:bottom w:val="nil"/>
              <w:right w:val="nil"/>
            </w:tcBorders>
            <w:shd w:val="clear" w:color="auto" w:fill="auto"/>
            <w:noWrap/>
            <w:vAlign w:val="bottom"/>
            <w:hideMark/>
          </w:tcPr>
          <w:p w14:paraId="687DAF86"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5.74</w:t>
            </w:r>
          </w:p>
        </w:tc>
      </w:tr>
      <w:tr w:rsidR="006F4ABE" w:rsidRPr="006F4ABE" w14:paraId="05200E40" w14:textId="77777777" w:rsidTr="00306538">
        <w:trPr>
          <w:trHeight w:val="310"/>
        </w:trPr>
        <w:tc>
          <w:tcPr>
            <w:tcW w:w="1065" w:type="pct"/>
            <w:tcBorders>
              <w:top w:val="nil"/>
              <w:left w:val="nil"/>
              <w:bottom w:val="nil"/>
              <w:right w:val="nil"/>
            </w:tcBorders>
            <w:shd w:val="clear" w:color="auto" w:fill="auto"/>
            <w:noWrap/>
            <w:vAlign w:val="bottom"/>
            <w:hideMark/>
          </w:tcPr>
          <w:p w14:paraId="42493A96"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14</w:t>
            </w:r>
          </w:p>
        </w:tc>
        <w:tc>
          <w:tcPr>
            <w:tcW w:w="2601" w:type="pct"/>
            <w:tcBorders>
              <w:top w:val="nil"/>
              <w:left w:val="nil"/>
              <w:bottom w:val="nil"/>
              <w:right w:val="nil"/>
            </w:tcBorders>
            <w:shd w:val="clear" w:color="auto" w:fill="auto"/>
            <w:noWrap/>
            <w:vAlign w:val="bottom"/>
            <w:hideMark/>
          </w:tcPr>
          <w:p w14:paraId="0E597638"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Chemicals</w:t>
            </w:r>
          </w:p>
        </w:tc>
        <w:tc>
          <w:tcPr>
            <w:tcW w:w="587" w:type="pct"/>
            <w:tcBorders>
              <w:top w:val="nil"/>
              <w:left w:val="nil"/>
              <w:bottom w:val="nil"/>
              <w:right w:val="nil"/>
            </w:tcBorders>
            <w:shd w:val="clear" w:color="auto" w:fill="auto"/>
            <w:noWrap/>
            <w:vAlign w:val="bottom"/>
            <w:hideMark/>
          </w:tcPr>
          <w:p w14:paraId="19190123"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667</w:t>
            </w:r>
          </w:p>
        </w:tc>
        <w:tc>
          <w:tcPr>
            <w:tcW w:w="747" w:type="pct"/>
            <w:tcBorders>
              <w:top w:val="nil"/>
              <w:left w:val="nil"/>
              <w:bottom w:val="nil"/>
              <w:right w:val="nil"/>
            </w:tcBorders>
            <w:shd w:val="clear" w:color="auto" w:fill="auto"/>
            <w:noWrap/>
            <w:vAlign w:val="bottom"/>
            <w:hideMark/>
          </w:tcPr>
          <w:p w14:paraId="6F4D576E"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3.74</w:t>
            </w:r>
          </w:p>
        </w:tc>
      </w:tr>
      <w:tr w:rsidR="006F4ABE" w:rsidRPr="006F4ABE" w14:paraId="6E172505" w14:textId="77777777" w:rsidTr="00306538">
        <w:trPr>
          <w:trHeight w:val="310"/>
        </w:trPr>
        <w:tc>
          <w:tcPr>
            <w:tcW w:w="1065" w:type="pct"/>
            <w:tcBorders>
              <w:top w:val="nil"/>
              <w:left w:val="nil"/>
              <w:bottom w:val="nil"/>
              <w:right w:val="nil"/>
            </w:tcBorders>
            <w:shd w:val="clear" w:color="auto" w:fill="auto"/>
            <w:noWrap/>
            <w:vAlign w:val="bottom"/>
            <w:hideMark/>
          </w:tcPr>
          <w:p w14:paraId="39CF6752"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15</w:t>
            </w:r>
          </w:p>
        </w:tc>
        <w:tc>
          <w:tcPr>
            <w:tcW w:w="2601" w:type="pct"/>
            <w:tcBorders>
              <w:top w:val="nil"/>
              <w:left w:val="nil"/>
              <w:bottom w:val="nil"/>
              <w:right w:val="nil"/>
            </w:tcBorders>
            <w:shd w:val="clear" w:color="auto" w:fill="auto"/>
            <w:noWrap/>
            <w:vAlign w:val="bottom"/>
            <w:hideMark/>
          </w:tcPr>
          <w:p w14:paraId="64BB85DC"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Rubber and Plastic Products</w:t>
            </w:r>
          </w:p>
        </w:tc>
        <w:tc>
          <w:tcPr>
            <w:tcW w:w="587" w:type="pct"/>
            <w:tcBorders>
              <w:top w:val="nil"/>
              <w:left w:val="nil"/>
              <w:bottom w:val="nil"/>
              <w:right w:val="nil"/>
            </w:tcBorders>
            <w:shd w:val="clear" w:color="auto" w:fill="auto"/>
            <w:noWrap/>
            <w:vAlign w:val="bottom"/>
            <w:hideMark/>
          </w:tcPr>
          <w:p w14:paraId="090B374C"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129</w:t>
            </w:r>
          </w:p>
        </w:tc>
        <w:tc>
          <w:tcPr>
            <w:tcW w:w="747" w:type="pct"/>
            <w:tcBorders>
              <w:top w:val="nil"/>
              <w:left w:val="nil"/>
              <w:bottom w:val="nil"/>
              <w:right w:val="nil"/>
            </w:tcBorders>
            <w:shd w:val="clear" w:color="auto" w:fill="auto"/>
            <w:noWrap/>
            <w:vAlign w:val="bottom"/>
            <w:hideMark/>
          </w:tcPr>
          <w:p w14:paraId="0E550114"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0.72</w:t>
            </w:r>
          </w:p>
        </w:tc>
      </w:tr>
      <w:tr w:rsidR="006F4ABE" w:rsidRPr="006F4ABE" w14:paraId="0173E9BE" w14:textId="77777777" w:rsidTr="00306538">
        <w:trPr>
          <w:trHeight w:val="310"/>
        </w:trPr>
        <w:tc>
          <w:tcPr>
            <w:tcW w:w="1065" w:type="pct"/>
            <w:tcBorders>
              <w:top w:val="nil"/>
              <w:left w:val="nil"/>
              <w:bottom w:val="nil"/>
              <w:right w:val="nil"/>
            </w:tcBorders>
            <w:shd w:val="clear" w:color="auto" w:fill="auto"/>
            <w:noWrap/>
            <w:vAlign w:val="bottom"/>
            <w:hideMark/>
          </w:tcPr>
          <w:p w14:paraId="08F418F8"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16</w:t>
            </w:r>
          </w:p>
        </w:tc>
        <w:tc>
          <w:tcPr>
            <w:tcW w:w="2601" w:type="pct"/>
            <w:tcBorders>
              <w:top w:val="nil"/>
              <w:left w:val="nil"/>
              <w:bottom w:val="nil"/>
              <w:right w:val="nil"/>
            </w:tcBorders>
            <w:shd w:val="clear" w:color="auto" w:fill="auto"/>
            <w:noWrap/>
            <w:vAlign w:val="bottom"/>
            <w:hideMark/>
          </w:tcPr>
          <w:p w14:paraId="176EA828"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Textiles</w:t>
            </w:r>
          </w:p>
        </w:tc>
        <w:tc>
          <w:tcPr>
            <w:tcW w:w="587" w:type="pct"/>
            <w:tcBorders>
              <w:top w:val="nil"/>
              <w:left w:val="nil"/>
              <w:bottom w:val="nil"/>
              <w:right w:val="nil"/>
            </w:tcBorders>
            <w:shd w:val="clear" w:color="auto" w:fill="auto"/>
            <w:noWrap/>
            <w:vAlign w:val="bottom"/>
            <w:hideMark/>
          </w:tcPr>
          <w:p w14:paraId="0B35B3A4"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81</w:t>
            </w:r>
          </w:p>
        </w:tc>
        <w:tc>
          <w:tcPr>
            <w:tcW w:w="747" w:type="pct"/>
            <w:tcBorders>
              <w:top w:val="nil"/>
              <w:left w:val="nil"/>
              <w:bottom w:val="nil"/>
              <w:right w:val="nil"/>
            </w:tcBorders>
            <w:shd w:val="clear" w:color="auto" w:fill="auto"/>
            <w:noWrap/>
            <w:vAlign w:val="bottom"/>
            <w:hideMark/>
          </w:tcPr>
          <w:p w14:paraId="26395B65"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0.45</w:t>
            </w:r>
          </w:p>
        </w:tc>
      </w:tr>
      <w:tr w:rsidR="006F4ABE" w:rsidRPr="006F4ABE" w14:paraId="289FEC61" w14:textId="77777777" w:rsidTr="00306538">
        <w:trPr>
          <w:trHeight w:val="310"/>
        </w:trPr>
        <w:tc>
          <w:tcPr>
            <w:tcW w:w="1065" w:type="pct"/>
            <w:tcBorders>
              <w:top w:val="nil"/>
              <w:left w:val="nil"/>
              <w:bottom w:val="nil"/>
              <w:right w:val="nil"/>
            </w:tcBorders>
            <w:shd w:val="clear" w:color="auto" w:fill="auto"/>
            <w:noWrap/>
            <w:vAlign w:val="bottom"/>
            <w:hideMark/>
          </w:tcPr>
          <w:p w14:paraId="56DACC67"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17</w:t>
            </w:r>
          </w:p>
        </w:tc>
        <w:tc>
          <w:tcPr>
            <w:tcW w:w="2601" w:type="pct"/>
            <w:tcBorders>
              <w:top w:val="nil"/>
              <w:left w:val="nil"/>
              <w:bottom w:val="nil"/>
              <w:right w:val="nil"/>
            </w:tcBorders>
            <w:shd w:val="clear" w:color="auto" w:fill="auto"/>
            <w:noWrap/>
            <w:vAlign w:val="bottom"/>
            <w:hideMark/>
          </w:tcPr>
          <w:p w14:paraId="22E075F8"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Construction Materials</w:t>
            </w:r>
          </w:p>
        </w:tc>
        <w:tc>
          <w:tcPr>
            <w:tcW w:w="587" w:type="pct"/>
            <w:tcBorders>
              <w:top w:val="nil"/>
              <w:left w:val="nil"/>
              <w:bottom w:val="nil"/>
              <w:right w:val="nil"/>
            </w:tcBorders>
            <w:shd w:val="clear" w:color="auto" w:fill="auto"/>
            <w:noWrap/>
            <w:vAlign w:val="bottom"/>
            <w:hideMark/>
          </w:tcPr>
          <w:p w14:paraId="181A7547"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515</w:t>
            </w:r>
          </w:p>
        </w:tc>
        <w:tc>
          <w:tcPr>
            <w:tcW w:w="747" w:type="pct"/>
            <w:tcBorders>
              <w:top w:val="nil"/>
              <w:left w:val="nil"/>
              <w:bottom w:val="nil"/>
              <w:right w:val="nil"/>
            </w:tcBorders>
            <w:shd w:val="clear" w:color="auto" w:fill="auto"/>
            <w:noWrap/>
            <w:vAlign w:val="bottom"/>
            <w:hideMark/>
          </w:tcPr>
          <w:p w14:paraId="4A11D186"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2.89</w:t>
            </w:r>
          </w:p>
        </w:tc>
      </w:tr>
      <w:tr w:rsidR="006F4ABE" w:rsidRPr="006F4ABE" w14:paraId="79D6A914" w14:textId="77777777" w:rsidTr="00306538">
        <w:trPr>
          <w:trHeight w:val="310"/>
        </w:trPr>
        <w:tc>
          <w:tcPr>
            <w:tcW w:w="1065" w:type="pct"/>
            <w:tcBorders>
              <w:top w:val="nil"/>
              <w:left w:val="nil"/>
              <w:bottom w:val="nil"/>
              <w:right w:val="nil"/>
            </w:tcBorders>
            <w:shd w:val="clear" w:color="auto" w:fill="auto"/>
            <w:noWrap/>
            <w:vAlign w:val="bottom"/>
            <w:hideMark/>
          </w:tcPr>
          <w:p w14:paraId="1A3C11E4"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lastRenderedPageBreak/>
              <w:t>19</w:t>
            </w:r>
          </w:p>
        </w:tc>
        <w:tc>
          <w:tcPr>
            <w:tcW w:w="2601" w:type="pct"/>
            <w:tcBorders>
              <w:top w:val="nil"/>
              <w:left w:val="nil"/>
              <w:bottom w:val="nil"/>
              <w:right w:val="nil"/>
            </w:tcBorders>
            <w:shd w:val="clear" w:color="auto" w:fill="auto"/>
            <w:noWrap/>
            <w:vAlign w:val="bottom"/>
            <w:hideMark/>
          </w:tcPr>
          <w:p w14:paraId="0D872AB4"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Steel Works Etc</w:t>
            </w:r>
          </w:p>
        </w:tc>
        <w:tc>
          <w:tcPr>
            <w:tcW w:w="587" w:type="pct"/>
            <w:tcBorders>
              <w:top w:val="nil"/>
              <w:left w:val="nil"/>
              <w:bottom w:val="nil"/>
              <w:right w:val="nil"/>
            </w:tcBorders>
            <w:shd w:val="clear" w:color="auto" w:fill="auto"/>
            <w:noWrap/>
            <w:vAlign w:val="bottom"/>
            <w:hideMark/>
          </w:tcPr>
          <w:p w14:paraId="157DEAD3"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356</w:t>
            </w:r>
          </w:p>
        </w:tc>
        <w:tc>
          <w:tcPr>
            <w:tcW w:w="747" w:type="pct"/>
            <w:tcBorders>
              <w:top w:val="nil"/>
              <w:left w:val="nil"/>
              <w:bottom w:val="nil"/>
              <w:right w:val="nil"/>
            </w:tcBorders>
            <w:shd w:val="clear" w:color="auto" w:fill="auto"/>
            <w:noWrap/>
            <w:vAlign w:val="bottom"/>
            <w:hideMark/>
          </w:tcPr>
          <w:p w14:paraId="1AA6534E"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w:t>
            </w:r>
          </w:p>
        </w:tc>
      </w:tr>
      <w:tr w:rsidR="006F4ABE" w:rsidRPr="006F4ABE" w14:paraId="28456E2D" w14:textId="77777777" w:rsidTr="00306538">
        <w:trPr>
          <w:trHeight w:val="310"/>
        </w:trPr>
        <w:tc>
          <w:tcPr>
            <w:tcW w:w="1065" w:type="pct"/>
            <w:tcBorders>
              <w:top w:val="nil"/>
              <w:left w:val="nil"/>
              <w:bottom w:val="nil"/>
              <w:right w:val="nil"/>
            </w:tcBorders>
            <w:shd w:val="clear" w:color="auto" w:fill="auto"/>
            <w:noWrap/>
            <w:vAlign w:val="bottom"/>
            <w:hideMark/>
          </w:tcPr>
          <w:p w14:paraId="3B216AFD"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20</w:t>
            </w:r>
          </w:p>
        </w:tc>
        <w:tc>
          <w:tcPr>
            <w:tcW w:w="2601" w:type="pct"/>
            <w:tcBorders>
              <w:top w:val="nil"/>
              <w:left w:val="nil"/>
              <w:bottom w:val="nil"/>
              <w:right w:val="nil"/>
            </w:tcBorders>
            <w:shd w:val="clear" w:color="auto" w:fill="auto"/>
            <w:noWrap/>
            <w:vAlign w:val="bottom"/>
            <w:hideMark/>
          </w:tcPr>
          <w:p w14:paraId="0C12362B"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Fabricated Products</w:t>
            </w:r>
          </w:p>
        </w:tc>
        <w:tc>
          <w:tcPr>
            <w:tcW w:w="587" w:type="pct"/>
            <w:tcBorders>
              <w:top w:val="nil"/>
              <w:left w:val="nil"/>
              <w:bottom w:val="nil"/>
              <w:right w:val="nil"/>
            </w:tcBorders>
            <w:shd w:val="clear" w:color="auto" w:fill="auto"/>
            <w:noWrap/>
            <w:vAlign w:val="bottom"/>
            <w:hideMark/>
          </w:tcPr>
          <w:p w14:paraId="31B4C353"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17</w:t>
            </w:r>
          </w:p>
        </w:tc>
        <w:tc>
          <w:tcPr>
            <w:tcW w:w="747" w:type="pct"/>
            <w:tcBorders>
              <w:top w:val="nil"/>
              <w:left w:val="nil"/>
              <w:bottom w:val="nil"/>
              <w:right w:val="nil"/>
            </w:tcBorders>
            <w:shd w:val="clear" w:color="auto" w:fill="auto"/>
            <w:noWrap/>
            <w:vAlign w:val="bottom"/>
            <w:hideMark/>
          </w:tcPr>
          <w:p w14:paraId="7EB6075D"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0.1</w:t>
            </w:r>
          </w:p>
        </w:tc>
      </w:tr>
      <w:tr w:rsidR="006F4ABE" w:rsidRPr="006F4ABE" w14:paraId="24A7EC3A" w14:textId="77777777" w:rsidTr="00306538">
        <w:trPr>
          <w:trHeight w:val="310"/>
        </w:trPr>
        <w:tc>
          <w:tcPr>
            <w:tcW w:w="1065" w:type="pct"/>
            <w:tcBorders>
              <w:top w:val="nil"/>
              <w:left w:val="nil"/>
              <w:bottom w:val="nil"/>
              <w:right w:val="nil"/>
            </w:tcBorders>
            <w:shd w:val="clear" w:color="auto" w:fill="auto"/>
            <w:noWrap/>
            <w:vAlign w:val="bottom"/>
            <w:hideMark/>
          </w:tcPr>
          <w:p w14:paraId="0AA083B3"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21</w:t>
            </w:r>
          </w:p>
        </w:tc>
        <w:tc>
          <w:tcPr>
            <w:tcW w:w="2601" w:type="pct"/>
            <w:tcBorders>
              <w:top w:val="nil"/>
              <w:left w:val="nil"/>
              <w:bottom w:val="nil"/>
              <w:right w:val="nil"/>
            </w:tcBorders>
            <w:shd w:val="clear" w:color="auto" w:fill="auto"/>
            <w:noWrap/>
            <w:vAlign w:val="bottom"/>
            <w:hideMark/>
          </w:tcPr>
          <w:p w14:paraId="4AE92B37"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Machinery</w:t>
            </w:r>
          </w:p>
        </w:tc>
        <w:tc>
          <w:tcPr>
            <w:tcW w:w="587" w:type="pct"/>
            <w:tcBorders>
              <w:top w:val="nil"/>
              <w:left w:val="nil"/>
              <w:bottom w:val="nil"/>
              <w:right w:val="nil"/>
            </w:tcBorders>
            <w:shd w:val="clear" w:color="auto" w:fill="auto"/>
            <w:noWrap/>
            <w:vAlign w:val="bottom"/>
            <w:hideMark/>
          </w:tcPr>
          <w:p w14:paraId="6E2BB7DE"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962</w:t>
            </w:r>
          </w:p>
        </w:tc>
        <w:tc>
          <w:tcPr>
            <w:tcW w:w="747" w:type="pct"/>
            <w:tcBorders>
              <w:top w:val="nil"/>
              <w:left w:val="nil"/>
              <w:bottom w:val="nil"/>
              <w:right w:val="nil"/>
            </w:tcBorders>
            <w:shd w:val="clear" w:color="auto" w:fill="auto"/>
            <w:noWrap/>
            <w:vAlign w:val="bottom"/>
            <w:hideMark/>
          </w:tcPr>
          <w:p w14:paraId="1E39A627"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5.4</w:t>
            </w:r>
          </w:p>
        </w:tc>
      </w:tr>
      <w:tr w:rsidR="006F4ABE" w:rsidRPr="006F4ABE" w14:paraId="06CC6F90" w14:textId="77777777" w:rsidTr="00306538">
        <w:trPr>
          <w:trHeight w:val="310"/>
        </w:trPr>
        <w:tc>
          <w:tcPr>
            <w:tcW w:w="1065" w:type="pct"/>
            <w:tcBorders>
              <w:top w:val="nil"/>
              <w:left w:val="nil"/>
              <w:bottom w:val="nil"/>
              <w:right w:val="nil"/>
            </w:tcBorders>
            <w:shd w:val="clear" w:color="auto" w:fill="auto"/>
            <w:noWrap/>
            <w:vAlign w:val="bottom"/>
            <w:hideMark/>
          </w:tcPr>
          <w:p w14:paraId="591E408A"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22</w:t>
            </w:r>
          </w:p>
        </w:tc>
        <w:tc>
          <w:tcPr>
            <w:tcW w:w="2601" w:type="pct"/>
            <w:tcBorders>
              <w:top w:val="nil"/>
              <w:left w:val="nil"/>
              <w:bottom w:val="nil"/>
              <w:right w:val="nil"/>
            </w:tcBorders>
            <w:shd w:val="clear" w:color="auto" w:fill="auto"/>
            <w:noWrap/>
            <w:vAlign w:val="bottom"/>
            <w:hideMark/>
          </w:tcPr>
          <w:p w14:paraId="789ED54E"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Electrical Equipment</w:t>
            </w:r>
          </w:p>
        </w:tc>
        <w:tc>
          <w:tcPr>
            <w:tcW w:w="587" w:type="pct"/>
            <w:tcBorders>
              <w:top w:val="nil"/>
              <w:left w:val="nil"/>
              <w:bottom w:val="nil"/>
              <w:right w:val="nil"/>
            </w:tcBorders>
            <w:shd w:val="clear" w:color="auto" w:fill="auto"/>
            <w:noWrap/>
            <w:vAlign w:val="bottom"/>
            <w:hideMark/>
          </w:tcPr>
          <w:p w14:paraId="006A161D"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259</w:t>
            </w:r>
          </w:p>
        </w:tc>
        <w:tc>
          <w:tcPr>
            <w:tcW w:w="747" w:type="pct"/>
            <w:tcBorders>
              <w:top w:val="nil"/>
              <w:left w:val="nil"/>
              <w:bottom w:val="nil"/>
              <w:right w:val="nil"/>
            </w:tcBorders>
            <w:shd w:val="clear" w:color="auto" w:fill="auto"/>
            <w:noWrap/>
            <w:vAlign w:val="bottom"/>
            <w:hideMark/>
          </w:tcPr>
          <w:p w14:paraId="00DF04EC"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1.45</w:t>
            </w:r>
          </w:p>
        </w:tc>
      </w:tr>
      <w:tr w:rsidR="006F4ABE" w:rsidRPr="006F4ABE" w14:paraId="03E3EDA7" w14:textId="77777777" w:rsidTr="00306538">
        <w:trPr>
          <w:trHeight w:val="310"/>
        </w:trPr>
        <w:tc>
          <w:tcPr>
            <w:tcW w:w="1065" w:type="pct"/>
            <w:tcBorders>
              <w:top w:val="nil"/>
              <w:left w:val="nil"/>
              <w:bottom w:val="nil"/>
              <w:right w:val="nil"/>
            </w:tcBorders>
            <w:shd w:val="clear" w:color="auto" w:fill="auto"/>
            <w:noWrap/>
            <w:vAlign w:val="bottom"/>
            <w:hideMark/>
          </w:tcPr>
          <w:p w14:paraId="6BE08B29"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23</w:t>
            </w:r>
          </w:p>
        </w:tc>
        <w:tc>
          <w:tcPr>
            <w:tcW w:w="2601" w:type="pct"/>
            <w:tcBorders>
              <w:top w:val="nil"/>
              <w:left w:val="nil"/>
              <w:bottom w:val="nil"/>
              <w:right w:val="nil"/>
            </w:tcBorders>
            <w:shd w:val="clear" w:color="auto" w:fill="auto"/>
            <w:noWrap/>
            <w:vAlign w:val="bottom"/>
            <w:hideMark/>
          </w:tcPr>
          <w:p w14:paraId="20479D07"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Automobiles and Trucks</w:t>
            </w:r>
          </w:p>
        </w:tc>
        <w:tc>
          <w:tcPr>
            <w:tcW w:w="587" w:type="pct"/>
            <w:tcBorders>
              <w:top w:val="nil"/>
              <w:left w:val="nil"/>
              <w:bottom w:val="nil"/>
              <w:right w:val="nil"/>
            </w:tcBorders>
            <w:shd w:val="clear" w:color="auto" w:fill="auto"/>
            <w:noWrap/>
            <w:vAlign w:val="bottom"/>
            <w:hideMark/>
          </w:tcPr>
          <w:p w14:paraId="765FDD19"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452</w:t>
            </w:r>
          </w:p>
        </w:tc>
        <w:tc>
          <w:tcPr>
            <w:tcW w:w="747" w:type="pct"/>
            <w:tcBorders>
              <w:top w:val="nil"/>
              <w:left w:val="nil"/>
              <w:bottom w:val="nil"/>
              <w:right w:val="nil"/>
            </w:tcBorders>
            <w:shd w:val="clear" w:color="auto" w:fill="auto"/>
            <w:noWrap/>
            <w:vAlign w:val="bottom"/>
            <w:hideMark/>
          </w:tcPr>
          <w:p w14:paraId="56B1F3D4"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2.53</w:t>
            </w:r>
          </w:p>
        </w:tc>
      </w:tr>
      <w:tr w:rsidR="006F4ABE" w:rsidRPr="006F4ABE" w14:paraId="1389C306" w14:textId="77777777" w:rsidTr="00306538">
        <w:trPr>
          <w:trHeight w:val="310"/>
        </w:trPr>
        <w:tc>
          <w:tcPr>
            <w:tcW w:w="1065" w:type="pct"/>
            <w:tcBorders>
              <w:top w:val="nil"/>
              <w:left w:val="nil"/>
              <w:bottom w:val="nil"/>
              <w:right w:val="nil"/>
            </w:tcBorders>
            <w:shd w:val="clear" w:color="auto" w:fill="auto"/>
            <w:noWrap/>
            <w:vAlign w:val="bottom"/>
            <w:hideMark/>
          </w:tcPr>
          <w:p w14:paraId="5A20C6C7"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24</w:t>
            </w:r>
          </w:p>
        </w:tc>
        <w:tc>
          <w:tcPr>
            <w:tcW w:w="2601" w:type="pct"/>
            <w:tcBorders>
              <w:top w:val="nil"/>
              <w:left w:val="nil"/>
              <w:bottom w:val="nil"/>
              <w:right w:val="nil"/>
            </w:tcBorders>
            <w:shd w:val="clear" w:color="auto" w:fill="auto"/>
            <w:noWrap/>
            <w:vAlign w:val="bottom"/>
            <w:hideMark/>
          </w:tcPr>
          <w:p w14:paraId="3676B974"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Aircraft</w:t>
            </w:r>
          </w:p>
        </w:tc>
        <w:tc>
          <w:tcPr>
            <w:tcW w:w="587" w:type="pct"/>
            <w:tcBorders>
              <w:top w:val="nil"/>
              <w:left w:val="nil"/>
              <w:bottom w:val="nil"/>
              <w:right w:val="nil"/>
            </w:tcBorders>
            <w:shd w:val="clear" w:color="auto" w:fill="auto"/>
            <w:noWrap/>
            <w:vAlign w:val="bottom"/>
            <w:hideMark/>
          </w:tcPr>
          <w:p w14:paraId="03B565F8"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160</w:t>
            </w:r>
          </w:p>
        </w:tc>
        <w:tc>
          <w:tcPr>
            <w:tcW w:w="747" w:type="pct"/>
            <w:tcBorders>
              <w:top w:val="nil"/>
              <w:left w:val="nil"/>
              <w:bottom w:val="nil"/>
              <w:right w:val="nil"/>
            </w:tcBorders>
            <w:shd w:val="clear" w:color="auto" w:fill="auto"/>
            <w:noWrap/>
            <w:vAlign w:val="bottom"/>
            <w:hideMark/>
          </w:tcPr>
          <w:p w14:paraId="611591DD"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0.9</w:t>
            </w:r>
          </w:p>
        </w:tc>
      </w:tr>
      <w:tr w:rsidR="006F4ABE" w:rsidRPr="006F4ABE" w14:paraId="3C327B3F" w14:textId="77777777" w:rsidTr="00306538">
        <w:trPr>
          <w:trHeight w:val="310"/>
        </w:trPr>
        <w:tc>
          <w:tcPr>
            <w:tcW w:w="1065" w:type="pct"/>
            <w:tcBorders>
              <w:top w:val="nil"/>
              <w:left w:val="nil"/>
              <w:bottom w:val="nil"/>
              <w:right w:val="nil"/>
            </w:tcBorders>
            <w:shd w:val="clear" w:color="auto" w:fill="auto"/>
            <w:noWrap/>
            <w:vAlign w:val="bottom"/>
            <w:hideMark/>
          </w:tcPr>
          <w:p w14:paraId="270B7AB3"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25</w:t>
            </w:r>
          </w:p>
        </w:tc>
        <w:tc>
          <w:tcPr>
            <w:tcW w:w="2601" w:type="pct"/>
            <w:tcBorders>
              <w:top w:val="nil"/>
              <w:left w:val="nil"/>
              <w:bottom w:val="nil"/>
              <w:right w:val="nil"/>
            </w:tcBorders>
            <w:shd w:val="clear" w:color="auto" w:fill="auto"/>
            <w:noWrap/>
            <w:vAlign w:val="bottom"/>
            <w:hideMark/>
          </w:tcPr>
          <w:p w14:paraId="7E6EDD5F"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Shipbuilding, Railroad Equipment</w:t>
            </w:r>
          </w:p>
        </w:tc>
        <w:tc>
          <w:tcPr>
            <w:tcW w:w="587" w:type="pct"/>
            <w:tcBorders>
              <w:top w:val="nil"/>
              <w:left w:val="nil"/>
              <w:bottom w:val="nil"/>
              <w:right w:val="nil"/>
            </w:tcBorders>
            <w:shd w:val="clear" w:color="auto" w:fill="auto"/>
            <w:noWrap/>
            <w:vAlign w:val="bottom"/>
            <w:hideMark/>
          </w:tcPr>
          <w:p w14:paraId="7E2F7620"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34</w:t>
            </w:r>
          </w:p>
        </w:tc>
        <w:tc>
          <w:tcPr>
            <w:tcW w:w="747" w:type="pct"/>
            <w:tcBorders>
              <w:top w:val="nil"/>
              <w:left w:val="nil"/>
              <w:bottom w:val="nil"/>
              <w:right w:val="nil"/>
            </w:tcBorders>
            <w:shd w:val="clear" w:color="auto" w:fill="auto"/>
            <w:noWrap/>
            <w:vAlign w:val="bottom"/>
            <w:hideMark/>
          </w:tcPr>
          <w:p w14:paraId="7DD3AA20"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0.19</w:t>
            </w:r>
          </w:p>
        </w:tc>
      </w:tr>
      <w:tr w:rsidR="006F4ABE" w:rsidRPr="006F4ABE" w14:paraId="3285CCA0" w14:textId="77777777" w:rsidTr="00306538">
        <w:trPr>
          <w:trHeight w:val="310"/>
        </w:trPr>
        <w:tc>
          <w:tcPr>
            <w:tcW w:w="1065" w:type="pct"/>
            <w:tcBorders>
              <w:top w:val="nil"/>
              <w:left w:val="nil"/>
              <w:bottom w:val="nil"/>
              <w:right w:val="nil"/>
            </w:tcBorders>
            <w:shd w:val="clear" w:color="auto" w:fill="auto"/>
            <w:noWrap/>
            <w:vAlign w:val="bottom"/>
            <w:hideMark/>
          </w:tcPr>
          <w:p w14:paraId="77AEEFD5"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26</w:t>
            </w:r>
          </w:p>
        </w:tc>
        <w:tc>
          <w:tcPr>
            <w:tcW w:w="2601" w:type="pct"/>
            <w:tcBorders>
              <w:top w:val="nil"/>
              <w:left w:val="nil"/>
              <w:bottom w:val="nil"/>
              <w:right w:val="nil"/>
            </w:tcBorders>
            <w:shd w:val="clear" w:color="auto" w:fill="auto"/>
            <w:noWrap/>
            <w:vAlign w:val="bottom"/>
            <w:hideMark/>
          </w:tcPr>
          <w:p w14:paraId="0D33B751" w14:textId="3D48A540" w:rsidR="006F4ABE" w:rsidRPr="006F4ABE" w:rsidRDefault="00155940" w:rsidP="00306538">
            <w:pPr>
              <w:spacing w:after="0" w:line="240" w:lineRule="auto"/>
              <w:jc w:val="right"/>
              <w:rPr>
                <w:rFonts w:ascii="Times New Roman" w:eastAsia="Times New Roman" w:hAnsi="Times New Roman" w:cs="Times New Roman"/>
                <w:color w:val="000000"/>
                <w:sz w:val="24"/>
                <w:szCs w:val="24"/>
                <w:lang w:eastAsia="en-GB"/>
              </w:rPr>
            </w:pPr>
            <w:proofErr w:type="spellStart"/>
            <w:r w:rsidRPr="006F4ABE">
              <w:rPr>
                <w:rFonts w:ascii="Times New Roman" w:eastAsia="Times New Roman" w:hAnsi="Times New Roman" w:cs="Times New Roman"/>
                <w:color w:val="000000"/>
                <w:sz w:val="24"/>
                <w:szCs w:val="24"/>
                <w:lang w:eastAsia="en-GB"/>
              </w:rPr>
              <w:t>Defen</w:t>
            </w:r>
            <w:r>
              <w:rPr>
                <w:rFonts w:ascii="Times New Roman" w:eastAsia="Times New Roman" w:hAnsi="Times New Roman" w:cs="Times New Roman"/>
                <w:color w:val="000000"/>
                <w:sz w:val="24"/>
                <w:szCs w:val="24"/>
                <w:lang w:eastAsia="en-GB"/>
              </w:rPr>
              <w:t>s</w:t>
            </w:r>
            <w:r w:rsidRPr="006F4ABE">
              <w:rPr>
                <w:rFonts w:ascii="Times New Roman" w:eastAsia="Times New Roman" w:hAnsi="Times New Roman" w:cs="Times New Roman"/>
                <w:color w:val="000000"/>
                <w:sz w:val="24"/>
                <w:szCs w:val="24"/>
                <w:lang w:eastAsia="en-GB"/>
              </w:rPr>
              <w:t>e</w:t>
            </w:r>
            <w:proofErr w:type="spellEnd"/>
          </w:p>
        </w:tc>
        <w:tc>
          <w:tcPr>
            <w:tcW w:w="587" w:type="pct"/>
            <w:tcBorders>
              <w:top w:val="nil"/>
              <w:left w:val="nil"/>
              <w:bottom w:val="nil"/>
              <w:right w:val="nil"/>
            </w:tcBorders>
            <w:shd w:val="clear" w:color="auto" w:fill="auto"/>
            <w:noWrap/>
            <w:vAlign w:val="bottom"/>
            <w:hideMark/>
          </w:tcPr>
          <w:p w14:paraId="140C5880"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52</w:t>
            </w:r>
          </w:p>
        </w:tc>
        <w:tc>
          <w:tcPr>
            <w:tcW w:w="747" w:type="pct"/>
            <w:tcBorders>
              <w:top w:val="nil"/>
              <w:left w:val="nil"/>
              <w:bottom w:val="nil"/>
              <w:right w:val="nil"/>
            </w:tcBorders>
            <w:shd w:val="clear" w:color="auto" w:fill="auto"/>
            <w:noWrap/>
            <w:vAlign w:val="bottom"/>
            <w:hideMark/>
          </w:tcPr>
          <w:p w14:paraId="38ABD136"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0.29</w:t>
            </w:r>
          </w:p>
        </w:tc>
      </w:tr>
      <w:tr w:rsidR="006F4ABE" w:rsidRPr="006F4ABE" w14:paraId="0C1C9F97" w14:textId="77777777" w:rsidTr="00306538">
        <w:trPr>
          <w:trHeight w:val="310"/>
        </w:trPr>
        <w:tc>
          <w:tcPr>
            <w:tcW w:w="1065" w:type="pct"/>
            <w:tcBorders>
              <w:top w:val="nil"/>
              <w:left w:val="nil"/>
              <w:bottom w:val="nil"/>
              <w:right w:val="nil"/>
            </w:tcBorders>
            <w:shd w:val="clear" w:color="auto" w:fill="auto"/>
            <w:noWrap/>
            <w:vAlign w:val="bottom"/>
            <w:hideMark/>
          </w:tcPr>
          <w:p w14:paraId="5207DEF4"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30</w:t>
            </w:r>
          </w:p>
        </w:tc>
        <w:tc>
          <w:tcPr>
            <w:tcW w:w="2601" w:type="pct"/>
            <w:tcBorders>
              <w:top w:val="nil"/>
              <w:left w:val="nil"/>
              <w:bottom w:val="nil"/>
              <w:right w:val="nil"/>
            </w:tcBorders>
            <w:shd w:val="clear" w:color="auto" w:fill="auto"/>
            <w:noWrap/>
            <w:vAlign w:val="bottom"/>
            <w:hideMark/>
          </w:tcPr>
          <w:p w14:paraId="130125C3"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Petroleum and Natural Gas</w:t>
            </w:r>
          </w:p>
        </w:tc>
        <w:tc>
          <w:tcPr>
            <w:tcW w:w="587" w:type="pct"/>
            <w:tcBorders>
              <w:top w:val="nil"/>
              <w:left w:val="nil"/>
              <w:bottom w:val="nil"/>
              <w:right w:val="nil"/>
            </w:tcBorders>
            <w:shd w:val="clear" w:color="auto" w:fill="auto"/>
            <w:noWrap/>
            <w:vAlign w:val="bottom"/>
            <w:hideMark/>
          </w:tcPr>
          <w:p w14:paraId="2E126BA1"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137</w:t>
            </w:r>
          </w:p>
        </w:tc>
        <w:tc>
          <w:tcPr>
            <w:tcW w:w="747" w:type="pct"/>
            <w:tcBorders>
              <w:top w:val="nil"/>
              <w:left w:val="nil"/>
              <w:bottom w:val="nil"/>
              <w:right w:val="nil"/>
            </w:tcBorders>
            <w:shd w:val="clear" w:color="auto" w:fill="auto"/>
            <w:noWrap/>
            <w:vAlign w:val="bottom"/>
            <w:hideMark/>
          </w:tcPr>
          <w:p w14:paraId="13B7C566"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0.77</w:t>
            </w:r>
          </w:p>
        </w:tc>
      </w:tr>
      <w:tr w:rsidR="006F4ABE" w:rsidRPr="006F4ABE" w14:paraId="6E72B83C" w14:textId="77777777" w:rsidTr="00306538">
        <w:trPr>
          <w:trHeight w:val="310"/>
        </w:trPr>
        <w:tc>
          <w:tcPr>
            <w:tcW w:w="1065" w:type="pct"/>
            <w:tcBorders>
              <w:top w:val="nil"/>
              <w:left w:val="nil"/>
              <w:bottom w:val="nil"/>
              <w:right w:val="nil"/>
            </w:tcBorders>
            <w:shd w:val="clear" w:color="auto" w:fill="auto"/>
            <w:noWrap/>
            <w:vAlign w:val="bottom"/>
            <w:hideMark/>
          </w:tcPr>
          <w:p w14:paraId="41232CE9"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32</w:t>
            </w:r>
          </w:p>
        </w:tc>
        <w:tc>
          <w:tcPr>
            <w:tcW w:w="2601" w:type="pct"/>
            <w:tcBorders>
              <w:top w:val="nil"/>
              <w:left w:val="nil"/>
              <w:bottom w:val="nil"/>
              <w:right w:val="nil"/>
            </w:tcBorders>
            <w:shd w:val="clear" w:color="auto" w:fill="auto"/>
            <w:noWrap/>
            <w:vAlign w:val="bottom"/>
            <w:hideMark/>
          </w:tcPr>
          <w:p w14:paraId="7D7EC44D"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Communication</w:t>
            </w:r>
          </w:p>
        </w:tc>
        <w:tc>
          <w:tcPr>
            <w:tcW w:w="587" w:type="pct"/>
            <w:tcBorders>
              <w:top w:val="nil"/>
              <w:left w:val="nil"/>
              <w:bottom w:val="nil"/>
              <w:right w:val="nil"/>
            </w:tcBorders>
            <w:shd w:val="clear" w:color="auto" w:fill="auto"/>
            <w:noWrap/>
            <w:vAlign w:val="bottom"/>
            <w:hideMark/>
          </w:tcPr>
          <w:p w14:paraId="033DC021"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556</w:t>
            </w:r>
          </w:p>
        </w:tc>
        <w:tc>
          <w:tcPr>
            <w:tcW w:w="747" w:type="pct"/>
            <w:tcBorders>
              <w:top w:val="nil"/>
              <w:left w:val="nil"/>
              <w:bottom w:val="nil"/>
              <w:right w:val="nil"/>
            </w:tcBorders>
            <w:shd w:val="clear" w:color="auto" w:fill="auto"/>
            <w:noWrap/>
            <w:vAlign w:val="bottom"/>
            <w:hideMark/>
          </w:tcPr>
          <w:p w14:paraId="730052BB"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3.12</w:t>
            </w:r>
          </w:p>
        </w:tc>
      </w:tr>
      <w:tr w:rsidR="006F4ABE" w:rsidRPr="006F4ABE" w14:paraId="0EAC682F" w14:textId="77777777" w:rsidTr="00306538">
        <w:trPr>
          <w:trHeight w:val="310"/>
        </w:trPr>
        <w:tc>
          <w:tcPr>
            <w:tcW w:w="1065" w:type="pct"/>
            <w:tcBorders>
              <w:top w:val="nil"/>
              <w:left w:val="nil"/>
              <w:bottom w:val="nil"/>
              <w:right w:val="nil"/>
            </w:tcBorders>
            <w:shd w:val="clear" w:color="auto" w:fill="auto"/>
            <w:noWrap/>
            <w:vAlign w:val="bottom"/>
            <w:hideMark/>
          </w:tcPr>
          <w:p w14:paraId="4212C0B8"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33</w:t>
            </w:r>
          </w:p>
        </w:tc>
        <w:tc>
          <w:tcPr>
            <w:tcW w:w="2601" w:type="pct"/>
            <w:tcBorders>
              <w:top w:val="nil"/>
              <w:left w:val="nil"/>
              <w:bottom w:val="nil"/>
              <w:right w:val="nil"/>
            </w:tcBorders>
            <w:shd w:val="clear" w:color="auto" w:fill="auto"/>
            <w:noWrap/>
            <w:vAlign w:val="bottom"/>
            <w:hideMark/>
          </w:tcPr>
          <w:p w14:paraId="64783479"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Personal Services</w:t>
            </w:r>
          </w:p>
        </w:tc>
        <w:tc>
          <w:tcPr>
            <w:tcW w:w="587" w:type="pct"/>
            <w:tcBorders>
              <w:top w:val="nil"/>
              <w:left w:val="nil"/>
              <w:bottom w:val="nil"/>
              <w:right w:val="nil"/>
            </w:tcBorders>
            <w:shd w:val="clear" w:color="auto" w:fill="auto"/>
            <w:noWrap/>
            <w:vAlign w:val="bottom"/>
            <w:hideMark/>
          </w:tcPr>
          <w:p w14:paraId="7281F9CB"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302</w:t>
            </w:r>
          </w:p>
        </w:tc>
        <w:tc>
          <w:tcPr>
            <w:tcW w:w="747" w:type="pct"/>
            <w:tcBorders>
              <w:top w:val="nil"/>
              <w:left w:val="nil"/>
              <w:bottom w:val="nil"/>
              <w:right w:val="nil"/>
            </w:tcBorders>
            <w:shd w:val="clear" w:color="auto" w:fill="auto"/>
            <w:noWrap/>
            <w:vAlign w:val="bottom"/>
            <w:hideMark/>
          </w:tcPr>
          <w:p w14:paraId="7F58D9E7"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1.69</w:t>
            </w:r>
          </w:p>
        </w:tc>
      </w:tr>
      <w:tr w:rsidR="006F4ABE" w:rsidRPr="006F4ABE" w14:paraId="71EDFBBB" w14:textId="77777777" w:rsidTr="00306538">
        <w:trPr>
          <w:trHeight w:val="310"/>
        </w:trPr>
        <w:tc>
          <w:tcPr>
            <w:tcW w:w="1065" w:type="pct"/>
            <w:tcBorders>
              <w:top w:val="nil"/>
              <w:left w:val="nil"/>
              <w:bottom w:val="nil"/>
              <w:right w:val="nil"/>
            </w:tcBorders>
            <w:shd w:val="clear" w:color="auto" w:fill="auto"/>
            <w:noWrap/>
            <w:vAlign w:val="bottom"/>
            <w:hideMark/>
          </w:tcPr>
          <w:p w14:paraId="072590E5"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34</w:t>
            </w:r>
          </w:p>
        </w:tc>
        <w:tc>
          <w:tcPr>
            <w:tcW w:w="2601" w:type="pct"/>
            <w:tcBorders>
              <w:top w:val="nil"/>
              <w:left w:val="nil"/>
              <w:bottom w:val="nil"/>
              <w:right w:val="nil"/>
            </w:tcBorders>
            <w:shd w:val="clear" w:color="auto" w:fill="auto"/>
            <w:noWrap/>
            <w:vAlign w:val="bottom"/>
            <w:hideMark/>
          </w:tcPr>
          <w:p w14:paraId="47344F0C"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Business Services</w:t>
            </w:r>
          </w:p>
        </w:tc>
        <w:tc>
          <w:tcPr>
            <w:tcW w:w="587" w:type="pct"/>
            <w:tcBorders>
              <w:top w:val="nil"/>
              <w:left w:val="nil"/>
              <w:bottom w:val="nil"/>
              <w:right w:val="nil"/>
            </w:tcBorders>
            <w:shd w:val="clear" w:color="auto" w:fill="auto"/>
            <w:noWrap/>
            <w:vAlign w:val="bottom"/>
            <w:hideMark/>
          </w:tcPr>
          <w:p w14:paraId="3CC95F7E"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2413</w:t>
            </w:r>
          </w:p>
        </w:tc>
        <w:tc>
          <w:tcPr>
            <w:tcW w:w="747" w:type="pct"/>
            <w:tcBorders>
              <w:top w:val="nil"/>
              <w:left w:val="nil"/>
              <w:bottom w:val="nil"/>
              <w:right w:val="nil"/>
            </w:tcBorders>
            <w:shd w:val="clear" w:color="auto" w:fill="auto"/>
            <w:noWrap/>
            <w:vAlign w:val="bottom"/>
            <w:hideMark/>
          </w:tcPr>
          <w:p w14:paraId="14614057"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13.53</w:t>
            </w:r>
          </w:p>
        </w:tc>
      </w:tr>
      <w:tr w:rsidR="006F4ABE" w:rsidRPr="006F4ABE" w14:paraId="5EA5B8DF" w14:textId="77777777" w:rsidTr="00306538">
        <w:trPr>
          <w:trHeight w:val="310"/>
        </w:trPr>
        <w:tc>
          <w:tcPr>
            <w:tcW w:w="1065" w:type="pct"/>
            <w:tcBorders>
              <w:top w:val="nil"/>
              <w:left w:val="nil"/>
              <w:bottom w:val="nil"/>
              <w:right w:val="nil"/>
            </w:tcBorders>
            <w:shd w:val="clear" w:color="auto" w:fill="auto"/>
            <w:noWrap/>
            <w:vAlign w:val="bottom"/>
            <w:hideMark/>
          </w:tcPr>
          <w:p w14:paraId="51DF22A1"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35</w:t>
            </w:r>
          </w:p>
        </w:tc>
        <w:tc>
          <w:tcPr>
            <w:tcW w:w="2601" w:type="pct"/>
            <w:tcBorders>
              <w:top w:val="nil"/>
              <w:left w:val="nil"/>
              <w:bottom w:val="nil"/>
              <w:right w:val="nil"/>
            </w:tcBorders>
            <w:shd w:val="clear" w:color="auto" w:fill="auto"/>
            <w:noWrap/>
            <w:vAlign w:val="bottom"/>
            <w:hideMark/>
          </w:tcPr>
          <w:p w14:paraId="78405154"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Computers</w:t>
            </w:r>
          </w:p>
        </w:tc>
        <w:tc>
          <w:tcPr>
            <w:tcW w:w="587" w:type="pct"/>
            <w:tcBorders>
              <w:top w:val="nil"/>
              <w:left w:val="nil"/>
              <w:bottom w:val="nil"/>
              <w:right w:val="nil"/>
            </w:tcBorders>
            <w:shd w:val="clear" w:color="auto" w:fill="auto"/>
            <w:noWrap/>
            <w:vAlign w:val="bottom"/>
            <w:hideMark/>
          </w:tcPr>
          <w:p w14:paraId="567CF15C"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842</w:t>
            </w:r>
          </w:p>
        </w:tc>
        <w:tc>
          <w:tcPr>
            <w:tcW w:w="747" w:type="pct"/>
            <w:tcBorders>
              <w:top w:val="nil"/>
              <w:left w:val="nil"/>
              <w:bottom w:val="nil"/>
              <w:right w:val="nil"/>
            </w:tcBorders>
            <w:shd w:val="clear" w:color="auto" w:fill="auto"/>
            <w:noWrap/>
            <w:vAlign w:val="bottom"/>
            <w:hideMark/>
          </w:tcPr>
          <w:p w14:paraId="12443B5A"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4.72</w:t>
            </w:r>
          </w:p>
        </w:tc>
      </w:tr>
      <w:tr w:rsidR="006F4ABE" w:rsidRPr="006F4ABE" w14:paraId="7A8045A5" w14:textId="77777777" w:rsidTr="00306538">
        <w:trPr>
          <w:trHeight w:val="310"/>
        </w:trPr>
        <w:tc>
          <w:tcPr>
            <w:tcW w:w="1065" w:type="pct"/>
            <w:tcBorders>
              <w:top w:val="nil"/>
              <w:left w:val="nil"/>
              <w:bottom w:val="nil"/>
              <w:right w:val="nil"/>
            </w:tcBorders>
            <w:shd w:val="clear" w:color="auto" w:fill="auto"/>
            <w:noWrap/>
            <w:vAlign w:val="bottom"/>
            <w:hideMark/>
          </w:tcPr>
          <w:p w14:paraId="16B2204D"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36</w:t>
            </w:r>
          </w:p>
        </w:tc>
        <w:tc>
          <w:tcPr>
            <w:tcW w:w="2601" w:type="pct"/>
            <w:tcBorders>
              <w:top w:val="nil"/>
              <w:left w:val="nil"/>
              <w:bottom w:val="nil"/>
              <w:right w:val="nil"/>
            </w:tcBorders>
            <w:shd w:val="clear" w:color="auto" w:fill="auto"/>
            <w:noWrap/>
            <w:vAlign w:val="bottom"/>
            <w:hideMark/>
          </w:tcPr>
          <w:p w14:paraId="4A8DE2EB"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Electronic Equipment</w:t>
            </w:r>
          </w:p>
        </w:tc>
        <w:tc>
          <w:tcPr>
            <w:tcW w:w="587" w:type="pct"/>
            <w:tcBorders>
              <w:top w:val="nil"/>
              <w:left w:val="nil"/>
              <w:bottom w:val="nil"/>
              <w:right w:val="nil"/>
            </w:tcBorders>
            <w:shd w:val="clear" w:color="auto" w:fill="auto"/>
            <w:noWrap/>
            <w:vAlign w:val="bottom"/>
            <w:hideMark/>
          </w:tcPr>
          <w:p w14:paraId="40472D02"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1,514</w:t>
            </w:r>
          </w:p>
        </w:tc>
        <w:tc>
          <w:tcPr>
            <w:tcW w:w="747" w:type="pct"/>
            <w:tcBorders>
              <w:top w:val="nil"/>
              <w:left w:val="nil"/>
              <w:bottom w:val="nil"/>
              <w:right w:val="nil"/>
            </w:tcBorders>
            <w:shd w:val="clear" w:color="auto" w:fill="auto"/>
            <w:noWrap/>
            <w:vAlign w:val="bottom"/>
            <w:hideMark/>
          </w:tcPr>
          <w:p w14:paraId="05968530"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8.49</w:t>
            </w:r>
          </w:p>
        </w:tc>
      </w:tr>
      <w:tr w:rsidR="006F4ABE" w:rsidRPr="006F4ABE" w14:paraId="609A58BB" w14:textId="77777777" w:rsidTr="00306538">
        <w:trPr>
          <w:trHeight w:val="310"/>
        </w:trPr>
        <w:tc>
          <w:tcPr>
            <w:tcW w:w="1065" w:type="pct"/>
            <w:tcBorders>
              <w:top w:val="nil"/>
              <w:left w:val="nil"/>
              <w:bottom w:val="nil"/>
              <w:right w:val="nil"/>
            </w:tcBorders>
            <w:shd w:val="clear" w:color="auto" w:fill="auto"/>
            <w:noWrap/>
            <w:vAlign w:val="bottom"/>
            <w:hideMark/>
          </w:tcPr>
          <w:p w14:paraId="25FCC886"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37</w:t>
            </w:r>
          </w:p>
        </w:tc>
        <w:tc>
          <w:tcPr>
            <w:tcW w:w="2601" w:type="pct"/>
            <w:tcBorders>
              <w:top w:val="nil"/>
              <w:left w:val="nil"/>
              <w:bottom w:val="nil"/>
              <w:right w:val="nil"/>
            </w:tcBorders>
            <w:shd w:val="clear" w:color="auto" w:fill="auto"/>
            <w:noWrap/>
            <w:vAlign w:val="bottom"/>
            <w:hideMark/>
          </w:tcPr>
          <w:p w14:paraId="6DA580A3"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Measuring and Control Equipment</w:t>
            </w:r>
          </w:p>
        </w:tc>
        <w:tc>
          <w:tcPr>
            <w:tcW w:w="587" w:type="pct"/>
            <w:tcBorders>
              <w:top w:val="nil"/>
              <w:left w:val="nil"/>
              <w:bottom w:val="nil"/>
              <w:right w:val="nil"/>
            </w:tcBorders>
            <w:shd w:val="clear" w:color="auto" w:fill="auto"/>
            <w:noWrap/>
            <w:vAlign w:val="bottom"/>
            <w:hideMark/>
          </w:tcPr>
          <w:p w14:paraId="0144E3C1"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563</w:t>
            </w:r>
          </w:p>
        </w:tc>
        <w:tc>
          <w:tcPr>
            <w:tcW w:w="747" w:type="pct"/>
            <w:tcBorders>
              <w:top w:val="nil"/>
              <w:left w:val="nil"/>
              <w:bottom w:val="nil"/>
              <w:right w:val="nil"/>
            </w:tcBorders>
            <w:shd w:val="clear" w:color="auto" w:fill="auto"/>
            <w:noWrap/>
            <w:vAlign w:val="bottom"/>
            <w:hideMark/>
          </w:tcPr>
          <w:p w14:paraId="4AE22460"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3.16</w:t>
            </w:r>
          </w:p>
        </w:tc>
      </w:tr>
      <w:tr w:rsidR="006F4ABE" w:rsidRPr="006F4ABE" w14:paraId="2BBFCC5F" w14:textId="77777777" w:rsidTr="00306538">
        <w:trPr>
          <w:trHeight w:val="310"/>
        </w:trPr>
        <w:tc>
          <w:tcPr>
            <w:tcW w:w="1065" w:type="pct"/>
            <w:tcBorders>
              <w:top w:val="nil"/>
              <w:left w:val="nil"/>
              <w:bottom w:val="nil"/>
              <w:right w:val="nil"/>
            </w:tcBorders>
            <w:shd w:val="clear" w:color="auto" w:fill="auto"/>
            <w:noWrap/>
            <w:vAlign w:val="bottom"/>
            <w:hideMark/>
          </w:tcPr>
          <w:p w14:paraId="1C4AEBC8"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38</w:t>
            </w:r>
          </w:p>
        </w:tc>
        <w:tc>
          <w:tcPr>
            <w:tcW w:w="2601" w:type="pct"/>
            <w:tcBorders>
              <w:top w:val="nil"/>
              <w:left w:val="nil"/>
              <w:bottom w:val="nil"/>
              <w:right w:val="nil"/>
            </w:tcBorders>
            <w:shd w:val="clear" w:color="auto" w:fill="auto"/>
            <w:noWrap/>
            <w:vAlign w:val="bottom"/>
            <w:hideMark/>
          </w:tcPr>
          <w:p w14:paraId="01441613"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Business Supplies</w:t>
            </w:r>
          </w:p>
        </w:tc>
        <w:tc>
          <w:tcPr>
            <w:tcW w:w="587" w:type="pct"/>
            <w:tcBorders>
              <w:top w:val="nil"/>
              <w:left w:val="nil"/>
              <w:bottom w:val="nil"/>
              <w:right w:val="nil"/>
            </w:tcBorders>
            <w:shd w:val="clear" w:color="auto" w:fill="auto"/>
            <w:noWrap/>
            <w:vAlign w:val="bottom"/>
            <w:hideMark/>
          </w:tcPr>
          <w:p w14:paraId="2C0F9625"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329</w:t>
            </w:r>
          </w:p>
        </w:tc>
        <w:tc>
          <w:tcPr>
            <w:tcW w:w="747" w:type="pct"/>
            <w:tcBorders>
              <w:top w:val="nil"/>
              <w:left w:val="nil"/>
              <w:bottom w:val="nil"/>
              <w:right w:val="nil"/>
            </w:tcBorders>
            <w:shd w:val="clear" w:color="auto" w:fill="auto"/>
            <w:noWrap/>
            <w:vAlign w:val="bottom"/>
            <w:hideMark/>
          </w:tcPr>
          <w:p w14:paraId="6CFFC89B"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1.85</w:t>
            </w:r>
          </w:p>
        </w:tc>
      </w:tr>
      <w:tr w:rsidR="006F4ABE" w:rsidRPr="006F4ABE" w14:paraId="71A90D1C" w14:textId="77777777" w:rsidTr="00306538">
        <w:trPr>
          <w:trHeight w:val="310"/>
        </w:trPr>
        <w:tc>
          <w:tcPr>
            <w:tcW w:w="1065" w:type="pct"/>
            <w:tcBorders>
              <w:top w:val="nil"/>
              <w:left w:val="nil"/>
              <w:bottom w:val="nil"/>
              <w:right w:val="nil"/>
            </w:tcBorders>
            <w:shd w:val="clear" w:color="auto" w:fill="auto"/>
            <w:noWrap/>
            <w:vAlign w:val="bottom"/>
            <w:hideMark/>
          </w:tcPr>
          <w:p w14:paraId="78102383"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39</w:t>
            </w:r>
          </w:p>
        </w:tc>
        <w:tc>
          <w:tcPr>
            <w:tcW w:w="2601" w:type="pct"/>
            <w:tcBorders>
              <w:top w:val="nil"/>
              <w:left w:val="nil"/>
              <w:bottom w:val="nil"/>
              <w:right w:val="nil"/>
            </w:tcBorders>
            <w:shd w:val="clear" w:color="auto" w:fill="auto"/>
            <w:noWrap/>
            <w:vAlign w:val="bottom"/>
            <w:hideMark/>
          </w:tcPr>
          <w:p w14:paraId="1E2F51FA"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Shipping Containers</w:t>
            </w:r>
          </w:p>
        </w:tc>
        <w:tc>
          <w:tcPr>
            <w:tcW w:w="587" w:type="pct"/>
            <w:tcBorders>
              <w:top w:val="nil"/>
              <w:left w:val="nil"/>
              <w:bottom w:val="nil"/>
              <w:right w:val="nil"/>
            </w:tcBorders>
            <w:shd w:val="clear" w:color="auto" w:fill="auto"/>
            <w:noWrap/>
            <w:vAlign w:val="bottom"/>
            <w:hideMark/>
          </w:tcPr>
          <w:p w14:paraId="1868A130"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114</w:t>
            </w:r>
          </w:p>
        </w:tc>
        <w:tc>
          <w:tcPr>
            <w:tcW w:w="747" w:type="pct"/>
            <w:tcBorders>
              <w:top w:val="nil"/>
              <w:left w:val="nil"/>
              <w:bottom w:val="nil"/>
              <w:right w:val="nil"/>
            </w:tcBorders>
            <w:shd w:val="clear" w:color="auto" w:fill="auto"/>
            <w:noWrap/>
            <w:vAlign w:val="bottom"/>
            <w:hideMark/>
          </w:tcPr>
          <w:p w14:paraId="00FC7F37"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0.64</w:t>
            </w:r>
          </w:p>
        </w:tc>
      </w:tr>
      <w:tr w:rsidR="006F4ABE" w:rsidRPr="006F4ABE" w14:paraId="1178DD9C" w14:textId="77777777" w:rsidTr="00306538">
        <w:trPr>
          <w:trHeight w:val="310"/>
        </w:trPr>
        <w:tc>
          <w:tcPr>
            <w:tcW w:w="1065" w:type="pct"/>
            <w:tcBorders>
              <w:top w:val="nil"/>
              <w:left w:val="nil"/>
              <w:bottom w:val="nil"/>
              <w:right w:val="nil"/>
            </w:tcBorders>
            <w:shd w:val="clear" w:color="auto" w:fill="auto"/>
            <w:noWrap/>
            <w:vAlign w:val="bottom"/>
            <w:hideMark/>
          </w:tcPr>
          <w:p w14:paraId="7D68EAD9"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40</w:t>
            </w:r>
          </w:p>
        </w:tc>
        <w:tc>
          <w:tcPr>
            <w:tcW w:w="2601" w:type="pct"/>
            <w:tcBorders>
              <w:top w:val="nil"/>
              <w:left w:val="nil"/>
              <w:bottom w:val="nil"/>
              <w:right w:val="nil"/>
            </w:tcBorders>
            <w:shd w:val="clear" w:color="auto" w:fill="auto"/>
            <w:noWrap/>
            <w:vAlign w:val="bottom"/>
            <w:hideMark/>
          </w:tcPr>
          <w:p w14:paraId="3D067FFE"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Transportation</w:t>
            </w:r>
          </w:p>
        </w:tc>
        <w:tc>
          <w:tcPr>
            <w:tcW w:w="587" w:type="pct"/>
            <w:tcBorders>
              <w:top w:val="nil"/>
              <w:left w:val="nil"/>
              <w:bottom w:val="nil"/>
              <w:right w:val="nil"/>
            </w:tcBorders>
            <w:shd w:val="clear" w:color="auto" w:fill="auto"/>
            <w:noWrap/>
            <w:vAlign w:val="bottom"/>
            <w:hideMark/>
          </w:tcPr>
          <w:p w14:paraId="3D69022C"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652</w:t>
            </w:r>
          </w:p>
        </w:tc>
        <w:tc>
          <w:tcPr>
            <w:tcW w:w="747" w:type="pct"/>
            <w:tcBorders>
              <w:top w:val="nil"/>
              <w:left w:val="nil"/>
              <w:bottom w:val="nil"/>
              <w:right w:val="nil"/>
            </w:tcBorders>
            <w:shd w:val="clear" w:color="auto" w:fill="auto"/>
            <w:noWrap/>
            <w:vAlign w:val="bottom"/>
            <w:hideMark/>
          </w:tcPr>
          <w:p w14:paraId="00853618"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3.66</w:t>
            </w:r>
          </w:p>
        </w:tc>
      </w:tr>
      <w:tr w:rsidR="006F4ABE" w:rsidRPr="006F4ABE" w14:paraId="248EE115" w14:textId="77777777" w:rsidTr="00306538">
        <w:trPr>
          <w:trHeight w:val="310"/>
        </w:trPr>
        <w:tc>
          <w:tcPr>
            <w:tcW w:w="1065" w:type="pct"/>
            <w:tcBorders>
              <w:top w:val="nil"/>
              <w:left w:val="nil"/>
              <w:bottom w:val="nil"/>
              <w:right w:val="nil"/>
            </w:tcBorders>
            <w:shd w:val="clear" w:color="auto" w:fill="auto"/>
            <w:noWrap/>
            <w:vAlign w:val="bottom"/>
            <w:hideMark/>
          </w:tcPr>
          <w:p w14:paraId="64DA6790"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41</w:t>
            </w:r>
          </w:p>
        </w:tc>
        <w:tc>
          <w:tcPr>
            <w:tcW w:w="2601" w:type="pct"/>
            <w:tcBorders>
              <w:top w:val="nil"/>
              <w:left w:val="nil"/>
              <w:bottom w:val="nil"/>
              <w:right w:val="nil"/>
            </w:tcBorders>
            <w:shd w:val="clear" w:color="auto" w:fill="auto"/>
            <w:noWrap/>
            <w:vAlign w:val="bottom"/>
            <w:hideMark/>
          </w:tcPr>
          <w:p w14:paraId="29C3E601"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Wholesale</w:t>
            </w:r>
          </w:p>
        </w:tc>
        <w:tc>
          <w:tcPr>
            <w:tcW w:w="587" w:type="pct"/>
            <w:tcBorders>
              <w:top w:val="nil"/>
              <w:left w:val="nil"/>
              <w:bottom w:val="nil"/>
              <w:right w:val="nil"/>
            </w:tcBorders>
            <w:shd w:val="clear" w:color="auto" w:fill="auto"/>
            <w:noWrap/>
            <w:vAlign w:val="bottom"/>
            <w:hideMark/>
          </w:tcPr>
          <w:p w14:paraId="5B5B78B2"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724</w:t>
            </w:r>
          </w:p>
        </w:tc>
        <w:tc>
          <w:tcPr>
            <w:tcW w:w="747" w:type="pct"/>
            <w:tcBorders>
              <w:top w:val="nil"/>
              <w:left w:val="nil"/>
              <w:bottom w:val="nil"/>
              <w:right w:val="nil"/>
            </w:tcBorders>
            <w:shd w:val="clear" w:color="auto" w:fill="auto"/>
            <w:noWrap/>
            <w:vAlign w:val="bottom"/>
            <w:hideMark/>
          </w:tcPr>
          <w:p w14:paraId="5F3237AD"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4.06</w:t>
            </w:r>
          </w:p>
        </w:tc>
      </w:tr>
      <w:tr w:rsidR="006F4ABE" w:rsidRPr="006F4ABE" w14:paraId="60C206BD" w14:textId="77777777" w:rsidTr="00306538">
        <w:trPr>
          <w:trHeight w:val="310"/>
        </w:trPr>
        <w:tc>
          <w:tcPr>
            <w:tcW w:w="1065" w:type="pct"/>
            <w:tcBorders>
              <w:top w:val="nil"/>
              <w:left w:val="nil"/>
              <w:bottom w:val="nil"/>
              <w:right w:val="nil"/>
            </w:tcBorders>
            <w:shd w:val="clear" w:color="auto" w:fill="auto"/>
            <w:noWrap/>
            <w:vAlign w:val="bottom"/>
            <w:hideMark/>
          </w:tcPr>
          <w:p w14:paraId="185DB86D"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42</w:t>
            </w:r>
          </w:p>
        </w:tc>
        <w:tc>
          <w:tcPr>
            <w:tcW w:w="2601" w:type="pct"/>
            <w:tcBorders>
              <w:top w:val="nil"/>
              <w:left w:val="nil"/>
              <w:bottom w:val="nil"/>
              <w:right w:val="nil"/>
            </w:tcBorders>
            <w:shd w:val="clear" w:color="auto" w:fill="auto"/>
            <w:noWrap/>
            <w:vAlign w:val="bottom"/>
            <w:hideMark/>
          </w:tcPr>
          <w:p w14:paraId="5E78E03F"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Retail</w:t>
            </w:r>
          </w:p>
        </w:tc>
        <w:tc>
          <w:tcPr>
            <w:tcW w:w="587" w:type="pct"/>
            <w:tcBorders>
              <w:top w:val="nil"/>
              <w:left w:val="nil"/>
              <w:bottom w:val="nil"/>
              <w:right w:val="nil"/>
            </w:tcBorders>
            <w:shd w:val="clear" w:color="auto" w:fill="auto"/>
            <w:noWrap/>
            <w:vAlign w:val="bottom"/>
            <w:hideMark/>
          </w:tcPr>
          <w:p w14:paraId="5E3FC8FF"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1,376</w:t>
            </w:r>
          </w:p>
        </w:tc>
        <w:tc>
          <w:tcPr>
            <w:tcW w:w="747" w:type="pct"/>
            <w:tcBorders>
              <w:top w:val="nil"/>
              <w:left w:val="nil"/>
              <w:bottom w:val="nil"/>
              <w:right w:val="nil"/>
            </w:tcBorders>
            <w:shd w:val="clear" w:color="auto" w:fill="auto"/>
            <w:noWrap/>
            <w:vAlign w:val="bottom"/>
            <w:hideMark/>
          </w:tcPr>
          <w:p w14:paraId="500EBEFE"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7.72</w:t>
            </w:r>
          </w:p>
        </w:tc>
      </w:tr>
      <w:tr w:rsidR="006F4ABE" w:rsidRPr="006F4ABE" w14:paraId="56957999" w14:textId="77777777" w:rsidTr="00306538">
        <w:trPr>
          <w:trHeight w:val="310"/>
        </w:trPr>
        <w:tc>
          <w:tcPr>
            <w:tcW w:w="1065" w:type="pct"/>
            <w:tcBorders>
              <w:top w:val="nil"/>
              <w:left w:val="nil"/>
              <w:bottom w:val="nil"/>
              <w:right w:val="nil"/>
            </w:tcBorders>
            <w:shd w:val="clear" w:color="auto" w:fill="auto"/>
            <w:noWrap/>
            <w:vAlign w:val="bottom"/>
            <w:hideMark/>
          </w:tcPr>
          <w:p w14:paraId="0E897327"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43</w:t>
            </w:r>
          </w:p>
        </w:tc>
        <w:tc>
          <w:tcPr>
            <w:tcW w:w="2601" w:type="pct"/>
            <w:tcBorders>
              <w:top w:val="nil"/>
              <w:left w:val="nil"/>
              <w:bottom w:val="nil"/>
              <w:right w:val="nil"/>
            </w:tcBorders>
            <w:shd w:val="clear" w:color="auto" w:fill="auto"/>
            <w:noWrap/>
            <w:vAlign w:val="bottom"/>
            <w:hideMark/>
          </w:tcPr>
          <w:p w14:paraId="4A1367A0" w14:textId="312461AA" w:rsidR="006F4ABE" w:rsidRPr="006F4ABE" w:rsidRDefault="00306538"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Restaurants</w:t>
            </w:r>
            <w:r w:rsidR="006F4ABE" w:rsidRPr="006F4ABE">
              <w:rPr>
                <w:rFonts w:ascii="Times New Roman" w:eastAsia="Times New Roman" w:hAnsi="Times New Roman" w:cs="Times New Roman"/>
                <w:color w:val="000000"/>
                <w:sz w:val="24"/>
                <w:szCs w:val="24"/>
                <w:lang w:eastAsia="en-GB"/>
              </w:rPr>
              <w:t>, Hotels, Motels</w:t>
            </w:r>
          </w:p>
        </w:tc>
        <w:tc>
          <w:tcPr>
            <w:tcW w:w="587" w:type="pct"/>
            <w:tcBorders>
              <w:top w:val="nil"/>
              <w:left w:val="nil"/>
              <w:bottom w:val="nil"/>
              <w:right w:val="nil"/>
            </w:tcBorders>
            <w:shd w:val="clear" w:color="auto" w:fill="auto"/>
            <w:noWrap/>
            <w:vAlign w:val="bottom"/>
            <w:hideMark/>
          </w:tcPr>
          <w:p w14:paraId="657B3166"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479</w:t>
            </w:r>
          </w:p>
        </w:tc>
        <w:tc>
          <w:tcPr>
            <w:tcW w:w="747" w:type="pct"/>
            <w:tcBorders>
              <w:top w:val="nil"/>
              <w:left w:val="nil"/>
              <w:bottom w:val="nil"/>
              <w:right w:val="nil"/>
            </w:tcBorders>
            <w:shd w:val="clear" w:color="auto" w:fill="auto"/>
            <w:noWrap/>
            <w:vAlign w:val="bottom"/>
            <w:hideMark/>
          </w:tcPr>
          <w:p w14:paraId="422312CF"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2.69</w:t>
            </w:r>
          </w:p>
        </w:tc>
      </w:tr>
      <w:tr w:rsidR="006F4ABE" w:rsidRPr="006F4ABE" w14:paraId="2DE54D96" w14:textId="77777777" w:rsidTr="00306538">
        <w:trPr>
          <w:trHeight w:val="310"/>
        </w:trPr>
        <w:tc>
          <w:tcPr>
            <w:tcW w:w="1065" w:type="pct"/>
            <w:tcBorders>
              <w:top w:val="nil"/>
              <w:left w:val="nil"/>
              <w:bottom w:val="single" w:sz="4" w:space="0" w:color="auto"/>
              <w:right w:val="nil"/>
            </w:tcBorders>
            <w:shd w:val="clear" w:color="auto" w:fill="auto"/>
            <w:noWrap/>
            <w:vAlign w:val="bottom"/>
            <w:hideMark/>
          </w:tcPr>
          <w:p w14:paraId="3F66B9B9"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48</w:t>
            </w:r>
          </w:p>
        </w:tc>
        <w:tc>
          <w:tcPr>
            <w:tcW w:w="2601" w:type="pct"/>
            <w:tcBorders>
              <w:top w:val="nil"/>
              <w:left w:val="nil"/>
              <w:bottom w:val="single" w:sz="4" w:space="0" w:color="auto"/>
              <w:right w:val="nil"/>
            </w:tcBorders>
            <w:shd w:val="clear" w:color="auto" w:fill="auto"/>
            <w:noWrap/>
            <w:vAlign w:val="bottom"/>
            <w:hideMark/>
          </w:tcPr>
          <w:p w14:paraId="62EFD18F" w14:textId="77777777" w:rsidR="006F4ABE" w:rsidRPr="006F4ABE" w:rsidRDefault="006F4ABE" w:rsidP="00306538">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Other</w:t>
            </w:r>
          </w:p>
        </w:tc>
        <w:tc>
          <w:tcPr>
            <w:tcW w:w="587" w:type="pct"/>
            <w:tcBorders>
              <w:top w:val="nil"/>
              <w:left w:val="nil"/>
              <w:bottom w:val="single" w:sz="4" w:space="0" w:color="auto"/>
              <w:right w:val="nil"/>
            </w:tcBorders>
            <w:shd w:val="clear" w:color="auto" w:fill="auto"/>
            <w:noWrap/>
            <w:vAlign w:val="bottom"/>
            <w:hideMark/>
          </w:tcPr>
          <w:p w14:paraId="2547559C"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185</w:t>
            </w:r>
          </w:p>
        </w:tc>
        <w:tc>
          <w:tcPr>
            <w:tcW w:w="747" w:type="pct"/>
            <w:tcBorders>
              <w:top w:val="nil"/>
              <w:left w:val="nil"/>
              <w:bottom w:val="single" w:sz="4" w:space="0" w:color="auto"/>
              <w:right w:val="nil"/>
            </w:tcBorders>
            <w:shd w:val="clear" w:color="auto" w:fill="auto"/>
            <w:noWrap/>
            <w:vAlign w:val="bottom"/>
            <w:hideMark/>
          </w:tcPr>
          <w:p w14:paraId="3CAC0269" w14:textId="77777777" w:rsidR="006F4ABE" w:rsidRPr="006F4ABE" w:rsidRDefault="006F4ABE" w:rsidP="006F4ABE">
            <w:pPr>
              <w:spacing w:after="0" w:line="240" w:lineRule="auto"/>
              <w:jc w:val="right"/>
              <w:rPr>
                <w:rFonts w:ascii="Times New Roman" w:eastAsia="Times New Roman" w:hAnsi="Times New Roman" w:cs="Times New Roman"/>
                <w:color w:val="000000"/>
                <w:sz w:val="24"/>
                <w:szCs w:val="24"/>
                <w:lang w:eastAsia="en-GB"/>
              </w:rPr>
            </w:pPr>
            <w:r w:rsidRPr="006F4ABE">
              <w:rPr>
                <w:rFonts w:ascii="Times New Roman" w:eastAsia="Times New Roman" w:hAnsi="Times New Roman" w:cs="Times New Roman"/>
                <w:color w:val="000000"/>
                <w:sz w:val="24"/>
                <w:szCs w:val="24"/>
                <w:lang w:eastAsia="en-GB"/>
              </w:rPr>
              <w:t>1.04</w:t>
            </w:r>
          </w:p>
        </w:tc>
      </w:tr>
    </w:tbl>
    <w:p w14:paraId="61206951" w14:textId="77777777" w:rsidR="00E57A11" w:rsidRPr="00DA1D07" w:rsidRDefault="00E57A11" w:rsidP="00306538">
      <w:pPr>
        <w:spacing w:after="0" w:line="240" w:lineRule="auto"/>
        <w:rPr>
          <w:rFonts w:ascii="Times New Roman" w:eastAsia="Times New Roman" w:hAnsi="Times New Roman" w:cs="Times New Roman"/>
          <w:b/>
          <w:bCs/>
          <w:sz w:val="24"/>
          <w:szCs w:val="24"/>
          <w:lang w:val="en-US"/>
        </w:rPr>
        <w:sectPr w:rsidR="00E57A11" w:rsidRPr="00DA1D07" w:rsidSect="00B437C7">
          <w:footerReference w:type="default" r:id="rId14"/>
          <w:pgSz w:w="11906" w:h="16838"/>
          <w:pgMar w:top="1135" w:right="1274" w:bottom="1135" w:left="1276" w:header="708" w:footer="708" w:gutter="0"/>
          <w:pgNumType w:start="1"/>
          <w:cols w:space="708"/>
          <w:docGrid w:linePitch="360"/>
        </w:sectPr>
      </w:pPr>
    </w:p>
    <w:tbl>
      <w:tblPr>
        <w:tblW w:w="12154" w:type="dxa"/>
        <w:tblLayout w:type="fixed"/>
        <w:tblLook w:val="04A0" w:firstRow="1" w:lastRow="0" w:firstColumn="1" w:lastColumn="0" w:noHBand="0" w:noVBand="1"/>
      </w:tblPr>
      <w:tblGrid>
        <w:gridCol w:w="2728"/>
        <w:gridCol w:w="1411"/>
        <w:gridCol w:w="1647"/>
        <w:gridCol w:w="877"/>
        <w:gridCol w:w="1019"/>
        <w:gridCol w:w="1255"/>
        <w:gridCol w:w="1411"/>
        <w:gridCol w:w="1806"/>
      </w:tblGrid>
      <w:tr w:rsidR="00F70452" w:rsidRPr="00F70452" w14:paraId="6836DC88" w14:textId="77777777" w:rsidTr="00F0260B">
        <w:trPr>
          <w:trHeight w:val="310"/>
        </w:trPr>
        <w:tc>
          <w:tcPr>
            <w:tcW w:w="12154" w:type="dxa"/>
            <w:gridSpan w:val="8"/>
            <w:tcBorders>
              <w:top w:val="nil"/>
              <w:left w:val="nil"/>
              <w:bottom w:val="nil"/>
              <w:right w:val="nil"/>
            </w:tcBorders>
            <w:shd w:val="clear" w:color="auto" w:fill="auto"/>
            <w:noWrap/>
            <w:vAlign w:val="bottom"/>
            <w:hideMark/>
          </w:tcPr>
          <w:p w14:paraId="25AFE6D2" w14:textId="77777777" w:rsidR="00F70452" w:rsidRPr="00F70452" w:rsidRDefault="00F70452" w:rsidP="00A705CD">
            <w:pPr>
              <w:framePr w:hSpace="180" w:wrap="around" w:vAnchor="text" w:hAnchor="page" w:x="2461" w:y="-779"/>
              <w:spacing w:after="0" w:line="240" w:lineRule="auto"/>
              <w:jc w:val="center"/>
              <w:rPr>
                <w:rFonts w:ascii="Times New Roman" w:eastAsia="Times New Roman" w:hAnsi="Times New Roman" w:cs="Times New Roman"/>
                <w:b/>
                <w:bCs/>
                <w:color w:val="000000"/>
                <w:sz w:val="24"/>
                <w:szCs w:val="24"/>
                <w:lang w:eastAsia="en-GB"/>
              </w:rPr>
            </w:pPr>
            <w:r w:rsidRPr="00F70452">
              <w:rPr>
                <w:rFonts w:ascii="Times New Roman" w:eastAsia="Times New Roman" w:hAnsi="Times New Roman" w:cs="Times New Roman"/>
                <w:b/>
                <w:bCs/>
                <w:color w:val="000000"/>
                <w:sz w:val="24"/>
                <w:szCs w:val="24"/>
                <w:lang w:eastAsia="en-GB"/>
              </w:rPr>
              <w:lastRenderedPageBreak/>
              <w:t>TABLE 2</w:t>
            </w:r>
          </w:p>
        </w:tc>
      </w:tr>
      <w:tr w:rsidR="00F70452" w:rsidRPr="00F70452" w14:paraId="5CCE0908" w14:textId="77777777" w:rsidTr="00F0260B">
        <w:trPr>
          <w:trHeight w:val="310"/>
        </w:trPr>
        <w:tc>
          <w:tcPr>
            <w:tcW w:w="12154" w:type="dxa"/>
            <w:gridSpan w:val="8"/>
            <w:tcBorders>
              <w:top w:val="nil"/>
              <w:left w:val="nil"/>
              <w:bottom w:val="nil"/>
              <w:right w:val="nil"/>
            </w:tcBorders>
            <w:shd w:val="clear" w:color="auto" w:fill="auto"/>
            <w:noWrap/>
            <w:vAlign w:val="bottom"/>
            <w:hideMark/>
          </w:tcPr>
          <w:p w14:paraId="1BB729DF" w14:textId="77777777" w:rsidR="00F70452" w:rsidRPr="00F70452" w:rsidRDefault="00F70452" w:rsidP="00A705CD">
            <w:pPr>
              <w:framePr w:hSpace="180" w:wrap="around" w:vAnchor="text" w:hAnchor="page" w:x="2461" w:y="-779"/>
              <w:spacing w:after="0" w:line="240" w:lineRule="auto"/>
              <w:jc w:val="center"/>
              <w:rPr>
                <w:rFonts w:ascii="Times New Roman" w:eastAsia="Times New Roman" w:hAnsi="Times New Roman" w:cs="Times New Roman"/>
                <w:b/>
                <w:bCs/>
                <w:color w:val="000000"/>
                <w:sz w:val="24"/>
                <w:szCs w:val="24"/>
                <w:lang w:eastAsia="en-GB"/>
              </w:rPr>
            </w:pPr>
            <w:r w:rsidRPr="00F70452">
              <w:rPr>
                <w:rFonts w:ascii="Times New Roman" w:eastAsia="Times New Roman" w:hAnsi="Times New Roman" w:cs="Times New Roman"/>
                <w:b/>
                <w:bCs/>
                <w:color w:val="000000"/>
                <w:sz w:val="24"/>
                <w:szCs w:val="24"/>
                <w:lang w:eastAsia="en-GB"/>
              </w:rPr>
              <w:t>Summary Statistics</w:t>
            </w:r>
          </w:p>
        </w:tc>
      </w:tr>
      <w:tr w:rsidR="00F70452" w:rsidRPr="00F70452" w14:paraId="37C62EEE" w14:textId="77777777" w:rsidTr="00F0260B">
        <w:trPr>
          <w:trHeight w:val="1650"/>
        </w:trPr>
        <w:tc>
          <w:tcPr>
            <w:tcW w:w="12154" w:type="dxa"/>
            <w:gridSpan w:val="8"/>
            <w:tcBorders>
              <w:top w:val="nil"/>
              <w:left w:val="nil"/>
              <w:bottom w:val="single" w:sz="4" w:space="0" w:color="auto"/>
              <w:right w:val="nil"/>
            </w:tcBorders>
            <w:shd w:val="clear" w:color="auto" w:fill="auto"/>
            <w:vAlign w:val="bottom"/>
            <w:hideMark/>
          </w:tcPr>
          <w:p w14:paraId="673D5A83" w14:textId="3D172376" w:rsidR="00F70452" w:rsidRPr="00F70452" w:rsidRDefault="00F70452" w:rsidP="00A705CD">
            <w:pPr>
              <w:framePr w:hSpace="180" w:wrap="around" w:vAnchor="text" w:hAnchor="page" w:x="2461" w:y="-779"/>
              <w:spacing w:after="0" w:line="240" w:lineRule="auto"/>
              <w:jc w:val="both"/>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The table presents summary statistics for the sample</w:t>
            </w:r>
            <w:r w:rsidR="00BF3F22">
              <w:rPr>
                <w:rFonts w:ascii="Times New Roman" w:eastAsia="Times New Roman" w:hAnsi="Times New Roman" w:cs="Times New Roman"/>
                <w:color w:val="000000"/>
                <w:sz w:val="24"/>
                <w:szCs w:val="24"/>
                <w:lang w:eastAsia="en-GB"/>
              </w:rPr>
              <w:t>, which contains</w:t>
            </w:r>
            <w:r w:rsidRPr="00F70452">
              <w:rPr>
                <w:rFonts w:ascii="Times New Roman" w:eastAsia="Times New Roman" w:hAnsi="Times New Roman" w:cs="Times New Roman"/>
                <w:color w:val="000000"/>
                <w:sz w:val="24"/>
                <w:szCs w:val="24"/>
                <w:lang w:eastAsia="en-GB"/>
              </w:rPr>
              <w:t xml:space="preserve"> 17,831 observations for the period 2000-2018. </w:t>
            </w:r>
            <w:r w:rsidR="00BF3F22">
              <w:rPr>
                <w:rFonts w:ascii="Times New Roman" w:eastAsia="Times New Roman" w:hAnsi="Times New Roman" w:cs="Times New Roman"/>
                <w:color w:val="000000"/>
                <w:sz w:val="24"/>
                <w:szCs w:val="24"/>
                <w:lang w:eastAsia="en-GB"/>
              </w:rPr>
              <w:t>D</w:t>
            </w:r>
            <w:r w:rsidRPr="00F70452">
              <w:rPr>
                <w:rFonts w:ascii="Times New Roman" w:eastAsia="Times New Roman" w:hAnsi="Times New Roman" w:cs="Times New Roman"/>
                <w:color w:val="000000"/>
                <w:sz w:val="24"/>
                <w:szCs w:val="24"/>
                <w:lang w:eastAsia="en-GB"/>
              </w:rPr>
              <w:t xml:space="preserve">efinitions of all variables are provided in the Appendix </w:t>
            </w:r>
            <w:r w:rsidR="006B635B">
              <w:rPr>
                <w:rFonts w:ascii="Times New Roman" w:eastAsia="Times New Roman" w:hAnsi="Times New Roman" w:cs="Times New Roman"/>
                <w:color w:val="000000"/>
                <w:sz w:val="24"/>
                <w:szCs w:val="24"/>
                <w:lang w:eastAsia="en-GB"/>
              </w:rPr>
              <w:t>1</w:t>
            </w:r>
            <w:r w:rsidRPr="00F70452">
              <w:rPr>
                <w:rFonts w:ascii="Times New Roman" w:eastAsia="Times New Roman" w:hAnsi="Times New Roman" w:cs="Times New Roman"/>
                <w:color w:val="000000"/>
                <w:sz w:val="24"/>
                <w:szCs w:val="24"/>
                <w:lang w:eastAsia="en-GB"/>
              </w:rPr>
              <w:t xml:space="preserve">. The statistics for </w:t>
            </w:r>
            <w:proofErr w:type="spellStart"/>
            <w:r w:rsidRPr="008C2A0C">
              <w:rPr>
                <w:rFonts w:ascii="Times New Roman" w:eastAsia="Times New Roman" w:hAnsi="Times New Roman" w:cs="Times New Roman"/>
                <w:i/>
                <w:iCs/>
                <w:color w:val="000000"/>
                <w:sz w:val="24"/>
                <w:szCs w:val="24"/>
                <w:lang w:eastAsia="en-GB"/>
              </w:rPr>
              <w:t>FirmSize</w:t>
            </w:r>
            <w:proofErr w:type="spellEnd"/>
            <w:r w:rsidRPr="00F70452">
              <w:rPr>
                <w:rFonts w:ascii="Times New Roman" w:eastAsia="Times New Roman" w:hAnsi="Times New Roman" w:cs="Times New Roman"/>
                <w:color w:val="000000"/>
                <w:sz w:val="24"/>
                <w:szCs w:val="24"/>
                <w:lang w:eastAsia="en-GB"/>
              </w:rPr>
              <w:t xml:space="preserve"> and </w:t>
            </w:r>
            <w:r w:rsidRPr="008C2A0C">
              <w:rPr>
                <w:rFonts w:ascii="Times New Roman" w:eastAsia="Times New Roman" w:hAnsi="Times New Roman" w:cs="Times New Roman"/>
                <w:i/>
                <w:iCs/>
                <w:color w:val="000000"/>
                <w:sz w:val="24"/>
                <w:szCs w:val="24"/>
                <w:lang w:eastAsia="en-GB"/>
              </w:rPr>
              <w:t>Employees</w:t>
            </w:r>
            <w:r w:rsidRPr="00F70452">
              <w:rPr>
                <w:rFonts w:ascii="Times New Roman" w:eastAsia="Times New Roman" w:hAnsi="Times New Roman" w:cs="Times New Roman"/>
                <w:color w:val="000000"/>
                <w:sz w:val="24"/>
                <w:szCs w:val="24"/>
                <w:lang w:eastAsia="en-GB"/>
              </w:rPr>
              <w:t xml:space="preserve"> are presented for untransformed versions of </w:t>
            </w:r>
            <w:r w:rsidR="00BF3F22">
              <w:rPr>
                <w:rFonts w:ascii="Times New Roman" w:eastAsia="Times New Roman" w:hAnsi="Times New Roman" w:cs="Times New Roman"/>
                <w:color w:val="000000"/>
                <w:sz w:val="24"/>
                <w:szCs w:val="24"/>
                <w:lang w:eastAsia="en-GB"/>
              </w:rPr>
              <w:t xml:space="preserve">these </w:t>
            </w:r>
            <w:r w:rsidRPr="00F70452">
              <w:rPr>
                <w:rFonts w:ascii="Times New Roman" w:eastAsia="Times New Roman" w:hAnsi="Times New Roman" w:cs="Times New Roman"/>
                <w:color w:val="000000"/>
                <w:sz w:val="24"/>
                <w:szCs w:val="24"/>
                <w:lang w:eastAsia="en-GB"/>
              </w:rPr>
              <w:t xml:space="preserve">variables. Specifically, the </w:t>
            </w:r>
            <w:proofErr w:type="spellStart"/>
            <w:r w:rsidRPr="008C2A0C">
              <w:rPr>
                <w:rFonts w:ascii="Times New Roman" w:eastAsia="Times New Roman" w:hAnsi="Times New Roman" w:cs="Times New Roman"/>
                <w:i/>
                <w:iCs/>
                <w:color w:val="000000"/>
                <w:sz w:val="24"/>
                <w:szCs w:val="24"/>
                <w:lang w:eastAsia="en-GB"/>
              </w:rPr>
              <w:t>FirmSize</w:t>
            </w:r>
            <w:proofErr w:type="spellEnd"/>
            <w:r w:rsidRPr="00F70452">
              <w:rPr>
                <w:rFonts w:ascii="Times New Roman" w:eastAsia="Times New Roman" w:hAnsi="Times New Roman" w:cs="Times New Roman"/>
                <w:color w:val="000000"/>
                <w:sz w:val="24"/>
                <w:szCs w:val="24"/>
                <w:lang w:eastAsia="en-GB"/>
              </w:rPr>
              <w:t xml:space="preserve"> is presented in millions of dollars, </w:t>
            </w:r>
            <w:r w:rsidRPr="008C2A0C">
              <w:rPr>
                <w:rFonts w:ascii="Times New Roman" w:eastAsia="Times New Roman" w:hAnsi="Times New Roman" w:cs="Times New Roman"/>
                <w:i/>
                <w:iCs/>
                <w:color w:val="000000"/>
                <w:sz w:val="24"/>
                <w:szCs w:val="24"/>
                <w:lang w:eastAsia="en-GB"/>
              </w:rPr>
              <w:t>Employees</w:t>
            </w:r>
            <w:r w:rsidRPr="00F70452">
              <w:rPr>
                <w:rFonts w:ascii="Times New Roman" w:eastAsia="Times New Roman" w:hAnsi="Times New Roman" w:cs="Times New Roman"/>
                <w:color w:val="000000"/>
                <w:sz w:val="24"/>
                <w:szCs w:val="24"/>
                <w:lang w:eastAsia="en-GB"/>
              </w:rPr>
              <w:t xml:space="preserve"> in thousands of people.</w:t>
            </w:r>
          </w:p>
        </w:tc>
      </w:tr>
      <w:tr w:rsidR="00F70452" w:rsidRPr="00F70452" w14:paraId="54884DCA" w14:textId="77777777" w:rsidTr="00F0260B">
        <w:trPr>
          <w:trHeight w:val="370"/>
        </w:trPr>
        <w:tc>
          <w:tcPr>
            <w:tcW w:w="2728" w:type="dxa"/>
            <w:tcBorders>
              <w:top w:val="nil"/>
              <w:left w:val="nil"/>
              <w:bottom w:val="nil"/>
              <w:right w:val="nil"/>
            </w:tcBorders>
            <w:shd w:val="clear" w:color="auto" w:fill="auto"/>
            <w:noWrap/>
            <w:vAlign w:val="bottom"/>
            <w:hideMark/>
          </w:tcPr>
          <w:p w14:paraId="4903240C" w14:textId="77777777" w:rsidR="00F70452" w:rsidRPr="00F70452" w:rsidRDefault="00F70452" w:rsidP="00A705CD">
            <w:pPr>
              <w:framePr w:hSpace="180" w:wrap="around" w:vAnchor="text" w:hAnchor="page" w:x="2461" w:y="-779"/>
              <w:spacing w:after="0" w:line="240" w:lineRule="auto"/>
              <w:ind w:firstLineChars="100" w:firstLine="240"/>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 </w:t>
            </w:r>
          </w:p>
        </w:tc>
        <w:tc>
          <w:tcPr>
            <w:tcW w:w="1411" w:type="dxa"/>
            <w:tcBorders>
              <w:top w:val="nil"/>
              <w:left w:val="nil"/>
              <w:bottom w:val="nil"/>
              <w:right w:val="nil"/>
            </w:tcBorders>
            <w:shd w:val="clear" w:color="auto" w:fill="auto"/>
            <w:noWrap/>
            <w:vAlign w:val="bottom"/>
            <w:hideMark/>
          </w:tcPr>
          <w:p w14:paraId="188AB40F"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Mean</w:t>
            </w:r>
          </w:p>
        </w:tc>
        <w:tc>
          <w:tcPr>
            <w:tcW w:w="1647" w:type="dxa"/>
            <w:tcBorders>
              <w:top w:val="nil"/>
              <w:left w:val="nil"/>
              <w:bottom w:val="nil"/>
              <w:right w:val="nil"/>
            </w:tcBorders>
            <w:shd w:val="clear" w:color="auto" w:fill="auto"/>
            <w:noWrap/>
            <w:vAlign w:val="bottom"/>
            <w:hideMark/>
          </w:tcPr>
          <w:p w14:paraId="1C2A52CE"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Std. dev.</w:t>
            </w:r>
          </w:p>
        </w:tc>
        <w:tc>
          <w:tcPr>
            <w:tcW w:w="877" w:type="dxa"/>
            <w:tcBorders>
              <w:top w:val="nil"/>
              <w:left w:val="nil"/>
              <w:bottom w:val="nil"/>
              <w:right w:val="nil"/>
            </w:tcBorders>
            <w:shd w:val="clear" w:color="auto" w:fill="auto"/>
            <w:noWrap/>
            <w:vAlign w:val="bottom"/>
            <w:hideMark/>
          </w:tcPr>
          <w:p w14:paraId="1EB77AE3"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Min.</w:t>
            </w:r>
          </w:p>
        </w:tc>
        <w:tc>
          <w:tcPr>
            <w:tcW w:w="1019" w:type="dxa"/>
            <w:tcBorders>
              <w:top w:val="nil"/>
              <w:left w:val="nil"/>
              <w:bottom w:val="nil"/>
              <w:right w:val="nil"/>
            </w:tcBorders>
            <w:shd w:val="clear" w:color="auto" w:fill="auto"/>
            <w:noWrap/>
            <w:vAlign w:val="bottom"/>
            <w:hideMark/>
          </w:tcPr>
          <w:p w14:paraId="7FF205F7"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10</w:t>
            </w:r>
            <w:r w:rsidRPr="00F70452">
              <w:rPr>
                <w:rFonts w:ascii="Times New Roman" w:eastAsia="Times New Roman" w:hAnsi="Times New Roman" w:cs="Times New Roman"/>
                <w:color w:val="000000"/>
                <w:sz w:val="24"/>
                <w:szCs w:val="24"/>
                <w:vertAlign w:val="superscript"/>
                <w:lang w:eastAsia="en-GB"/>
              </w:rPr>
              <w:t>th</w:t>
            </w:r>
          </w:p>
        </w:tc>
        <w:tc>
          <w:tcPr>
            <w:tcW w:w="1255" w:type="dxa"/>
            <w:tcBorders>
              <w:top w:val="nil"/>
              <w:left w:val="nil"/>
              <w:bottom w:val="nil"/>
              <w:right w:val="nil"/>
            </w:tcBorders>
            <w:shd w:val="clear" w:color="auto" w:fill="auto"/>
            <w:noWrap/>
            <w:vAlign w:val="bottom"/>
            <w:hideMark/>
          </w:tcPr>
          <w:p w14:paraId="02DBDB15"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Median</w:t>
            </w:r>
          </w:p>
        </w:tc>
        <w:tc>
          <w:tcPr>
            <w:tcW w:w="1411" w:type="dxa"/>
            <w:tcBorders>
              <w:top w:val="nil"/>
              <w:left w:val="nil"/>
              <w:bottom w:val="nil"/>
              <w:right w:val="nil"/>
            </w:tcBorders>
            <w:shd w:val="clear" w:color="auto" w:fill="auto"/>
            <w:noWrap/>
            <w:vAlign w:val="bottom"/>
            <w:hideMark/>
          </w:tcPr>
          <w:p w14:paraId="47705BF7"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90</w:t>
            </w:r>
            <w:r w:rsidRPr="00F70452">
              <w:rPr>
                <w:rFonts w:ascii="Times New Roman" w:eastAsia="Times New Roman" w:hAnsi="Times New Roman" w:cs="Times New Roman"/>
                <w:color w:val="000000"/>
                <w:sz w:val="24"/>
                <w:szCs w:val="24"/>
                <w:vertAlign w:val="superscript"/>
                <w:lang w:eastAsia="en-GB"/>
              </w:rPr>
              <w:t>th</w:t>
            </w:r>
          </w:p>
        </w:tc>
        <w:tc>
          <w:tcPr>
            <w:tcW w:w="1803" w:type="dxa"/>
            <w:tcBorders>
              <w:top w:val="nil"/>
              <w:left w:val="nil"/>
              <w:bottom w:val="nil"/>
              <w:right w:val="nil"/>
            </w:tcBorders>
            <w:shd w:val="clear" w:color="auto" w:fill="auto"/>
            <w:noWrap/>
            <w:vAlign w:val="bottom"/>
            <w:hideMark/>
          </w:tcPr>
          <w:p w14:paraId="3C84FA6F"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Max.</w:t>
            </w:r>
          </w:p>
        </w:tc>
      </w:tr>
      <w:tr w:rsidR="00F70452" w:rsidRPr="00F70452" w14:paraId="051870CF" w14:textId="77777777" w:rsidTr="00F0260B">
        <w:trPr>
          <w:trHeight w:val="310"/>
        </w:trPr>
        <w:tc>
          <w:tcPr>
            <w:tcW w:w="2728" w:type="dxa"/>
            <w:tcBorders>
              <w:top w:val="nil"/>
              <w:left w:val="nil"/>
              <w:bottom w:val="nil"/>
              <w:right w:val="nil"/>
            </w:tcBorders>
            <w:shd w:val="clear" w:color="auto" w:fill="auto"/>
            <w:noWrap/>
            <w:vAlign w:val="bottom"/>
            <w:hideMark/>
          </w:tcPr>
          <w:p w14:paraId="0C1D1394" w14:textId="77777777" w:rsidR="00F70452" w:rsidRPr="00F70452" w:rsidRDefault="00F70452" w:rsidP="00A705CD">
            <w:pPr>
              <w:framePr w:hSpace="180" w:wrap="around" w:vAnchor="text" w:hAnchor="page" w:x="2461" w:y="-779"/>
              <w:spacing w:after="0" w:line="240" w:lineRule="auto"/>
              <w:rPr>
                <w:rFonts w:ascii="Times New Roman" w:eastAsia="Times New Roman" w:hAnsi="Times New Roman" w:cs="Times New Roman"/>
                <w:b/>
                <w:bCs/>
                <w:color w:val="000000"/>
                <w:sz w:val="24"/>
                <w:szCs w:val="24"/>
                <w:lang w:eastAsia="en-GB"/>
              </w:rPr>
            </w:pPr>
            <w:r w:rsidRPr="00F70452">
              <w:rPr>
                <w:rFonts w:ascii="Times New Roman" w:eastAsia="Times New Roman" w:hAnsi="Times New Roman" w:cs="Times New Roman"/>
                <w:b/>
                <w:bCs/>
                <w:color w:val="000000"/>
                <w:sz w:val="24"/>
                <w:szCs w:val="24"/>
                <w:lang w:eastAsia="en-GB"/>
              </w:rPr>
              <w:t>Violations Data</w:t>
            </w:r>
          </w:p>
        </w:tc>
        <w:tc>
          <w:tcPr>
            <w:tcW w:w="1411" w:type="dxa"/>
            <w:tcBorders>
              <w:top w:val="nil"/>
              <w:left w:val="nil"/>
              <w:bottom w:val="nil"/>
              <w:right w:val="nil"/>
            </w:tcBorders>
            <w:shd w:val="clear" w:color="auto" w:fill="auto"/>
            <w:noWrap/>
            <w:vAlign w:val="bottom"/>
            <w:hideMark/>
          </w:tcPr>
          <w:p w14:paraId="5284DC65" w14:textId="77777777" w:rsidR="00F70452" w:rsidRPr="00F70452" w:rsidRDefault="00F70452" w:rsidP="00A705CD">
            <w:pPr>
              <w:framePr w:hSpace="180" w:wrap="around" w:vAnchor="text" w:hAnchor="page" w:x="2461" w:y="-779"/>
              <w:spacing w:after="0" w:line="240" w:lineRule="auto"/>
              <w:rPr>
                <w:rFonts w:ascii="Times New Roman" w:eastAsia="Times New Roman" w:hAnsi="Times New Roman" w:cs="Times New Roman"/>
                <w:b/>
                <w:bCs/>
                <w:color w:val="000000"/>
                <w:sz w:val="24"/>
                <w:szCs w:val="24"/>
                <w:lang w:eastAsia="en-GB"/>
              </w:rPr>
            </w:pPr>
          </w:p>
        </w:tc>
        <w:tc>
          <w:tcPr>
            <w:tcW w:w="1647" w:type="dxa"/>
            <w:tcBorders>
              <w:top w:val="nil"/>
              <w:left w:val="nil"/>
              <w:bottom w:val="nil"/>
              <w:right w:val="nil"/>
            </w:tcBorders>
            <w:shd w:val="clear" w:color="auto" w:fill="auto"/>
            <w:noWrap/>
            <w:vAlign w:val="bottom"/>
            <w:hideMark/>
          </w:tcPr>
          <w:p w14:paraId="4E080168"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sz w:val="20"/>
                <w:szCs w:val="20"/>
                <w:lang w:eastAsia="en-GB"/>
              </w:rPr>
            </w:pPr>
          </w:p>
        </w:tc>
        <w:tc>
          <w:tcPr>
            <w:tcW w:w="877" w:type="dxa"/>
            <w:tcBorders>
              <w:top w:val="nil"/>
              <w:left w:val="nil"/>
              <w:bottom w:val="nil"/>
              <w:right w:val="nil"/>
            </w:tcBorders>
            <w:shd w:val="clear" w:color="auto" w:fill="auto"/>
            <w:noWrap/>
            <w:vAlign w:val="bottom"/>
            <w:hideMark/>
          </w:tcPr>
          <w:p w14:paraId="242AD025"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sz w:val="20"/>
                <w:szCs w:val="20"/>
                <w:lang w:eastAsia="en-GB"/>
              </w:rPr>
            </w:pPr>
          </w:p>
        </w:tc>
        <w:tc>
          <w:tcPr>
            <w:tcW w:w="1019" w:type="dxa"/>
            <w:tcBorders>
              <w:top w:val="nil"/>
              <w:left w:val="nil"/>
              <w:bottom w:val="nil"/>
              <w:right w:val="nil"/>
            </w:tcBorders>
            <w:shd w:val="clear" w:color="auto" w:fill="auto"/>
            <w:noWrap/>
            <w:vAlign w:val="bottom"/>
            <w:hideMark/>
          </w:tcPr>
          <w:p w14:paraId="197FDB5C"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sz w:val="20"/>
                <w:szCs w:val="20"/>
                <w:lang w:eastAsia="en-GB"/>
              </w:rPr>
            </w:pPr>
          </w:p>
        </w:tc>
        <w:tc>
          <w:tcPr>
            <w:tcW w:w="1255" w:type="dxa"/>
            <w:tcBorders>
              <w:top w:val="nil"/>
              <w:left w:val="nil"/>
              <w:bottom w:val="nil"/>
              <w:right w:val="nil"/>
            </w:tcBorders>
            <w:shd w:val="clear" w:color="auto" w:fill="auto"/>
            <w:noWrap/>
            <w:vAlign w:val="bottom"/>
            <w:hideMark/>
          </w:tcPr>
          <w:p w14:paraId="590F0993"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sz w:val="20"/>
                <w:szCs w:val="20"/>
                <w:lang w:eastAsia="en-GB"/>
              </w:rPr>
            </w:pPr>
          </w:p>
        </w:tc>
        <w:tc>
          <w:tcPr>
            <w:tcW w:w="1411" w:type="dxa"/>
            <w:tcBorders>
              <w:top w:val="nil"/>
              <w:left w:val="nil"/>
              <w:bottom w:val="nil"/>
              <w:right w:val="nil"/>
            </w:tcBorders>
            <w:shd w:val="clear" w:color="auto" w:fill="auto"/>
            <w:noWrap/>
            <w:vAlign w:val="bottom"/>
            <w:hideMark/>
          </w:tcPr>
          <w:p w14:paraId="30EF2C3D"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sz w:val="20"/>
                <w:szCs w:val="20"/>
                <w:lang w:eastAsia="en-GB"/>
              </w:rPr>
            </w:pPr>
          </w:p>
        </w:tc>
        <w:tc>
          <w:tcPr>
            <w:tcW w:w="1803" w:type="dxa"/>
            <w:tcBorders>
              <w:top w:val="nil"/>
              <w:left w:val="nil"/>
              <w:bottom w:val="nil"/>
              <w:right w:val="nil"/>
            </w:tcBorders>
            <w:shd w:val="clear" w:color="auto" w:fill="auto"/>
            <w:noWrap/>
            <w:vAlign w:val="bottom"/>
            <w:hideMark/>
          </w:tcPr>
          <w:p w14:paraId="6280DFD9"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sz w:val="20"/>
                <w:szCs w:val="20"/>
                <w:lang w:eastAsia="en-GB"/>
              </w:rPr>
            </w:pPr>
          </w:p>
        </w:tc>
      </w:tr>
      <w:tr w:rsidR="00F70452" w:rsidRPr="00F70452" w14:paraId="2FD77DB2" w14:textId="77777777" w:rsidTr="00F0260B">
        <w:trPr>
          <w:trHeight w:val="310"/>
        </w:trPr>
        <w:tc>
          <w:tcPr>
            <w:tcW w:w="2728" w:type="dxa"/>
            <w:tcBorders>
              <w:top w:val="nil"/>
              <w:left w:val="nil"/>
              <w:bottom w:val="nil"/>
              <w:right w:val="nil"/>
            </w:tcBorders>
            <w:shd w:val="clear" w:color="auto" w:fill="auto"/>
            <w:noWrap/>
            <w:hideMark/>
          </w:tcPr>
          <w:p w14:paraId="15AC7B09" w14:textId="77777777" w:rsidR="00F70452" w:rsidRPr="00F70452" w:rsidRDefault="00F70452" w:rsidP="00A705CD">
            <w:pPr>
              <w:framePr w:hSpace="180" w:wrap="around" w:vAnchor="text" w:hAnchor="page" w:x="2461" w:y="-779"/>
              <w:spacing w:after="0" w:line="240" w:lineRule="auto"/>
              <w:ind w:firstLineChars="100" w:firstLine="240"/>
              <w:rPr>
                <w:rFonts w:ascii="Times New Roman" w:eastAsia="Times New Roman" w:hAnsi="Times New Roman" w:cs="Times New Roman"/>
                <w:i/>
                <w:iCs/>
                <w:color w:val="000000"/>
                <w:sz w:val="24"/>
                <w:szCs w:val="24"/>
                <w:lang w:eastAsia="en-GB"/>
              </w:rPr>
            </w:pPr>
            <w:r w:rsidRPr="00F70452">
              <w:rPr>
                <w:rFonts w:ascii="Times New Roman" w:eastAsia="Times New Roman" w:hAnsi="Times New Roman" w:cs="Times New Roman"/>
                <w:i/>
                <w:iCs/>
                <w:color w:val="000000"/>
                <w:sz w:val="24"/>
                <w:szCs w:val="24"/>
                <w:lang w:eastAsia="en-GB"/>
              </w:rPr>
              <w:t>Violations</w:t>
            </w:r>
          </w:p>
        </w:tc>
        <w:tc>
          <w:tcPr>
            <w:tcW w:w="1411" w:type="dxa"/>
            <w:tcBorders>
              <w:top w:val="nil"/>
              <w:left w:val="nil"/>
              <w:bottom w:val="nil"/>
              <w:right w:val="nil"/>
            </w:tcBorders>
            <w:shd w:val="clear" w:color="auto" w:fill="auto"/>
            <w:noWrap/>
            <w:vAlign w:val="bottom"/>
            <w:hideMark/>
          </w:tcPr>
          <w:p w14:paraId="14F8C6D6"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0.406</w:t>
            </w:r>
          </w:p>
        </w:tc>
        <w:tc>
          <w:tcPr>
            <w:tcW w:w="1647" w:type="dxa"/>
            <w:tcBorders>
              <w:top w:val="nil"/>
              <w:left w:val="nil"/>
              <w:bottom w:val="nil"/>
              <w:right w:val="nil"/>
            </w:tcBorders>
            <w:shd w:val="clear" w:color="auto" w:fill="auto"/>
            <w:noWrap/>
            <w:vAlign w:val="bottom"/>
            <w:hideMark/>
          </w:tcPr>
          <w:p w14:paraId="26F0CCEC"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1.313</w:t>
            </w:r>
          </w:p>
        </w:tc>
        <w:tc>
          <w:tcPr>
            <w:tcW w:w="877" w:type="dxa"/>
            <w:tcBorders>
              <w:top w:val="nil"/>
              <w:left w:val="nil"/>
              <w:bottom w:val="nil"/>
              <w:right w:val="nil"/>
            </w:tcBorders>
            <w:shd w:val="clear" w:color="auto" w:fill="auto"/>
            <w:noWrap/>
            <w:vAlign w:val="bottom"/>
            <w:hideMark/>
          </w:tcPr>
          <w:p w14:paraId="7EF230A7"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0.000</w:t>
            </w:r>
          </w:p>
        </w:tc>
        <w:tc>
          <w:tcPr>
            <w:tcW w:w="1019" w:type="dxa"/>
            <w:tcBorders>
              <w:top w:val="nil"/>
              <w:left w:val="nil"/>
              <w:bottom w:val="nil"/>
              <w:right w:val="nil"/>
            </w:tcBorders>
            <w:shd w:val="clear" w:color="auto" w:fill="auto"/>
            <w:noWrap/>
            <w:vAlign w:val="bottom"/>
            <w:hideMark/>
          </w:tcPr>
          <w:p w14:paraId="2C417C57"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0.000</w:t>
            </w:r>
          </w:p>
        </w:tc>
        <w:tc>
          <w:tcPr>
            <w:tcW w:w="1255" w:type="dxa"/>
            <w:tcBorders>
              <w:top w:val="nil"/>
              <w:left w:val="nil"/>
              <w:bottom w:val="nil"/>
              <w:right w:val="nil"/>
            </w:tcBorders>
            <w:shd w:val="clear" w:color="auto" w:fill="auto"/>
            <w:noWrap/>
            <w:vAlign w:val="bottom"/>
            <w:hideMark/>
          </w:tcPr>
          <w:p w14:paraId="674BF13E"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0.000</w:t>
            </w:r>
          </w:p>
        </w:tc>
        <w:tc>
          <w:tcPr>
            <w:tcW w:w="1411" w:type="dxa"/>
            <w:tcBorders>
              <w:top w:val="nil"/>
              <w:left w:val="nil"/>
              <w:bottom w:val="nil"/>
              <w:right w:val="nil"/>
            </w:tcBorders>
            <w:shd w:val="clear" w:color="auto" w:fill="auto"/>
            <w:noWrap/>
            <w:vAlign w:val="bottom"/>
            <w:hideMark/>
          </w:tcPr>
          <w:p w14:paraId="6772B6FB"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1.000</w:t>
            </w:r>
          </w:p>
        </w:tc>
        <w:tc>
          <w:tcPr>
            <w:tcW w:w="1803" w:type="dxa"/>
            <w:tcBorders>
              <w:top w:val="nil"/>
              <w:left w:val="nil"/>
              <w:bottom w:val="nil"/>
              <w:right w:val="nil"/>
            </w:tcBorders>
            <w:shd w:val="clear" w:color="auto" w:fill="auto"/>
            <w:noWrap/>
            <w:vAlign w:val="bottom"/>
            <w:hideMark/>
          </w:tcPr>
          <w:p w14:paraId="36E2A4C2"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19.000</w:t>
            </w:r>
          </w:p>
        </w:tc>
      </w:tr>
      <w:tr w:rsidR="00F70452" w:rsidRPr="00F70452" w14:paraId="56DF9FE5" w14:textId="77777777" w:rsidTr="00F0260B">
        <w:trPr>
          <w:trHeight w:val="310"/>
        </w:trPr>
        <w:tc>
          <w:tcPr>
            <w:tcW w:w="2728" w:type="dxa"/>
            <w:tcBorders>
              <w:top w:val="nil"/>
              <w:left w:val="nil"/>
              <w:bottom w:val="nil"/>
              <w:right w:val="nil"/>
            </w:tcBorders>
            <w:shd w:val="clear" w:color="auto" w:fill="auto"/>
            <w:noWrap/>
            <w:hideMark/>
          </w:tcPr>
          <w:p w14:paraId="78FDD99F" w14:textId="77777777" w:rsidR="00F70452" w:rsidRPr="00F70452" w:rsidRDefault="00F70452" w:rsidP="00A705CD">
            <w:pPr>
              <w:framePr w:hSpace="180" w:wrap="around" w:vAnchor="text" w:hAnchor="page" w:x="2461" w:y="-779"/>
              <w:spacing w:after="0" w:line="240" w:lineRule="auto"/>
              <w:ind w:firstLineChars="100" w:firstLine="240"/>
              <w:rPr>
                <w:rFonts w:ascii="Times New Roman" w:eastAsia="Times New Roman" w:hAnsi="Times New Roman" w:cs="Times New Roman"/>
                <w:i/>
                <w:iCs/>
                <w:color w:val="000000"/>
                <w:sz w:val="24"/>
                <w:szCs w:val="24"/>
                <w:lang w:eastAsia="en-GB"/>
              </w:rPr>
            </w:pPr>
            <w:r w:rsidRPr="00F70452">
              <w:rPr>
                <w:rFonts w:ascii="Times New Roman" w:eastAsia="Times New Roman" w:hAnsi="Times New Roman" w:cs="Times New Roman"/>
                <w:i/>
                <w:iCs/>
                <w:color w:val="000000"/>
                <w:sz w:val="24"/>
                <w:szCs w:val="24"/>
                <w:lang w:eastAsia="en-GB"/>
              </w:rPr>
              <w:t>ln(Violations)</w:t>
            </w:r>
          </w:p>
        </w:tc>
        <w:tc>
          <w:tcPr>
            <w:tcW w:w="1411" w:type="dxa"/>
            <w:tcBorders>
              <w:top w:val="nil"/>
              <w:left w:val="nil"/>
              <w:bottom w:val="nil"/>
              <w:right w:val="nil"/>
            </w:tcBorders>
            <w:shd w:val="clear" w:color="auto" w:fill="auto"/>
            <w:noWrap/>
            <w:vAlign w:val="bottom"/>
            <w:hideMark/>
          </w:tcPr>
          <w:p w14:paraId="3D929F4C"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0.186</w:t>
            </w:r>
          </w:p>
        </w:tc>
        <w:tc>
          <w:tcPr>
            <w:tcW w:w="1647" w:type="dxa"/>
            <w:tcBorders>
              <w:top w:val="nil"/>
              <w:left w:val="nil"/>
              <w:bottom w:val="nil"/>
              <w:right w:val="nil"/>
            </w:tcBorders>
            <w:shd w:val="clear" w:color="auto" w:fill="auto"/>
            <w:noWrap/>
            <w:vAlign w:val="bottom"/>
            <w:hideMark/>
          </w:tcPr>
          <w:p w14:paraId="3CF60E3C"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0.448</w:t>
            </w:r>
          </w:p>
        </w:tc>
        <w:tc>
          <w:tcPr>
            <w:tcW w:w="877" w:type="dxa"/>
            <w:tcBorders>
              <w:top w:val="nil"/>
              <w:left w:val="nil"/>
              <w:bottom w:val="nil"/>
              <w:right w:val="nil"/>
            </w:tcBorders>
            <w:shd w:val="clear" w:color="auto" w:fill="auto"/>
            <w:noWrap/>
            <w:vAlign w:val="bottom"/>
            <w:hideMark/>
          </w:tcPr>
          <w:p w14:paraId="468CF5A7"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0.000</w:t>
            </w:r>
          </w:p>
        </w:tc>
        <w:tc>
          <w:tcPr>
            <w:tcW w:w="1019" w:type="dxa"/>
            <w:tcBorders>
              <w:top w:val="nil"/>
              <w:left w:val="nil"/>
              <w:bottom w:val="nil"/>
              <w:right w:val="nil"/>
            </w:tcBorders>
            <w:shd w:val="clear" w:color="auto" w:fill="auto"/>
            <w:noWrap/>
            <w:vAlign w:val="bottom"/>
            <w:hideMark/>
          </w:tcPr>
          <w:p w14:paraId="28B8EA0D"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0.000</w:t>
            </w:r>
          </w:p>
        </w:tc>
        <w:tc>
          <w:tcPr>
            <w:tcW w:w="1255" w:type="dxa"/>
            <w:tcBorders>
              <w:top w:val="nil"/>
              <w:left w:val="nil"/>
              <w:bottom w:val="nil"/>
              <w:right w:val="nil"/>
            </w:tcBorders>
            <w:shd w:val="clear" w:color="auto" w:fill="auto"/>
            <w:noWrap/>
            <w:vAlign w:val="bottom"/>
            <w:hideMark/>
          </w:tcPr>
          <w:p w14:paraId="58F7BB27"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0.000</w:t>
            </w:r>
          </w:p>
        </w:tc>
        <w:tc>
          <w:tcPr>
            <w:tcW w:w="1411" w:type="dxa"/>
            <w:tcBorders>
              <w:top w:val="nil"/>
              <w:left w:val="nil"/>
              <w:bottom w:val="nil"/>
              <w:right w:val="nil"/>
            </w:tcBorders>
            <w:shd w:val="clear" w:color="auto" w:fill="auto"/>
            <w:noWrap/>
            <w:vAlign w:val="bottom"/>
            <w:hideMark/>
          </w:tcPr>
          <w:p w14:paraId="32D3BD7B"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0.693</w:t>
            </w:r>
          </w:p>
        </w:tc>
        <w:tc>
          <w:tcPr>
            <w:tcW w:w="1803" w:type="dxa"/>
            <w:tcBorders>
              <w:top w:val="nil"/>
              <w:left w:val="nil"/>
              <w:bottom w:val="nil"/>
              <w:right w:val="nil"/>
            </w:tcBorders>
            <w:shd w:val="clear" w:color="auto" w:fill="auto"/>
            <w:noWrap/>
            <w:vAlign w:val="bottom"/>
            <w:hideMark/>
          </w:tcPr>
          <w:p w14:paraId="0018EA42"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2.996</w:t>
            </w:r>
          </w:p>
        </w:tc>
      </w:tr>
      <w:tr w:rsidR="00F70452" w:rsidRPr="00F70452" w14:paraId="4EF963B0" w14:textId="77777777" w:rsidTr="00F0260B">
        <w:trPr>
          <w:trHeight w:val="310"/>
        </w:trPr>
        <w:tc>
          <w:tcPr>
            <w:tcW w:w="2728" w:type="dxa"/>
            <w:tcBorders>
              <w:top w:val="nil"/>
              <w:left w:val="nil"/>
              <w:bottom w:val="nil"/>
              <w:right w:val="nil"/>
            </w:tcBorders>
            <w:shd w:val="clear" w:color="auto" w:fill="auto"/>
            <w:noWrap/>
            <w:hideMark/>
          </w:tcPr>
          <w:p w14:paraId="5C05FDB1" w14:textId="77777777" w:rsidR="00F70452" w:rsidRPr="00F70452" w:rsidRDefault="00F70452" w:rsidP="00A705CD">
            <w:pPr>
              <w:framePr w:hSpace="180" w:wrap="around" w:vAnchor="text" w:hAnchor="page" w:x="2461" w:y="-779"/>
              <w:spacing w:after="0" w:line="240" w:lineRule="auto"/>
              <w:ind w:firstLineChars="100" w:firstLine="240"/>
              <w:rPr>
                <w:rFonts w:ascii="Times New Roman" w:eastAsia="Times New Roman" w:hAnsi="Times New Roman" w:cs="Times New Roman"/>
                <w:i/>
                <w:iCs/>
                <w:color w:val="000000"/>
                <w:sz w:val="24"/>
                <w:szCs w:val="24"/>
                <w:lang w:eastAsia="en-GB"/>
              </w:rPr>
            </w:pPr>
            <w:r w:rsidRPr="00F70452">
              <w:rPr>
                <w:rFonts w:ascii="Times New Roman" w:eastAsia="Times New Roman" w:hAnsi="Times New Roman" w:cs="Times New Roman"/>
                <w:i/>
                <w:iCs/>
                <w:color w:val="000000"/>
                <w:sz w:val="24"/>
                <w:szCs w:val="24"/>
                <w:lang w:eastAsia="en-GB"/>
              </w:rPr>
              <w:t>Penalties</w:t>
            </w:r>
          </w:p>
        </w:tc>
        <w:tc>
          <w:tcPr>
            <w:tcW w:w="1411" w:type="dxa"/>
            <w:tcBorders>
              <w:top w:val="nil"/>
              <w:left w:val="nil"/>
              <w:bottom w:val="nil"/>
              <w:right w:val="nil"/>
            </w:tcBorders>
            <w:shd w:val="clear" w:color="auto" w:fill="auto"/>
            <w:noWrap/>
            <w:vAlign w:val="bottom"/>
            <w:hideMark/>
          </w:tcPr>
          <w:p w14:paraId="6CE24D2F"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148,000.00</w:t>
            </w:r>
          </w:p>
        </w:tc>
        <w:tc>
          <w:tcPr>
            <w:tcW w:w="1647" w:type="dxa"/>
            <w:tcBorders>
              <w:top w:val="nil"/>
              <w:left w:val="nil"/>
              <w:bottom w:val="nil"/>
              <w:right w:val="nil"/>
            </w:tcBorders>
            <w:shd w:val="clear" w:color="auto" w:fill="auto"/>
            <w:noWrap/>
            <w:vAlign w:val="bottom"/>
            <w:hideMark/>
          </w:tcPr>
          <w:p w14:paraId="40B7F4C4"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1,070,000.00</w:t>
            </w:r>
          </w:p>
        </w:tc>
        <w:tc>
          <w:tcPr>
            <w:tcW w:w="877" w:type="dxa"/>
            <w:tcBorders>
              <w:top w:val="nil"/>
              <w:left w:val="nil"/>
              <w:bottom w:val="nil"/>
              <w:right w:val="nil"/>
            </w:tcBorders>
            <w:shd w:val="clear" w:color="auto" w:fill="auto"/>
            <w:noWrap/>
            <w:vAlign w:val="bottom"/>
            <w:hideMark/>
          </w:tcPr>
          <w:p w14:paraId="6C35E43C"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0.00</w:t>
            </w:r>
          </w:p>
        </w:tc>
        <w:tc>
          <w:tcPr>
            <w:tcW w:w="1019" w:type="dxa"/>
            <w:tcBorders>
              <w:top w:val="nil"/>
              <w:left w:val="nil"/>
              <w:bottom w:val="nil"/>
              <w:right w:val="nil"/>
            </w:tcBorders>
            <w:shd w:val="clear" w:color="auto" w:fill="auto"/>
            <w:noWrap/>
            <w:vAlign w:val="bottom"/>
            <w:hideMark/>
          </w:tcPr>
          <w:p w14:paraId="6A81B440"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0.00</w:t>
            </w:r>
          </w:p>
        </w:tc>
        <w:tc>
          <w:tcPr>
            <w:tcW w:w="1255" w:type="dxa"/>
            <w:tcBorders>
              <w:top w:val="nil"/>
              <w:left w:val="nil"/>
              <w:bottom w:val="nil"/>
              <w:right w:val="nil"/>
            </w:tcBorders>
            <w:shd w:val="clear" w:color="auto" w:fill="auto"/>
            <w:noWrap/>
            <w:vAlign w:val="bottom"/>
            <w:hideMark/>
          </w:tcPr>
          <w:p w14:paraId="0CECEF2B"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0.00</w:t>
            </w:r>
          </w:p>
        </w:tc>
        <w:tc>
          <w:tcPr>
            <w:tcW w:w="1411" w:type="dxa"/>
            <w:tcBorders>
              <w:top w:val="nil"/>
              <w:left w:val="nil"/>
              <w:bottom w:val="nil"/>
              <w:right w:val="nil"/>
            </w:tcBorders>
            <w:shd w:val="clear" w:color="auto" w:fill="auto"/>
            <w:noWrap/>
            <w:vAlign w:val="bottom"/>
            <w:hideMark/>
          </w:tcPr>
          <w:p w14:paraId="789FF805"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22,500.00</w:t>
            </w:r>
          </w:p>
        </w:tc>
        <w:tc>
          <w:tcPr>
            <w:tcW w:w="1803" w:type="dxa"/>
            <w:tcBorders>
              <w:top w:val="nil"/>
              <w:left w:val="nil"/>
              <w:bottom w:val="nil"/>
              <w:right w:val="nil"/>
            </w:tcBorders>
            <w:shd w:val="clear" w:color="auto" w:fill="auto"/>
            <w:noWrap/>
            <w:vAlign w:val="bottom"/>
            <w:hideMark/>
          </w:tcPr>
          <w:p w14:paraId="2BFAC8E2"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20,600,000.00</w:t>
            </w:r>
          </w:p>
        </w:tc>
      </w:tr>
      <w:tr w:rsidR="00F70452" w:rsidRPr="00F70452" w14:paraId="0CE7F4DE" w14:textId="77777777" w:rsidTr="00F0260B">
        <w:trPr>
          <w:trHeight w:val="310"/>
        </w:trPr>
        <w:tc>
          <w:tcPr>
            <w:tcW w:w="2728" w:type="dxa"/>
            <w:tcBorders>
              <w:top w:val="nil"/>
              <w:left w:val="nil"/>
              <w:bottom w:val="nil"/>
              <w:right w:val="nil"/>
            </w:tcBorders>
            <w:shd w:val="clear" w:color="auto" w:fill="auto"/>
            <w:noWrap/>
            <w:hideMark/>
          </w:tcPr>
          <w:p w14:paraId="50722BC1" w14:textId="77777777" w:rsidR="00F70452" w:rsidRPr="00F70452" w:rsidRDefault="00F70452" w:rsidP="00A705CD">
            <w:pPr>
              <w:framePr w:hSpace="180" w:wrap="around" w:vAnchor="text" w:hAnchor="page" w:x="2461" w:y="-779"/>
              <w:spacing w:after="0" w:line="240" w:lineRule="auto"/>
              <w:ind w:firstLineChars="100" w:firstLine="240"/>
              <w:rPr>
                <w:rFonts w:ascii="Times New Roman" w:eastAsia="Times New Roman" w:hAnsi="Times New Roman" w:cs="Times New Roman"/>
                <w:i/>
                <w:iCs/>
                <w:color w:val="000000"/>
                <w:sz w:val="24"/>
                <w:szCs w:val="24"/>
                <w:lang w:eastAsia="en-GB"/>
              </w:rPr>
            </w:pPr>
            <w:r w:rsidRPr="00F70452">
              <w:rPr>
                <w:rFonts w:ascii="Times New Roman" w:eastAsia="Times New Roman" w:hAnsi="Times New Roman" w:cs="Times New Roman"/>
                <w:i/>
                <w:iCs/>
                <w:color w:val="000000"/>
                <w:sz w:val="24"/>
                <w:szCs w:val="24"/>
                <w:lang w:eastAsia="en-GB"/>
              </w:rPr>
              <w:t>ln(Penalties)</w:t>
            </w:r>
          </w:p>
        </w:tc>
        <w:tc>
          <w:tcPr>
            <w:tcW w:w="1411" w:type="dxa"/>
            <w:tcBorders>
              <w:top w:val="nil"/>
              <w:left w:val="nil"/>
              <w:bottom w:val="nil"/>
              <w:right w:val="nil"/>
            </w:tcBorders>
            <w:shd w:val="clear" w:color="auto" w:fill="auto"/>
            <w:noWrap/>
            <w:vAlign w:val="bottom"/>
            <w:hideMark/>
          </w:tcPr>
          <w:p w14:paraId="47057CA1"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1.931</w:t>
            </w:r>
          </w:p>
        </w:tc>
        <w:tc>
          <w:tcPr>
            <w:tcW w:w="1647" w:type="dxa"/>
            <w:tcBorders>
              <w:top w:val="nil"/>
              <w:left w:val="nil"/>
              <w:bottom w:val="nil"/>
              <w:right w:val="nil"/>
            </w:tcBorders>
            <w:shd w:val="clear" w:color="auto" w:fill="auto"/>
            <w:noWrap/>
            <w:vAlign w:val="bottom"/>
            <w:hideMark/>
          </w:tcPr>
          <w:p w14:paraId="388B0D72"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4.267</w:t>
            </w:r>
          </w:p>
        </w:tc>
        <w:tc>
          <w:tcPr>
            <w:tcW w:w="877" w:type="dxa"/>
            <w:tcBorders>
              <w:top w:val="nil"/>
              <w:left w:val="nil"/>
              <w:bottom w:val="nil"/>
              <w:right w:val="nil"/>
            </w:tcBorders>
            <w:shd w:val="clear" w:color="auto" w:fill="auto"/>
            <w:noWrap/>
            <w:vAlign w:val="bottom"/>
            <w:hideMark/>
          </w:tcPr>
          <w:p w14:paraId="498FA9E7"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0.000</w:t>
            </w:r>
          </w:p>
        </w:tc>
        <w:tc>
          <w:tcPr>
            <w:tcW w:w="1019" w:type="dxa"/>
            <w:tcBorders>
              <w:top w:val="nil"/>
              <w:left w:val="nil"/>
              <w:bottom w:val="nil"/>
              <w:right w:val="nil"/>
            </w:tcBorders>
            <w:shd w:val="clear" w:color="auto" w:fill="auto"/>
            <w:noWrap/>
            <w:vAlign w:val="bottom"/>
            <w:hideMark/>
          </w:tcPr>
          <w:p w14:paraId="2775D471"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0.000</w:t>
            </w:r>
          </w:p>
        </w:tc>
        <w:tc>
          <w:tcPr>
            <w:tcW w:w="1255" w:type="dxa"/>
            <w:tcBorders>
              <w:top w:val="nil"/>
              <w:left w:val="nil"/>
              <w:bottom w:val="nil"/>
              <w:right w:val="nil"/>
            </w:tcBorders>
            <w:shd w:val="clear" w:color="auto" w:fill="auto"/>
            <w:noWrap/>
            <w:vAlign w:val="bottom"/>
            <w:hideMark/>
          </w:tcPr>
          <w:p w14:paraId="6E63BE80"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0.000</w:t>
            </w:r>
          </w:p>
        </w:tc>
        <w:tc>
          <w:tcPr>
            <w:tcW w:w="1411" w:type="dxa"/>
            <w:tcBorders>
              <w:top w:val="nil"/>
              <w:left w:val="nil"/>
              <w:bottom w:val="nil"/>
              <w:right w:val="nil"/>
            </w:tcBorders>
            <w:shd w:val="clear" w:color="auto" w:fill="auto"/>
            <w:noWrap/>
            <w:vAlign w:val="bottom"/>
            <w:hideMark/>
          </w:tcPr>
          <w:p w14:paraId="03903156"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10.021</w:t>
            </w:r>
          </w:p>
        </w:tc>
        <w:tc>
          <w:tcPr>
            <w:tcW w:w="1803" w:type="dxa"/>
            <w:tcBorders>
              <w:top w:val="nil"/>
              <w:left w:val="nil"/>
              <w:bottom w:val="nil"/>
              <w:right w:val="nil"/>
            </w:tcBorders>
            <w:shd w:val="clear" w:color="auto" w:fill="auto"/>
            <w:noWrap/>
            <w:vAlign w:val="bottom"/>
            <w:hideMark/>
          </w:tcPr>
          <w:p w14:paraId="4DC15508"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16.840</w:t>
            </w:r>
          </w:p>
        </w:tc>
      </w:tr>
      <w:tr w:rsidR="00F70452" w:rsidRPr="00F70452" w14:paraId="0FD9044F" w14:textId="77777777" w:rsidTr="00F0260B">
        <w:trPr>
          <w:trHeight w:val="310"/>
        </w:trPr>
        <w:tc>
          <w:tcPr>
            <w:tcW w:w="2728" w:type="dxa"/>
            <w:tcBorders>
              <w:top w:val="nil"/>
              <w:left w:val="nil"/>
              <w:bottom w:val="nil"/>
              <w:right w:val="nil"/>
            </w:tcBorders>
            <w:shd w:val="clear" w:color="auto" w:fill="auto"/>
            <w:noWrap/>
            <w:vAlign w:val="bottom"/>
            <w:hideMark/>
          </w:tcPr>
          <w:p w14:paraId="39A99DC6" w14:textId="77777777" w:rsidR="00F70452" w:rsidRPr="00F70452" w:rsidRDefault="00F70452" w:rsidP="00A705CD">
            <w:pPr>
              <w:framePr w:hSpace="180" w:wrap="around" w:vAnchor="text" w:hAnchor="page" w:x="2461" w:y="-779"/>
              <w:spacing w:after="0" w:line="240" w:lineRule="auto"/>
              <w:rPr>
                <w:rFonts w:ascii="Times New Roman" w:eastAsia="Times New Roman" w:hAnsi="Times New Roman" w:cs="Times New Roman"/>
                <w:b/>
                <w:bCs/>
                <w:color w:val="000000"/>
                <w:sz w:val="24"/>
                <w:szCs w:val="24"/>
                <w:lang w:eastAsia="en-GB"/>
              </w:rPr>
            </w:pPr>
            <w:r w:rsidRPr="00F70452">
              <w:rPr>
                <w:rFonts w:ascii="Times New Roman" w:eastAsia="Times New Roman" w:hAnsi="Times New Roman" w:cs="Times New Roman"/>
                <w:b/>
                <w:bCs/>
                <w:color w:val="000000"/>
                <w:sz w:val="24"/>
                <w:szCs w:val="24"/>
                <w:lang w:eastAsia="en-GB"/>
              </w:rPr>
              <w:t>Incentives Variables</w:t>
            </w:r>
          </w:p>
        </w:tc>
        <w:tc>
          <w:tcPr>
            <w:tcW w:w="1411" w:type="dxa"/>
            <w:tcBorders>
              <w:top w:val="nil"/>
              <w:left w:val="nil"/>
              <w:bottom w:val="nil"/>
              <w:right w:val="nil"/>
            </w:tcBorders>
            <w:shd w:val="clear" w:color="auto" w:fill="auto"/>
            <w:noWrap/>
            <w:vAlign w:val="bottom"/>
            <w:hideMark/>
          </w:tcPr>
          <w:p w14:paraId="3B168674" w14:textId="77777777" w:rsidR="00F70452" w:rsidRPr="00F70452" w:rsidRDefault="00F70452" w:rsidP="00A705CD">
            <w:pPr>
              <w:framePr w:hSpace="180" w:wrap="around" w:vAnchor="text" w:hAnchor="page" w:x="2461" w:y="-779"/>
              <w:spacing w:after="0" w:line="240" w:lineRule="auto"/>
              <w:rPr>
                <w:rFonts w:ascii="Times New Roman" w:eastAsia="Times New Roman" w:hAnsi="Times New Roman" w:cs="Times New Roman"/>
                <w:b/>
                <w:bCs/>
                <w:color w:val="000000"/>
                <w:sz w:val="24"/>
                <w:szCs w:val="24"/>
                <w:lang w:eastAsia="en-GB"/>
              </w:rPr>
            </w:pPr>
          </w:p>
        </w:tc>
        <w:tc>
          <w:tcPr>
            <w:tcW w:w="1647" w:type="dxa"/>
            <w:tcBorders>
              <w:top w:val="nil"/>
              <w:left w:val="nil"/>
              <w:bottom w:val="nil"/>
              <w:right w:val="nil"/>
            </w:tcBorders>
            <w:shd w:val="clear" w:color="auto" w:fill="auto"/>
            <w:noWrap/>
            <w:vAlign w:val="bottom"/>
            <w:hideMark/>
          </w:tcPr>
          <w:p w14:paraId="6A30DB97"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sz w:val="20"/>
                <w:szCs w:val="20"/>
                <w:lang w:eastAsia="en-GB"/>
              </w:rPr>
            </w:pPr>
          </w:p>
        </w:tc>
        <w:tc>
          <w:tcPr>
            <w:tcW w:w="877" w:type="dxa"/>
            <w:tcBorders>
              <w:top w:val="nil"/>
              <w:left w:val="nil"/>
              <w:bottom w:val="nil"/>
              <w:right w:val="nil"/>
            </w:tcBorders>
            <w:shd w:val="clear" w:color="auto" w:fill="auto"/>
            <w:noWrap/>
            <w:vAlign w:val="bottom"/>
            <w:hideMark/>
          </w:tcPr>
          <w:p w14:paraId="6F652CAF"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sz w:val="20"/>
                <w:szCs w:val="20"/>
                <w:lang w:eastAsia="en-GB"/>
              </w:rPr>
            </w:pPr>
          </w:p>
        </w:tc>
        <w:tc>
          <w:tcPr>
            <w:tcW w:w="1019" w:type="dxa"/>
            <w:tcBorders>
              <w:top w:val="nil"/>
              <w:left w:val="nil"/>
              <w:bottom w:val="nil"/>
              <w:right w:val="nil"/>
            </w:tcBorders>
            <w:shd w:val="clear" w:color="auto" w:fill="auto"/>
            <w:noWrap/>
            <w:vAlign w:val="bottom"/>
            <w:hideMark/>
          </w:tcPr>
          <w:p w14:paraId="177026F2"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sz w:val="20"/>
                <w:szCs w:val="20"/>
                <w:lang w:eastAsia="en-GB"/>
              </w:rPr>
            </w:pPr>
          </w:p>
        </w:tc>
        <w:tc>
          <w:tcPr>
            <w:tcW w:w="1255" w:type="dxa"/>
            <w:tcBorders>
              <w:top w:val="nil"/>
              <w:left w:val="nil"/>
              <w:bottom w:val="nil"/>
              <w:right w:val="nil"/>
            </w:tcBorders>
            <w:shd w:val="clear" w:color="auto" w:fill="auto"/>
            <w:noWrap/>
            <w:vAlign w:val="bottom"/>
            <w:hideMark/>
          </w:tcPr>
          <w:p w14:paraId="4492BEA5"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sz w:val="20"/>
                <w:szCs w:val="20"/>
                <w:lang w:eastAsia="en-GB"/>
              </w:rPr>
            </w:pPr>
          </w:p>
        </w:tc>
        <w:tc>
          <w:tcPr>
            <w:tcW w:w="1411" w:type="dxa"/>
            <w:tcBorders>
              <w:top w:val="nil"/>
              <w:left w:val="nil"/>
              <w:bottom w:val="nil"/>
              <w:right w:val="nil"/>
            </w:tcBorders>
            <w:shd w:val="clear" w:color="auto" w:fill="auto"/>
            <w:noWrap/>
            <w:vAlign w:val="bottom"/>
            <w:hideMark/>
          </w:tcPr>
          <w:p w14:paraId="4CA8AAA4"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sz w:val="20"/>
                <w:szCs w:val="20"/>
                <w:lang w:eastAsia="en-GB"/>
              </w:rPr>
            </w:pPr>
          </w:p>
        </w:tc>
        <w:tc>
          <w:tcPr>
            <w:tcW w:w="1803" w:type="dxa"/>
            <w:tcBorders>
              <w:top w:val="nil"/>
              <w:left w:val="nil"/>
              <w:bottom w:val="nil"/>
              <w:right w:val="nil"/>
            </w:tcBorders>
            <w:shd w:val="clear" w:color="auto" w:fill="auto"/>
            <w:noWrap/>
            <w:vAlign w:val="bottom"/>
            <w:hideMark/>
          </w:tcPr>
          <w:p w14:paraId="7DA7223A"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sz w:val="20"/>
                <w:szCs w:val="20"/>
                <w:lang w:eastAsia="en-GB"/>
              </w:rPr>
            </w:pPr>
          </w:p>
        </w:tc>
      </w:tr>
      <w:tr w:rsidR="00F70452" w:rsidRPr="00F70452" w14:paraId="7A2CE93C" w14:textId="77777777" w:rsidTr="00F0260B">
        <w:trPr>
          <w:trHeight w:val="310"/>
        </w:trPr>
        <w:tc>
          <w:tcPr>
            <w:tcW w:w="2728" w:type="dxa"/>
            <w:tcBorders>
              <w:top w:val="nil"/>
              <w:left w:val="nil"/>
              <w:bottom w:val="nil"/>
              <w:right w:val="nil"/>
            </w:tcBorders>
            <w:shd w:val="clear" w:color="auto" w:fill="auto"/>
            <w:noWrap/>
            <w:vAlign w:val="bottom"/>
            <w:hideMark/>
          </w:tcPr>
          <w:p w14:paraId="1386FA48" w14:textId="77777777" w:rsidR="00F70452" w:rsidRPr="00F70452" w:rsidRDefault="00F70452" w:rsidP="00A705CD">
            <w:pPr>
              <w:framePr w:hSpace="180" w:wrap="around" w:vAnchor="text" w:hAnchor="page" w:x="2461" w:y="-779"/>
              <w:spacing w:after="0" w:line="240" w:lineRule="auto"/>
              <w:ind w:firstLineChars="100" w:firstLine="240"/>
              <w:rPr>
                <w:rFonts w:ascii="Times New Roman" w:eastAsia="Times New Roman" w:hAnsi="Times New Roman" w:cs="Times New Roman"/>
                <w:i/>
                <w:iCs/>
                <w:color w:val="000000"/>
                <w:sz w:val="24"/>
                <w:szCs w:val="24"/>
                <w:lang w:eastAsia="en-GB"/>
              </w:rPr>
            </w:pPr>
            <w:r w:rsidRPr="00F70452">
              <w:rPr>
                <w:rFonts w:ascii="Times New Roman" w:eastAsia="Times New Roman" w:hAnsi="Times New Roman" w:cs="Times New Roman"/>
                <w:i/>
                <w:iCs/>
                <w:color w:val="000000"/>
                <w:sz w:val="24"/>
                <w:szCs w:val="24"/>
                <w:lang w:eastAsia="en-GB"/>
              </w:rPr>
              <w:t>Vega</w:t>
            </w:r>
          </w:p>
        </w:tc>
        <w:tc>
          <w:tcPr>
            <w:tcW w:w="1411" w:type="dxa"/>
            <w:tcBorders>
              <w:top w:val="nil"/>
              <w:left w:val="nil"/>
              <w:bottom w:val="nil"/>
              <w:right w:val="nil"/>
            </w:tcBorders>
            <w:shd w:val="clear" w:color="auto" w:fill="auto"/>
            <w:noWrap/>
            <w:vAlign w:val="bottom"/>
            <w:hideMark/>
          </w:tcPr>
          <w:p w14:paraId="3C3C5CBF"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4.015</w:t>
            </w:r>
          </w:p>
        </w:tc>
        <w:tc>
          <w:tcPr>
            <w:tcW w:w="1647" w:type="dxa"/>
            <w:tcBorders>
              <w:top w:val="nil"/>
              <w:left w:val="nil"/>
              <w:bottom w:val="nil"/>
              <w:right w:val="nil"/>
            </w:tcBorders>
            <w:shd w:val="clear" w:color="auto" w:fill="auto"/>
            <w:noWrap/>
            <w:vAlign w:val="bottom"/>
            <w:hideMark/>
          </w:tcPr>
          <w:p w14:paraId="72BED4E3"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1.563</w:t>
            </w:r>
          </w:p>
        </w:tc>
        <w:tc>
          <w:tcPr>
            <w:tcW w:w="877" w:type="dxa"/>
            <w:tcBorders>
              <w:top w:val="nil"/>
              <w:left w:val="nil"/>
              <w:bottom w:val="nil"/>
              <w:right w:val="nil"/>
            </w:tcBorders>
            <w:shd w:val="clear" w:color="auto" w:fill="auto"/>
            <w:noWrap/>
            <w:vAlign w:val="bottom"/>
            <w:hideMark/>
          </w:tcPr>
          <w:p w14:paraId="1DFA0FF0"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0.000</w:t>
            </w:r>
          </w:p>
        </w:tc>
        <w:tc>
          <w:tcPr>
            <w:tcW w:w="1019" w:type="dxa"/>
            <w:tcBorders>
              <w:top w:val="nil"/>
              <w:left w:val="nil"/>
              <w:bottom w:val="nil"/>
              <w:right w:val="nil"/>
            </w:tcBorders>
            <w:shd w:val="clear" w:color="auto" w:fill="auto"/>
            <w:noWrap/>
            <w:vAlign w:val="bottom"/>
            <w:hideMark/>
          </w:tcPr>
          <w:p w14:paraId="1D422D40"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1.892</w:t>
            </w:r>
          </w:p>
        </w:tc>
        <w:tc>
          <w:tcPr>
            <w:tcW w:w="1255" w:type="dxa"/>
            <w:tcBorders>
              <w:top w:val="nil"/>
              <w:left w:val="nil"/>
              <w:bottom w:val="nil"/>
              <w:right w:val="nil"/>
            </w:tcBorders>
            <w:shd w:val="clear" w:color="auto" w:fill="auto"/>
            <w:noWrap/>
            <w:vAlign w:val="bottom"/>
            <w:hideMark/>
          </w:tcPr>
          <w:p w14:paraId="0ECEB988"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4.148</w:t>
            </w:r>
          </w:p>
        </w:tc>
        <w:tc>
          <w:tcPr>
            <w:tcW w:w="1411" w:type="dxa"/>
            <w:tcBorders>
              <w:top w:val="nil"/>
              <w:left w:val="nil"/>
              <w:bottom w:val="nil"/>
              <w:right w:val="nil"/>
            </w:tcBorders>
            <w:shd w:val="clear" w:color="auto" w:fill="auto"/>
            <w:noWrap/>
            <w:vAlign w:val="bottom"/>
            <w:hideMark/>
          </w:tcPr>
          <w:p w14:paraId="2BB0629C"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6.015</w:t>
            </w:r>
          </w:p>
        </w:tc>
        <w:tc>
          <w:tcPr>
            <w:tcW w:w="1803" w:type="dxa"/>
            <w:tcBorders>
              <w:top w:val="nil"/>
              <w:left w:val="nil"/>
              <w:bottom w:val="nil"/>
              <w:right w:val="nil"/>
            </w:tcBorders>
            <w:shd w:val="clear" w:color="auto" w:fill="auto"/>
            <w:noWrap/>
            <w:vAlign w:val="bottom"/>
            <w:hideMark/>
          </w:tcPr>
          <w:p w14:paraId="28C3CA19"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6.441</w:t>
            </w:r>
          </w:p>
        </w:tc>
      </w:tr>
      <w:tr w:rsidR="00F70452" w:rsidRPr="00F70452" w14:paraId="17B3D390" w14:textId="77777777" w:rsidTr="00F0260B">
        <w:trPr>
          <w:trHeight w:val="310"/>
        </w:trPr>
        <w:tc>
          <w:tcPr>
            <w:tcW w:w="2728" w:type="dxa"/>
            <w:tcBorders>
              <w:top w:val="nil"/>
              <w:left w:val="nil"/>
              <w:bottom w:val="nil"/>
              <w:right w:val="nil"/>
            </w:tcBorders>
            <w:shd w:val="clear" w:color="auto" w:fill="auto"/>
            <w:noWrap/>
            <w:vAlign w:val="bottom"/>
            <w:hideMark/>
          </w:tcPr>
          <w:p w14:paraId="27FC9FEE" w14:textId="77777777" w:rsidR="00F70452" w:rsidRPr="00F70452" w:rsidRDefault="00F70452" w:rsidP="00A705CD">
            <w:pPr>
              <w:framePr w:hSpace="180" w:wrap="around" w:vAnchor="text" w:hAnchor="page" w:x="2461" w:y="-779"/>
              <w:spacing w:after="0" w:line="240" w:lineRule="auto"/>
              <w:ind w:firstLineChars="100" w:firstLine="240"/>
              <w:rPr>
                <w:rFonts w:ascii="Times New Roman" w:eastAsia="Times New Roman" w:hAnsi="Times New Roman" w:cs="Times New Roman"/>
                <w:i/>
                <w:iCs/>
                <w:color w:val="000000"/>
                <w:sz w:val="24"/>
                <w:szCs w:val="24"/>
                <w:lang w:eastAsia="en-GB"/>
              </w:rPr>
            </w:pPr>
            <w:r w:rsidRPr="00F70452">
              <w:rPr>
                <w:rFonts w:ascii="Times New Roman" w:eastAsia="Times New Roman" w:hAnsi="Times New Roman" w:cs="Times New Roman"/>
                <w:i/>
                <w:iCs/>
                <w:color w:val="000000"/>
                <w:sz w:val="24"/>
                <w:szCs w:val="24"/>
                <w:lang w:eastAsia="en-GB"/>
              </w:rPr>
              <w:t>Delta</w:t>
            </w:r>
          </w:p>
        </w:tc>
        <w:tc>
          <w:tcPr>
            <w:tcW w:w="1411" w:type="dxa"/>
            <w:tcBorders>
              <w:top w:val="nil"/>
              <w:left w:val="nil"/>
              <w:bottom w:val="nil"/>
              <w:right w:val="nil"/>
            </w:tcBorders>
            <w:shd w:val="clear" w:color="auto" w:fill="auto"/>
            <w:noWrap/>
            <w:vAlign w:val="bottom"/>
            <w:hideMark/>
          </w:tcPr>
          <w:p w14:paraId="21902E20"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5.386</w:t>
            </w:r>
          </w:p>
        </w:tc>
        <w:tc>
          <w:tcPr>
            <w:tcW w:w="1647" w:type="dxa"/>
            <w:tcBorders>
              <w:top w:val="nil"/>
              <w:left w:val="nil"/>
              <w:bottom w:val="nil"/>
              <w:right w:val="nil"/>
            </w:tcBorders>
            <w:shd w:val="clear" w:color="auto" w:fill="auto"/>
            <w:noWrap/>
            <w:vAlign w:val="bottom"/>
            <w:hideMark/>
          </w:tcPr>
          <w:p w14:paraId="33465219"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1.451</w:t>
            </w:r>
          </w:p>
        </w:tc>
        <w:tc>
          <w:tcPr>
            <w:tcW w:w="877" w:type="dxa"/>
            <w:tcBorders>
              <w:top w:val="nil"/>
              <w:left w:val="nil"/>
              <w:bottom w:val="nil"/>
              <w:right w:val="nil"/>
            </w:tcBorders>
            <w:shd w:val="clear" w:color="auto" w:fill="auto"/>
            <w:noWrap/>
            <w:vAlign w:val="bottom"/>
            <w:hideMark/>
          </w:tcPr>
          <w:p w14:paraId="2BC86612"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0.359</w:t>
            </w:r>
          </w:p>
        </w:tc>
        <w:tc>
          <w:tcPr>
            <w:tcW w:w="1019" w:type="dxa"/>
            <w:tcBorders>
              <w:top w:val="nil"/>
              <w:left w:val="nil"/>
              <w:bottom w:val="nil"/>
              <w:right w:val="nil"/>
            </w:tcBorders>
            <w:shd w:val="clear" w:color="auto" w:fill="auto"/>
            <w:noWrap/>
            <w:vAlign w:val="bottom"/>
            <w:hideMark/>
          </w:tcPr>
          <w:p w14:paraId="420083FA"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3.557</w:t>
            </w:r>
          </w:p>
        </w:tc>
        <w:tc>
          <w:tcPr>
            <w:tcW w:w="1255" w:type="dxa"/>
            <w:tcBorders>
              <w:top w:val="nil"/>
              <w:left w:val="nil"/>
              <w:bottom w:val="nil"/>
              <w:right w:val="nil"/>
            </w:tcBorders>
            <w:shd w:val="clear" w:color="auto" w:fill="auto"/>
            <w:noWrap/>
            <w:vAlign w:val="bottom"/>
            <w:hideMark/>
          </w:tcPr>
          <w:p w14:paraId="28D3D395"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5.399</w:t>
            </w:r>
          </w:p>
        </w:tc>
        <w:tc>
          <w:tcPr>
            <w:tcW w:w="1411" w:type="dxa"/>
            <w:tcBorders>
              <w:top w:val="nil"/>
              <w:left w:val="nil"/>
              <w:bottom w:val="nil"/>
              <w:right w:val="nil"/>
            </w:tcBorders>
            <w:shd w:val="clear" w:color="auto" w:fill="auto"/>
            <w:noWrap/>
            <w:vAlign w:val="bottom"/>
            <w:hideMark/>
          </w:tcPr>
          <w:p w14:paraId="6168B2B9"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7.293</w:t>
            </w:r>
          </w:p>
        </w:tc>
        <w:tc>
          <w:tcPr>
            <w:tcW w:w="1803" w:type="dxa"/>
            <w:tcBorders>
              <w:top w:val="nil"/>
              <w:left w:val="nil"/>
              <w:bottom w:val="nil"/>
              <w:right w:val="nil"/>
            </w:tcBorders>
            <w:shd w:val="clear" w:color="auto" w:fill="auto"/>
            <w:noWrap/>
            <w:vAlign w:val="bottom"/>
            <w:hideMark/>
          </w:tcPr>
          <w:p w14:paraId="089D5ADF"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8.176</w:t>
            </w:r>
          </w:p>
        </w:tc>
      </w:tr>
      <w:tr w:rsidR="00F70452" w:rsidRPr="00F70452" w14:paraId="5F8C4773" w14:textId="77777777" w:rsidTr="00F0260B">
        <w:trPr>
          <w:trHeight w:val="310"/>
        </w:trPr>
        <w:tc>
          <w:tcPr>
            <w:tcW w:w="2728" w:type="dxa"/>
            <w:tcBorders>
              <w:top w:val="nil"/>
              <w:left w:val="nil"/>
              <w:bottom w:val="nil"/>
              <w:right w:val="nil"/>
            </w:tcBorders>
            <w:shd w:val="clear" w:color="auto" w:fill="auto"/>
            <w:noWrap/>
            <w:vAlign w:val="center"/>
            <w:hideMark/>
          </w:tcPr>
          <w:p w14:paraId="68C7F7C7" w14:textId="77777777" w:rsidR="00F70452" w:rsidRPr="00F70452" w:rsidRDefault="00F70452" w:rsidP="00A705CD">
            <w:pPr>
              <w:framePr w:hSpace="180" w:wrap="around" w:vAnchor="text" w:hAnchor="page" w:x="2461" w:y="-779"/>
              <w:spacing w:after="0" w:line="240" w:lineRule="auto"/>
              <w:ind w:firstLineChars="100" w:firstLine="240"/>
              <w:rPr>
                <w:rFonts w:ascii="Times New Roman" w:eastAsia="Times New Roman" w:hAnsi="Times New Roman" w:cs="Times New Roman"/>
                <w:i/>
                <w:iCs/>
                <w:color w:val="000000"/>
                <w:sz w:val="24"/>
                <w:szCs w:val="24"/>
                <w:lang w:eastAsia="en-GB"/>
              </w:rPr>
            </w:pPr>
            <w:proofErr w:type="spellStart"/>
            <w:r w:rsidRPr="00F70452">
              <w:rPr>
                <w:rFonts w:ascii="Times New Roman" w:eastAsia="Times New Roman" w:hAnsi="Times New Roman" w:cs="Times New Roman"/>
                <w:i/>
                <w:iCs/>
                <w:color w:val="000000"/>
                <w:sz w:val="24"/>
                <w:szCs w:val="24"/>
                <w:lang w:eastAsia="en-GB"/>
              </w:rPr>
              <w:t>CashComp</w:t>
            </w:r>
            <w:proofErr w:type="spellEnd"/>
          </w:p>
        </w:tc>
        <w:tc>
          <w:tcPr>
            <w:tcW w:w="1411" w:type="dxa"/>
            <w:tcBorders>
              <w:top w:val="nil"/>
              <w:left w:val="nil"/>
              <w:bottom w:val="nil"/>
              <w:right w:val="nil"/>
            </w:tcBorders>
            <w:shd w:val="clear" w:color="auto" w:fill="auto"/>
            <w:noWrap/>
            <w:vAlign w:val="bottom"/>
            <w:hideMark/>
          </w:tcPr>
          <w:p w14:paraId="5A797D89"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6.769</w:t>
            </w:r>
          </w:p>
        </w:tc>
        <w:tc>
          <w:tcPr>
            <w:tcW w:w="1647" w:type="dxa"/>
            <w:tcBorders>
              <w:top w:val="nil"/>
              <w:left w:val="nil"/>
              <w:bottom w:val="nil"/>
              <w:right w:val="nil"/>
            </w:tcBorders>
            <w:shd w:val="clear" w:color="auto" w:fill="auto"/>
            <w:noWrap/>
            <w:vAlign w:val="bottom"/>
            <w:hideMark/>
          </w:tcPr>
          <w:p w14:paraId="01D1CE5C"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0.657</w:t>
            </w:r>
          </w:p>
        </w:tc>
        <w:tc>
          <w:tcPr>
            <w:tcW w:w="877" w:type="dxa"/>
            <w:tcBorders>
              <w:top w:val="nil"/>
              <w:left w:val="nil"/>
              <w:bottom w:val="nil"/>
              <w:right w:val="nil"/>
            </w:tcBorders>
            <w:shd w:val="clear" w:color="auto" w:fill="auto"/>
            <w:noWrap/>
            <w:vAlign w:val="bottom"/>
            <w:hideMark/>
          </w:tcPr>
          <w:p w14:paraId="68E64DE0"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3.724</w:t>
            </w:r>
          </w:p>
        </w:tc>
        <w:tc>
          <w:tcPr>
            <w:tcW w:w="1019" w:type="dxa"/>
            <w:tcBorders>
              <w:top w:val="nil"/>
              <w:left w:val="nil"/>
              <w:bottom w:val="nil"/>
              <w:right w:val="nil"/>
            </w:tcBorders>
            <w:shd w:val="clear" w:color="auto" w:fill="auto"/>
            <w:noWrap/>
            <w:vAlign w:val="bottom"/>
            <w:hideMark/>
          </w:tcPr>
          <w:p w14:paraId="66467BE4"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6.048</w:t>
            </w:r>
          </w:p>
        </w:tc>
        <w:tc>
          <w:tcPr>
            <w:tcW w:w="1255" w:type="dxa"/>
            <w:tcBorders>
              <w:top w:val="nil"/>
              <w:left w:val="nil"/>
              <w:bottom w:val="nil"/>
              <w:right w:val="nil"/>
            </w:tcBorders>
            <w:shd w:val="clear" w:color="auto" w:fill="auto"/>
            <w:noWrap/>
            <w:vAlign w:val="bottom"/>
            <w:hideMark/>
          </w:tcPr>
          <w:p w14:paraId="390BD1CA"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6.773</w:t>
            </w:r>
          </w:p>
        </w:tc>
        <w:tc>
          <w:tcPr>
            <w:tcW w:w="1411" w:type="dxa"/>
            <w:tcBorders>
              <w:top w:val="nil"/>
              <w:left w:val="nil"/>
              <w:bottom w:val="nil"/>
              <w:right w:val="nil"/>
            </w:tcBorders>
            <w:shd w:val="clear" w:color="auto" w:fill="auto"/>
            <w:noWrap/>
            <w:vAlign w:val="bottom"/>
            <w:hideMark/>
          </w:tcPr>
          <w:p w14:paraId="157C04CF"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7.599</w:t>
            </w:r>
          </w:p>
        </w:tc>
        <w:tc>
          <w:tcPr>
            <w:tcW w:w="1803" w:type="dxa"/>
            <w:tcBorders>
              <w:top w:val="nil"/>
              <w:left w:val="nil"/>
              <w:bottom w:val="nil"/>
              <w:right w:val="nil"/>
            </w:tcBorders>
            <w:shd w:val="clear" w:color="auto" w:fill="auto"/>
            <w:noWrap/>
            <w:vAlign w:val="bottom"/>
            <w:hideMark/>
          </w:tcPr>
          <w:p w14:paraId="51D1252E"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8.224</w:t>
            </w:r>
          </w:p>
        </w:tc>
      </w:tr>
      <w:tr w:rsidR="00F70452" w:rsidRPr="00F70452" w14:paraId="22E65317" w14:textId="77777777" w:rsidTr="00F0260B">
        <w:trPr>
          <w:trHeight w:val="310"/>
        </w:trPr>
        <w:tc>
          <w:tcPr>
            <w:tcW w:w="2728" w:type="dxa"/>
            <w:tcBorders>
              <w:top w:val="nil"/>
              <w:left w:val="nil"/>
              <w:bottom w:val="nil"/>
              <w:right w:val="nil"/>
            </w:tcBorders>
            <w:shd w:val="clear" w:color="auto" w:fill="auto"/>
            <w:noWrap/>
            <w:vAlign w:val="bottom"/>
            <w:hideMark/>
          </w:tcPr>
          <w:p w14:paraId="239DFCA4" w14:textId="77777777" w:rsidR="00F70452" w:rsidRPr="00F70452" w:rsidRDefault="00F70452" w:rsidP="00A705CD">
            <w:pPr>
              <w:framePr w:hSpace="180" w:wrap="around" w:vAnchor="text" w:hAnchor="page" w:x="2461" w:y="-779"/>
              <w:spacing w:after="0" w:line="240" w:lineRule="auto"/>
              <w:rPr>
                <w:rFonts w:ascii="Times New Roman" w:eastAsia="Times New Roman" w:hAnsi="Times New Roman" w:cs="Times New Roman"/>
                <w:b/>
                <w:bCs/>
                <w:color w:val="000000"/>
                <w:sz w:val="24"/>
                <w:szCs w:val="24"/>
                <w:lang w:eastAsia="en-GB"/>
              </w:rPr>
            </w:pPr>
            <w:r w:rsidRPr="00F70452">
              <w:rPr>
                <w:rFonts w:ascii="Times New Roman" w:eastAsia="Times New Roman" w:hAnsi="Times New Roman" w:cs="Times New Roman"/>
                <w:b/>
                <w:bCs/>
                <w:color w:val="000000"/>
                <w:sz w:val="24"/>
                <w:szCs w:val="24"/>
                <w:lang w:eastAsia="en-GB"/>
              </w:rPr>
              <w:t>Financial Controls</w:t>
            </w:r>
          </w:p>
        </w:tc>
        <w:tc>
          <w:tcPr>
            <w:tcW w:w="1411" w:type="dxa"/>
            <w:tcBorders>
              <w:top w:val="nil"/>
              <w:left w:val="nil"/>
              <w:bottom w:val="nil"/>
              <w:right w:val="nil"/>
            </w:tcBorders>
            <w:shd w:val="clear" w:color="auto" w:fill="auto"/>
            <w:noWrap/>
            <w:vAlign w:val="bottom"/>
            <w:hideMark/>
          </w:tcPr>
          <w:p w14:paraId="7EF1EEB3" w14:textId="77777777" w:rsidR="00F70452" w:rsidRPr="00F70452" w:rsidRDefault="00F70452" w:rsidP="00A705CD">
            <w:pPr>
              <w:framePr w:hSpace="180" w:wrap="around" w:vAnchor="text" w:hAnchor="page" w:x="2461" w:y="-779"/>
              <w:spacing w:after="0" w:line="240" w:lineRule="auto"/>
              <w:rPr>
                <w:rFonts w:ascii="Times New Roman" w:eastAsia="Times New Roman" w:hAnsi="Times New Roman" w:cs="Times New Roman"/>
                <w:b/>
                <w:bCs/>
                <w:color w:val="000000"/>
                <w:sz w:val="24"/>
                <w:szCs w:val="24"/>
                <w:lang w:eastAsia="en-GB"/>
              </w:rPr>
            </w:pPr>
          </w:p>
        </w:tc>
        <w:tc>
          <w:tcPr>
            <w:tcW w:w="1647" w:type="dxa"/>
            <w:tcBorders>
              <w:top w:val="nil"/>
              <w:left w:val="nil"/>
              <w:bottom w:val="nil"/>
              <w:right w:val="nil"/>
            </w:tcBorders>
            <w:shd w:val="clear" w:color="auto" w:fill="auto"/>
            <w:noWrap/>
            <w:vAlign w:val="bottom"/>
            <w:hideMark/>
          </w:tcPr>
          <w:p w14:paraId="225F420A"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sz w:val="20"/>
                <w:szCs w:val="20"/>
                <w:lang w:eastAsia="en-GB"/>
              </w:rPr>
            </w:pPr>
          </w:p>
        </w:tc>
        <w:tc>
          <w:tcPr>
            <w:tcW w:w="877" w:type="dxa"/>
            <w:tcBorders>
              <w:top w:val="nil"/>
              <w:left w:val="nil"/>
              <w:bottom w:val="nil"/>
              <w:right w:val="nil"/>
            </w:tcBorders>
            <w:shd w:val="clear" w:color="auto" w:fill="auto"/>
            <w:noWrap/>
            <w:vAlign w:val="bottom"/>
            <w:hideMark/>
          </w:tcPr>
          <w:p w14:paraId="3B753A99"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sz w:val="20"/>
                <w:szCs w:val="20"/>
                <w:lang w:eastAsia="en-GB"/>
              </w:rPr>
            </w:pPr>
          </w:p>
        </w:tc>
        <w:tc>
          <w:tcPr>
            <w:tcW w:w="1019" w:type="dxa"/>
            <w:tcBorders>
              <w:top w:val="nil"/>
              <w:left w:val="nil"/>
              <w:bottom w:val="nil"/>
              <w:right w:val="nil"/>
            </w:tcBorders>
            <w:shd w:val="clear" w:color="auto" w:fill="auto"/>
            <w:noWrap/>
            <w:vAlign w:val="bottom"/>
            <w:hideMark/>
          </w:tcPr>
          <w:p w14:paraId="1B55C591"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sz w:val="20"/>
                <w:szCs w:val="20"/>
                <w:lang w:eastAsia="en-GB"/>
              </w:rPr>
            </w:pPr>
          </w:p>
        </w:tc>
        <w:tc>
          <w:tcPr>
            <w:tcW w:w="1255" w:type="dxa"/>
            <w:tcBorders>
              <w:top w:val="nil"/>
              <w:left w:val="nil"/>
              <w:bottom w:val="nil"/>
              <w:right w:val="nil"/>
            </w:tcBorders>
            <w:shd w:val="clear" w:color="auto" w:fill="auto"/>
            <w:noWrap/>
            <w:vAlign w:val="bottom"/>
            <w:hideMark/>
          </w:tcPr>
          <w:p w14:paraId="4489182D"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sz w:val="20"/>
                <w:szCs w:val="20"/>
                <w:lang w:eastAsia="en-GB"/>
              </w:rPr>
            </w:pPr>
          </w:p>
        </w:tc>
        <w:tc>
          <w:tcPr>
            <w:tcW w:w="1411" w:type="dxa"/>
            <w:tcBorders>
              <w:top w:val="nil"/>
              <w:left w:val="nil"/>
              <w:bottom w:val="nil"/>
              <w:right w:val="nil"/>
            </w:tcBorders>
            <w:shd w:val="clear" w:color="auto" w:fill="auto"/>
            <w:noWrap/>
            <w:vAlign w:val="bottom"/>
            <w:hideMark/>
          </w:tcPr>
          <w:p w14:paraId="5A7161A5"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sz w:val="20"/>
                <w:szCs w:val="20"/>
                <w:lang w:eastAsia="en-GB"/>
              </w:rPr>
            </w:pPr>
          </w:p>
        </w:tc>
        <w:tc>
          <w:tcPr>
            <w:tcW w:w="1803" w:type="dxa"/>
            <w:tcBorders>
              <w:top w:val="nil"/>
              <w:left w:val="nil"/>
              <w:bottom w:val="nil"/>
              <w:right w:val="nil"/>
            </w:tcBorders>
            <w:shd w:val="clear" w:color="auto" w:fill="auto"/>
            <w:noWrap/>
            <w:vAlign w:val="bottom"/>
            <w:hideMark/>
          </w:tcPr>
          <w:p w14:paraId="4ABBD4FA"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sz w:val="20"/>
                <w:szCs w:val="20"/>
                <w:lang w:eastAsia="en-GB"/>
              </w:rPr>
            </w:pPr>
          </w:p>
        </w:tc>
      </w:tr>
      <w:tr w:rsidR="00F70452" w:rsidRPr="00F70452" w14:paraId="34EA867C" w14:textId="77777777" w:rsidTr="00F0260B">
        <w:trPr>
          <w:trHeight w:val="310"/>
        </w:trPr>
        <w:tc>
          <w:tcPr>
            <w:tcW w:w="2728" w:type="dxa"/>
            <w:tcBorders>
              <w:top w:val="nil"/>
              <w:left w:val="nil"/>
              <w:bottom w:val="nil"/>
              <w:right w:val="nil"/>
            </w:tcBorders>
            <w:shd w:val="clear" w:color="auto" w:fill="auto"/>
            <w:noWrap/>
            <w:hideMark/>
          </w:tcPr>
          <w:p w14:paraId="790E4BC7" w14:textId="77777777" w:rsidR="00F70452" w:rsidRPr="00F70452" w:rsidRDefault="00F70452" w:rsidP="00A705CD">
            <w:pPr>
              <w:framePr w:hSpace="180" w:wrap="around" w:vAnchor="text" w:hAnchor="page" w:x="2461" w:y="-779"/>
              <w:spacing w:after="0" w:line="240" w:lineRule="auto"/>
              <w:ind w:firstLineChars="100" w:firstLine="240"/>
              <w:rPr>
                <w:rFonts w:ascii="Times New Roman" w:eastAsia="Times New Roman" w:hAnsi="Times New Roman" w:cs="Times New Roman"/>
                <w:i/>
                <w:iCs/>
                <w:color w:val="000000"/>
                <w:sz w:val="24"/>
                <w:szCs w:val="24"/>
                <w:lang w:eastAsia="en-GB"/>
              </w:rPr>
            </w:pPr>
            <w:r w:rsidRPr="00F70452">
              <w:rPr>
                <w:rFonts w:ascii="Times New Roman" w:eastAsia="Times New Roman" w:hAnsi="Times New Roman" w:cs="Times New Roman"/>
                <w:i/>
                <w:iCs/>
                <w:color w:val="000000"/>
                <w:sz w:val="24"/>
                <w:szCs w:val="24"/>
                <w:lang w:eastAsia="en-GB"/>
              </w:rPr>
              <w:t>Leverage</w:t>
            </w:r>
          </w:p>
        </w:tc>
        <w:tc>
          <w:tcPr>
            <w:tcW w:w="1411" w:type="dxa"/>
            <w:tcBorders>
              <w:top w:val="nil"/>
              <w:left w:val="nil"/>
              <w:bottom w:val="nil"/>
              <w:right w:val="nil"/>
            </w:tcBorders>
            <w:shd w:val="clear" w:color="auto" w:fill="auto"/>
            <w:noWrap/>
            <w:vAlign w:val="bottom"/>
            <w:hideMark/>
          </w:tcPr>
          <w:p w14:paraId="347E1ADD"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0.220</w:t>
            </w:r>
          </w:p>
        </w:tc>
        <w:tc>
          <w:tcPr>
            <w:tcW w:w="1647" w:type="dxa"/>
            <w:tcBorders>
              <w:top w:val="nil"/>
              <w:left w:val="nil"/>
              <w:bottom w:val="nil"/>
              <w:right w:val="nil"/>
            </w:tcBorders>
            <w:shd w:val="clear" w:color="auto" w:fill="auto"/>
            <w:noWrap/>
            <w:vAlign w:val="bottom"/>
            <w:hideMark/>
          </w:tcPr>
          <w:p w14:paraId="64D956A4"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0.218</w:t>
            </w:r>
          </w:p>
        </w:tc>
        <w:tc>
          <w:tcPr>
            <w:tcW w:w="877" w:type="dxa"/>
            <w:tcBorders>
              <w:top w:val="nil"/>
              <w:left w:val="nil"/>
              <w:bottom w:val="nil"/>
              <w:right w:val="nil"/>
            </w:tcBorders>
            <w:shd w:val="clear" w:color="auto" w:fill="auto"/>
            <w:noWrap/>
            <w:vAlign w:val="bottom"/>
            <w:hideMark/>
          </w:tcPr>
          <w:p w14:paraId="00DDC0ED"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0.000</w:t>
            </w:r>
          </w:p>
        </w:tc>
        <w:tc>
          <w:tcPr>
            <w:tcW w:w="1019" w:type="dxa"/>
            <w:tcBorders>
              <w:top w:val="nil"/>
              <w:left w:val="nil"/>
              <w:bottom w:val="nil"/>
              <w:right w:val="nil"/>
            </w:tcBorders>
            <w:shd w:val="clear" w:color="auto" w:fill="auto"/>
            <w:noWrap/>
            <w:vAlign w:val="bottom"/>
            <w:hideMark/>
          </w:tcPr>
          <w:p w14:paraId="563EF46D"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0.000</w:t>
            </w:r>
          </w:p>
        </w:tc>
        <w:tc>
          <w:tcPr>
            <w:tcW w:w="1255" w:type="dxa"/>
            <w:tcBorders>
              <w:top w:val="nil"/>
              <w:left w:val="nil"/>
              <w:bottom w:val="nil"/>
              <w:right w:val="nil"/>
            </w:tcBorders>
            <w:shd w:val="clear" w:color="auto" w:fill="auto"/>
            <w:noWrap/>
            <w:vAlign w:val="bottom"/>
            <w:hideMark/>
          </w:tcPr>
          <w:p w14:paraId="4833D982"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0.197</w:t>
            </w:r>
          </w:p>
        </w:tc>
        <w:tc>
          <w:tcPr>
            <w:tcW w:w="1411" w:type="dxa"/>
            <w:tcBorders>
              <w:top w:val="nil"/>
              <w:left w:val="nil"/>
              <w:bottom w:val="nil"/>
              <w:right w:val="nil"/>
            </w:tcBorders>
            <w:shd w:val="clear" w:color="auto" w:fill="auto"/>
            <w:noWrap/>
            <w:vAlign w:val="bottom"/>
            <w:hideMark/>
          </w:tcPr>
          <w:p w14:paraId="082C225A"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0.466</w:t>
            </w:r>
          </w:p>
        </w:tc>
        <w:tc>
          <w:tcPr>
            <w:tcW w:w="1803" w:type="dxa"/>
            <w:tcBorders>
              <w:top w:val="nil"/>
              <w:left w:val="nil"/>
              <w:bottom w:val="nil"/>
              <w:right w:val="nil"/>
            </w:tcBorders>
            <w:shd w:val="clear" w:color="auto" w:fill="auto"/>
            <w:noWrap/>
            <w:vAlign w:val="bottom"/>
            <w:hideMark/>
          </w:tcPr>
          <w:p w14:paraId="202E8D2C"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3.769</w:t>
            </w:r>
          </w:p>
        </w:tc>
      </w:tr>
      <w:tr w:rsidR="00F70452" w:rsidRPr="00F70452" w14:paraId="5B07A321" w14:textId="77777777" w:rsidTr="00F0260B">
        <w:trPr>
          <w:trHeight w:val="310"/>
        </w:trPr>
        <w:tc>
          <w:tcPr>
            <w:tcW w:w="2728" w:type="dxa"/>
            <w:tcBorders>
              <w:top w:val="nil"/>
              <w:left w:val="nil"/>
              <w:bottom w:val="nil"/>
              <w:right w:val="nil"/>
            </w:tcBorders>
            <w:shd w:val="clear" w:color="auto" w:fill="auto"/>
            <w:noWrap/>
            <w:hideMark/>
          </w:tcPr>
          <w:p w14:paraId="2436110D" w14:textId="77777777" w:rsidR="00F70452" w:rsidRPr="00F70452" w:rsidRDefault="00F70452" w:rsidP="00A705CD">
            <w:pPr>
              <w:framePr w:hSpace="180" w:wrap="around" w:vAnchor="text" w:hAnchor="page" w:x="2461" w:y="-779"/>
              <w:spacing w:after="0" w:line="240" w:lineRule="auto"/>
              <w:ind w:firstLineChars="100" w:firstLine="240"/>
              <w:rPr>
                <w:rFonts w:ascii="Times New Roman" w:eastAsia="Times New Roman" w:hAnsi="Times New Roman" w:cs="Times New Roman"/>
                <w:i/>
                <w:iCs/>
                <w:color w:val="000000"/>
                <w:sz w:val="24"/>
                <w:szCs w:val="24"/>
                <w:lang w:eastAsia="en-GB"/>
              </w:rPr>
            </w:pPr>
            <w:proofErr w:type="spellStart"/>
            <w:r w:rsidRPr="00F70452">
              <w:rPr>
                <w:rFonts w:ascii="Times New Roman" w:eastAsia="Times New Roman" w:hAnsi="Times New Roman" w:cs="Times New Roman"/>
                <w:i/>
                <w:iCs/>
                <w:color w:val="000000"/>
                <w:sz w:val="24"/>
                <w:szCs w:val="24"/>
                <w:lang w:eastAsia="en-GB"/>
              </w:rPr>
              <w:t>CashFlow</w:t>
            </w:r>
            <w:proofErr w:type="spellEnd"/>
          </w:p>
        </w:tc>
        <w:tc>
          <w:tcPr>
            <w:tcW w:w="1411" w:type="dxa"/>
            <w:tcBorders>
              <w:top w:val="nil"/>
              <w:left w:val="nil"/>
              <w:bottom w:val="nil"/>
              <w:right w:val="nil"/>
            </w:tcBorders>
            <w:shd w:val="clear" w:color="auto" w:fill="auto"/>
            <w:noWrap/>
            <w:vAlign w:val="bottom"/>
            <w:hideMark/>
          </w:tcPr>
          <w:p w14:paraId="4938D692"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0.075</w:t>
            </w:r>
          </w:p>
        </w:tc>
        <w:tc>
          <w:tcPr>
            <w:tcW w:w="1647" w:type="dxa"/>
            <w:tcBorders>
              <w:top w:val="nil"/>
              <w:left w:val="nil"/>
              <w:bottom w:val="nil"/>
              <w:right w:val="nil"/>
            </w:tcBorders>
            <w:shd w:val="clear" w:color="auto" w:fill="auto"/>
            <w:noWrap/>
            <w:vAlign w:val="bottom"/>
            <w:hideMark/>
          </w:tcPr>
          <w:p w14:paraId="248C7762"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0.158</w:t>
            </w:r>
          </w:p>
        </w:tc>
        <w:tc>
          <w:tcPr>
            <w:tcW w:w="877" w:type="dxa"/>
            <w:tcBorders>
              <w:top w:val="nil"/>
              <w:left w:val="nil"/>
              <w:bottom w:val="nil"/>
              <w:right w:val="nil"/>
            </w:tcBorders>
            <w:shd w:val="clear" w:color="auto" w:fill="auto"/>
            <w:noWrap/>
            <w:vAlign w:val="bottom"/>
            <w:hideMark/>
          </w:tcPr>
          <w:p w14:paraId="3BCCA3FF"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-5.035</w:t>
            </w:r>
          </w:p>
        </w:tc>
        <w:tc>
          <w:tcPr>
            <w:tcW w:w="1019" w:type="dxa"/>
            <w:tcBorders>
              <w:top w:val="nil"/>
              <w:left w:val="nil"/>
              <w:bottom w:val="nil"/>
              <w:right w:val="nil"/>
            </w:tcBorders>
            <w:shd w:val="clear" w:color="auto" w:fill="auto"/>
            <w:noWrap/>
            <w:vAlign w:val="bottom"/>
            <w:hideMark/>
          </w:tcPr>
          <w:p w14:paraId="34BC4CB9"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-0.009</w:t>
            </w:r>
          </w:p>
        </w:tc>
        <w:tc>
          <w:tcPr>
            <w:tcW w:w="1255" w:type="dxa"/>
            <w:tcBorders>
              <w:top w:val="nil"/>
              <w:left w:val="nil"/>
              <w:bottom w:val="nil"/>
              <w:right w:val="nil"/>
            </w:tcBorders>
            <w:shd w:val="clear" w:color="auto" w:fill="auto"/>
            <w:noWrap/>
            <w:vAlign w:val="bottom"/>
            <w:hideMark/>
          </w:tcPr>
          <w:p w14:paraId="36D81BF1"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0.091</w:t>
            </w:r>
          </w:p>
        </w:tc>
        <w:tc>
          <w:tcPr>
            <w:tcW w:w="1411" w:type="dxa"/>
            <w:tcBorders>
              <w:top w:val="nil"/>
              <w:left w:val="nil"/>
              <w:bottom w:val="nil"/>
              <w:right w:val="nil"/>
            </w:tcBorders>
            <w:shd w:val="clear" w:color="auto" w:fill="auto"/>
            <w:noWrap/>
            <w:vAlign w:val="bottom"/>
            <w:hideMark/>
          </w:tcPr>
          <w:p w14:paraId="1BB4B203"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0.179</w:t>
            </w:r>
          </w:p>
        </w:tc>
        <w:tc>
          <w:tcPr>
            <w:tcW w:w="1803" w:type="dxa"/>
            <w:tcBorders>
              <w:top w:val="nil"/>
              <w:left w:val="nil"/>
              <w:bottom w:val="nil"/>
              <w:right w:val="nil"/>
            </w:tcBorders>
            <w:shd w:val="clear" w:color="auto" w:fill="auto"/>
            <w:noWrap/>
            <w:vAlign w:val="bottom"/>
            <w:hideMark/>
          </w:tcPr>
          <w:p w14:paraId="7E1DDF2C"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0.434</w:t>
            </w:r>
          </w:p>
        </w:tc>
      </w:tr>
      <w:tr w:rsidR="00F70452" w:rsidRPr="00F70452" w14:paraId="49ED598E" w14:textId="77777777" w:rsidTr="00F0260B">
        <w:trPr>
          <w:trHeight w:val="310"/>
        </w:trPr>
        <w:tc>
          <w:tcPr>
            <w:tcW w:w="2728" w:type="dxa"/>
            <w:tcBorders>
              <w:top w:val="nil"/>
              <w:left w:val="nil"/>
              <w:bottom w:val="nil"/>
              <w:right w:val="nil"/>
            </w:tcBorders>
            <w:shd w:val="clear" w:color="auto" w:fill="auto"/>
            <w:noWrap/>
            <w:hideMark/>
          </w:tcPr>
          <w:p w14:paraId="4F0A047A" w14:textId="77777777" w:rsidR="00F70452" w:rsidRPr="00F70452" w:rsidRDefault="00F70452" w:rsidP="00A705CD">
            <w:pPr>
              <w:framePr w:hSpace="180" w:wrap="around" w:vAnchor="text" w:hAnchor="page" w:x="2461" w:y="-779"/>
              <w:spacing w:after="0" w:line="240" w:lineRule="auto"/>
              <w:ind w:firstLineChars="100" w:firstLine="240"/>
              <w:rPr>
                <w:rFonts w:ascii="Times New Roman" w:eastAsia="Times New Roman" w:hAnsi="Times New Roman" w:cs="Times New Roman"/>
                <w:i/>
                <w:iCs/>
                <w:color w:val="000000"/>
                <w:sz w:val="24"/>
                <w:szCs w:val="24"/>
                <w:lang w:eastAsia="en-GB"/>
              </w:rPr>
            </w:pPr>
            <w:proofErr w:type="spellStart"/>
            <w:r w:rsidRPr="00F70452">
              <w:rPr>
                <w:rFonts w:ascii="Times New Roman" w:eastAsia="Times New Roman" w:hAnsi="Times New Roman" w:cs="Times New Roman"/>
                <w:i/>
                <w:iCs/>
                <w:color w:val="000000"/>
                <w:sz w:val="24"/>
                <w:szCs w:val="24"/>
                <w:lang w:eastAsia="en-GB"/>
              </w:rPr>
              <w:t>DividendPayout</w:t>
            </w:r>
            <w:proofErr w:type="spellEnd"/>
          </w:p>
        </w:tc>
        <w:tc>
          <w:tcPr>
            <w:tcW w:w="1411" w:type="dxa"/>
            <w:tcBorders>
              <w:top w:val="nil"/>
              <w:left w:val="nil"/>
              <w:bottom w:val="nil"/>
              <w:right w:val="nil"/>
            </w:tcBorders>
            <w:shd w:val="clear" w:color="auto" w:fill="auto"/>
            <w:noWrap/>
            <w:vAlign w:val="bottom"/>
            <w:hideMark/>
          </w:tcPr>
          <w:p w14:paraId="4E5A8DD7"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0.013</w:t>
            </w:r>
          </w:p>
        </w:tc>
        <w:tc>
          <w:tcPr>
            <w:tcW w:w="1647" w:type="dxa"/>
            <w:tcBorders>
              <w:top w:val="nil"/>
              <w:left w:val="nil"/>
              <w:bottom w:val="nil"/>
              <w:right w:val="nil"/>
            </w:tcBorders>
            <w:shd w:val="clear" w:color="auto" w:fill="auto"/>
            <w:noWrap/>
            <w:vAlign w:val="bottom"/>
            <w:hideMark/>
          </w:tcPr>
          <w:p w14:paraId="030062ED"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0.025</w:t>
            </w:r>
          </w:p>
        </w:tc>
        <w:tc>
          <w:tcPr>
            <w:tcW w:w="877" w:type="dxa"/>
            <w:tcBorders>
              <w:top w:val="nil"/>
              <w:left w:val="nil"/>
              <w:bottom w:val="nil"/>
              <w:right w:val="nil"/>
            </w:tcBorders>
            <w:shd w:val="clear" w:color="auto" w:fill="auto"/>
            <w:noWrap/>
            <w:vAlign w:val="bottom"/>
            <w:hideMark/>
          </w:tcPr>
          <w:p w14:paraId="40DFCE34"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0.000</w:t>
            </w:r>
          </w:p>
        </w:tc>
        <w:tc>
          <w:tcPr>
            <w:tcW w:w="1019" w:type="dxa"/>
            <w:tcBorders>
              <w:top w:val="nil"/>
              <w:left w:val="nil"/>
              <w:bottom w:val="nil"/>
              <w:right w:val="nil"/>
            </w:tcBorders>
            <w:shd w:val="clear" w:color="auto" w:fill="auto"/>
            <w:noWrap/>
            <w:vAlign w:val="bottom"/>
            <w:hideMark/>
          </w:tcPr>
          <w:p w14:paraId="64F66BE5"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0.000</w:t>
            </w:r>
          </w:p>
        </w:tc>
        <w:tc>
          <w:tcPr>
            <w:tcW w:w="1255" w:type="dxa"/>
            <w:tcBorders>
              <w:top w:val="nil"/>
              <w:left w:val="nil"/>
              <w:bottom w:val="nil"/>
              <w:right w:val="nil"/>
            </w:tcBorders>
            <w:shd w:val="clear" w:color="auto" w:fill="auto"/>
            <w:noWrap/>
            <w:vAlign w:val="bottom"/>
            <w:hideMark/>
          </w:tcPr>
          <w:p w14:paraId="5C961A37"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0.000</w:t>
            </w:r>
          </w:p>
        </w:tc>
        <w:tc>
          <w:tcPr>
            <w:tcW w:w="1411" w:type="dxa"/>
            <w:tcBorders>
              <w:top w:val="nil"/>
              <w:left w:val="nil"/>
              <w:bottom w:val="nil"/>
              <w:right w:val="nil"/>
            </w:tcBorders>
            <w:shd w:val="clear" w:color="auto" w:fill="auto"/>
            <w:noWrap/>
            <w:vAlign w:val="bottom"/>
            <w:hideMark/>
          </w:tcPr>
          <w:p w14:paraId="05788AA6"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0.037</w:t>
            </w:r>
          </w:p>
        </w:tc>
        <w:tc>
          <w:tcPr>
            <w:tcW w:w="1803" w:type="dxa"/>
            <w:tcBorders>
              <w:top w:val="nil"/>
              <w:left w:val="nil"/>
              <w:bottom w:val="nil"/>
              <w:right w:val="nil"/>
            </w:tcBorders>
            <w:shd w:val="clear" w:color="auto" w:fill="auto"/>
            <w:noWrap/>
            <w:vAlign w:val="bottom"/>
            <w:hideMark/>
          </w:tcPr>
          <w:p w14:paraId="7C6BAD89"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0.222</w:t>
            </w:r>
          </w:p>
        </w:tc>
      </w:tr>
      <w:tr w:rsidR="00F70452" w:rsidRPr="00F70452" w14:paraId="31105311" w14:textId="77777777" w:rsidTr="00F0260B">
        <w:trPr>
          <w:trHeight w:val="310"/>
        </w:trPr>
        <w:tc>
          <w:tcPr>
            <w:tcW w:w="2728" w:type="dxa"/>
            <w:tcBorders>
              <w:top w:val="nil"/>
              <w:left w:val="nil"/>
              <w:bottom w:val="nil"/>
              <w:right w:val="nil"/>
            </w:tcBorders>
            <w:shd w:val="clear" w:color="auto" w:fill="auto"/>
            <w:noWrap/>
            <w:hideMark/>
          </w:tcPr>
          <w:p w14:paraId="31916EEF" w14:textId="77777777" w:rsidR="00F70452" w:rsidRPr="00F70452" w:rsidRDefault="00F70452" w:rsidP="00A705CD">
            <w:pPr>
              <w:framePr w:hSpace="180" w:wrap="around" w:vAnchor="text" w:hAnchor="page" w:x="2461" w:y="-779"/>
              <w:spacing w:after="0" w:line="240" w:lineRule="auto"/>
              <w:ind w:firstLineChars="100" w:firstLine="240"/>
              <w:rPr>
                <w:rFonts w:ascii="Times New Roman" w:eastAsia="Times New Roman" w:hAnsi="Times New Roman" w:cs="Times New Roman"/>
                <w:i/>
                <w:iCs/>
                <w:color w:val="000000"/>
                <w:sz w:val="24"/>
                <w:szCs w:val="24"/>
                <w:lang w:eastAsia="en-GB"/>
              </w:rPr>
            </w:pPr>
            <w:proofErr w:type="spellStart"/>
            <w:r w:rsidRPr="00F70452">
              <w:rPr>
                <w:rFonts w:ascii="Times New Roman" w:eastAsia="Times New Roman" w:hAnsi="Times New Roman" w:cs="Times New Roman"/>
                <w:i/>
                <w:iCs/>
                <w:color w:val="000000"/>
                <w:sz w:val="24"/>
                <w:szCs w:val="24"/>
                <w:lang w:eastAsia="en-GB"/>
              </w:rPr>
              <w:t>FirmSize</w:t>
            </w:r>
            <w:proofErr w:type="spellEnd"/>
            <w:r w:rsidRPr="00F70452">
              <w:rPr>
                <w:rFonts w:ascii="Times New Roman" w:eastAsia="Times New Roman" w:hAnsi="Times New Roman" w:cs="Times New Roman"/>
                <w:i/>
                <w:iCs/>
                <w:color w:val="000000"/>
                <w:sz w:val="24"/>
                <w:szCs w:val="24"/>
                <w:lang w:eastAsia="en-GB"/>
              </w:rPr>
              <w:t xml:space="preserve"> ($m)</w:t>
            </w:r>
          </w:p>
        </w:tc>
        <w:tc>
          <w:tcPr>
            <w:tcW w:w="1411" w:type="dxa"/>
            <w:tcBorders>
              <w:top w:val="nil"/>
              <w:left w:val="nil"/>
              <w:bottom w:val="nil"/>
              <w:right w:val="nil"/>
            </w:tcBorders>
            <w:shd w:val="clear" w:color="auto" w:fill="auto"/>
            <w:noWrap/>
            <w:vAlign w:val="bottom"/>
            <w:hideMark/>
          </w:tcPr>
          <w:p w14:paraId="33599234"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6,419.734</w:t>
            </w:r>
          </w:p>
        </w:tc>
        <w:tc>
          <w:tcPr>
            <w:tcW w:w="1647" w:type="dxa"/>
            <w:tcBorders>
              <w:top w:val="nil"/>
              <w:left w:val="nil"/>
              <w:bottom w:val="nil"/>
              <w:right w:val="nil"/>
            </w:tcBorders>
            <w:shd w:val="clear" w:color="auto" w:fill="auto"/>
            <w:noWrap/>
            <w:vAlign w:val="bottom"/>
            <w:hideMark/>
          </w:tcPr>
          <w:p w14:paraId="0E4AA465"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12,242.456</w:t>
            </w:r>
          </w:p>
        </w:tc>
        <w:tc>
          <w:tcPr>
            <w:tcW w:w="877" w:type="dxa"/>
            <w:tcBorders>
              <w:top w:val="nil"/>
              <w:left w:val="nil"/>
              <w:bottom w:val="nil"/>
              <w:right w:val="nil"/>
            </w:tcBorders>
            <w:shd w:val="clear" w:color="auto" w:fill="auto"/>
            <w:noWrap/>
            <w:vAlign w:val="bottom"/>
            <w:hideMark/>
          </w:tcPr>
          <w:p w14:paraId="60915F73"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3.968</w:t>
            </w:r>
          </w:p>
        </w:tc>
        <w:tc>
          <w:tcPr>
            <w:tcW w:w="1019" w:type="dxa"/>
            <w:tcBorders>
              <w:top w:val="nil"/>
              <w:left w:val="nil"/>
              <w:bottom w:val="nil"/>
              <w:right w:val="nil"/>
            </w:tcBorders>
            <w:shd w:val="clear" w:color="auto" w:fill="auto"/>
            <w:noWrap/>
            <w:vAlign w:val="bottom"/>
            <w:hideMark/>
          </w:tcPr>
          <w:p w14:paraId="4407B7C9"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232.599</w:t>
            </w:r>
          </w:p>
        </w:tc>
        <w:tc>
          <w:tcPr>
            <w:tcW w:w="1255" w:type="dxa"/>
            <w:tcBorders>
              <w:top w:val="nil"/>
              <w:left w:val="nil"/>
              <w:bottom w:val="nil"/>
              <w:right w:val="nil"/>
            </w:tcBorders>
            <w:shd w:val="clear" w:color="auto" w:fill="auto"/>
            <w:noWrap/>
            <w:vAlign w:val="bottom"/>
            <w:hideMark/>
          </w:tcPr>
          <w:p w14:paraId="77228145"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1,511.222</w:t>
            </w:r>
          </w:p>
        </w:tc>
        <w:tc>
          <w:tcPr>
            <w:tcW w:w="1411" w:type="dxa"/>
            <w:tcBorders>
              <w:top w:val="nil"/>
              <w:left w:val="nil"/>
              <w:bottom w:val="nil"/>
              <w:right w:val="nil"/>
            </w:tcBorders>
            <w:shd w:val="clear" w:color="auto" w:fill="auto"/>
            <w:noWrap/>
            <w:vAlign w:val="bottom"/>
            <w:hideMark/>
          </w:tcPr>
          <w:p w14:paraId="01C61973"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18,066.076</w:t>
            </w:r>
          </w:p>
        </w:tc>
        <w:tc>
          <w:tcPr>
            <w:tcW w:w="1803" w:type="dxa"/>
            <w:tcBorders>
              <w:top w:val="nil"/>
              <w:left w:val="nil"/>
              <w:bottom w:val="nil"/>
              <w:right w:val="nil"/>
            </w:tcBorders>
            <w:shd w:val="clear" w:color="auto" w:fill="auto"/>
            <w:noWrap/>
            <w:vAlign w:val="bottom"/>
            <w:hideMark/>
          </w:tcPr>
          <w:p w14:paraId="27CAFB1D"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53,944.395</w:t>
            </w:r>
          </w:p>
        </w:tc>
      </w:tr>
      <w:tr w:rsidR="00F70452" w:rsidRPr="00F70452" w14:paraId="6A78E5AE" w14:textId="77777777" w:rsidTr="00F0260B">
        <w:trPr>
          <w:trHeight w:val="310"/>
        </w:trPr>
        <w:tc>
          <w:tcPr>
            <w:tcW w:w="2728" w:type="dxa"/>
            <w:tcBorders>
              <w:top w:val="nil"/>
              <w:left w:val="nil"/>
              <w:bottom w:val="nil"/>
              <w:right w:val="nil"/>
            </w:tcBorders>
            <w:shd w:val="clear" w:color="auto" w:fill="auto"/>
            <w:noWrap/>
            <w:hideMark/>
          </w:tcPr>
          <w:p w14:paraId="5A4F8140" w14:textId="77777777" w:rsidR="00F70452" w:rsidRPr="00F70452" w:rsidRDefault="00F70452" w:rsidP="00A705CD">
            <w:pPr>
              <w:framePr w:hSpace="180" w:wrap="around" w:vAnchor="text" w:hAnchor="page" w:x="2461" w:y="-779"/>
              <w:spacing w:after="0" w:line="240" w:lineRule="auto"/>
              <w:ind w:firstLineChars="100" w:firstLine="240"/>
              <w:rPr>
                <w:rFonts w:ascii="Times New Roman" w:eastAsia="Times New Roman" w:hAnsi="Times New Roman" w:cs="Times New Roman"/>
                <w:i/>
                <w:iCs/>
                <w:color w:val="000000"/>
                <w:sz w:val="24"/>
                <w:szCs w:val="24"/>
                <w:lang w:eastAsia="en-GB"/>
              </w:rPr>
            </w:pPr>
            <w:r w:rsidRPr="00F70452">
              <w:rPr>
                <w:rFonts w:ascii="Times New Roman" w:eastAsia="Times New Roman" w:hAnsi="Times New Roman" w:cs="Times New Roman"/>
                <w:i/>
                <w:iCs/>
                <w:color w:val="000000"/>
                <w:sz w:val="24"/>
                <w:szCs w:val="24"/>
                <w:lang w:eastAsia="en-GB"/>
              </w:rPr>
              <w:t>Employees('000)</w:t>
            </w:r>
          </w:p>
        </w:tc>
        <w:tc>
          <w:tcPr>
            <w:tcW w:w="1411" w:type="dxa"/>
            <w:tcBorders>
              <w:top w:val="nil"/>
              <w:left w:val="nil"/>
              <w:bottom w:val="nil"/>
              <w:right w:val="nil"/>
            </w:tcBorders>
            <w:shd w:val="clear" w:color="auto" w:fill="auto"/>
            <w:noWrap/>
            <w:vAlign w:val="bottom"/>
            <w:hideMark/>
          </w:tcPr>
          <w:p w14:paraId="371E586E"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19.544</w:t>
            </w:r>
          </w:p>
        </w:tc>
        <w:tc>
          <w:tcPr>
            <w:tcW w:w="1647" w:type="dxa"/>
            <w:tcBorders>
              <w:top w:val="nil"/>
              <w:left w:val="nil"/>
              <w:bottom w:val="nil"/>
              <w:right w:val="nil"/>
            </w:tcBorders>
            <w:shd w:val="clear" w:color="auto" w:fill="auto"/>
            <w:noWrap/>
            <w:vAlign w:val="bottom"/>
            <w:hideMark/>
          </w:tcPr>
          <w:p w14:paraId="2233482F"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34.229</w:t>
            </w:r>
          </w:p>
        </w:tc>
        <w:tc>
          <w:tcPr>
            <w:tcW w:w="877" w:type="dxa"/>
            <w:tcBorders>
              <w:top w:val="nil"/>
              <w:left w:val="nil"/>
              <w:bottom w:val="nil"/>
              <w:right w:val="nil"/>
            </w:tcBorders>
            <w:shd w:val="clear" w:color="auto" w:fill="auto"/>
            <w:noWrap/>
            <w:vAlign w:val="bottom"/>
            <w:hideMark/>
          </w:tcPr>
          <w:p w14:paraId="2464ECD9"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0.005</w:t>
            </w:r>
          </w:p>
        </w:tc>
        <w:tc>
          <w:tcPr>
            <w:tcW w:w="1019" w:type="dxa"/>
            <w:tcBorders>
              <w:top w:val="nil"/>
              <w:left w:val="nil"/>
              <w:bottom w:val="nil"/>
              <w:right w:val="nil"/>
            </w:tcBorders>
            <w:shd w:val="clear" w:color="auto" w:fill="auto"/>
            <w:noWrap/>
            <w:vAlign w:val="bottom"/>
            <w:hideMark/>
          </w:tcPr>
          <w:p w14:paraId="4EDEF608"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0.600</w:t>
            </w:r>
          </w:p>
        </w:tc>
        <w:tc>
          <w:tcPr>
            <w:tcW w:w="1255" w:type="dxa"/>
            <w:tcBorders>
              <w:top w:val="nil"/>
              <w:left w:val="nil"/>
              <w:bottom w:val="nil"/>
              <w:right w:val="nil"/>
            </w:tcBorders>
            <w:shd w:val="clear" w:color="auto" w:fill="auto"/>
            <w:noWrap/>
            <w:vAlign w:val="bottom"/>
            <w:hideMark/>
          </w:tcPr>
          <w:p w14:paraId="5A916965"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6.000</w:t>
            </w:r>
          </w:p>
        </w:tc>
        <w:tc>
          <w:tcPr>
            <w:tcW w:w="1411" w:type="dxa"/>
            <w:tcBorders>
              <w:top w:val="nil"/>
              <w:left w:val="nil"/>
              <w:bottom w:val="nil"/>
              <w:right w:val="nil"/>
            </w:tcBorders>
            <w:shd w:val="clear" w:color="auto" w:fill="auto"/>
            <w:noWrap/>
            <w:vAlign w:val="bottom"/>
            <w:hideMark/>
          </w:tcPr>
          <w:p w14:paraId="17853564"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53.500</w:t>
            </w:r>
          </w:p>
        </w:tc>
        <w:tc>
          <w:tcPr>
            <w:tcW w:w="1803" w:type="dxa"/>
            <w:tcBorders>
              <w:top w:val="nil"/>
              <w:left w:val="nil"/>
              <w:bottom w:val="nil"/>
              <w:right w:val="nil"/>
            </w:tcBorders>
            <w:shd w:val="clear" w:color="auto" w:fill="auto"/>
            <w:noWrap/>
            <w:vAlign w:val="bottom"/>
            <w:hideMark/>
          </w:tcPr>
          <w:p w14:paraId="6C5DEDCE"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163.000</w:t>
            </w:r>
          </w:p>
        </w:tc>
      </w:tr>
      <w:tr w:rsidR="00F70452" w:rsidRPr="00F70452" w14:paraId="1028BF97" w14:textId="77777777" w:rsidTr="00F0260B">
        <w:trPr>
          <w:trHeight w:val="310"/>
        </w:trPr>
        <w:tc>
          <w:tcPr>
            <w:tcW w:w="2728" w:type="dxa"/>
            <w:tcBorders>
              <w:top w:val="nil"/>
              <w:left w:val="nil"/>
              <w:bottom w:val="nil"/>
              <w:right w:val="nil"/>
            </w:tcBorders>
            <w:shd w:val="clear" w:color="auto" w:fill="auto"/>
            <w:noWrap/>
            <w:hideMark/>
          </w:tcPr>
          <w:p w14:paraId="3B102924" w14:textId="77777777" w:rsidR="00F70452" w:rsidRPr="00F70452" w:rsidRDefault="00F70452" w:rsidP="00A705CD">
            <w:pPr>
              <w:framePr w:hSpace="180" w:wrap="around" w:vAnchor="text" w:hAnchor="page" w:x="2461" w:y="-779"/>
              <w:spacing w:after="0" w:line="240" w:lineRule="auto"/>
              <w:ind w:firstLineChars="100" w:firstLine="240"/>
              <w:rPr>
                <w:rFonts w:ascii="Times New Roman" w:eastAsia="Times New Roman" w:hAnsi="Times New Roman" w:cs="Times New Roman"/>
                <w:i/>
                <w:iCs/>
                <w:color w:val="000000"/>
                <w:sz w:val="24"/>
                <w:szCs w:val="24"/>
                <w:lang w:eastAsia="en-GB"/>
              </w:rPr>
            </w:pPr>
            <w:proofErr w:type="spellStart"/>
            <w:r w:rsidRPr="00F70452">
              <w:rPr>
                <w:rFonts w:ascii="Times New Roman" w:eastAsia="Times New Roman" w:hAnsi="Times New Roman" w:cs="Times New Roman"/>
                <w:i/>
                <w:iCs/>
                <w:color w:val="000000"/>
                <w:sz w:val="24"/>
                <w:szCs w:val="24"/>
                <w:lang w:eastAsia="en-GB"/>
              </w:rPr>
              <w:t>AssetTurnover</w:t>
            </w:r>
            <w:proofErr w:type="spellEnd"/>
          </w:p>
        </w:tc>
        <w:tc>
          <w:tcPr>
            <w:tcW w:w="1411" w:type="dxa"/>
            <w:tcBorders>
              <w:top w:val="nil"/>
              <w:left w:val="nil"/>
              <w:bottom w:val="nil"/>
              <w:right w:val="nil"/>
            </w:tcBorders>
            <w:shd w:val="clear" w:color="auto" w:fill="auto"/>
            <w:noWrap/>
            <w:vAlign w:val="bottom"/>
            <w:hideMark/>
          </w:tcPr>
          <w:p w14:paraId="76071740"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1.218</w:t>
            </w:r>
          </w:p>
        </w:tc>
        <w:tc>
          <w:tcPr>
            <w:tcW w:w="1647" w:type="dxa"/>
            <w:tcBorders>
              <w:top w:val="nil"/>
              <w:left w:val="nil"/>
              <w:bottom w:val="nil"/>
              <w:right w:val="nil"/>
            </w:tcBorders>
            <w:shd w:val="clear" w:color="auto" w:fill="auto"/>
            <w:noWrap/>
            <w:vAlign w:val="bottom"/>
            <w:hideMark/>
          </w:tcPr>
          <w:p w14:paraId="0913F5E7"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0.791</w:t>
            </w:r>
          </w:p>
        </w:tc>
        <w:tc>
          <w:tcPr>
            <w:tcW w:w="877" w:type="dxa"/>
            <w:tcBorders>
              <w:top w:val="nil"/>
              <w:left w:val="nil"/>
              <w:bottom w:val="nil"/>
              <w:right w:val="nil"/>
            </w:tcBorders>
            <w:shd w:val="clear" w:color="auto" w:fill="auto"/>
            <w:noWrap/>
            <w:vAlign w:val="bottom"/>
            <w:hideMark/>
          </w:tcPr>
          <w:p w14:paraId="5DCD57F0"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0.000</w:t>
            </w:r>
          </w:p>
        </w:tc>
        <w:tc>
          <w:tcPr>
            <w:tcW w:w="1019" w:type="dxa"/>
            <w:tcBorders>
              <w:top w:val="nil"/>
              <w:left w:val="nil"/>
              <w:bottom w:val="nil"/>
              <w:right w:val="nil"/>
            </w:tcBorders>
            <w:shd w:val="clear" w:color="auto" w:fill="auto"/>
            <w:noWrap/>
            <w:vAlign w:val="bottom"/>
            <w:hideMark/>
          </w:tcPr>
          <w:p w14:paraId="29B374CB"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0.456</w:t>
            </w:r>
          </w:p>
        </w:tc>
        <w:tc>
          <w:tcPr>
            <w:tcW w:w="1255" w:type="dxa"/>
            <w:tcBorders>
              <w:top w:val="nil"/>
              <w:left w:val="nil"/>
              <w:bottom w:val="nil"/>
              <w:right w:val="nil"/>
            </w:tcBorders>
            <w:shd w:val="clear" w:color="auto" w:fill="auto"/>
            <w:noWrap/>
            <w:vAlign w:val="bottom"/>
            <w:hideMark/>
          </w:tcPr>
          <w:p w14:paraId="64946B15"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1.027</w:t>
            </w:r>
          </w:p>
        </w:tc>
        <w:tc>
          <w:tcPr>
            <w:tcW w:w="1411" w:type="dxa"/>
            <w:tcBorders>
              <w:top w:val="nil"/>
              <w:left w:val="nil"/>
              <w:bottom w:val="nil"/>
              <w:right w:val="nil"/>
            </w:tcBorders>
            <w:shd w:val="clear" w:color="auto" w:fill="auto"/>
            <w:noWrap/>
            <w:vAlign w:val="bottom"/>
            <w:hideMark/>
          </w:tcPr>
          <w:p w14:paraId="2CDCEE94"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2.193</w:t>
            </w:r>
          </w:p>
        </w:tc>
        <w:tc>
          <w:tcPr>
            <w:tcW w:w="1803" w:type="dxa"/>
            <w:tcBorders>
              <w:top w:val="nil"/>
              <w:left w:val="nil"/>
              <w:bottom w:val="nil"/>
              <w:right w:val="nil"/>
            </w:tcBorders>
            <w:shd w:val="clear" w:color="auto" w:fill="auto"/>
            <w:noWrap/>
            <w:vAlign w:val="bottom"/>
            <w:hideMark/>
          </w:tcPr>
          <w:p w14:paraId="32B97776"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5.493</w:t>
            </w:r>
          </w:p>
        </w:tc>
      </w:tr>
      <w:tr w:rsidR="00F70452" w:rsidRPr="00F70452" w14:paraId="57EDB0E3" w14:textId="77777777" w:rsidTr="00F0260B">
        <w:trPr>
          <w:trHeight w:val="310"/>
        </w:trPr>
        <w:tc>
          <w:tcPr>
            <w:tcW w:w="2728" w:type="dxa"/>
            <w:tcBorders>
              <w:top w:val="nil"/>
              <w:left w:val="nil"/>
              <w:bottom w:val="nil"/>
              <w:right w:val="nil"/>
            </w:tcBorders>
            <w:shd w:val="clear" w:color="auto" w:fill="auto"/>
            <w:noWrap/>
            <w:hideMark/>
          </w:tcPr>
          <w:p w14:paraId="064AAF8B" w14:textId="77777777" w:rsidR="00F70452" w:rsidRPr="00F70452" w:rsidRDefault="00F70452" w:rsidP="00A705CD">
            <w:pPr>
              <w:framePr w:hSpace="180" w:wrap="around" w:vAnchor="text" w:hAnchor="page" w:x="2461" w:y="-779"/>
              <w:spacing w:after="0" w:line="240" w:lineRule="auto"/>
              <w:ind w:firstLineChars="100" w:firstLine="240"/>
              <w:rPr>
                <w:rFonts w:ascii="Times New Roman" w:eastAsia="Times New Roman" w:hAnsi="Times New Roman" w:cs="Times New Roman"/>
                <w:i/>
                <w:iCs/>
                <w:color w:val="000000"/>
                <w:sz w:val="24"/>
                <w:szCs w:val="24"/>
                <w:lang w:eastAsia="en-GB"/>
              </w:rPr>
            </w:pPr>
            <w:r w:rsidRPr="00F70452">
              <w:rPr>
                <w:rFonts w:ascii="Times New Roman" w:eastAsia="Times New Roman" w:hAnsi="Times New Roman" w:cs="Times New Roman"/>
                <w:i/>
                <w:iCs/>
                <w:color w:val="000000"/>
                <w:sz w:val="24"/>
                <w:szCs w:val="24"/>
                <w:lang w:eastAsia="en-GB"/>
              </w:rPr>
              <w:t>Market-to-book</w:t>
            </w:r>
          </w:p>
        </w:tc>
        <w:tc>
          <w:tcPr>
            <w:tcW w:w="1411" w:type="dxa"/>
            <w:tcBorders>
              <w:top w:val="nil"/>
              <w:left w:val="nil"/>
              <w:bottom w:val="nil"/>
              <w:right w:val="nil"/>
            </w:tcBorders>
            <w:shd w:val="clear" w:color="auto" w:fill="auto"/>
            <w:noWrap/>
            <w:vAlign w:val="bottom"/>
            <w:hideMark/>
          </w:tcPr>
          <w:p w14:paraId="7A3D16FF"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1.848</w:t>
            </w:r>
          </w:p>
        </w:tc>
        <w:tc>
          <w:tcPr>
            <w:tcW w:w="1647" w:type="dxa"/>
            <w:tcBorders>
              <w:top w:val="nil"/>
              <w:left w:val="nil"/>
              <w:bottom w:val="nil"/>
              <w:right w:val="nil"/>
            </w:tcBorders>
            <w:shd w:val="clear" w:color="auto" w:fill="auto"/>
            <w:noWrap/>
            <w:vAlign w:val="bottom"/>
            <w:hideMark/>
          </w:tcPr>
          <w:p w14:paraId="14A83AFC"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1.879</w:t>
            </w:r>
          </w:p>
        </w:tc>
        <w:tc>
          <w:tcPr>
            <w:tcW w:w="877" w:type="dxa"/>
            <w:tcBorders>
              <w:top w:val="nil"/>
              <w:left w:val="nil"/>
              <w:bottom w:val="nil"/>
              <w:right w:val="nil"/>
            </w:tcBorders>
            <w:shd w:val="clear" w:color="auto" w:fill="auto"/>
            <w:noWrap/>
            <w:vAlign w:val="bottom"/>
            <w:hideMark/>
          </w:tcPr>
          <w:p w14:paraId="14EBA340"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0.105</w:t>
            </w:r>
          </w:p>
        </w:tc>
        <w:tc>
          <w:tcPr>
            <w:tcW w:w="1019" w:type="dxa"/>
            <w:tcBorders>
              <w:top w:val="nil"/>
              <w:left w:val="nil"/>
              <w:bottom w:val="nil"/>
              <w:right w:val="nil"/>
            </w:tcBorders>
            <w:shd w:val="clear" w:color="auto" w:fill="auto"/>
            <w:noWrap/>
            <w:vAlign w:val="bottom"/>
            <w:hideMark/>
          </w:tcPr>
          <w:p w14:paraId="2EE28F97"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0.672</w:t>
            </w:r>
          </w:p>
        </w:tc>
        <w:tc>
          <w:tcPr>
            <w:tcW w:w="1255" w:type="dxa"/>
            <w:tcBorders>
              <w:top w:val="nil"/>
              <w:left w:val="nil"/>
              <w:bottom w:val="nil"/>
              <w:right w:val="nil"/>
            </w:tcBorders>
            <w:shd w:val="clear" w:color="auto" w:fill="auto"/>
            <w:noWrap/>
            <w:vAlign w:val="bottom"/>
            <w:hideMark/>
          </w:tcPr>
          <w:p w14:paraId="44AB5651"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1.360</w:t>
            </w:r>
          </w:p>
        </w:tc>
        <w:tc>
          <w:tcPr>
            <w:tcW w:w="1411" w:type="dxa"/>
            <w:tcBorders>
              <w:top w:val="nil"/>
              <w:left w:val="nil"/>
              <w:bottom w:val="nil"/>
              <w:right w:val="nil"/>
            </w:tcBorders>
            <w:shd w:val="clear" w:color="auto" w:fill="auto"/>
            <w:noWrap/>
            <w:vAlign w:val="bottom"/>
            <w:hideMark/>
          </w:tcPr>
          <w:p w14:paraId="7C1B3FAF"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3.401</w:t>
            </w:r>
          </w:p>
        </w:tc>
        <w:tc>
          <w:tcPr>
            <w:tcW w:w="1803" w:type="dxa"/>
            <w:tcBorders>
              <w:top w:val="nil"/>
              <w:left w:val="nil"/>
              <w:bottom w:val="nil"/>
              <w:right w:val="nil"/>
            </w:tcBorders>
            <w:shd w:val="clear" w:color="auto" w:fill="auto"/>
            <w:noWrap/>
            <w:vAlign w:val="bottom"/>
            <w:hideMark/>
          </w:tcPr>
          <w:p w14:paraId="3C6709BF"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75.943</w:t>
            </w:r>
          </w:p>
        </w:tc>
      </w:tr>
      <w:tr w:rsidR="00F70452" w:rsidRPr="00F70452" w14:paraId="11EC6966" w14:textId="77777777" w:rsidTr="00F0260B">
        <w:trPr>
          <w:trHeight w:val="310"/>
        </w:trPr>
        <w:tc>
          <w:tcPr>
            <w:tcW w:w="2728" w:type="dxa"/>
            <w:tcBorders>
              <w:top w:val="nil"/>
              <w:left w:val="nil"/>
              <w:bottom w:val="nil"/>
              <w:right w:val="nil"/>
            </w:tcBorders>
            <w:shd w:val="clear" w:color="auto" w:fill="auto"/>
            <w:noWrap/>
            <w:hideMark/>
          </w:tcPr>
          <w:p w14:paraId="54A7DFC3" w14:textId="77777777" w:rsidR="00F70452" w:rsidRPr="00F70452" w:rsidRDefault="00F70452" w:rsidP="00A705CD">
            <w:pPr>
              <w:framePr w:hSpace="180" w:wrap="around" w:vAnchor="text" w:hAnchor="page" w:x="2461" w:y="-779"/>
              <w:spacing w:after="0" w:line="240" w:lineRule="auto"/>
              <w:ind w:firstLineChars="100" w:firstLine="240"/>
              <w:rPr>
                <w:rFonts w:ascii="Times New Roman" w:eastAsia="Times New Roman" w:hAnsi="Times New Roman" w:cs="Times New Roman"/>
                <w:i/>
                <w:iCs/>
                <w:color w:val="000000"/>
                <w:sz w:val="24"/>
                <w:szCs w:val="24"/>
                <w:lang w:eastAsia="en-GB"/>
              </w:rPr>
            </w:pPr>
            <w:r w:rsidRPr="00F70452">
              <w:rPr>
                <w:rFonts w:ascii="Times New Roman" w:eastAsia="Times New Roman" w:hAnsi="Times New Roman" w:cs="Times New Roman"/>
                <w:i/>
                <w:iCs/>
                <w:color w:val="000000"/>
                <w:sz w:val="24"/>
                <w:szCs w:val="24"/>
                <w:lang w:eastAsia="en-GB"/>
              </w:rPr>
              <w:t>Tangibility</w:t>
            </w:r>
          </w:p>
        </w:tc>
        <w:tc>
          <w:tcPr>
            <w:tcW w:w="1411" w:type="dxa"/>
            <w:tcBorders>
              <w:top w:val="nil"/>
              <w:left w:val="nil"/>
              <w:bottom w:val="nil"/>
              <w:right w:val="nil"/>
            </w:tcBorders>
            <w:shd w:val="clear" w:color="auto" w:fill="auto"/>
            <w:noWrap/>
            <w:vAlign w:val="bottom"/>
            <w:hideMark/>
          </w:tcPr>
          <w:p w14:paraId="474019E0"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0.236</w:t>
            </w:r>
          </w:p>
        </w:tc>
        <w:tc>
          <w:tcPr>
            <w:tcW w:w="1647" w:type="dxa"/>
            <w:tcBorders>
              <w:top w:val="nil"/>
              <w:left w:val="nil"/>
              <w:bottom w:val="nil"/>
              <w:right w:val="nil"/>
            </w:tcBorders>
            <w:shd w:val="clear" w:color="auto" w:fill="auto"/>
            <w:noWrap/>
            <w:vAlign w:val="bottom"/>
            <w:hideMark/>
          </w:tcPr>
          <w:p w14:paraId="012D7EA5"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0.192</w:t>
            </w:r>
          </w:p>
        </w:tc>
        <w:tc>
          <w:tcPr>
            <w:tcW w:w="877" w:type="dxa"/>
            <w:tcBorders>
              <w:top w:val="nil"/>
              <w:left w:val="nil"/>
              <w:bottom w:val="nil"/>
              <w:right w:val="nil"/>
            </w:tcBorders>
            <w:shd w:val="clear" w:color="auto" w:fill="auto"/>
            <w:noWrap/>
            <w:vAlign w:val="bottom"/>
            <w:hideMark/>
          </w:tcPr>
          <w:p w14:paraId="4960325E"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0.000</w:t>
            </w:r>
          </w:p>
        </w:tc>
        <w:tc>
          <w:tcPr>
            <w:tcW w:w="1019" w:type="dxa"/>
            <w:tcBorders>
              <w:top w:val="nil"/>
              <w:left w:val="nil"/>
              <w:bottom w:val="nil"/>
              <w:right w:val="nil"/>
            </w:tcBorders>
            <w:shd w:val="clear" w:color="auto" w:fill="auto"/>
            <w:noWrap/>
            <w:vAlign w:val="bottom"/>
            <w:hideMark/>
          </w:tcPr>
          <w:p w14:paraId="0A79235C"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0.046</w:t>
            </w:r>
          </w:p>
        </w:tc>
        <w:tc>
          <w:tcPr>
            <w:tcW w:w="1255" w:type="dxa"/>
            <w:tcBorders>
              <w:top w:val="nil"/>
              <w:left w:val="nil"/>
              <w:bottom w:val="nil"/>
              <w:right w:val="nil"/>
            </w:tcBorders>
            <w:shd w:val="clear" w:color="auto" w:fill="auto"/>
            <w:noWrap/>
            <w:vAlign w:val="bottom"/>
            <w:hideMark/>
          </w:tcPr>
          <w:p w14:paraId="644E2BE1"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0.178</w:t>
            </w:r>
          </w:p>
        </w:tc>
        <w:tc>
          <w:tcPr>
            <w:tcW w:w="1411" w:type="dxa"/>
            <w:tcBorders>
              <w:top w:val="nil"/>
              <w:left w:val="nil"/>
              <w:bottom w:val="nil"/>
              <w:right w:val="nil"/>
            </w:tcBorders>
            <w:shd w:val="clear" w:color="auto" w:fill="auto"/>
            <w:noWrap/>
            <w:vAlign w:val="bottom"/>
            <w:hideMark/>
          </w:tcPr>
          <w:p w14:paraId="25F63E11"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0.522</w:t>
            </w:r>
          </w:p>
        </w:tc>
        <w:tc>
          <w:tcPr>
            <w:tcW w:w="1803" w:type="dxa"/>
            <w:tcBorders>
              <w:top w:val="nil"/>
              <w:left w:val="nil"/>
              <w:bottom w:val="nil"/>
              <w:right w:val="nil"/>
            </w:tcBorders>
            <w:shd w:val="clear" w:color="auto" w:fill="auto"/>
            <w:noWrap/>
            <w:vAlign w:val="bottom"/>
            <w:hideMark/>
          </w:tcPr>
          <w:p w14:paraId="72B7D828"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0.942</w:t>
            </w:r>
          </w:p>
        </w:tc>
      </w:tr>
      <w:tr w:rsidR="00F70452" w:rsidRPr="00F70452" w14:paraId="01B0A7A7" w14:textId="77777777" w:rsidTr="00F0260B">
        <w:trPr>
          <w:trHeight w:val="310"/>
        </w:trPr>
        <w:tc>
          <w:tcPr>
            <w:tcW w:w="2728" w:type="dxa"/>
            <w:tcBorders>
              <w:top w:val="nil"/>
              <w:left w:val="nil"/>
              <w:bottom w:val="nil"/>
              <w:right w:val="nil"/>
            </w:tcBorders>
            <w:shd w:val="clear" w:color="auto" w:fill="auto"/>
            <w:noWrap/>
            <w:hideMark/>
          </w:tcPr>
          <w:p w14:paraId="35943311" w14:textId="77777777" w:rsidR="00F70452" w:rsidRPr="00F70452" w:rsidRDefault="00F70452" w:rsidP="00A705CD">
            <w:pPr>
              <w:framePr w:hSpace="180" w:wrap="around" w:vAnchor="text" w:hAnchor="page" w:x="2461" w:y="-779"/>
              <w:spacing w:after="0" w:line="240" w:lineRule="auto"/>
              <w:ind w:firstLineChars="100" w:firstLine="240"/>
              <w:rPr>
                <w:rFonts w:ascii="Times New Roman" w:eastAsia="Times New Roman" w:hAnsi="Times New Roman" w:cs="Times New Roman"/>
                <w:i/>
                <w:iCs/>
                <w:color w:val="000000"/>
                <w:sz w:val="24"/>
                <w:szCs w:val="24"/>
                <w:lang w:eastAsia="en-GB"/>
              </w:rPr>
            </w:pPr>
            <w:r w:rsidRPr="00F70452">
              <w:rPr>
                <w:rFonts w:ascii="Times New Roman" w:eastAsia="Times New Roman" w:hAnsi="Times New Roman" w:cs="Times New Roman"/>
                <w:i/>
                <w:iCs/>
                <w:color w:val="000000"/>
                <w:sz w:val="24"/>
                <w:szCs w:val="24"/>
                <w:lang w:eastAsia="en-GB"/>
              </w:rPr>
              <w:t>Capex</w:t>
            </w:r>
          </w:p>
        </w:tc>
        <w:tc>
          <w:tcPr>
            <w:tcW w:w="1411" w:type="dxa"/>
            <w:tcBorders>
              <w:top w:val="nil"/>
              <w:left w:val="nil"/>
              <w:bottom w:val="nil"/>
              <w:right w:val="nil"/>
            </w:tcBorders>
            <w:shd w:val="clear" w:color="auto" w:fill="auto"/>
            <w:noWrap/>
            <w:vAlign w:val="bottom"/>
            <w:hideMark/>
          </w:tcPr>
          <w:p w14:paraId="1177D1D2"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0.049</w:t>
            </w:r>
          </w:p>
        </w:tc>
        <w:tc>
          <w:tcPr>
            <w:tcW w:w="1647" w:type="dxa"/>
            <w:tcBorders>
              <w:top w:val="nil"/>
              <w:left w:val="nil"/>
              <w:bottom w:val="nil"/>
              <w:right w:val="nil"/>
            </w:tcBorders>
            <w:shd w:val="clear" w:color="auto" w:fill="auto"/>
            <w:noWrap/>
            <w:vAlign w:val="bottom"/>
            <w:hideMark/>
          </w:tcPr>
          <w:p w14:paraId="3CB91312"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0.049</w:t>
            </w:r>
          </w:p>
        </w:tc>
        <w:tc>
          <w:tcPr>
            <w:tcW w:w="877" w:type="dxa"/>
            <w:tcBorders>
              <w:top w:val="nil"/>
              <w:left w:val="nil"/>
              <w:bottom w:val="nil"/>
              <w:right w:val="nil"/>
            </w:tcBorders>
            <w:shd w:val="clear" w:color="auto" w:fill="auto"/>
            <w:noWrap/>
            <w:vAlign w:val="bottom"/>
            <w:hideMark/>
          </w:tcPr>
          <w:p w14:paraId="231D72B5"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0.000</w:t>
            </w:r>
          </w:p>
        </w:tc>
        <w:tc>
          <w:tcPr>
            <w:tcW w:w="1019" w:type="dxa"/>
            <w:tcBorders>
              <w:top w:val="nil"/>
              <w:left w:val="nil"/>
              <w:bottom w:val="nil"/>
              <w:right w:val="nil"/>
            </w:tcBorders>
            <w:shd w:val="clear" w:color="auto" w:fill="auto"/>
            <w:noWrap/>
            <w:vAlign w:val="bottom"/>
            <w:hideMark/>
          </w:tcPr>
          <w:p w14:paraId="3BC64313"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0.011</w:t>
            </w:r>
          </w:p>
        </w:tc>
        <w:tc>
          <w:tcPr>
            <w:tcW w:w="1255" w:type="dxa"/>
            <w:tcBorders>
              <w:top w:val="nil"/>
              <w:left w:val="nil"/>
              <w:bottom w:val="nil"/>
              <w:right w:val="nil"/>
            </w:tcBorders>
            <w:shd w:val="clear" w:color="auto" w:fill="auto"/>
            <w:noWrap/>
            <w:vAlign w:val="bottom"/>
            <w:hideMark/>
          </w:tcPr>
          <w:p w14:paraId="40080805"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0.035</w:t>
            </w:r>
          </w:p>
        </w:tc>
        <w:tc>
          <w:tcPr>
            <w:tcW w:w="1411" w:type="dxa"/>
            <w:tcBorders>
              <w:top w:val="nil"/>
              <w:left w:val="nil"/>
              <w:bottom w:val="nil"/>
              <w:right w:val="nil"/>
            </w:tcBorders>
            <w:shd w:val="clear" w:color="auto" w:fill="auto"/>
            <w:noWrap/>
            <w:vAlign w:val="bottom"/>
            <w:hideMark/>
          </w:tcPr>
          <w:p w14:paraId="0F2872AC"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0.103</w:t>
            </w:r>
          </w:p>
        </w:tc>
        <w:tc>
          <w:tcPr>
            <w:tcW w:w="1803" w:type="dxa"/>
            <w:tcBorders>
              <w:top w:val="nil"/>
              <w:left w:val="nil"/>
              <w:bottom w:val="nil"/>
              <w:right w:val="nil"/>
            </w:tcBorders>
            <w:shd w:val="clear" w:color="auto" w:fill="auto"/>
            <w:noWrap/>
            <w:vAlign w:val="bottom"/>
            <w:hideMark/>
          </w:tcPr>
          <w:p w14:paraId="1DC3F592"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0.766</w:t>
            </w:r>
          </w:p>
        </w:tc>
      </w:tr>
      <w:tr w:rsidR="00F70452" w:rsidRPr="00F70452" w14:paraId="2A032440" w14:textId="77777777" w:rsidTr="00F0260B">
        <w:trPr>
          <w:trHeight w:val="310"/>
        </w:trPr>
        <w:tc>
          <w:tcPr>
            <w:tcW w:w="2728" w:type="dxa"/>
            <w:tcBorders>
              <w:top w:val="nil"/>
              <w:left w:val="nil"/>
              <w:bottom w:val="nil"/>
              <w:right w:val="nil"/>
            </w:tcBorders>
            <w:shd w:val="clear" w:color="auto" w:fill="auto"/>
            <w:noWrap/>
            <w:hideMark/>
          </w:tcPr>
          <w:p w14:paraId="711C5B53" w14:textId="77777777" w:rsidR="00F70452" w:rsidRPr="00F70452" w:rsidRDefault="00F70452" w:rsidP="00A705CD">
            <w:pPr>
              <w:framePr w:hSpace="180" w:wrap="around" w:vAnchor="text" w:hAnchor="page" w:x="2461" w:y="-779"/>
              <w:spacing w:after="0" w:line="240" w:lineRule="auto"/>
              <w:ind w:firstLineChars="100" w:firstLine="240"/>
              <w:rPr>
                <w:rFonts w:ascii="Times New Roman" w:eastAsia="Times New Roman" w:hAnsi="Times New Roman" w:cs="Times New Roman"/>
                <w:i/>
                <w:iCs/>
                <w:color w:val="000000"/>
                <w:sz w:val="24"/>
                <w:szCs w:val="24"/>
                <w:lang w:eastAsia="en-GB"/>
              </w:rPr>
            </w:pPr>
            <w:r w:rsidRPr="00F70452">
              <w:rPr>
                <w:rFonts w:ascii="Times New Roman" w:eastAsia="Times New Roman" w:hAnsi="Times New Roman" w:cs="Times New Roman"/>
                <w:i/>
                <w:iCs/>
                <w:color w:val="000000"/>
                <w:sz w:val="24"/>
                <w:szCs w:val="24"/>
                <w:lang w:eastAsia="en-GB"/>
              </w:rPr>
              <w:t>RET</w:t>
            </w:r>
          </w:p>
        </w:tc>
        <w:tc>
          <w:tcPr>
            <w:tcW w:w="1411" w:type="dxa"/>
            <w:tcBorders>
              <w:top w:val="nil"/>
              <w:left w:val="nil"/>
              <w:bottom w:val="nil"/>
              <w:right w:val="nil"/>
            </w:tcBorders>
            <w:shd w:val="clear" w:color="auto" w:fill="auto"/>
            <w:noWrap/>
            <w:vAlign w:val="bottom"/>
            <w:hideMark/>
          </w:tcPr>
          <w:p w14:paraId="67E87F0E"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0.142</w:t>
            </w:r>
          </w:p>
        </w:tc>
        <w:tc>
          <w:tcPr>
            <w:tcW w:w="1647" w:type="dxa"/>
            <w:tcBorders>
              <w:top w:val="nil"/>
              <w:left w:val="nil"/>
              <w:bottom w:val="nil"/>
              <w:right w:val="nil"/>
            </w:tcBorders>
            <w:shd w:val="clear" w:color="auto" w:fill="auto"/>
            <w:noWrap/>
            <w:vAlign w:val="bottom"/>
            <w:hideMark/>
          </w:tcPr>
          <w:p w14:paraId="5D5F2F40"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0.523</w:t>
            </w:r>
          </w:p>
        </w:tc>
        <w:tc>
          <w:tcPr>
            <w:tcW w:w="877" w:type="dxa"/>
            <w:tcBorders>
              <w:top w:val="nil"/>
              <w:left w:val="nil"/>
              <w:bottom w:val="nil"/>
              <w:right w:val="nil"/>
            </w:tcBorders>
            <w:shd w:val="clear" w:color="auto" w:fill="auto"/>
            <w:noWrap/>
            <w:vAlign w:val="bottom"/>
            <w:hideMark/>
          </w:tcPr>
          <w:p w14:paraId="27A48B0F"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-0.877</w:t>
            </w:r>
          </w:p>
        </w:tc>
        <w:tc>
          <w:tcPr>
            <w:tcW w:w="1019" w:type="dxa"/>
            <w:tcBorders>
              <w:top w:val="nil"/>
              <w:left w:val="nil"/>
              <w:bottom w:val="nil"/>
              <w:right w:val="nil"/>
            </w:tcBorders>
            <w:shd w:val="clear" w:color="auto" w:fill="auto"/>
            <w:noWrap/>
            <w:vAlign w:val="bottom"/>
            <w:hideMark/>
          </w:tcPr>
          <w:p w14:paraId="6E778BFF"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-0.394</w:t>
            </w:r>
          </w:p>
        </w:tc>
        <w:tc>
          <w:tcPr>
            <w:tcW w:w="1255" w:type="dxa"/>
            <w:tcBorders>
              <w:top w:val="nil"/>
              <w:left w:val="nil"/>
              <w:bottom w:val="nil"/>
              <w:right w:val="nil"/>
            </w:tcBorders>
            <w:shd w:val="clear" w:color="auto" w:fill="auto"/>
            <w:noWrap/>
            <w:vAlign w:val="bottom"/>
            <w:hideMark/>
          </w:tcPr>
          <w:p w14:paraId="7B42B5C3"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0.082</w:t>
            </w:r>
          </w:p>
        </w:tc>
        <w:tc>
          <w:tcPr>
            <w:tcW w:w="1411" w:type="dxa"/>
            <w:tcBorders>
              <w:top w:val="nil"/>
              <w:left w:val="nil"/>
              <w:bottom w:val="nil"/>
              <w:right w:val="nil"/>
            </w:tcBorders>
            <w:shd w:val="clear" w:color="auto" w:fill="auto"/>
            <w:noWrap/>
            <w:vAlign w:val="bottom"/>
            <w:hideMark/>
          </w:tcPr>
          <w:p w14:paraId="4943EB0E"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0.681</w:t>
            </w:r>
          </w:p>
        </w:tc>
        <w:tc>
          <w:tcPr>
            <w:tcW w:w="1803" w:type="dxa"/>
            <w:tcBorders>
              <w:top w:val="nil"/>
              <w:left w:val="nil"/>
              <w:bottom w:val="nil"/>
              <w:right w:val="nil"/>
            </w:tcBorders>
            <w:shd w:val="clear" w:color="auto" w:fill="auto"/>
            <w:noWrap/>
            <w:vAlign w:val="bottom"/>
            <w:hideMark/>
          </w:tcPr>
          <w:p w14:paraId="4D9D639C"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2.954</w:t>
            </w:r>
          </w:p>
        </w:tc>
      </w:tr>
      <w:tr w:rsidR="00F70452" w:rsidRPr="00F70452" w14:paraId="70A8964A" w14:textId="77777777" w:rsidTr="00F0260B">
        <w:trPr>
          <w:trHeight w:val="310"/>
        </w:trPr>
        <w:tc>
          <w:tcPr>
            <w:tcW w:w="2728" w:type="dxa"/>
            <w:tcBorders>
              <w:top w:val="nil"/>
              <w:left w:val="nil"/>
              <w:bottom w:val="nil"/>
              <w:right w:val="nil"/>
            </w:tcBorders>
            <w:shd w:val="clear" w:color="auto" w:fill="auto"/>
            <w:noWrap/>
            <w:vAlign w:val="bottom"/>
            <w:hideMark/>
          </w:tcPr>
          <w:p w14:paraId="55927727" w14:textId="77777777" w:rsidR="00F70452" w:rsidRPr="00F70452" w:rsidRDefault="00F70452" w:rsidP="00A705CD">
            <w:pPr>
              <w:framePr w:hSpace="180" w:wrap="around" w:vAnchor="text" w:hAnchor="page" w:x="2461" w:y="-779"/>
              <w:spacing w:after="0" w:line="240" w:lineRule="auto"/>
              <w:ind w:firstLineChars="100" w:firstLine="240"/>
              <w:rPr>
                <w:rFonts w:ascii="Times New Roman" w:eastAsia="Times New Roman" w:hAnsi="Times New Roman" w:cs="Times New Roman"/>
                <w:i/>
                <w:iCs/>
                <w:color w:val="000000"/>
                <w:sz w:val="24"/>
                <w:szCs w:val="24"/>
                <w:lang w:eastAsia="en-GB"/>
              </w:rPr>
            </w:pPr>
            <w:proofErr w:type="spellStart"/>
            <w:r w:rsidRPr="00F70452">
              <w:rPr>
                <w:rFonts w:ascii="Times New Roman" w:eastAsia="Times New Roman" w:hAnsi="Times New Roman" w:cs="Times New Roman"/>
                <w:i/>
                <w:iCs/>
                <w:color w:val="000000"/>
                <w:sz w:val="24"/>
                <w:szCs w:val="24"/>
                <w:lang w:eastAsia="en-GB"/>
              </w:rPr>
              <w:t>CEOage</w:t>
            </w:r>
            <w:proofErr w:type="spellEnd"/>
          </w:p>
        </w:tc>
        <w:tc>
          <w:tcPr>
            <w:tcW w:w="1411" w:type="dxa"/>
            <w:tcBorders>
              <w:top w:val="nil"/>
              <w:left w:val="nil"/>
              <w:bottom w:val="nil"/>
              <w:right w:val="nil"/>
            </w:tcBorders>
            <w:shd w:val="clear" w:color="auto" w:fill="auto"/>
            <w:noWrap/>
            <w:vAlign w:val="bottom"/>
            <w:hideMark/>
          </w:tcPr>
          <w:p w14:paraId="6EF1ED14"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55.431</w:t>
            </w:r>
          </w:p>
        </w:tc>
        <w:tc>
          <w:tcPr>
            <w:tcW w:w="1647" w:type="dxa"/>
            <w:tcBorders>
              <w:top w:val="nil"/>
              <w:left w:val="nil"/>
              <w:bottom w:val="nil"/>
              <w:right w:val="nil"/>
            </w:tcBorders>
            <w:shd w:val="clear" w:color="auto" w:fill="auto"/>
            <w:noWrap/>
            <w:vAlign w:val="bottom"/>
            <w:hideMark/>
          </w:tcPr>
          <w:p w14:paraId="52211745"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7.077</w:t>
            </w:r>
          </w:p>
        </w:tc>
        <w:tc>
          <w:tcPr>
            <w:tcW w:w="877" w:type="dxa"/>
            <w:tcBorders>
              <w:top w:val="nil"/>
              <w:left w:val="nil"/>
              <w:bottom w:val="nil"/>
              <w:right w:val="nil"/>
            </w:tcBorders>
            <w:shd w:val="clear" w:color="auto" w:fill="auto"/>
            <w:noWrap/>
            <w:vAlign w:val="bottom"/>
            <w:hideMark/>
          </w:tcPr>
          <w:p w14:paraId="5A868769"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39.000</w:t>
            </w:r>
          </w:p>
        </w:tc>
        <w:tc>
          <w:tcPr>
            <w:tcW w:w="1019" w:type="dxa"/>
            <w:tcBorders>
              <w:top w:val="nil"/>
              <w:left w:val="nil"/>
              <w:bottom w:val="nil"/>
              <w:right w:val="nil"/>
            </w:tcBorders>
            <w:shd w:val="clear" w:color="auto" w:fill="auto"/>
            <w:noWrap/>
            <w:vAlign w:val="bottom"/>
            <w:hideMark/>
          </w:tcPr>
          <w:p w14:paraId="76059CB6"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46.000</w:t>
            </w:r>
          </w:p>
        </w:tc>
        <w:tc>
          <w:tcPr>
            <w:tcW w:w="1255" w:type="dxa"/>
            <w:tcBorders>
              <w:top w:val="nil"/>
              <w:left w:val="nil"/>
              <w:bottom w:val="nil"/>
              <w:right w:val="nil"/>
            </w:tcBorders>
            <w:shd w:val="clear" w:color="auto" w:fill="auto"/>
            <w:noWrap/>
            <w:vAlign w:val="bottom"/>
            <w:hideMark/>
          </w:tcPr>
          <w:p w14:paraId="5059DC97"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55.000</w:t>
            </w:r>
          </w:p>
        </w:tc>
        <w:tc>
          <w:tcPr>
            <w:tcW w:w="1411" w:type="dxa"/>
            <w:tcBorders>
              <w:top w:val="nil"/>
              <w:left w:val="nil"/>
              <w:bottom w:val="nil"/>
              <w:right w:val="nil"/>
            </w:tcBorders>
            <w:shd w:val="clear" w:color="auto" w:fill="auto"/>
            <w:noWrap/>
            <w:vAlign w:val="bottom"/>
            <w:hideMark/>
          </w:tcPr>
          <w:p w14:paraId="22706B0B"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64.000</w:t>
            </w:r>
          </w:p>
        </w:tc>
        <w:tc>
          <w:tcPr>
            <w:tcW w:w="1803" w:type="dxa"/>
            <w:tcBorders>
              <w:top w:val="nil"/>
              <w:left w:val="nil"/>
              <w:bottom w:val="nil"/>
              <w:right w:val="nil"/>
            </w:tcBorders>
            <w:shd w:val="clear" w:color="auto" w:fill="auto"/>
            <w:noWrap/>
            <w:vAlign w:val="bottom"/>
            <w:hideMark/>
          </w:tcPr>
          <w:p w14:paraId="4DC744D6"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76.000</w:t>
            </w:r>
          </w:p>
        </w:tc>
      </w:tr>
      <w:tr w:rsidR="00F70452" w:rsidRPr="00F70452" w14:paraId="3F040766" w14:textId="77777777" w:rsidTr="00F0260B">
        <w:trPr>
          <w:trHeight w:val="330"/>
        </w:trPr>
        <w:tc>
          <w:tcPr>
            <w:tcW w:w="2728" w:type="dxa"/>
            <w:tcBorders>
              <w:top w:val="nil"/>
              <w:left w:val="nil"/>
              <w:bottom w:val="single" w:sz="4" w:space="0" w:color="auto"/>
              <w:right w:val="nil"/>
            </w:tcBorders>
            <w:shd w:val="clear" w:color="auto" w:fill="auto"/>
            <w:noWrap/>
            <w:vAlign w:val="bottom"/>
            <w:hideMark/>
          </w:tcPr>
          <w:p w14:paraId="0E9A78D7" w14:textId="77777777" w:rsidR="00F70452" w:rsidRPr="00F70452" w:rsidRDefault="00F70452" w:rsidP="00A705CD">
            <w:pPr>
              <w:framePr w:hSpace="180" w:wrap="around" w:vAnchor="text" w:hAnchor="page" w:x="2461" w:y="-779"/>
              <w:spacing w:after="0" w:line="240" w:lineRule="auto"/>
              <w:ind w:firstLineChars="100" w:firstLine="240"/>
              <w:rPr>
                <w:rFonts w:ascii="Times New Roman" w:eastAsia="Times New Roman" w:hAnsi="Times New Roman" w:cs="Times New Roman"/>
                <w:i/>
                <w:iCs/>
                <w:color w:val="000000"/>
                <w:sz w:val="24"/>
                <w:szCs w:val="24"/>
                <w:lang w:eastAsia="en-GB"/>
              </w:rPr>
            </w:pPr>
            <w:proofErr w:type="spellStart"/>
            <w:r w:rsidRPr="00F70452">
              <w:rPr>
                <w:rFonts w:ascii="Times New Roman" w:eastAsia="Times New Roman" w:hAnsi="Times New Roman" w:cs="Times New Roman"/>
                <w:i/>
                <w:iCs/>
                <w:color w:val="000000"/>
                <w:sz w:val="24"/>
                <w:szCs w:val="24"/>
                <w:lang w:eastAsia="en-GB"/>
              </w:rPr>
              <w:t>CEOtenure</w:t>
            </w:r>
            <w:proofErr w:type="spellEnd"/>
          </w:p>
        </w:tc>
        <w:tc>
          <w:tcPr>
            <w:tcW w:w="1411" w:type="dxa"/>
            <w:tcBorders>
              <w:top w:val="nil"/>
              <w:left w:val="nil"/>
              <w:bottom w:val="single" w:sz="4" w:space="0" w:color="auto"/>
              <w:right w:val="nil"/>
            </w:tcBorders>
            <w:shd w:val="clear" w:color="auto" w:fill="auto"/>
            <w:noWrap/>
            <w:vAlign w:val="bottom"/>
            <w:hideMark/>
          </w:tcPr>
          <w:p w14:paraId="571A8F92"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8.026</w:t>
            </w:r>
          </w:p>
        </w:tc>
        <w:tc>
          <w:tcPr>
            <w:tcW w:w="1647" w:type="dxa"/>
            <w:tcBorders>
              <w:top w:val="nil"/>
              <w:left w:val="nil"/>
              <w:bottom w:val="single" w:sz="4" w:space="0" w:color="auto"/>
              <w:right w:val="nil"/>
            </w:tcBorders>
            <w:shd w:val="clear" w:color="auto" w:fill="auto"/>
            <w:noWrap/>
            <w:vAlign w:val="bottom"/>
            <w:hideMark/>
          </w:tcPr>
          <w:p w14:paraId="3102A81C"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6.854</w:t>
            </w:r>
          </w:p>
        </w:tc>
        <w:tc>
          <w:tcPr>
            <w:tcW w:w="877" w:type="dxa"/>
            <w:tcBorders>
              <w:top w:val="nil"/>
              <w:left w:val="nil"/>
              <w:bottom w:val="single" w:sz="4" w:space="0" w:color="auto"/>
              <w:right w:val="nil"/>
            </w:tcBorders>
            <w:shd w:val="clear" w:color="auto" w:fill="auto"/>
            <w:noWrap/>
            <w:vAlign w:val="bottom"/>
            <w:hideMark/>
          </w:tcPr>
          <w:p w14:paraId="4DF80C5E"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1.000</w:t>
            </w:r>
          </w:p>
        </w:tc>
        <w:tc>
          <w:tcPr>
            <w:tcW w:w="1019" w:type="dxa"/>
            <w:tcBorders>
              <w:top w:val="nil"/>
              <w:left w:val="nil"/>
              <w:bottom w:val="single" w:sz="4" w:space="0" w:color="auto"/>
              <w:right w:val="nil"/>
            </w:tcBorders>
            <w:shd w:val="clear" w:color="auto" w:fill="auto"/>
            <w:noWrap/>
            <w:vAlign w:val="bottom"/>
            <w:hideMark/>
          </w:tcPr>
          <w:p w14:paraId="3FFF55F4"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2.000</w:t>
            </w:r>
          </w:p>
        </w:tc>
        <w:tc>
          <w:tcPr>
            <w:tcW w:w="1255" w:type="dxa"/>
            <w:tcBorders>
              <w:top w:val="nil"/>
              <w:left w:val="nil"/>
              <w:bottom w:val="single" w:sz="4" w:space="0" w:color="auto"/>
              <w:right w:val="nil"/>
            </w:tcBorders>
            <w:shd w:val="clear" w:color="auto" w:fill="auto"/>
            <w:noWrap/>
            <w:vAlign w:val="bottom"/>
            <w:hideMark/>
          </w:tcPr>
          <w:p w14:paraId="41914962"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6.000</w:t>
            </w:r>
          </w:p>
        </w:tc>
        <w:tc>
          <w:tcPr>
            <w:tcW w:w="1411" w:type="dxa"/>
            <w:tcBorders>
              <w:top w:val="nil"/>
              <w:left w:val="nil"/>
              <w:bottom w:val="single" w:sz="4" w:space="0" w:color="auto"/>
              <w:right w:val="nil"/>
            </w:tcBorders>
            <w:shd w:val="clear" w:color="auto" w:fill="auto"/>
            <w:noWrap/>
            <w:vAlign w:val="bottom"/>
            <w:hideMark/>
          </w:tcPr>
          <w:p w14:paraId="7DB902F9"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17.000</w:t>
            </w:r>
          </w:p>
        </w:tc>
        <w:tc>
          <w:tcPr>
            <w:tcW w:w="1803" w:type="dxa"/>
            <w:tcBorders>
              <w:top w:val="nil"/>
              <w:left w:val="nil"/>
              <w:bottom w:val="single" w:sz="4" w:space="0" w:color="auto"/>
              <w:right w:val="nil"/>
            </w:tcBorders>
            <w:shd w:val="clear" w:color="auto" w:fill="auto"/>
            <w:noWrap/>
            <w:vAlign w:val="bottom"/>
            <w:hideMark/>
          </w:tcPr>
          <w:p w14:paraId="3DB40A83" w14:textId="77777777" w:rsidR="00F70452" w:rsidRPr="00F70452" w:rsidRDefault="00F70452" w:rsidP="00A705CD">
            <w:pPr>
              <w:framePr w:hSpace="180" w:wrap="around" w:vAnchor="text" w:hAnchor="page" w:x="2461" w:y="-779"/>
              <w:spacing w:after="0" w:line="240" w:lineRule="auto"/>
              <w:jc w:val="right"/>
              <w:rPr>
                <w:rFonts w:ascii="Times New Roman" w:eastAsia="Times New Roman" w:hAnsi="Times New Roman" w:cs="Times New Roman"/>
                <w:color w:val="000000"/>
                <w:sz w:val="24"/>
                <w:szCs w:val="24"/>
                <w:lang w:eastAsia="en-GB"/>
              </w:rPr>
            </w:pPr>
            <w:r w:rsidRPr="00F70452">
              <w:rPr>
                <w:rFonts w:ascii="Times New Roman" w:eastAsia="Times New Roman" w:hAnsi="Times New Roman" w:cs="Times New Roman"/>
                <w:color w:val="000000"/>
                <w:sz w:val="24"/>
                <w:szCs w:val="24"/>
                <w:lang w:eastAsia="en-GB"/>
              </w:rPr>
              <w:t>35.000</w:t>
            </w:r>
          </w:p>
        </w:tc>
      </w:tr>
    </w:tbl>
    <w:p w14:paraId="7F2E8450" w14:textId="77777777" w:rsidR="00E57A11" w:rsidRPr="00DA1D07" w:rsidRDefault="00E57A11" w:rsidP="00E57A11">
      <w:pPr>
        <w:rPr>
          <w:lang w:val="en-US"/>
        </w:rPr>
      </w:pPr>
    </w:p>
    <w:tbl>
      <w:tblPr>
        <w:tblW w:w="15757" w:type="dxa"/>
        <w:jc w:val="center"/>
        <w:tblCellMar>
          <w:left w:w="28" w:type="dxa"/>
          <w:right w:w="28" w:type="dxa"/>
        </w:tblCellMar>
        <w:tblLook w:val="04A0" w:firstRow="1" w:lastRow="0" w:firstColumn="1" w:lastColumn="0" w:noHBand="0" w:noVBand="1"/>
      </w:tblPr>
      <w:tblGrid>
        <w:gridCol w:w="616"/>
        <w:gridCol w:w="1616"/>
        <w:gridCol w:w="1002"/>
        <w:gridCol w:w="841"/>
        <w:gridCol w:w="850"/>
        <w:gridCol w:w="851"/>
        <w:gridCol w:w="941"/>
        <w:gridCol w:w="902"/>
        <w:gridCol w:w="766"/>
        <w:gridCol w:w="940"/>
        <w:gridCol w:w="845"/>
        <w:gridCol w:w="851"/>
        <w:gridCol w:w="766"/>
        <w:gridCol w:w="935"/>
        <w:gridCol w:w="766"/>
        <w:gridCol w:w="935"/>
        <w:gridCol w:w="666"/>
        <w:gridCol w:w="751"/>
      </w:tblGrid>
      <w:tr w:rsidR="00E57A11" w:rsidRPr="00F62082" w14:paraId="57FD4C16" w14:textId="77777777" w:rsidTr="002753C1">
        <w:trPr>
          <w:trHeight w:val="300"/>
          <w:jc w:val="center"/>
        </w:trPr>
        <w:tc>
          <w:tcPr>
            <w:tcW w:w="15757" w:type="dxa"/>
            <w:gridSpan w:val="18"/>
            <w:tcBorders>
              <w:top w:val="nil"/>
              <w:left w:val="nil"/>
              <w:bottom w:val="nil"/>
              <w:right w:val="nil"/>
            </w:tcBorders>
            <w:shd w:val="clear" w:color="auto" w:fill="auto"/>
            <w:noWrap/>
            <w:vAlign w:val="bottom"/>
            <w:hideMark/>
          </w:tcPr>
          <w:p w14:paraId="3696F337" w14:textId="77777777" w:rsidR="00E57A11" w:rsidRPr="00DA1D07" w:rsidRDefault="00E57A11" w:rsidP="002753C1">
            <w:pPr>
              <w:spacing w:line="240" w:lineRule="auto"/>
              <w:jc w:val="center"/>
              <w:rPr>
                <w:rFonts w:asciiTheme="majorBidi" w:eastAsia="Times New Roman" w:hAnsiTheme="majorBidi" w:cstheme="majorBidi"/>
                <w:b/>
                <w:bCs/>
                <w:color w:val="000000"/>
                <w:sz w:val="24"/>
                <w:szCs w:val="24"/>
                <w:lang w:val="en-US" w:eastAsia="en-GB"/>
              </w:rPr>
            </w:pPr>
            <w:r w:rsidRPr="00DA1D07">
              <w:rPr>
                <w:rFonts w:asciiTheme="majorBidi" w:eastAsia="Times New Roman" w:hAnsiTheme="majorBidi" w:cstheme="majorBidi"/>
                <w:b/>
                <w:bCs/>
                <w:color w:val="000000"/>
                <w:sz w:val="24"/>
                <w:szCs w:val="24"/>
                <w:lang w:val="en-US" w:eastAsia="en-GB"/>
              </w:rPr>
              <w:lastRenderedPageBreak/>
              <w:t>TABLE 3</w:t>
            </w:r>
          </w:p>
        </w:tc>
      </w:tr>
      <w:tr w:rsidR="00E57A11" w:rsidRPr="00F62082" w14:paraId="22AFA118" w14:textId="77777777" w:rsidTr="002753C1">
        <w:trPr>
          <w:trHeight w:val="312"/>
          <w:jc w:val="center"/>
        </w:trPr>
        <w:tc>
          <w:tcPr>
            <w:tcW w:w="15757" w:type="dxa"/>
            <w:gridSpan w:val="18"/>
            <w:tcBorders>
              <w:top w:val="nil"/>
              <w:left w:val="nil"/>
              <w:bottom w:val="nil"/>
              <w:right w:val="nil"/>
            </w:tcBorders>
            <w:shd w:val="clear" w:color="auto" w:fill="auto"/>
            <w:vAlign w:val="bottom"/>
            <w:hideMark/>
          </w:tcPr>
          <w:p w14:paraId="2B5CD04B" w14:textId="77777777" w:rsidR="00E57A11" w:rsidRPr="00DA1D07" w:rsidRDefault="00E57A11" w:rsidP="002753C1">
            <w:pPr>
              <w:spacing w:line="240" w:lineRule="auto"/>
              <w:jc w:val="center"/>
              <w:rPr>
                <w:rFonts w:asciiTheme="majorBidi" w:eastAsia="Times New Roman" w:hAnsiTheme="majorBidi" w:cstheme="majorBidi"/>
                <w:b/>
                <w:bCs/>
                <w:color w:val="000000"/>
                <w:sz w:val="24"/>
                <w:szCs w:val="24"/>
                <w:lang w:val="en-US" w:eastAsia="en-GB"/>
              </w:rPr>
            </w:pPr>
            <w:r w:rsidRPr="00DA1D07">
              <w:rPr>
                <w:rFonts w:asciiTheme="majorBidi" w:eastAsia="Times New Roman" w:hAnsiTheme="majorBidi" w:cstheme="majorBidi"/>
                <w:b/>
                <w:bCs/>
                <w:color w:val="000000"/>
                <w:sz w:val="24"/>
                <w:szCs w:val="24"/>
                <w:lang w:val="en-US" w:eastAsia="en-GB"/>
              </w:rPr>
              <w:t>Correlations Matrix</w:t>
            </w:r>
          </w:p>
        </w:tc>
      </w:tr>
      <w:tr w:rsidR="00E57A11" w:rsidRPr="00F62082" w14:paraId="6182E3E4" w14:textId="77777777" w:rsidTr="002753C1">
        <w:trPr>
          <w:trHeight w:val="672"/>
          <w:jc w:val="center"/>
        </w:trPr>
        <w:tc>
          <w:tcPr>
            <w:tcW w:w="15757" w:type="dxa"/>
            <w:gridSpan w:val="18"/>
            <w:tcBorders>
              <w:top w:val="nil"/>
              <w:left w:val="nil"/>
              <w:bottom w:val="single" w:sz="4" w:space="0" w:color="auto"/>
              <w:right w:val="nil"/>
            </w:tcBorders>
            <w:shd w:val="clear" w:color="auto" w:fill="auto"/>
            <w:vAlign w:val="bottom"/>
            <w:hideMark/>
          </w:tcPr>
          <w:p w14:paraId="46C3D303" w14:textId="263A36E3" w:rsidR="00E57A11" w:rsidRPr="00DA1D07" w:rsidRDefault="00E57A11" w:rsidP="002753C1">
            <w:pPr>
              <w:spacing w:line="240" w:lineRule="auto"/>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 xml:space="preserve">This table presents the matrix of correlations coefficients. </w:t>
            </w:r>
            <w:r w:rsidR="00BF3F22">
              <w:rPr>
                <w:rFonts w:asciiTheme="majorBidi" w:eastAsia="Times New Roman" w:hAnsiTheme="majorBidi" w:cstheme="majorBidi"/>
                <w:color w:val="000000"/>
                <w:sz w:val="24"/>
                <w:szCs w:val="24"/>
                <w:lang w:val="en-US" w:eastAsia="en-GB"/>
              </w:rPr>
              <w:t>An asterisk (</w:t>
            </w:r>
            <w:r w:rsidRPr="00DA1D07">
              <w:rPr>
                <w:rFonts w:asciiTheme="majorBidi" w:eastAsia="Times New Roman" w:hAnsiTheme="majorBidi" w:cstheme="majorBidi"/>
                <w:color w:val="000000"/>
                <w:sz w:val="24"/>
                <w:szCs w:val="24"/>
                <w:lang w:val="en-US" w:eastAsia="en-GB"/>
              </w:rPr>
              <w:t>*</w:t>
            </w:r>
            <w:r w:rsidR="00BF3F22">
              <w:rPr>
                <w:rFonts w:asciiTheme="majorBidi" w:eastAsia="Times New Roman" w:hAnsiTheme="majorBidi" w:cstheme="majorBidi"/>
                <w:color w:val="000000"/>
                <w:sz w:val="24"/>
                <w:szCs w:val="24"/>
                <w:lang w:val="en-US" w:eastAsia="en-GB"/>
              </w:rPr>
              <w:t xml:space="preserve">) </w:t>
            </w:r>
            <w:r w:rsidR="00BF3F22" w:rsidRPr="00BF3F22">
              <w:rPr>
                <w:rFonts w:asciiTheme="majorBidi" w:eastAsia="Times New Roman" w:hAnsiTheme="majorBidi" w:cstheme="majorBidi"/>
                <w:color w:val="000000"/>
                <w:sz w:val="24"/>
                <w:szCs w:val="24"/>
                <w:lang w:val="en-US" w:eastAsia="en-GB"/>
              </w:rPr>
              <w:t>indicates that the correlation coefficient is significant at the 5% level</w:t>
            </w:r>
            <w:r w:rsidR="00BF3F22">
              <w:rPr>
                <w:rFonts w:asciiTheme="majorBidi" w:eastAsia="Times New Roman" w:hAnsiTheme="majorBidi" w:cstheme="majorBidi"/>
                <w:color w:val="000000"/>
                <w:sz w:val="24"/>
                <w:szCs w:val="24"/>
                <w:lang w:val="en-US" w:eastAsia="en-GB"/>
              </w:rPr>
              <w:t xml:space="preserve">. </w:t>
            </w:r>
            <w:r w:rsidRPr="00DA1D07">
              <w:rPr>
                <w:rFonts w:asciiTheme="majorBidi" w:eastAsia="Times New Roman" w:hAnsiTheme="majorBidi" w:cstheme="majorBidi"/>
                <w:color w:val="000000"/>
                <w:sz w:val="24"/>
                <w:szCs w:val="24"/>
                <w:lang w:val="en-US" w:eastAsia="en-GB"/>
              </w:rPr>
              <w:t xml:space="preserve">Definitions of all variables are provided in Appendix </w:t>
            </w:r>
            <w:r w:rsidR="006B635B">
              <w:rPr>
                <w:rFonts w:asciiTheme="majorBidi" w:eastAsia="Times New Roman" w:hAnsiTheme="majorBidi" w:cstheme="majorBidi"/>
                <w:color w:val="000000"/>
                <w:sz w:val="24"/>
                <w:szCs w:val="24"/>
                <w:lang w:val="en-US" w:eastAsia="en-GB"/>
              </w:rPr>
              <w:t>1</w:t>
            </w:r>
            <w:r w:rsidRPr="00DA1D07">
              <w:rPr>
                <w:rFonts w:asciiTheme="majorBidi" w:eastAsia="Times New Roman" w:hAnsiTheme="majorBidi" w:cstheme="majorBidi"/>
                <w:color w:val="000000"/>
                <w:sz w:val="24"/>
                <w:szCs w:val="24"/>
                <w:lang w:val="en-US" w:eastAsia="en-GB"/>
              </w:rPr>
              <w:t>.</w:t>
            </w:r>
          </w:p>
        </w:tc>
      </w:tr>
      <w:tr w:rsidR="00E57A11" w:rsidRPr="00F62082" w14:paraId="4836BBB4" w14:textId="77777777" w:rsidTr="002753C1">
        <w:trPr>
          <w:trHeight w:val="314"/>
          <w:jc w:val="center"/>
        </w:trPr>
        <w:tc>
          <w:tcPr>
            <w:tcW w:w="616" w:type="dxa"/>
            <w:tcBorders>
              <w:top w:val="nil"/>
              <w:left w:val="nil"/>
              <w:bottom w:val="nil"/>
              <w:right w:val="nil"/>
            </w:tcBorders>
            <w:shd w:val="clear" w:color="auto" w:fill="auto"/>
            <w:noWrap/>
            <w:vAlign w:val="bottom"/>
            <w:hideMark/>
          </w:tcPr>
          <w:p w14:paraId="756D9ECE" w14:textId="77777777" w:rsidR="00E57A11" w:rsidRPr="00DA1D07" w:rsidRDefault="00E57A11" w:rsidP="002753C1">
            <w:pPr>
              <w:spacing w:after="0" w:line="240" w:lineRule="auto"/>
              <w:jc w:val="right"/>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 </w:t>
            </w:r>
          </w:p>
        </w:tc>
        <w:tc>
          <w:tcPr>
            <w:tcW w:w="1533" w:type="dxa"/>
            <w:tcBorders>
              <w:top w:val="nil"/>
              <w:left w:val="nil"/>
              <w:bottom w:val="nil"/>
              <w:right w:val="nil"/>
            </w:tcBorders>
            <w:shd w:val="clear" w:color="auto" w:fill="auto"/>
            <w:noWrap/>
            <w:vAlign w:val="bottom"/>
            <w:hideMark/>
          </w:tcPr>
          <w:p w14:paraId="09724425"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 </w:t>
            </w:r>
          </w:p>
        </w:tc>
        <w:tc>
          <w:tcPr>
            <w:tcW w:w="1002" w:type="dxa"/>
            <w:tcBorders>
              <w:top w:val="nil"/>
              <w:left w:val="nil"/>
              <w:bottom w:val="nil"/>
              <w:right w:val="nil"/>
            </w:tcBorders>
            <w:shd w:val="clear" w:color="auto" w:fill="auto"/>
            <w:noWrap/>
            <w:vAlign w:val="bottom"/>
            <w:hideMark/>
          </w:tcPr>
          <w:p w14:paraId="7FACE3EE"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(1)</w:t>
            </w:r>
          </w:p>
        </w:tc>
        <w:tc>
          <w:tcPr>
            <w:tcW w:w="841" w:type="dxa"/>
            <w:tcBorders>
              <w:top w:val="nil"/>
              <w:left w:val="nil"/>
              <w:bottom w:val="nil"/>
              <w:right w:val="nil"/>
            </w:tcBorders>
            <w:shd w:val="clear" w:color="auto" w:fill="auto"/>
            <w:noWrap/>
            <w:vAlign w:val="bottom"/>
            <w:hideMark/>
          </w:tcPr>
          <w:p w14:paraId="26B10CE9"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(2)</w:t>
            </w:r>
          </w:p>
        </w:tc>
        <w:tc>
          <w:tcPr>
            <w:tcW w:w="850" w:type="dxa"/>
            <w:tcBorders>
              <w:top w:val="nil"/>
              <w:left w:val="nil"/>
              <w:bottom w:val="nil"/>
              <w:right w:val="nil"/>
            </w:tcBorders>
            <w:shd w:val="clear" w:color="auto" w:fill="auto"/>
            <w:noWrap/>
            <w:vAlign w:val="bottom"/>
            <w:hideMark/>
          </w:tcPr>
          <w:p w14:paraId="71490C66"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(3)</w:t>
            </w:r>
          </w:p>
        </w:tc>
        <w:tc>
          <w:tcPr>
            <w:tcW w:w="851" w:type="dxa"/>
            <w:tcBorders>
              <w:top w:val="nil"/>
              <w:left w:val="nil"/>
              <w:bottom w:val="nil"/>
              <w:right w:val="nil"/>
            </w:tcBorders>
            <w:shd w:val="clear" w:color="auto" w:fill="auto"/>
            <w:noWrap/>
            <w:vAlign w:val="bottom"/>
            <w:hideMark/>
          </w:tcPr>
          <w:p w14:paraId="1A6DA961"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(4)</w:t>
            </w:r>
          </w:p>
        </w:tc>
        <w:tc>
          <w:tcPr>
            <w:tcW w:w="941" w:type="dxa"/>
            <w:tcBorders>
              <w:top w:val="nil"/>
              <w:left w:val="nil"/>
              <w:bottom w:val="nil"/>
              <w:right w:val="nil"/>
            </w:tcBorders>
            <w:shd w:val="clear" w:color="auto" w:fill="auto"/>
            <w:noWrap/>
            <w:vAlign w:val="bottom"/>
            <w:hideMark/>
          </w:tcPr>
          <w:p w14:paraId="7C07BFAF"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(5)</w:t>
            </w:r>
          </w:p>
        </w:tc>
        <w:tc>
          <w:tcPr>
            <w:tcW w:w="902" w:type="dxa"/>
            <w:tcBorders>
              <w:top w:val="nil"/>
              <w:left w:val="nil"/>
              <w:bottom w:val="nil"/>
              <w:right w:val="nil"/>
            </w:tcBorders>
            <w:shd w:val="clear" w:color="auto" w:fill="auto"/>
            <w:noWrap/>
            <w:vAlign w:val="bottom"/>
            <w:hideMark/>
          </w:tcPr>
          <w:p w14:paraId="5051876C"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(6)</w:t>
            </w:r>
          </w:p>
        </w:tc>
        <w:tc>
          <w:tcPr>
            <w:tcW w:w="766" w:type="dxa"/>
            <w:tcBorders>
              <w:top w:val="nil"/>
              <w:left w:val="nil"/>
              <w:bottom w:val="nil"/>
              <w:right w:val="nil"/>
            </w:tcBorders>
            <w:shd w:val="clear" w:color="auto" w:fill="auto"/>
            <w:noWrap/>
            <w:vAlign w:val="bottom"/>
            <w:hideMark/>
          </w:tcPr>
          <w:p w14:paraId="62C514F9"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(7)</w:t>
            </w:r>
          </w:p>
        </w:tc>
        <w:tc>
          <w:tcPr>
            <w:tcW w:w="940" w:type="dxa"/>
            <w:tcBorders>
              <w:top w:val="nil"/>
              <w:left w:val="nil"/>
              <w:bottom w:val="nil"/>
              <w:right w:val="nil"/>
            </w:tcBorders>
            <w:shd w:val="clear" w:color="auto" w:fill="auto"/>
            <w:noWrap/>
            <w:vAlign w:val="bottom"/>
            <w:hideMark/>
          </w:tcPr>
          <w:p w14:paraId="3DC26D06"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(8)</w:t>
            </w:r>
          </w:p>
        </w:tc>
        <w:tc>
          <w:tcPr>
            <w:tcW w:w="845" w:type="dxa"/>
            <w:tcBorders>
              <w:top w:val="nil"/>
              <w:left w:val="nil"/>
              <w:bottom w:val="nil"/>
              <w:right w:val="nil"/>
            </w:tcBorders>
            <w:shd w:val="clear" w:color="auto" w:fill="auto"/>
            <w:noWrap/>
            <w:vAlign w:val="bottom"/>
            <w:hideMark/>
          </w:tcPr>
          <w:p w14:paraId="66DD4D7A"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(9)</w:t>
            </w:r>
          </w:p>
        </w:tc>
        <w:tc>
          <w:tcPr>
            <w:tcW w:w="851" w:type="dxa"/>
            <w:tcBorders>
              <w:top w:val="nil"/>
              <w:left w:val="nil"/>
              <w:bottom w:val="nil"/>
              <w:right w:val="nil"/>
            </w:tcBorders>
            <w:shd w:val="clear" w:color="auto" w:fill="auto"/>
            <w:noWrap/>
            <w:vAlign w:val="bottom"/>
            <w:hideMark/>
          </w:tcPr>
          <w:p w14:paraId="52F23A67"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(10)</w:t>
            </w:r>
          </w:p>
        </w:tc>
        <w:tc>
          <w:tcPr>
            <w:tcW w:w="766" w:type="dxa"/>
            <w:tcBorders>
              <w:top w:val="nil"/>
              <w:left w:val="nil"/>
              <w:bottom w:val="nil"/>
              <w:right w:val="nil"/>
            </w:tcBorders>
            <w:shd w:val="clear" w:color="auto" w:fill="auto"/>
            <w:noWrap/>
            <w:vAlign w:val="bottom"/>
            <w:hideMark/>
          </w:tcPr>
          <w:p w14:paraId="31B76FA4"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(11)</w:t>
            </w:r>
          </w:p>
        </w:tc>
        <w:tc>
          <w:tcPr>
            <w:tcW w:w="935" w:type="dxa"/>
            <w:tcBorders>
              <w:top w:val="nil"/>
              <w:left w:val="nil"/>
              <w:bottom w:val="nil"/>
              <w:right w:val="nil"/>
            </w:tcBorders>
            <w:shd w:val="clear" w:color="auto" w:fill="auto"/>
            <w:noWrap/>
            <w:vAlign w:val="bottom"/>
            <w:hideMark/>
          </w:tcPr>
          <w:p w14:paraId="6542A178"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(12)</w:t>
            </w:r>
          </w:p>
        </w:tc>
        <w:tc>
          <w:tcPr>
            <w:tcW w:w="766" w:type="dxa"/>
            <w:tcBorders>
              <w:top w:val="nil"/>
              <w:left w:val="nil"/>
              <w:bottom w:val="nil"/>
              <w:right w:val="nil"/>
            </w:tcBorders>
            <w:shd w:val="clear" w:color="auto" w:fill="auto"/>
            <w:noWrap/>
            <w:vAlign w:val="bottom"/>
            <w:hideMark/>
          </w:tcPr>
          <w:p w14:paraId="48396FF4"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(13)</w:t>
            </w:r>
          </w:p>
        </w:tc>
        <w:tc>
          <w:tcPr>
            <w:tcW w:w="935" w:type="dxa"/>
            <w:tcBorders>
              <w:top w:val="nil"/>
              <w:left w:val="nil"/>
              <w:bottom w:val="nil"/>
              <w:right w:val="nil"/>
            </w:tcBorders>
            <w:shd w:val="clear" w:color="auto" w:fill="auto"/>
            <w:noWrap/>
            <w:vAlign w:val="bottom"/>
            <w:hideMark/>
          </w:tcPr>
          <w:p w14:paraId="5E88CB0A"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(14)</w:t>
            </w:r>
          </w:p>
        </w:tc>
        <w:tc>
          <w:tcPr>
            <w:tcW w:w="666" w:type="dxa"/>
            <w:tcBorders>
              <w:top w:val="nil"/>
              <w:left w:val="nil"/>
              <w:bottom w:val="nil"/>
              <w:right w:val="nil"/>
            </w:tcBorders>
            <w:shd w:val="clear" w:color="auto" w:fill="auto"/>
            <w:noWrap/>
            <w:vAlign w:val="bottom"/>
            <w:hideMark/>
          </w:tcPr>
          <w:p w14:paraId="40E231F3" w14:textId="77777777" w:rsidR="00E57A11" w:rsidRPr="00DA1D07" w:rsidRDefault="00E57A11" w:rsidP="002753C1">
            <w:pPr>
              <w:spacing w:after="0" w:line="240" w:lineRule="auto"/>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(15)</w:t>
            </w:r>
          </w:p>
        </w:tc>
        <w:tc>
          <w:tcPr>
            <w:tcW w:w="751" w:type="dxa"/>
            <w:tcBorders>
              <w:top w:val="nil"/>
              <w:left w:val="nil"/>
              <w:bottom w:val="nil"/>
              <w:right w:val="nil"/>
            </w:tcBorders>
            <w:shd w:val="clear" w:color="auto" w:fill="auto"/>
            <w:noWrap/>
            <w:vAlign w:val="bottom"/>
            <w:hideMark/>
          </w:tcPr>
          <w:p w14:paraId="40A2FFA9" w14:textId="77777777" w:rsidR="00E57A11" w:rsidRPr="00DA1D07" w:rsidRDefault="00E57A11" w:rsidP="002753C1">
            <w:pPr>
              <w:spacing w:after="0" w:line="240" w:lineRule="auto"/>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(16)</w:t>
            </w:r>
          </w:p>
        </w:tc>
      </w:tr>
      <w:tr w:rsidR="00E57A11" w:rsidRPr="00F62082" w14:paraId="0F492FBC" w14:textId="77777777" w:rsidTr="002753C1">
        <w:trPr>
          <w:trHeight w:val="314"/>
          <w:jc w:val="center"/>
        </w:trPr>
        <w:tc>
          <w:tcPr>
            <w:tcW w:w="616" w:type="dxa"/>
            <w:tcBorders>
              <w:top w:val="nil"/>
              <w:left w:val="nil"/>
              <w:bottom w:val="nil"/>
              <w:right w:val="nil"/>
            </w:tcBorders>
            <w:shd w:val="clear" w:color="auto" w:fill="auto"/>
            <w:noWrap/>
            <w:vAlign w:val="center"/>
            <w:hideMark/>
          </w:tcPr>
          <w:p w14:paraId="76CBC2E7"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(1)</w:t>
            </w:r>
          </w:p>
        </w:tc>
        <w:tc>
          <w:tcPr>
            <w:tcW w:w="1533" w:type="dxa"/>
            <w:tcBorders>
              <w:top w:val="nil"/>
              <w:left w:val="nil"/>
              <w:bottom w:val="nil"/>
              <w:right w:val="nil"/>
            </w:tcBorders>
            <w:shd w:val="clear" w:color="auto" w:fill="auto"/>
            <w:noWrap/>
            <w:vAlign w:val="center"/>
            <w:hideMark/>
          </w:tcPr>
          <w:p w14:paraId="020101F2"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ln(Violations)</w:t>
            </w:r>
          </w:p>
        </w:tc>
        <w:tc>
          <w:tcPr>
            <w:tcW w:w="1002" w:type="dxa"/>
            <w:tcBorders>
              <w:top w:val="nil"/>
              <w:left w:val="nil"/>
              <w:bottom w:val="nil"/>
              <w:right w:val="nil"/>
            </w:tcBorders>
            <w:shd w:val="clear" w:color="auto" w:fill="auto"/>
            <w:noWrap/>
            <w:vAlign w:val="center"/>
            <w:hideMark/>
          </w:tcPr>
          <w:p w14:paraId="7BB45549"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1.000</w:t>
            </w:r>
          </w:p>
        </w:tc>
        <w:tc>
          <w:tcPr>
            <w:tcW w:w="841" w:type="dxa"/>
            <w:tcBorders>
              <w:top w:val="nil"/>
              <w:left w:val="nil"/>
              <w:bottom w:val="nil"/>
              <w:right w:val="nil"/>
            </w:tcBorders>
            <w:shd w:val="clear" w:color="auto" w:fill="auto"/>
            <w:noWrap/>
            <w:vAlign w:val="center"/>
            <w:hideMark/>
          </w:tcPr>
          <w:p w14:paraId="5038D073"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p>
        </w:tc>
        <w:tc>
          <w:tcPr>
            <w:tcW w:w="850" w:type="dxa"/>
            <w:tcBorders>
              <w:top w:val="nil"/>
              <w:left w:val="nil"/>
              <w:bottom w:val="nil"/>
              <w:right w:val="nil"/>
            </w:tcBorders>
            <w:shd w:val="clear" w:color="auto" w:fill="auto"/>
            <w:noWrap/>
            <w:vAlign w:val="center"/>
            <w:hideMark/>
          </w:tcPr>
          <w:p w14:paraId="2EA1B128"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851" w:type="dxa"/>
            <w:tcBorders>
              <w:top w:val="nil"/>
              <w:left w:val="nil"/>
              <w:bottom w:val="nil"/>
              <w:right w:val="nil"/>
            </w:tcBorders>
            <w:shd w:val="clear" w:color="auto" w:fill="auto"/>
            <w:noWrap/>
            <w:vAlign w:val="center"/>
            <w:hideMark/>
          </w:tcPr>
          <w:p w14:paraId="0C161C28"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41" w:type="dxa"/>
            <w:tcBorders>
              <w:top w:val="nil"/>
              <w:left w:val="nil"/>
              <w:bottom w:val="nil"/>
              <w:right w:val="nil"/>
            </w:tcBorders>
            <w:shd w:val="clear" w:color="auto" w:fill="auto"/>
            <w:noWrap/>
            <w:vAlign w:val="center"/>
            <w:hideMark/>
          </w:tcPr>
          <w:p w14:paraId="4742EF17"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02" w:type="dxa"/>
            <w:tcBorders>
              <w:top w:val="nil"/>
              <w:left w:val="nil"/>
              <w:bottom w:val="nil"/>
              <w:right w:val="nil"/>
            </w:tcBorders>
            <w:shd w:val="clear" w:color="auto" w:fill="auto"/>
            <w:noWrap/>
            <w:vAlign w:val="center"/>
            <w:hideMark/>
          </w:tcPr>
          <w:p w14:paraId="6DDB26E9"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766" w:type="dxa"/>
            <w:tcBorders>
              <w:top w:val="nil"/>
              <w:left w:val="nil"/>
              <w:bottom w:val="nil"/>
              <w:right w:val="nil"/>
            </w:tcBorders>
            <w:shd w:val="clear" w:color="auto" w:fill="auto"/>
            <w:noWrap/>
            <w:vAlign w:val="center"/>
            <w:hideMark/>
          </w:tcPr>
          <w:p w14:paraId="0B70A585"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40" w:type="dxa"/>
            <w:tcBorders>
              <w:top w:val="nil"/>
              <w:left w:val="nil"/>
              <w:bottom w:val="nil"/>
              <w:right w:val="nil"/>
            </w:tcBorders>
            <w:shd w:val="clear" w:color="auto" w:fill="auto"/>
            <w:noWrap/>
            <w:vAlign w:val="center"/>
            <w:hideMark/>
          </w:tcPr>
          <w:p w14:paraId="7B8A8FF1"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845" w:type="dxa"/>
            <w:tcBorders>
              <w:top w:val="nil"/>
              <w:left w:val="nil"/>
              <w:bottom w:val="nil"/>
              <w:right w:val="nil"/>
            </w:tcBorders>
            <w:shd w:val="clear" w:color="auto" w:fill="auto"/>
            <w:noWrap/>
            <w:vAlign w:val="center"/>
            <w:hideMark/>
          </w:tcPr>
          <w:p w14:paraId="0DC10C56"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851" w:type="dxa"/>
            <w:tcBorders>
              <w:top w:val="nil"/>
              <w:left w:val="nil"/>
              <w:bottom w:val="nil"/>
              <w:right w:val="nil"/>
            </w:tcBorders>
            <w:shd w:val="clear" w:color="auto" w:fill="auto"/>
            <w:noWrap/>
            <w:vAlign w:val="center"/>
            <w:hideMark/>
          </w:tcPr>
          <w:p w14:paraId="4202F56A"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766" w:type="dxa"/>
            <w:tcBorders>
              <w:top w:val="nil"/>
              <w:left w:val="nil"/>
              <w:bottom w:val="nil"/>
              <w:right w:val="nil"/>
            </w:tcBorders>
            <w:shd w:val="clear" w:color="auto" w:fill="auto"/>
            <w:noWrap/>
            <w:vAlign w:val="center"/>
            <w:hideMark/>
          </w:tcPr>
          <w:p w14:paraId="068DC9DD"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35" w:type="dxa"/>
            <w:tcBorders>
              <w:top w:val="nil"/>
              <w:left w:val="nil"/>
              <w:bottom w:val="nil"/>
              <w:right w:val="nil"/>
            </w:tcBorders>
            <w:shd w:val="clear" w:color="auto" w:fill="auto"/>
            <w:noWrap/>
            <w:vAlign w:val="center"/>
            <w:hideMark/>
          </w:tcPr>
          <w:p w14:paraId="0885DB69"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766" w:type="dxa"/>
            <w:tcBorders>
              <w:top w:val="nil"/>
              <w:left w:val="nil"/>
              <w:bottom w:val="nil"/>
              <w:right w:val="nil"/>
            </w:tcBorders>
            <w:shd w:val="clear" w:color="auto" w:fill="auto"/>
            <w:noWrap/>
            <w:vAlign w:val="center"/>
            <w:hideMark/>
          </w:tcPr>
          <w:p w14:paraId="123F007F"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35" w:type="dxa"/>
            <w:tcBorders>
              <w:top w:val="nil"/>
              <w:left w:val="nil"/>
              <w:bottom w:val="nil"/>
              <w:right w:val="nil"/>
            </w:tcBorders>
            <w:shd w:val="clear" w:color="auto" w:fill="auto"/>
            <w:noWrap/>
            <w:vAlign w:val="center"/>
            <w:hideMark/>
          </w:tcPr>
          <w:p w14:paraId="1602C834"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666" w:type="dxa"/>
            <w:tcBorders>
              <w:top w:val="nil"/>
              <w:left w:val="nil"/>
              <w:bottom w:val="nil"/>
              <w:right w:val="nil"/>
            </w:tcBorders>
            <w:shd w:val="clear" w:color="auto" w:fill="auto"/>
            <w:noWrap/>
            <w:vAlign w:val="center"/>
            <w:hideMark/>
          </w:tcPr>
          <w:p w14:paraId="03C731FC"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751" w:type="dxa"/>
            <w:tcBorders>
              <w:top w:val="nil"/>
              <w:left w:val="nil"/>
              <w:bottom w:val="nil"/>
              <w:right w:val="nil"/>
            </w:tcBorders>
            <w:shd w:val="clear" w:color="auto" w:fill="auto"/>
            <w:noWrap/>
            <w:vAlign w:val="center"/>
            <w:hideMark/>
          </w:tcPr>
          <w:p w14:paraId="0BD541C7"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r>
      <w:tr w:rsidR="00E57A11" w:rsidRPr="00F62082" w14:paraId="7569E9D8" w14:textId="77777777" w:rsidTr="002753C1">
        <w:trPr>
          <w:trHeight w:val="314"/>
          <w:jc w:val="center"/>
        </w:trPr>
        <w:tc>
          <w:tcPr>
            <w:tcW w:w="616" w:type="dxa"/>
            <w:tcBorders>
              <w:top w:val="nil"/>
              <w:left w:val="nil"/>
              <w:bottom w:val="nil"/>
              <w:right w:val="nil"/>
            </w:tcBorders>
            <w:shd w:val="clear" w:color="auto" w:fill="auto"/>
            <w:noWrap/>
            <w:vAlign w:val="center"/>
            <w:hideMark/>
          </w:tcPr>
          <w:p w14:paraId="05B8FADE"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(2)</w:t>
            </w:r>
          </w:p>
        </w:tc>
        <w:tc>
          <w:tcPr>
            <w:tcW w:w="1533" w:type="dxa"/>
            <w:tcBorders>
              <w:top w:val="nil"/>
              <w:left w:val="nil"/>
              <w:bottom w:val="nil"/>
              <w:right w:val="nil"/>
            </w:tcBorders>
            <w:shd w:val="clear" w:color="auto" w:fill="auto"/>
            <w:noWrap/>
            <w:vAlign w:val="center"/>
            <w:hideMark/>
          </w:tcPr>
          <w:p w14:paraId="247CD9A3"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ln(Penalties)</w:t>
            </w:r>
          </w:p>
        </w:tc>
        <w:tc>
          <w:tcPr>
            <w:tcW w:w="1002" w:type="dxa"/>
            <w:tcBorders>
              <w:top w:val="nil"/>
              <w:left w:val="nil"/>
              <w:bottom w:val="nil"/>
              <w:right w:val="nil"/>
            </w:tcBorders>
            <w:shd w:val="clear" w:color="auto" w:fill="auto"/>
            <w:noWrap/>
            <w:vAlign w:val="center"/>
            <w:hideMark/>
          </w:tcPr>
          <w:p w14:paraId="64B60486"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0.919*</w:t>
            </w:r>
          </w:p>
        </w:tc>
        <w:tc>
          <w:tcPr>
            <w:tcW w:w="841" w:type="dxa"/>
            <w:tcBorders>
              <w:top w:val="nil"/>
              <w:left w:val="nil"/>
              <w:bottom w:val="nil"/>
              <w:right w:val="nil"/>
            </w:tcBorders>
            <w:shd w:val="clear" w:color="auto" w:fill="auto"/>
            <w:noWrap/>
            <w:vAlign w:val="center"/>
            <w:hideMark/>
          </w:tcPr>
          <w:p w14:paraId="35D87F5E"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1.000</w:t>
            </w:r>
          </w:p>
        </w:tc>
        <w:tc>
          <w:tcPr>
            <w:tcW w:w="850" w:type="dxa"/>
            <w:tcBorders>
              <w:top w:val="nil"/>
              <w:left w:val="nil"/>
              <w:bottom w:val="nil"/>
              <w:right w:val="nil"/>
            </w:tcBorders>
            <w:shd w:val="clear" w:color="auto" w:fill="auto"/>
            <w:noWrap/>
            <w:vAlign w:val="center"/>
            <w:hideMark/>
          </w:tcPr>
          <w:p w14:paraId="4D9B0833"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p>
        </w:tc>
        <w:tc>
          <w:tcPr>
            <w:tcW w:w="851" w:type="dxa"/>
            <w:tcBorders>
              <w:top w:val="nil"/>
              <w:left w:val="nil"/>
              <w:bottom w:val="nil"/>
              <w:right w:val="nil"/>
            </w:tcBorders>
            <w:shd w:val="clear" w:color="auto" w:fill="auto"/>
            <w:noWrap/>
            <w:vAlign w:val="center"/>
            <w:hideMark/>
          </w:tcPr>
          <w:p w14:paraId="4F965834"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41" w:type="dxa"/>
            <w:tcBorders>
              <w:top w:val="nil"/>
              <w:left w:val="nil"/>
              <w:bottom w:val="nil"/>
              <w:right w:val="nil"/>
            </w:tcBorders>
            <w:shd w:val="clear" w:color="auto" w:fill="auto"/>
            <w:noWrap/>
            <w:vAlign w:val="center"/>
            <w:hideMark/>
          </w:tcPr>
          <w:p w14:paraId="55C2AE43"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02" w:type="dxa"/>
            <w:tcBorders>
              <w:top w:val="nil"/>
              <w:left w:val="nil"/>
              <w:bottom w:val="nil"/>
              <w:right w:val="nil"/>
            </w:tcBorders>
            <w:shd w:val="clear" w:color="auto" w:fill="auto"/>
            <w:noWrap/>
            <w:vAlign w:val="center"/>
            <w:hideMark/>
          </w:tcPr>
          <w:p w14:paraId="28A42558"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766" w:type="dxa"/>
            <w:tcBorders>
              <w:top w:val="nil"/>
              <w:left w:val="nil"/>
              <w:bottom w:val="nil"/>
              <w:right w:val="nil"/>
            </w:tcBorders>
            <w:shd w:val="clear" w:color="auto" w:fill="auto"/>
            <w:noWrap/>
            <w:vAlign w:val="center"/>
            <w:hideMark/>
          </w:tcPr>
          <w:p w14:paraId="3C39751D"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40" w:type="dxa"/>
            <w:tcBorders>
              <w:top w:val="nil"/>
              <w:left w:val="nil"/>
              <w:bottom w:val="nil"/>
              <w:right w:val="nil"/>
            </w:tcBorders>
            <w:shd w:val="clear" w:color="auto" w:fill="auto"/>
            <w:noWrap/>
            <w:vAlign w:val="center"/>
            <w:hideMark/>
          </w:tcPr>
          <w:p w14:paraId="034EB2B4"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845" w:type="dxa"/>
            <w:tcBorders>
              <w:top w:val="nil"/>
              <w:left w:val="nil"/>
              <w:bottom w:val="nil"/>
              <w:right w:val="nil"/>
            </w:tcBorders>
            <w:shd w:val="clear" w:color="auto" w:fill="auto"/>
            <w:noWrap/>
            <w:vAlign w:val="center"/>
            <w:hideMark/>
          </w:tcPr>
          <w:p w14:paraId="7D2A5CB5"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851" w:type="dxa"/>
            <w:tcBorders>
              <w:top w:val="nil"/>
              <w:left w:val="nil"/>
              <w:bottom w:val="nil"/>
              <w:right w:val="nil"/>
            </w:tcBorders>
            <w:shd w:val="clear" w:color="auto" w:fill="auto"/>
            <w:noWrap/>
            <w:vAlign w:val="center"/>
            <w:hideMark/>
          </w:tcPr>
          <w:p w14:paraId="5D338A3C"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766" w:type="dxa"/>
            <w:tcBorders>
              <w:top w:val="nil"/>
              <w:left w:val="nil"/>
              <w:bottom w:val="nil"/>
              <w:right w:val="nil"/>
            </w:tcBorders>
            <w:shd w:val="clear" w:color="auto" w:fill="auto"/>
            <w:noWrap/>
            <w:vAlign w:val="center"/>
            <w:hideMark/>
          </w:tcPr>
          <w:p w14:paraId="1D4B01BB"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35" w:type="dxa"/>
            <w:tcBorders>
              <w:top w:val="nil"/>
              <w:left w:val="nil"/>
              <w:bottom w:val="nil"/>
              <w:right w:val="nil"/>
            </w:tcBorders>
            <w:shd w:val="clear" w:color="auto" w:fill="auto"/>
            <w:noWrap/>
            <w:vAlign w:val="center"/>
            <w:hideMark/>
          </w:tcPr>
          <w:p w14:paraId="618E25EB"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766" w:type="dxa"/>
            <w:tcBorders>
              <w:top w:val="nil"/>
              <w:left w:val="nil"/>
              <w:bottom w:val="nil"/>
              <w:right w:val="nil"/>
            </w:tcBorders>
            <w:shd w:val="clear" w:color="auto" w:fill="auto"/>
            <w:noWrap/>
            <w:vAlign w:val="center"/>
            <w:hideMark/>
          </w:tcPr>
          <w:p w14:paraId="2551910C"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35" w:type="dxa"/>
            <w:tcBorders>
              <w:top w:val="nil"/>
              <w:left w:val="nil"/>
              <w:bottom w:val="nil"/>
              <w:right w:val="nil"/>
            </w:tcBorders>
            <w:shd w:val="clear" w:color="auto" w:fill="auto"/>
            <w:noWrap/>
            <w:vAlign w:val="center"/>
            <w:hideMark/>
          </w:tcPr>
          <w:p w14:paraId="453649AF"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666" w:type="dxa"/>
            <w:tcBorders>
              <w:top w:val="nil"/>
              <w:left w:val="nil"/>
              <w:bottom w:val="nil"/>
              <w:right w:val="nil"/>
            </w:tcBorders>
            <w:shd w:val="clear" w:color="auto" w:fill="auto"/>
            <w:noWrap/>
            <w:vAlign w:val="center"/>
            <w:hideMark/>
          </w:tcPr>
          <w:p w14:paraId="4EB58D9F"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751" w:type="dxa"/>
            <w:tcBorders>
              <w:top w:val="nil"/>
              <w:left w:val="nil"/>
              <w:bottom w:val="nil"/>
              <w:right w:val="nil"/>
            </w:tcBorders>
            <w:shd w:val="clear" w:color="auto" w:fill="auto"/>
            <w:noWrap/>
            <w:vAlign w:val="center"/>
            <w:hideMark/>
          </w:tcPr>
          <w:p w14:paraId="2606FECE"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r>
      <w:tr w:rsidR="00E57A11" w:rsidRPr="00F62082" w14:paraId="5558F1D8" w14:textId="77777777" w:rsidTr="002753C1">
        <w:trPr>
          <w:trHeight w:val="314"/>
          <w:jc w:val="center"/>
        </w:trPr>
        <w:tc>
          <w:tcPr>
            <w:tcW w:w="616" w:type="dxa"/>
            <w:tcBorders>
              <w:top w:val="nil"/>
              <w:left w:val="nil"/>
              <w:bottom w:val="nil"/>
              <w:right w:val="nil"/>
            </w:tcBorders>
            <w:shd w:val="clear" w:color="auto" w:fill="auto"/>
            <w:noWrap/>
            <w:vAlign w:val="center"/>
            <w:hideMark/>
          </w:tcPr>
          <w:p w14:paraId="7B3CE878"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(3)</w:t>
            </w:r>
          </w:p>
        </w:tc>
        <w:tc>
          <w:tcPr>
            <w:tcW w:w="1533" w:type="dxa"/>
            <w:tcBorders>
              <w:top w:val="nil"/>
              <w:left w:val="nil"/>
              <w:bottom w:val="nil"/>
              <w:right w:val="nil"/>
            </w:tcBorders>
            <w:shd w:val="clear" w:color="auto" w:fill="auto"/>
            <w:noWrap/>
            <w:vAlign w:val="center"/>
            <w:hideMark/>
          </w:tcPr>
          <w:p w14:paraId="6AAF3E19"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Vega</w:t>
            </w:r>
          </w:p>
        </w:tc>
        <w:tc>
          <w:tcPr>
            <w:tcW w:w="1002" w:type="dxa"/>
            <w:tcBorders>
              <w:top w:val="nil"/>
              <w:left w:val="nil"/>
              <w:bottom w:val="nil"/>
              <w:right w:val="nil"/>
            </w:tcBorders>
            <w:shd w:val="clear" w:color="auto" w:fill="auto"/>
            <w:noWrap/>
            <w:vAlign w:val="center"/>
            <w:hideMark/>
          </w:tcPr>
          <w:p w14:paraId="5FEE44AF"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0.175*</w:t>
            </w:r>
          </w:p>
        </w:tc>
        <w:tc>
          <w:tcPr>
            <w:tcW w:w="841" w:type="dxa"/>
            <w:tcBorders>
              <w:top w:val="nil"/>
              <w:left w:val="nil"/>
              <w:bottom w:val="nil"/>
              <w:right w:val="nil"/>
            </w:tcBorders>
            <w:shd w:val="clear" w:color="auto" w:fill="auto"/>
            <w:noWrap/>
            <w:vAlign w:val="center"/>
            <w:hideMark/>
          </w:tcPr>
          <w:p w14:paraId="52CDD43A"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0.175*</w:t>
            </w:r>
          </w:p>
        </w:tc>
        <w:tc>
          <w:tcPr>
            <w:tcW w:w="850" w:type="dxa"/>
            <w:tcBorders>
              <w:top w:val="nil"/>
              <w:left w:val="nil"/>
              <w:bottom w:val="nil"/>
              <w:right w:val="nil"/>
            </w:tcBorders>
            <w:shd w:val="clear" w:color="auto" w:fill="auto"/>
            <w:noWrap/>
            <w:vAlign w:val="center"/>
            <w:hideMark/>
          </w:tcPr>
          <w:p w14:paraId="3D538911"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1.000</w:t>
            </w:r>
          </w:p>
        </w:tc>
        <w:tc>
          <w:tcPr>
            <w:tcW w:w="851" w:type="dxa"/>
            <w:tcBorders>
              <w:top w:val="nil"/>
              <w:left w:val="nil"/>
              <w:bottom w:val="nil"/>
              <w:right w:val="nil"/>
            </w:tcBorders>
            <w:shd w:val="clear" w:color="auto" w:fill="auto"/>
            <w:noWrap/>
            <w:vAlign w:val="center"/>
            <w:hideMark/>
          </w:tcPr>
          <w:p w14:paraId="48BE1C67"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p>
        </w:tc>
        <w:tc>
          <w:tcPr>
            <w:tcW w:w="941" w:type="dxa"/>
            <w:tcBorders>
              <w:top w:val="nil"/>
              <w:left w:val="nil"/>
              <w:bottom w:val="nil"/>
              <w:right w:val="nil"/>
            </w:tcBorders>
            <w:shd w:val="clear" w:color="auto" w:fill="auto"/>
            <w:noWrap/>
            <w:vAlign w:val="center"/>
            <w:hideMark/>
          </w:tcPr>
          <w:p w14:paraId="40548358"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02" w:type="dxa"/>
            <w:tcBorders>
              <w:top w:val="nil"/>
              <w:left w:val="nil"/>
              <w:bottom w:val="nil"/>
              <w:right w:val="nil"/>
            </w:tcBorders>
            <w:shd w:val="clear" w:color="auto" w:fill="auto"/>
            <w:noWrap/>
            <w:vAlign w:val="center"/>
            <w:hideMark/>
          </w:tcPr>
          <w:p w14:paraId="053F9E57"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766" w:type="dxa"/>
            <w:tcBorders>
              <w:top w:val="nil"/>
              <w:left w:val="nil"/>
              <w:bottom w:val="nil"/>
              <w:right w:val="nil"/>
            </w:tcBorders>
            <w:shd w:val="clear" w:color="auto" w:fill="auto"/>
            <w:noWrap/>
            <w:vAlign w:val="center"/>
            <w:hideMark/>
          </w:tcPr>
          <w:p w14:paraId="74AA1B23"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40" w:type="dxa"/>
            <w:tcBorders>
              <w:top w:val="nil"/>
              <w:left w:val="nil"/>
              <w:bottom w:val="nil"/>
              <w:right w:val="nil"/>
            </w:tcBorders>
            <w:shd w:val="clear" w:color="auto" w:fill="auto"/>
            <w:noWrap/>
            <w:vAlign w:val="center"/>
            <w:hideMark/>
          </w:tcPr>
          <w:p w14:paraId="3CDFFC03"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845" w:type="dxa"/>
            <w:tcBorders>
              <w:top w:val="nil"/>
              <w:left w:val="nil"/>
              <w:bottom w:val="nil"/>
              <w:right w:val="nil"/>
            </w:tcBorders>
            <w:shd w:val="clear" w:color="auto" w:fill="auto"/>
            <w:noWrap/>
            <w:vAlign w:val="center"/>
            <w:hideMark/>
          </w:tcPr>
          <w:p w14:paraId="77D3C0F3"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851" w:type="dxa"/>
            <w:tcBorders>
              <w:top w:val="nil"/>
              <w:left w:val="nil"/>
              <w:bottom w:val="nil"/>
              <w:right w:val="nil"/>
            </w:tcBorders>
            <w:shd w:val="clear" w:color="auto" w:fill="auto"/>
            <w:noWrap/>
            <w:vAlign w:val="center"/>
            <w:hideMark/>
          </w:tcPr>
          <w:p w14:paraId="119E1D85"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766" w:type="dxa"/>
            <w:tcBorders>
              <w:top w:val="nil"/>
              <w:left w:val="nil"/>
              <w:bottom w:val="nil"/>
              <w:right w:val="nil"/>
            </w:tcBorders>
            <w:shd w:val="clear" w:color="auto" w:fill="auto"/>
            <w:noWrap/>
            <w:vAlign w:val="center"/>
            <w:hideMark/>
          </w:tcPr>
          <w:p w14:paraId="79DF38E0"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35" w:type="dxa"/>
            <w:tcBorders>
              <w:top w:val="nil"/>
              <w:left w:val="nil"/>
              <w:bottom w:val="nil"/>
              <w:right w:val="nil"/>
            </w:tcBorders>
            <w:shd w:val="clear" w:color="auto" w:fill="auto"/>
            <w:noWrap/>
            <w:vAlign w:val="center"/>
            <w:hideMark/>
          </w:tcPr>
          <w:p w14:paraId="0395E71C"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766" w:type="dxa"/>
            <w:tcBorders>
              <w:top w:val="nil"/>
              <w:left w:val="nil"/>
              <w:bottom w:val="nil"/>
              <w:right w:val="nil"/>
            </w:tcBorders>
            <w:shd w:val="clear" w:color="auto" w:fill="auto"/>
            <w:noWrap/>
            <w:vAlign w:val="center"/>
            <w:hideMark/>
          </w:tcPr>
          <w:p w14:paraId="28CFC8DB"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35" w:type="dxa"/>
            <w:tcBorders>
              <w:top w:val="nil"/>
              <w:left w:val="nil"/>
              <w:bottom w:val="nil"/>
              <w:right w:val="nil"/>
            </w:tcBorders>
            <w:shd w:val="clear" w:color="auto" w:fill="auto"/>
            <w:noWrap/>
            <w:vAlign w:val="center"/>
            <w:hideMark/>
          </w:tcPr>
          <w:p w14:paraId="46594F6D"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666" w:type="dxa"/>
            <w:tcBorders>
              <w:top w:val="nil"/>
              <w:left w:val="nil"/>
              <w:bottom w:val="nil"/>
              <w:right w:val="nil"/>
            </w:tcBorders>
            <w:shd w:val="clear" w:color="auto" w:fill="auto"/>
            <w:noWrap/>
            <w:vAlign w:val="center"/>
            <w:hideMark/>
          </w:tcPr>
          <w:p w14:paraId="6B48E894"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751" w:type="dxa"/>
            <w:tcBorders>
              <w:top w:val="nil"/>
              <w:left w:val="nil"/>
              <w:bottom w:val="nil"/>
              <w:right w:val="nil"/>
            </w:tcBorders>
            <w:shd w:val="clear" w:color="auto" w:fill="auto"/>
            <w:noWrap/>
            <w:vAlign w:val="center"/>
            <w:hideMark/>
          </w:tcPr>
          <w:p w14:paraId="670F69C1"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r>
      <w:tr w:rsidR="00E57A11" w:rsidRPr="00F62082" w14:paraId="7E3D2269" w14:textId="77777777" w:rsidTr="002753C1">
        <w:trPr>
          <w:trHeight w:val="314"/>
          <w:jc w:val="center"/>
        </w:trPr>
        <w:tc>
          <w:tcPr>
            <w:tcW w:w="616" w:type="dxa"/>
            <w:tcBorders>
              <w:top w:val="nil"/>
              <w:left w:val="nil"/>
              <w:bottom w:val="nil"/>
              <w:right w:val="nil"/>
            </w:tcBorders>
            <w:shd w:val="clear" w:color="auto" w:fill="auto"/>
            <w:noWrap/>
            <w:vAlign w:val="center"/>
            <w:hideMark/>
          </w:tcPr>
          <w:p w14:paraId="5042D86A"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(4)</w:t>
            </w:r>
          </w:p>
        </w:tc>
        <w:tc>
          <w:tcPr>
            <w:tcW w:w="1533" w:type="dxa"/>
            <w:tcBorders>
              <w:top w:val="nil"/>
              <w:left w:val="nil"/>
              <w:bottom w:val="nil"/>
              <w:right w:val="nil"/>
            </w:tcBorders>
            <w:shd w:val="clear" w:color="auto" w:fill="auto"/>
            <w:noWrap/>
            <w:vAlign w:val="center"/>
            <w:hideMark/>
          </w:tcPr>
          <w:p w14:paraId="2F753865"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Delta</w:t>
            </w:r>
          </w:p>
        </w:tc>
        <w:tc>
          <w:tcPr>
            <w:tcW w:w="1002" w:type="dxa"/>
            <w:tcBorders>
              <w:top w:val="nil"/>
              <w:left w:val="nil"/>
              <w:bottom w:val="nil"/>
              <w:right w:val="nil"/>
            </w:tcBorders>
            <w:shd w:val="clear" w:color="auto" w:fill="auto"/>
            <w:noWrap/>
            <w:vAlign w:val="center"/>
            <w:hideMark/>
          </w:tcPr>
          <w:p w14:paraId="3F014505"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0.165*</w:t>
            </w:r>
          </w:p>
        </w:tc>
        <w:tc>
          <w:tcPr>
            <w:tcW w:w="841" w:type="dxa"/>
            <w:tcBorders>
              <w:top w:val="nil"/>
              <w:left w:val="nil"/>
              <w:bottom w:val="nil"/>
              <w:right w:val="nil"/>
            </w:tcBorders>
            <w:shd w:val="clear" w:color="auto" w:fill="auto"/>
            <w:noWrap/>
            <w:vAlign w:val="center"/>
            <w:hideMark/>
          </w:tcPr>
          <w:p w14:paraId="2EC1B1DA"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0.171*</w:t>
            </w:r>
          </w:p>
        </w:tc>
        <w:tc>
          <w:tcPr>
            <w:tcW w:w="850" w:type="dxa"/>
            <w:tcBorders>
              <w:top w:val="nil"/>
              <w:left w:val="nil"/>
              <w:bottom w:val="nil"/>
              <w:right w:val="nil"/>
            </w:tcBorders>
            <w:shd w:val="clear" w:color="auto" w:fill="auto"/>
            <w:noWrap/>
            <w:vAlign w:val="center"/>
            <w:hideMark/>
          </w:tcPr>
          <w:p w14:paraId="57D0B449"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0.615*</w:t>
            </w:r>
          </w:p>
        </w:tc>
        <w:tc>
          <w:tcPr>
            <w:tcW w:w="851" w:type="dxa"/>
            <w:tcBorders>
              <w:top w:val="nil"/>
              <w:left w:val="nil"/>
              <w:bottom w:val="nil"/>
              <w:right w:val="nil"/>
            </w:tcBorders>
            <w:shd w:val="clear" w:color="auto" w:fill="auto"/>
            <w:noWrap/>
            <w:vAlign w:val="center"/>
            <w:hideMark/>
          </w:tcPr>
          <w:p w14:paraId="7CA14848"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1.000</w:t>
            </w:r>
          </w:p>
        </w:tc>
        <w:tc>
          <w:tcPr>
            <w:tcW w:w="941" w:type="dxa"/>
            <w:tcBorders>
              <w:top w:val="nil"/>
              <w:left w:val="nil"/>
              <w:bottom w:val="nil"/>
              <w:right w:val="nil"/>
            </w:tcBorders>
            <w:shd w:val="clear" w:color="auto" w:fill="auto"/>
            <w:noWrap/>
            <w:vAlign w:val="center"/>
            <w:hideMark/>
          </w:tcPr>
          <w:p w14:paraId="525EE459"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p>
        </w:tc>
        <w:tc>
          <w:tcPr>
            <w:tcW w:w="902" w:type="dxa"/>
            <w:tcBorders>
              <w:top w:val="nil"/>
              <w:left w:val="nil"/>
              <w:bottom w:val="nil"/>
              <w:right w:val="nil"/>
            </w:tcBorders>
            <w:shd w:val="clear" w:color="auto" w:fill="auto"/>
            <w:noWrap/>
            <w:vAlign w:val="center"/>
            <w:hideMark/>
          </w:tcPr>
          <w:p w14:paraId="1D6AFD48"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766" w:type="dxa"/>
            <w:tcBorders>
              <w:top w:val="nil"/>
              <w:left w:val="nil"/>
              <w:bottom w:val="nil"/>
              <w:right w:val="nil"/>
            </w:tcBorders>
            <w:shd w:val="clear" w:color="auto" w:fill="auto"/>
            <w:noWrap/>
            <w:vAlign w:val="center"/>
            <w:hideMark/>
          </w:tcPr>
          <w:p w14:paraId="2C83698E"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40" w:type="dxa"/>
            <w:tcBorders>
              <w:top w:val="nil"/>
              <w:left w:val="nil"/>
              <w:bottom w:val="nil"/>
              <w:right w:val="nil"/>
            </w:tcBorders>
            <w:shd w:val="clear" w:color="auto" w:fill="auto"/>
            <w:noWrap/>
            <w:vAlign w:val="center"/>
            <w:hideMark/>
          </w:tcPr>
          <w:p w14:paraId="4875417B"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845" w:type="dxa"/>
            <w:tcBorders>
              <w:top w:val="nil"/>
              <w:left w:val="nil"/>
              <w:bottom w:val="nil"/>
              <w:right w:val="nil"/>
            </w:tcBorders>
            <w:shd w:val="clear" w:color="auto" w:fill="auto"/>
            <w:noWrap/>
            <w:vAlign w:val="center"/>
            <w:hideMark/>
          </w:tcPr>
          <w:p w14:paraId="555DDDCE"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851" w:type="dxa"/>
            <w:tcBorders>
              <w:top w:val="nil"/>
              <w:left w:val="nil"/>
              <w:bottom w:val="nil"/>
              <w:right w:val="nil"/>
            </w:tcBorders>
            <w:shd w:val="clear" w:color="auto" w:fill="auto"/>
            <w:noWrap/>
            <w:vAlign w:val="center"/>
            <w:hideMark/>
          </w:tcPr>
          <w:p w14:paraId="0D1304AD"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766" w:type="dxa"/>
            <w:tcBorders>
              <w:top w:val="nil"/>
              <w:left w:val="nil"/>
              <w:bottom w:val="nil"/>
              <w:right w:val="nil"/>
            </w:tcBorders>
            <w:shd w:val="clear" w:color="auto" w:fill="auto"/>
            <w:noWrap/>
            <w:vAlign w:val="center"/>
            <w:hideMark/>
          </w:tcPr>
          <w:p w14:paraId="2DA71659"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35" w:type="dxa"/>
            <w:tcBorders>
              <w:top w:val="nil"/>
              <w:left w:val="nil"/>
              <w:bottom w:val="nil"/>
              <w:right w:val="nil"/>
            </w:tcBorders>
            <w:shd w:val="clear" w:color="auto" w:fill="auto"/>
            <w:noWrap/>
            <w:vAlign w:val="center"/>
            <w:hideMark/>
          </w:tcPr>
          <w:p w14:paraId="7E112254"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766" w:type="dxa"/>
            <w:tcBorders>
              <w:top w:val="nil"/>
              <w:left w:val="nil"/>
              <w:bottom w:val="nil"/>
              <w:right w:val="nil"/>
            </w:tcBorders>
            <w:shd w:val="clear" w:color="auto" w:fill="auto"/>
            <w:noWrap/>
            <w:vAlign w:val="center"/>
            <w:hideMark/>
          </w:tcPr>
          <w:p w14:paraId="725EF416"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35" w:type="dxa"/>
            <w:tcBorders>
              <w:top w:val="nil"/>
              <w:left w:val="nil"/>
              <w:bottom w:val="nil"/>
              <w:right w:val="nil"/>
            </w:tcBorders>
            <w:shd w:val="clear" w:color="auto" w:fill="auto"/>
            <w:noWrap/>
            <w:vAlign w:val="center"/>
            <w:hideMark/>
          </w:tcPr>
          <w:p w14:paraId="3FC6EEB2"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666" w:type="dxa"/>
            <w:tcBorders>
              <w:top w:val="nil"/>
              <w:left w:val="nil"/>
              <w:bottom w:val="nil"/>
              <w:right w:val="nil"/>
            </w:tcBorders>
            <w:shd w:val="clear" w:color="auto" w:fill="auto"/>
            <w:noWrap/>
            <w:vAlign w:val="center"/>
            <w:hideMark/>
          </w:tcPr>
          <w:p w14:paraId="4DC0027F" w14:textId="77777777" w:rsidR="00E57A11" w:rsidRPr="00DA1D07" w:rsidRDefault="00E57A11" w:rsidP="002753C1">
            <w:pPr>
              <w:spacing w:after="0" w:line="240" w:lineRule="auto"/>
              <w:ind w:firstLineChars="100" w:firstLine="240"/>
              <w:jc w:val="center"/>
              <w:rPr>
                <w:rFonts w:asciiTheme="majorBidi" w:eastAsia="Times New Roman" w:hAnsiTheme="majorBidi" w:cstheme="majorBidi"/>
                <w:sz w:val="24"/>
                <w:szCs w:val="24"/>
                <w:lang w:val="en-US" w:eastAsia="en-GB"/>
              </w:rPr>
            </w:pPr>
          </w:p>
        </w:tc>
        <w:tc>
          <w:tcPr>
            <w:tcW w:w="751" w:type="dxa"/>
            <w:tcBorders>
              <w:top w:val="nil"/>
              <w:left w:val="nil"/>
              <w:bottom w:val="nil"/>
              <w:right w:val="nil"/>
            </w:tcBorders>
            <w:shd w:val="clear" w:color="auto" w:fill="auto"/>
            <w:noWrap/>
            <w:vAlign w:val="center"/>
            <w:hideMark/>
          </w:tcPr>
          <w:p w14:paraId="5A2CA830"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r>
      <w:tr w:rsidR="00E57A11" w:rsidRPr="00F62082" w14:paraId="7FAC0E98" w14:textId="77777777" w:rsidTr="002753C1">
        <w:trPr>
          <w:trHeight w:val="314"/>
          <w:jc w:val="center"/>
        </w:trPr>
        <w:tc>
          <w:tcPr>
            <w:tcW w:w="616" w:type="dxa"/>
            <w:tcBorders>
              <w:top w:val="nil"/>
              <w:left w:val="nil"/>
              <w:bottom w:val="nil"/>
              <w:right w:val="nil"/>
            </w:tcBorders>
            <w:shd w:val="clear" w:color="auto" w:fill="auto"/>
            <w:noWrap/>
            <w:vAlign w:val="center"/>
            <w:hideMark/>
          </w:tcPr>
          <w:p w14:paraId="0A5E0258"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(5)</w:t>
            </w:r>
          </w:p>
        </w:tc>
        <w:tc>
          <w:tcPr>
            <w:tcW w:w="1533" w:type="dxa"/>
            <w:tcBorders>
              <w:top w:val="nil"/>
              <w:left w:val="nil"/>
              <w:bottom w:val="nil"/>
              <w:right w:val="nil"/>
            </w:tcBorders>
            <w:shd w:val="clear" w:color="auto" w:fill="auto"/>
            <w:noWrap/>
            <w:vAlign w:val="center"/>
            <w:hideMark/>
          </w:tcPr>
          <w:p w14:paraId="538CA888"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proofErr w:type="spellStart"/>
            <w:r w:rsidRPr="00DA1D07">
              <w:rPr>
                <w:rFonts w:asciiTheme="majorBidi" w:eastAsia="Times New Roman" w:hAnsiTheme="majorBidi" w:cstheme="majorBidi"/>
                <w:i/>
                <w:iCs/>
                <w:color w:val="000000"/>
                <w:sz w:val="24"/>
                <w:szCs w:val="24"/>
                <w:lang w:val="en-US" w:eastAsia="en-GB"/>
              </w:rPr>
              <w:t>CashComp</w:t>
            </w:r>
            <w:proofErr w:type="spellEnd"/>
          </w:p>
        </w:tc>
        <w:tc>
          <w:tcPr>
            <w:tcW w:w="1002" w:type="dxa"/>
            <w:tcBorders>
              <w:top w:val="nil"/>
              <w:left w:val="nil"/>
              <w:bottom w:val="nil"/>
              <w:right w:val="nil"/>
            </w:tcBorders>
            <w:shd w:val="clear" w:color="auto" w:fill="auto"/>
            <w:noWrap/>
            <w:vAlign w:val="center"/>
            <w:hideMark/>
          </w:tcPr>
          <w:p w14:paraId="562A5CF2"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0.229*</w:t>
            </w:r>
          </w:p>
        </w:tc>
        <w:tc>
          <w:tcPr>
            <w:tcW w:w="841" w:type="dxa"/>
            <w:tcBorders>
              <w:top w:val="nil"/>
              <w:left w:val="nil"/>
              <w:bottom w:val="nil"/>
              <w:right w:val="nil"/>
            </w:tcBorders>
            <w:shd w:val="clear" w:color="auto" w:fill="auto"/>
            <w:noWrap/>
            <w:vAlign w:val="center"/>
            <w:hideMark/>
          </w:tcPr>
          <w:p w14:paraId="323C8D33"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0.227*</w:t>
            </w:r>
          </w:p>
        </w:tc>
        <w:tc>
          <w:tcPr>
            <w:tcW w:w="850" w:type="dxa"/>
            <w:tcBorders>
              <w:top w:val="nil"/>
              <w:left w:val="nil"/>
              <w:bottom w:val="nil"/>
              <w:right w:val="nil"/>
            </w:tcBorders>
            <w:shd w:val="clear" w:color="auto" w:fill="auto"/>
            <w:noWrap/>
            <w:vAlign w:val="center"/>
            <w:hideMark/>
          </w:tcPr>
          <w:p w14:paraId="5801BCD6"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0.436*</w:t>
            </w:r>
          </w:p>
        </w:tc>
        <w:tc>
          <w:tcPr>
            <w:tcW w:w="851" w:type="dxa"/>
            <w:tcBorders>
              <w:top w:val="nil"/>
              <w:left w:val="nil"/>
              <w:bottom w:val="nil"/>
              <w:right w:val="nil"/>
            </w:tcBorders>
            <w:shd w:val="clear" w:color="auto" w:fill="auto"/>
            <w:noWrap/>
            <w:vAlign w:val="center"/>
            <w:hideMark/>
          </w:tcPr>
          <w:p w14:paraId="55B63961"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0.351*</w:t>
            </w:r>
          </w:p>
        </w:tc>
        <w:tc>
          <w:tcPr>
            <w:tcW w:w="941" w:type="dxa"/>
            <w:tcBorders>
              <w:top w:val="nil"/>
              <w:left w:val="nil"/>
              <w:bottom w:val="nil"/>
              <w:right w:val="nil"/>
            </w:tcBorders>
            <w:shd w:val="clear" w:color="auto" w:fill="auto"/>
            <w:noWrap/>
            <w:vAlign w:val="center"/>
            <w:hideMark/>
          </w:tcPr>
          <w:p w14:paraId="4AC41DB2"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1.000</w:t>
            </w:r>
          </w:p>
        </w:tc>
        <w:tc>
          <w:tcPr>
            <w:tcW w:w="902" w:type="dxa"/>
            <w:tcBorders>
              <w:top w:val="nil"/>
              <w:left w:val="nil"/>
              <w:bottom w:val="nil"/>
              <w:right w:val="nil"/>
            </w:tcBorders>
            <w:shd w:val="clear" w:color="auto" w:fill="auto"/>
            <w:noWrap/>
            <w:vAlign w:val="center"/>
            <w:hideMark/>
          </w:tcPr>
          <w:p w14:paraId="60B41F3D"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p>
        </w:tc>
        <w:tc>
          <w:tcPr>
            <w:tcW w:w="766" w:type="dxa"/>
            <w:tcBorders>
              <w:top w:val="nil"/>
              <w:left w:val="nil"/>
              <w:bottom w:val="nil"/>
              <w:right w:val="nil"/>
            </w:tcBorders>
            <w:shd w:val="clear" w:color="auto" w:fill="auto"/>
            <w:noWrap/>
            <w:vAlign w:val="center"/>
            <w:hideMark/>
          </w:tcPr>
          <w:p w14:paraId="791F3E60"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40" w:type="dxa"/>
            <w:tcBorders>
              <w:top w:val="nil"/>
              <w:left w:val="nil"/>
              <w:bottom w:val="nil"/>
              <w:right w:val="nil"/>
            </w:tcBorders>
            <w:shd w:val="clear" w:color="auto" w:fill="auto"/>
            <w:noWrap/>
            <w:vAlign w:val="center"/>
            <w:hideMark/>
          </w:tcPr>
          <w:p w14:paraId="3EA8D333"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845" w:type="dxa"/>
            <w:tcBorders>
              <w:top w:val="nil"/>
              <w:left w:val="nil"/>
              <w:bottom w:val="nil"/>
              <w:right w:val="nil"/>
            </w:tcBorders>
            <w:shd w:val="clear" w:color="auto" w:fill="auto"/>
            <w:noWrap/>
            <w:vAlign w:val="center"/>
            <w:hideMark/>
          </w:tcPr>
          <w:p w14:paraId="6DBB1BC6"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851" w:type="dxa"/>
            <w:tcBorders>
              <w:top w:val="nil"/>
              <w:left w:val="nil"/>
              <w:bottom w:val="nil"/>
              <w:right w:val="nil"/>
            </w:tcBorders>
            <w:shd w:val="clear" w:color="auto" w:fill="auto"/>
            <w:noWrap/>
            <w:vAlign w:val="center"/>
            <w:hideMark/>
          </w:tcPr>
          <w:p w14:paraId="3E256960"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766" w:type="dxa"/>
            <w:tcBorders>
              <w:top w:val="nil"/>
              <w:left w:val="nil"/>
              <w:bottom w:val="nil"/>
              <w:right w:val="nil"/>
            </w:tcBorders>
            <w:shd w:val="clear" w:color="auto" w:fill="auto"/>
            <w:noWrap/>
            <w:vAlign w:val="center"/>
            <w:hideMark/>
          </w:tcPr>
          <w:p w14:paraId="3C4857D3"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35" w:type="dxa"/>
            <w:tcBorders>
              <w:top w:val="nil"/>
              <w:left w:val="nil"/>
              <w:bottom w:val="nil"/>
              <w:right w:val="nil"/>
            </w:tcBorders>
            <w:shd w:val="clear" w:color="auto" w:fill="auto"/>
            <w:noWrap/>
            <w:vAlign w:val="center"/>
            <w:hideMark/>
          </w:tcPr>
          <w:p w14:paraId="3E5E0C39"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766" w:type="dxa"/>
            <w:tcBorders>
              <w:top w:val="nil"/>
              <w:left w:val="nil"/>
              <w:bottom w:val="nil"/>
              <w:right w:val="nil"/>
            </w:tcBorders>
            <w:shd w:val="clear" w:color="auto" w:fill="auto"/>
            <w:noWrap/>
            <w:vAlign w:val="center"/>
            <w:hideMark/>
          </w:tcPr>
          <w:p w14:paraId="3907C6FE"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35" w:type="dxa"/>
            <w:tcBorders>
              <w:top w:val="nil"/>
              <w:left w:val="nil"/>
              <w:bottom w:val="nil"/>
              <w:right w:val="nil"/>
            </w:tcBorders>
            <w:shd w:val="clear" w:color="auto" w:fill="auto"/>
            <w:noWrap/>
            <w:vAlign w:val="center"/>
            <w:hideMark/>
          </w:tcPr>
          <w:p w14:paraId="7A69C168"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666" w:type="dxa"/>
            <w:tcBorders>
              <w:top w:val="nil"/>
              <w:left w:val="nil"/>
              <w:bottom w:val="nil"/>
              <w:right w:val="nil"/>
            </w:tcBorders>
            <w:shd w:val="clear" w:color="auto" w:fill="auto"/>
            <w:noWrap/>
            <w:vAlign w:val="center"/>
            <w:hideMark/>
          </w:tcPr>
          <w:p w14:paraId="462DA965" w14:textId="77777777" w:rsidR="00E57A11" w:rsidRPr="00DA1D07" w:rsidRDefault="00E57A11" w:rsidP="002753C1">
            <w:pPr>
              <w:spacing w:after="0" w:line="240" w:lineRule="auto"/>
              <w:ind w:firstLineChars="100" w:firstLine="240"/>
              <w:jc w:val="center"/>
              <w:rPr>
                <w:rFonts w:asciiTheme="majorBidi" w:eastAsia="Times New Roman" w:hAnsiTheme="majorBidi" w:cstheme="majorBidi"/>
                <w:sz w:val="24"/>
                <w:szCs w:val="24"/>
                <w:lang w:val="en-US" w:eastAsia="en-GB"/>
              </w:rPr>
            </w:pPr>
          </w:p>
        </w:tc>
        <w:tc>
          <w:tcPr>
            <w:tcW w:w="751" w:type="dxa"/>
            <w:tcBorders>
              <w:top w:val="nil"/>
              <w:left w:val="nil"/>
              <w:bottom w:val="nil"/>
              <w:right w:val="nil"/>
            </w:tcBorders>
            <w:shd w:val="clear" w:color="auto" w:fill="auto"/>
            <w:noWrap/>
            <w:vAlign w:val="center"/>
            <w:hideMark/>
          </w:tcPr>
          <w:p w14:paraId="60C84FD8"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r>
      <w:tr w:rsidR="00E57A11" w:rsidRPr="00F62082" w14:paraId="1A9FF49C" w14:textId="77777777" w:rsidTr="002753C1">
        <w:trPr>
          <w:trHeight w:val="314"/>
          <w:jc w:val="center"/>
        </w:trPr>
        <w:tc>
          <w:tcPr>
            <w:tcW w:w="616" w:type="dxa"/>
            <w:tcBorders>
              <w:top w:val="nil"/>
              <w:left w:val="nil"/>
              <w:bottom w:val="nil"/>
              <w:right w:val="nil"/>
            </w:tcBorders>
            <w:shd w:val="clear" w:color="auto" w:fill="auto"/>
            <w:noWrap/>
            <w:vAlign w:val="center"/>
            <w:hideMark/>
          </w:tcPr>
          <w:p w14:paraId="06B8EA76"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(6)</w:t>
            </w:r>
          </w:p>
        </w:tc>
        <w:tc>
          <w:tcPr>
            <w:tcW w:w="1533" w:type="dxa"/>
            <w:tcBorders>
              <w:top w:val="nil"/>
              <w:left w:val="nil"/>
              <w:bottom w:val="nil"/>
              <w:right w:val="nil"/>
            </w:tcBorders>
            <w:shd w:val="clear" w:color="auto" w:fill="auto"/>
            <w:noWrap/>
            <w:vAlign w:val="center"/>
            <w:hideMark/>
          </w:tcPr>
          <w:p w14:paraId="7F07737A"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Leverage</w:t>
            </w:r>
          </w:p>
        </w:tc>
        <w:tc>
          <w:tcPr>
            <w:tcW w:w="1002" w:type="dxa"/>
            <w:tcBorders>
              <w:top w:val="nil"/>
              <w:left w:val="nil"/>
              <w:bottom w:val="nil"/>
              <w:right w:val="nil"/>
            </w:tcBorders>
            <w:shd w:val="clear" w:color="auto" w:fill="auto"/>
            <w:noWrap/>
            <w:vAlign w:val="center"/>
            <w:hideMark/>
          </w:tcPr>
          <w:p w14:paraId="5BE5FB84"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0.112*</w:t>
            </w:r>
          </w:p>
        </w:tc>
        <w:tc>
          <w:tcPr>
            <w:tcW w:w="841" w:type="dxa"/>
            <w:tcBorders>
              <w:top w:val="nil"/>
              <w:left w:val="nil"/>
              <w:bottom w:val="nil"/>
              <w:right w:val="nil"/>
            </w:tcBorders>
            <w:shd w:val="clear" w:color="auto" w:fill="auto"/>
            <w:noWrap/>
            <w:vAlign w:val="center"/>
            <w:hideMark/>
          </w:tcPr>
          <w:p w14:paraId="20EEDBE2"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0.119*</w:t>
            </w:r>
          </w:p>
        </w:tc>
        <w:tc>
          <w:tcPr>
            <w:tcW w:w="850" w:type="dxa"/>
            <w:tcBorders>
              <w:top w:val="nil"/>
              <w:left w:val="nil"/>
              <w:bottom w:val="nil"/>
              <w:right w:val="nil"/>
            </w:tcBorders>
            <w:shd w:val="clear" w:color="auto" w:fill="auto"/>
            <w:noWrap/>
            <w:vAlign w:val="center"/>
            <w:hideMark/>
          </w:tcPr>
          <w:p w14:paraId="06763A48"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0.062*</w:t>
            </w:r>
          </w:p>
        </w:tc>
        <w:tc>
          <w:tcPr>
            <w:tcW w:w="851" w:type="dxa"/>
            <w:tcBorders>
              <w:top w:val="nil"/>
              <w:left w:val="nil"/>
              <w:bottom w:val="nil"/>
              <w:right w:val="nil"/>
            </w:tcBorders>
            <w:shd w:val="clear" w:color="auto" w:fill="auto"/>
            <w:noWrap/>
            <w:vAlign w:val="center"/>
            <w:hideMark/>
          </w:tcPr>
          <w:p w14:paraId="00A69315"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0.005</w:t>
            </w:r>
          </w:p>
        </w:tc>
        <w:tc>
          <w:tcPr>
            <w:tcW w:w="941" w:type="dxa"/>
            <w:tcBorders>
              <w:top w:val="nil"/>
              <w:left w:val="nil"/>
              <w:bottom w:val="nil"/>
              <w:right w:val="nil"/>
            </w:tcBorders>
            <w:shd w:val="clear" w:color="auto" w:fill="auto"/>
            <w:noWrap/>
            <w:vAlign w:val="center"/>
            <w:hideMark/>
          </w:tcPr>
          <w:p w14:paraId="11654594"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0.176*</w:t>
            </w:r>
          </w:p>
        </w:tc>
        <w:tc>
          <w:tcPr>
            <w:tcW w:w="902" w:type="dxa"/>
            <w:tcBorders>
              <w:top w:val="nil"/>
              <w:left w:val="nil"/>
              <w:bottom w:val="nil"/>
              <w:right w:val="nil"/>
            </w:tcBorders>
            <w:shd w:val="clear" w:color="auto" w:fill="auto"/>
            <w:noWrap/>
            <w:vAlign w:val="center"/>
            <w:hideMark/>
          </w:tcPr>
          <w:p w14:paraId="752AF40A"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1.000</w:t>
            </w:r>
          </w:p>
        </w:tc>
        <w:tc>
          <w:tcPr>
            <w:tcW w:w="766" w:type="dxa"/>
            <w:tcBorders>
              <w:top w:val="nil"/>
              <w:left w:val="nil"/>
              <w:bottom w:val="nil"/>
              <w:right w:val="nil"/>
            </w:tcBorders>
            <w:shd w:val="clear" w:color="auto" w:fill="auto"/>
            <w:noWrap/>
            <w:vAlign w:val="center"/>
            <w:hideMark/>
          </w:tcPr>
          <w:p w14:paraId="0BE10E99"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p>
        </w:tc>
        <w:tc>
          <w:tcPr>
            <w:tcW w:w="940" w:type="dxa"/>
            <w:tcBorders>
              <w:top w:val="nil"/>
              <w:left w:val="nil"/>
              <w:bottom w:val="nil"/>
              <w:right w:val="nil"/>
            </w:tcBorders>
            <w:shd w:val="clear" w:color="auto" w:fill="auto"/>
            <w:noWrap/>
            <w:vAlign w:val="center"/>
            <w:hideMark/>
          </w:tcPr>
          <w:p w14:paraId="53F9AF1D"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845" w:type="dxa"/>
            <w:tcBorders>
              <w:top w:val="nil"/>
              <w:left w:val="nil"/>
              <w:bottom w:val="nil"/>
              <w:right w:val="nil"/>
            </w:tcBorders>
            <w:shd w:val="clear" w:color="auto" w:fill="auto"/>
            <w:noWrap/>
            <w:vAlign w:val="center"/>
            <w:hideMark/>
          </w:tcPr>
          <w:p w14:paraId="2CBFD9D5"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851" w:type="dxa"/>
            <w:tcBorders>
              <w:top w:val="nil"/>
              <w:left w:val="nil"/>
              <w:bottom w:val="nil"/>
              <w:right w:val="nil"/>
            </w:tcBorders>
            <w:shd w:val="clear" w:color="auto" w:fill="auto"/>
            <w:noWrap/>
            <w:vAlign w:val="center"/>
            <w:hideMark/>
          </w:tcPr>
          <w:p w14:paraId="5714823D"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766" w:type="dxa"/>
            <w:tcBorders>
              <w:top w:val="nil"/>
              <w:left w:val="nil"/>
              <w:bottom w:val="nil"/>
              <w:right w:val="nil"/>
            </w:tcBorders>
            <w:shd w:val="clear" w:color="auto" w:fill="auto"/>
            <w:noWrap/>
            <w:vAlign w:val="center"/>
            <w:hideMark/>
          </w:tcPr>
          <w:p w14:paraId="48D55166"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35" w:type="dxa"/>
            <w:tcBorders>
              <w:top w:val="nil"/>
              <w:left w:val="nil"/>
              <w:bottom w:val="nil"/>
              <w:right w:val="nil"/>
            </w:tcBorders>
            <w:shd w:val="clear" w:color="auto" w:fill="auto"/>
            <w:noWrap/>
            <w:vAlign w:val="center"/>
            <w:hideMark/>
          </w:tcPr>
          <w:p w14:paraId="3AA09DD5"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766" w:type="dxa"/>
            <w:tcBorders>
              <w:top w:val="nil"/>
              <w:left w:val="nil"/>
              <w:bottom w:val="nil"/>
              <w:right w:val="nil"/>
            </w:tcBorders>
            <w:shd w:val="clear" w:color="auto" w:fill="auto"/>
            <w:noWrap/>
            <w:vAlign w:val="center"/>
            <w:hideMark/>
          </w:tcPr>
          <w:p w14:paraId="3ED3BDCF"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35" w:type="dxa"/>
            <w:tcBorders>
              <w:top w:val="nil"/>
              <w:left w:val="nil"/>
              <w:bottom w:val="nil"/>
              <w:right w:val="nil"/>
            </w:tcBorders>
            <w:shd w:val="clear" w:color="auto" w:fill="auto"/>
            <w:noWrap/>
            <w:vAlign w:val="center"/>
            <w:hideMark/>
          </w:tcPr>
          <w:p w14:paraId="5C258856"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666" w:type="dxa"/>
            <w:tcBorders>
              <w:top w:val="nil"/>
              <w:left w:val="nil"/>
              <w:bottom w:val="nil"/>
              <w:right w:val="nil"/>
            </w:tcBorders>
            <w:shd w:val="clear" w:color="auto" w:fill="auto"/>
            <w:noWrap/>
            <w:vAlign w:val="center"/>
            <w:hideMark/>
          </w:tcPr>
          <w:p w14:paraId="26EC38CA" w14:textId="77777777" w:rsidR="00E57A11" w:rsidRPr="00DA1D07" w:rsidRDefault="00E57A11" w:rsidP="002753C1">
            <w:pPr>
              <w:spacing w:after="0" w:line="240" w:lineRule="auto"/>
              <w:ind w:firstLineChars="100" w:firstLine="240"/>
              <w:jc w:val="center"/>
              <w:rPr>
                <w:rFonts w:asciiTheme="majorBidi" w:eastAsia="Times New Roman" w:hAnsiTheme="majorBidi" w:cstheme="majorBidi"/>
                <w:sz w:val="24"/>
                <w:szCs w:val="24"/>
                <w:lang w:val="en-US" w:eastAsia="en-GB"/>
              </w:rPr>
            </w:pPr>
          </w:p>
        </w:tc>
        <w:tc>
          <w:tcPr>
            <w:tcW w:w="751" w:type="dxa"/>
            <w:tcBorders>
              <w:top w:val="nil"/>
              <w:left w:val="nil"/>
              <w:bottom w:val="nil"/>
              <w:right w:val="nil"/>
            </w:tcBorders>
            <w:shd w:val="clear" w:color="auto" w:fill="auto"/>
            <w:noWrap/>
            <w:vAlign w:val="center"/>
            <w:hideMark/>
          </w:tcPr>
          <w:p w14:paraId="4F4B664A"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r>
      <w:tr w:rsidR="00E57A11" w:rsidRPr="00F62082" w14:paraId="7C797C1A" w14:textId="77777777" w:rsidTr="002753C1">
        <w:trPr>
          <w:trHeight w:val="314"/>
          <w:jc w:val="center"/>
        </w:trPr>
        <w:tc>
          <w:tcPr>
            <w:tcW w:w="616" w:type="dxa"/>
            <w:tcBorders>
              <w:top w:val="nil"/>
              <w:left w:val="nil"/>
              <w:bottom w:val="nil"/>
              <w:right w:val="nil"/>
            </w:tcBorders>
            <w:shd w:val="clear" w:color="auto" w:fill="auto"/>
            <w:noWrap/>
            <w:vAlign w:val="center"/>
            <w:hideMark/>
          </w:tcPr>
          <w:p w14:paraId="0577C257"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(7)</w:t>
            </w:r>
          </w:p>
        </w:tc>
        <w:tc>
          <w:tcPr>
            <w:tcW w:w="1533" w:type="dxa"/>
            <w:tcBorders>
              <w:top w:val="nil"/>
              <w:left w:val="nil"/>
              <w:bottom w:val="nil"/>
              <w:right w:val="nil"/>
            </w:tcBorders>
            <w:shd w:val="clear" w:color="auto" w:fill="auto"/>
            <w:noWrap/>
            <w:vAlign w:val="center"/>
            <w:hideMark/>
          </w:tcPr>
          <w:p w14:paraId="5E6749E3"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proofErr w:type="spellStart"/>
            <w:r w:rsidRPr="00DA1D07">
              <w:rPr>
                <w:rFonts w:asciiTheme="majorBidi" w:eastAsia="Times New Roman" w:hAnsiTheme="majorBidi" w:cstheme="majorBidi"/>
                <w:i/>
                <w:iCs/>
                <w:color w:val="000000"/>
                <w:sz w:val="24"/>
                <w:szCs w:val="24"/>
                <w:lang w:val="en-US" w:eastAsia="en-GB"/>
              </w:rPr>
              <w:t>CashFlow</w:t>
            </w:r>
            <w:proofErr w:type="spellEnd"/>
          </w:p>
        </w:tc>
        <w:tc>
          <w:tcPr>
            <w:tcW w:w="1002" w:type="dxa"/>
            <w:tcBorders>
              <w:top w:val="nil"/>
              <w:left w:val="nil"/>
              <w:bottom w:val="nil"/>
              <w:right w:val="nil"/>
            </w:tcBorders>
            <w:shd w:val="clear" w:color="auto" w:fill="auto"/>
            <w:noWrap/>
            <w:vAlign w:val="center"/>
            <w:hideMark/>
          </w:tcPr>
          <w:p w14:paraId="3B8A71D7"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0.056*</w:t>
            </w:r>
          </w:p>
        </w:tc>
        <w:tc>
          <w:tcPr>
            <w:tcW w:w="841" w:type="dxa"/>
            <w:tcBorders>
              <w:top w:val="nil"/>
              <w:left w:val="nil"/>
              <w:bottom w:val="nil"/>
              <w:right w:val="nil"/>
            </w:tcBorders>
            <w:shd w:val="clear" w:color="auto" w:fill="auto"/>
            <w:noWrap/>
            <w:vAlign w:val="center"/>
            <w:hideMark/>
          </w:tcPr>
          <w:p w14:paraId="493E1FEB"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0.064*</w:t>
            </w:r>
          </w:p>
        </w:tc>
        <w:tc>
          <w:tcPr>
            <w:tcW w:w="850" w:type="dxa"/>
            <w:tcBorders>
              <w:top w:val="nil"/>
              <w:left w:val="nil"/>
              <w:bottom w:val="nil"/>
              <w:right w:val="nil"/>
            </w:tcBorders>
            <w:shd w:val="clear" w:color="auto" w:fill="auto"/>
            <w:noWrap/>
            <w:vAlign w:val="center"/>
            <w:hideMark/>
          </w:tcPr>
          <w:p w14:paraId="6F5B59E7"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0.176*</w:t>
            </w:r>
          </w:p>
        </w:tc>
        <w:tc>
          <w:tcPr>
            <w:tcW w:w="851" w:type="dxa"/>
            <w:tcBorders>
              <w:top w:val="nil"/>
              <w:left w:val="nil"/>
              <w:bottom w:val="nil"/>
              <w:right w:val="nil"/>
            </w:tcBorders>
            <w:shd w:val="clear" w:color="auto" w:fill="auto"/>
            <w:noWrap/>
            <w:vAlign w:val="center"/>
            <w:hideMark/>
          </w:tcPr>
          <w:p w14:paraId="1E94E376"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0.281*</w:t>
            </w:r>
          </w:p>
        </w:tc>
        <w:tc>
          <w:tcPr>
            <w:tcW w:w="941" w:type="dxa"/>
            <w:tcBorders>
              <w:top w:val="nil"/>
              <w:left w:val="nil"/>
              <w:bottom w:val="nil"/>
              <w:right w:val="nil"/>
            </w:tcBorders>
            <w:shd w:val="clear" w:color="auto" w:fill="auto"/>
            <w:noWrap/>
            <w:vAlign w:val="center"/>
            <w:hideMark/>
          </w:tcPr>
          <w:p w14:paraId="50E6F91D"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0.148*</w:t>
            </w:r>
          </w:p>
        </w:tc>
        <w:tc>
          <w:tcPr>
            <w:tcW w:w="902" w:type="dxa"/>
            <w:tcBorders>
              <w:top w:val="nil"/>
              <w:left w:val="nil"/>
              <w:bottom w:val="nil"/>
              <w:right w:val="nil"/>
            </w:tcBorders>
            <w:shd w:val="clear" w:color="auto" w:fill="auto"/>
            <w:noWrap/>
            <w:vAlign w:val="center"/>
            <w:hideMark/>
          </w:tcPr>
          <w:p w14:paraId="47EF9FCE"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-0.043*</w:t>
            </w:r>
          </w:p>
        </w:tc>
        <w:tc>
          <w:tcPr>
            <w:tcW w:w="766" w:type="dxa"/>
            <w:tcBorders>
              <w:top w:val="nil"/>
              <w:left w:val="nil"/>
              <w:bottom w:val="nil"/>
              <w:right w:val="nil"/>
            </w:tcBorders>
            <w:shd w:val="clear" w:color="auto" w:fill="auto"/>
            <w:noWrap/>
            <w:vAlign w:val="center"/>
            <w:hideMark/>
          </w:tcPr>
          <w:p w14:paraId="4ED28C9C"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1.000</w:t>
            </w:r>
          </w:p>
        </w:tc>
        <w:tc>
          <w:tcPr>
            <w:tcW w:w="940" w:type="dxa"/>
            <w:tcBorders>
              <w:top w:val="nil"/>
              <w:left w:val="nil"/>
              <w:bottom w:val="nil"/>
              <w:right w:val="nil"/>
            </w:tcBorders>
            <w:shd w:val="clear" w:color="auto" w:fill="auto"/>
            <w:noWrap/>
            <w:vAlign w:val="center"/>
            <w:hideMark/>
          </w:tcPr>
          <w:p w14:paraId="7E69104A"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p>
        </w:tc>
        <w:tc>
          <w:tcPr>
            <w:tcW w:w="845" w:type="dxa"/>
            <w:tcBorders>
              <w:top w:val="nil"/>
              <w:left w:val="nil"/>
              <w:bottom w:val="nil"/>
              <w:right w:val="nil"/>
            </w:tcBorders>
            <w:shd w:val="clear" w:color="auto" w:fill="auto"/>
            <w:noWrap/>
            <w:vAlign w:val="center"/>
            <w:hideMark/>
          </w:tcPr>
          <w:p w14:paraId="1FA2DBFF"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851" w:type="dxa"/>
            <w:tcBorders>
              <w:top w:val="nil"/>
              <w:left w:val="nil"/>
              <w:bottom w:val="nil"/>
              <w:right w:val="nil"/>
            </w:tcBorders>
            <w:shd w:val="clear" w:color="auto" w:fill="auto"/>
            <w:noWrap/>
            <w:vAlign w:val="center"/>
            <w:hideMark/>
          </w:tcPr>
          <w:p w14:paraId="45DE9BE1"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766" w:type="dxa"/>
            <w:tcBorders>
              <w:top w:val="nil"/>
              <w:left w:val="nil"/>
              <w:bottom w:val="nil"/>
              <w:right w:val="nil"/>
            </w:tcBorders>
            <w:shd w:val="clear" w:color="auto" w:fill="auto"/>
            <w:noWrap/>
            <w:vAlign w:val="center"/>
            <w:hideMark/>
          </w:tcPr>
          <w:p w14:paraId="080EE334"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35" w:type="dxa"/>
            <w:tcBorders>
              <w:top w:val="nil"/>
              <w:left w:val="nil"/>
              <w:bottom w:val="nil"/>
              <w:right w:val="nil"/>
            </w:tcBorders>
            <w:shd w:val="clear" w:color="auto" w:fill="auto"/>
            <w:noWrap/>
            <w:vAlign w:val="center"/>
            <w:hideMark/>
          </w:tcPr>
          <w:p w14:paraId="3E2EFAE9"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766" w:type="dxa"/>
            <w:tcBorders>
              <w:top w:val="nil"/>
              <w:left w:val="nil"/>
              <w:bottom w:val="nil"/>
              <w:right w:val="nil"/>
            </w:tcBorders>
            <w:shd w:val="clear" w:color="auto" w:fill="auto"/>
            <w:noWrap/>
            <w:vAlign w:val="center"/>
            <w:hideMark/>
          </w:tcPr>
          <w:p w14:paraId="2B5C9F40"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35" w:type="dxa"/>
            <w:tcBorders>
              <w:top w:val="nil"/>
              <w:left w:val="nil"/>
              <w:bottom w:val="nil"/>
              <w:right w:val="nil"/>
            </w:tcBorders>
            <w:shd w:val="clear" w:color="auto" w:fill="auto"/>
            <w:noWrap/>
            <w:vAlign w:val="center"/>
            <w:hideMark/>
          </w:tcPr>
          <w:p w14:paraId="1B563597"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666" w:type="dxa"/>
            <w:tcBorders>
              <w:top w:val="nil"/>
              <w:left w:val="nil"/>
              <w:bottom w:val="nil"/>
              <w:right w:val="nil"/>
            </w:tcBorders>
            <w:shd w:val="clear" w:color="auto" w:fill="auto"/>
            <w:noWrap/>
            <w:vAlign w:val="center"/>
            <w:hideMark/>
          </w:tcPr>
          <w:p w14:paraId="5552A571"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751" w:type="dxa"/>
            <w:tcBorders>
              <w:top w:val="nil"/>
              <w:left w:val="nil"/>
              <w:bottom w:val="nil"/>
              <w:right w:val="nil"/>
            </w:tcBorders>
            <w:shd w:val="clear" w:color="auto" w:fill="auto"/>
            <w:noWrap/>
            <w:vAlign w:val="center"/>
            <w:hideMark/>
          </w:tcPr>
          <w:p w14:paraId="5EA1B3BE"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r>
      <w:tr w:rsidR="00E57A11" w:rsidRPr="00F62082" w14:paraId="3030B70C" w14:textId="77777777" w:rsidTr="002753C1">
        <w:trPr>
          <w:trHeight w:val="314"/>
          <w:jc w:val="center"/>
        </w:trPr>
        <w:tc>
          <w:tcPr>
            <w:tcW w:w="616" w:type="dxa"/>
            <w:tcBorders>
              <w:top w:val="nil"/>
              <w:left w:val="nil"/>
              <w:bottom w:val="nil"/>
              <w:right w:val="nil"/>
            </w:tcBorders>
            <w:shd w:val="clear" w:color="auto" w:fill="auto"/>
            <w:noWrap/>
            <w:vAlign w:val="center"/>
            <w:hideMark/>
          </w:tcPr>
          <w:p w14:paraId="5B9AE9DB"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(8)</w:t>
            </w:r>
          </w:p>
        </w:tc>
        <w:tc>
          <w:tcPr>
            <w:tcW w:w="1533" w:type="dxa"/>
            <w:tcBorders>
              <w:top w:val="nil"/>
              <w:left w:val="nil"/>
              <w:bottom w:val="nil"/>
              <w:right w:val="nil"/>
            </w:tcBorders>
            <w:shd w:val="clear" w:color="auto" w:fill="auto"/>
            <w:noWrap/>
            <w:vAlign w:val="center"/>
            <w:hideMark/>
          </w:tcPr>
          <w:p w14:paraId="610A4C80"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proofErr w:type="spellStart"/>
            <w:r w:rsidRPr="00DA1D07">
              <w:rPr>
                <w:rFonts w:asciiTheme="majorBidi" w:eastAsia="Times New Roman" w:hAnsiTheme="majorBidi" w:cstheme="majorBidi"/>
                <w:i/>
                <w:iCs/>
                <w:color w:val="000000"/>
                <w:sz w:val="24"/>
                <w:szCs w:val="24"/>
                <w:lang w:val="en-US" w:eastAsia="en-GB"/>
              </w:rPr>
              <w:t>DividendPayout</w:t>
            </w:r>
            <w:proofErr w:type="spellEnd"/>
          </w:p>
        </w:tc>
        <w:tc>
          <w:tcPr>
            <w:tcW w:w="1002" w:type="dxa"/>
            <w:tcBorders>
              <w:top w:val="nil"/>
              <w:left w:val="nil"/>
              <w:bottom w:val="nil"/>
              <w:right w:val="nil"/>
            </w:tcBorders>
            <w:shd w:val="clear" w:color="auto" w:fill="auto"/>
            <w:noWrap/>
            <w:vAlign w:val="center"/>
            <w:hideMark/>
          </w:tcPr>
          <w:p w14:paraId="6325B173"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0.105*</w:t>
            </w:r>
          </w:p>
        </w:tc>
        <w:tc>
          <w:tcPr>
            <w:tcW w:w="841" w:type="dxa"/>
            <w:tcBorders>
              <w:top w:val="nil"/>
              <w:left w:val="nil"/>
              <w:bottom w:val="nil"/>
              <w:right w:val="nil"/>
            </w:tcBorders>
            <w:shd w:val="clear" w:color="auto" w:fill="auto"/>
            <w:noWrap/>
            <w:vAlign w:val="center"/>
            <w:hideMark/>
          </w:tcPr>
          <w:p w14:paraId="381578A5"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0.113*</w:t>
            </w:r>
          </w:p>
        </w:tc>
        <w:tc>
          <w:tcPr>
            <w:tcW w:w="850" w:type="dxa"/>
            <w:tcBorders>
              <w:top w:val="nil"/>
              <w:left w:val="nil"/>
              <w:bottom w:val="nil"/>
              <w:right w:val="nil"/>
            </w:tcBorders>
            <w:shd w:val="clear" w:color="auto" w:fill="auto"/>
            <w:noWrap/>
            <w:vAlign w:val="center"/>
            <w:hideMark/>
          </w:tcPr>
          <w:p w14:paraId="2AC2330D"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0.116*</w:t>
            </w:r>
          </w:p>
        </w:tc>
        <w:tc>
          <w:tcPr>
            <w:tcW w:w="851" w:type="dxa"/>
            <w:tcBorders>
              <w:top w:val="nil"/>
              <w:left w:val="nil"/>
              <w:bottom w:val="nil"/>
              <w:right w:val="nil"/>
            </w:tcBorders>
            <w:shd w:val="clear" w:color="auto" w:fill="auto"/>
            <w:noWrap/>
            <w:vAlign w:val="center"/>
            <w:hideMark/>
          </w:tcPr>
          <w:p w14:paraId="772D3CC8"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0.110*</w:t>
            </w:r>
          </w:p>
        </w:tc>
        <w:tc>
          <w:tcPr>
            <w:tcW w:w="941" w:type="dxa"/>
            <w:tcBorders>
              <w:top w:val="nil"/>
              <w:left w:val="nil"/>
              <w:bottom w:val="nil"/>
              <w:right w:val="nil"/>
            </w:tcBorders>
            <w:shd w:val="clear" w:color="auto" w:fill="auto"/>
            <w:noWrap/>
            <w:vAlign w:val="center"/>
            <w:hideMark/>
          </w:tcPr>
          <w:p w14:paraId="1D81B44D"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0.137*</w:t>
            </w:r>
          </w:p>
        </w:tc>
        <w:tc>
          <w:tcPr>
            <w:tcW w:w="902" w:type="dxa"/>
            <w:tcBorders>
              <w:top w:val="nil"/>
              <w:left w:val="nil"/>
              <w:bottom w:val="nil"/>
              <w:right w:val="nil"/>
            </w:tcBorders>
            <w:shd w:val="clear" w:color="auto" w:fill="auto"/>
            <w:noWrap/>
            <w:vAlign w:val="center"/>
            <w:hideMark/>
          </w:tcPr>
          <w:p w14:paraId="13EEBA54"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0.047*</w:t>
            </w:r>
          </w:p>
        </w:tc>
        <w:tc>
          <w:tcPr>
            <w:tcW w:w="766" w:type="dxa"/>
            <w:tcBorders>
              <w:top w:val="nil"/>
              <w:left w:val="nil"/>
              <w:bottom w:val="nil"/>
              <w:right w:val="nil"/>
            </w:tcBorders>
            <w:shd w:val="clear" w:color="auto" w:fill="auto"/>
            <w:noWrap/>
            <w:vAlign w:val="center"/>
            <w:hideMark/>
          </w:tcPr>
          <w:p w14:paraId="486EDF83"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0.205*</w:t>
            </w:r>
          </w:p>
        </w:tc>
        <w:tc>
          <w:tcPr>
            <w:tcW w:w="940" w:type="dxa"/>
            <w:tcBorders>
              <w:top w:val="nil"/>
              <w:left w:val="nil"/>
              <w:bottom w:val="nil"/>
              <w:right w:val="nil"/>
            </w:tcBorders>
            <w:shd w:val="clear" w:color="auto" w:fill="auto"/>
            <w:noWrap/>
            <w:vAlign w:val="center"/>
            <w:hideMark/>
          </w:tcPr>
          <w:p w14:paraId="60818ADE"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1.000</w:t>
            </w:r>
          </w:p>
        </w:tc>
        <w:tc>
          <w:tcPr>
            <w:tcW w:w="845" w:type="dxa"/>
            <w:tcBorders>
              <w:top w:val="nil"/>
              <w:left w:val="nil"/>
              <w:bottom w:val="nil"/>
              <w:right w:val="nil"/>
            </w:tcBorders>
            <w:shd w:val="clear" w:color="auto" w:fill="auto"/>
            <w:noWrap/>
            <w:vAlign w:val="center"/>
            <w:hideMark/>
          </w:tcPr>
          <w:p w14:paraId="64B93E2A"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p>
        </w:tc>
        <w:tc>
          <w:tcPr>
            <w:tcW w:w="851" w:type="dxa"/>
            <w:tcBorders>
              <w:top w:val="nil"/>
              <w:left w:val="nil"/>
              <w:bottom w:val="nil"/>
              <w:right w:val="nil"/>
            </w:tcBorders>
            <w:shd w:val="clear" w:color="auto" w:fill="auto"/>
            <w:noWrap/>
            <w:vAlign w:val="center"/>
            <w:hideMark/>
          </w:tcPr>
          <w:p w14:paraId="3192B118"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766" w:type="dxa"/>
            <w:tcBorders>
              <w:top w:val="nil"/>
              <w:left w:val="nil"/>
              <w:bottom w:val="nil"/>
              <w:right w:val="nil"/>
            </w:tcBorders>
            <w:shd w:val="clear" w:color="auto" w:fill="auto"/>
            <w:noWrap/>
            <w:vAlign w:val="center"/>
            <w:hideMark/>
          </w:tcPr>
          <w:p w14:paraId="63A0A568"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35" w:type="dxa"/>
            <w:tcBorders>
              <w:top w:val="nil"/>
              <w:left w:val="nil"/>
              <w:bottom w:val="nil"/>
              <w:right w:val="nil"/>
            </w:tcBorders>
            <w:shd w:val="clear" w:color="auto" w:fill="auto"/>
            <w:noWrap/>
            <w:vAlign w:val="center"/>
            <w:hideMark/>
          </w:tcPr>
          <w:p w14:paraId="24F66FC2"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766" w:type="dxa"/>
            <w:tcBorders>
              <w:top w:val="nil"/>
              <w:left w:val="nil"/>
              <w:bottom w:val="nil"/>
              <w:right w:val="nil"/>
            </w:tcBorders>
            <w:shd w:val="clear" w:color="auto" w:fill="auto"/>
            <w:noWrap/>
            <w:vAlign w:val="center"/>
            <w:hideMark/>
          </w:tcPr>
          <w:p w14:paraId="1D2A2B50"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35" w:type="dxa"/>
            <w:tcBorders>
              <w:top w:val="nil"/>
              <w:left w:val="nil"/>
              <w:bottom w:val="nil"/>
              <w:right w:val="nil"/>
            </w:tcBorders>
            <w:shd w:val="clear" w:color="auto" w:fill="auto"/>
            <w:noWrap/>
            <w:vAlign w:val="center"/>
            <w:hideMark/>
          </w:tcPr>
          <w:p w14:paraId="75CC5AA0"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666" w:type="dxa"/>
            <w:tcBorders>
              <w:top w:val="nil"/>
              <w:left w:val="nil"/>
              <w:bottom w:val="nil"/>
              <w:right w:val="nil"/>
            </w:tcBorders>
            <w:shd w:val="clear" w:color="auto" w:fill="auto"/>
            <w:noWrap/>
            <w:vAlign w:val="center"/>
            <w:hideMark/>
          </w:tcPr>
          <w:p w14:paraId="3BBD9FAA" w14:textId="77777777" w:rsidR="00E57A11" w:rsidRPr="00DA1D07" w:rsidRDefault="00E57A11" w:rsidP="002753C1">
            <w:pPr>
              <w:spacing w:after="0" w:line="240" w:lineRule="auto"/>
              <w:ind w:firstLineChars="100" w:firstLine="240"/>
              <w:jc w:val="center"/>
              <w:rPr>
                <w:rFonts w:asciiTheme="majorBidi" w:eastAsia="Times New Roman" w:hAnsiTheme="majorBidi" w:cstheme="majorBidi"/>
                <w:sz w:val="24"/>
                <w:szCs w:val="24"/>
                <w:lang w:val="en-US" w:eastAsia="en-GB"/>
              </w:rPr>
            </w:pPr>
          </w:p>
        </w:tc>
        <w:tc>
          <w:tcPr>
            <w:tcW w:w="751" w:type="dxa"/>
            <w:tcBorders>
              <w:top w:val="nil"/>
              <w:left w:val="nil"/>
              <w:bottom w:val="nil"/>
              <w:right w:val="nil"/>
            </w:tcBorders>
            <w:shd w:val="clear" w:color="auto" w:fill="auto"/>
            <w:noWrap/>
            <w:vAlign w:val="center"/>
            <w:hideMark/>
          </w:tcPr>
          <w:p w14:paraId="74A31A31"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r>
      <w:tr w:rsidR="00E57A11" w:rsidRPr="00F62082" w14:paraId="4A3633B3" w14:textId="77777777" w:rsidTr="002753C1">
        <w:trPr>
          <w:trHeight w:val="314"/>
          <w:jc w:val="center"/>
        </w:trPr>
        <w:tc>
          <w:tcPr>
            <w:tcW w:w="616" w:type="dxa"/>
            <w:tcBorders>
              <w:top w:val="nil"/>
              <w:left w:val="nil"/>
              <w:bottom w:val="nil"/>
              <w:right w:val="nil"/>
            </w:tcBorders>
            <w:shd w:val="clear" w:color="auto" w:fill="auto"/>
            <w:noWrap/>
            <w:vAlign w:val="center"/>
            <w:hideMark/>
          </w:tcPr>
          <w:p w14:paraId="57EB1AE7"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(9)</w:t>
            </w:r>
          </w:p>
        </w:tc>
        <w:tc>
          <w:tcPr>
            <w:tcW w:w="1533" w:type="dxa"/>
            <w:tcBorders>
              <w:top w:val="nil"/>
              <w:left w:val="nil"/>
              <w:bottom w:val="nil"/>
              <w:right w:val="nil"/>
            </w:tcBorders>
            <w:shd w:val="clear" w:color="auto" w:fill="auto"/>
            <w:noWrap/>
            <w:vAlign w:val="center"/>
            <w:hideMark/>
          </w:tcPr>
          <w:p w14:paraId="7173FE0F"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proofErr w:type="spellStart"/>
            <w:r w:rsidRPr="00DA1D07">
              <w:rPr>
                <w:rFonts w:asciiTheme="majorBidi" w:eastAsia="Times New Roman" w:hAnsiTheme="majorBidi" w:cstheme="majorBidi"/>
                <w:i/>
                <w:iCs/>
                <w:color w:val="000000"/>
                <w:sz w:val="24"/>
                <w:szCs w:val="24"/>
                <w:lang w:val="en-US" w:eastAsia="en-GB"/>
              </w:rPr>
              <w:t>FirmSize</w:t>
            </w:r>
            <w:proofErr w:type="spellEnd"/>
          </w:p>
        </w:tc>
        <w:tc>
          <w:tcPr>
            <w:tcW w:w="1002" w:type="dxa"/>
            <w:tcBorders>
              <w:top w:val="nil"/>
              <w:left w:val="nil"/>
              <w:bottom w:val="nil"/>
              <w:right w:val="nil"/>
            </w:tcBorders>
            <w:shd w:val="clear" w:color="auto" w:fill="auto"/>
            <w:noWrap/>
            <w:vAlign w:val="center"/>
            <w:hideMark/>
          </w:tcPr>
          <w:p w14:paraId="09E6861B"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0.325*</w:t>
            </w:r>
          </w:p>
        </w:tc>
        <w:tc>
          <w:tcPr>
            <w:tcW w:w="841" w:type="dxa"/>
            <w:tcBorders>
              <w:top w:val="nil"/>
              <w:left w:val="nil"/>
              <w:bottom w:val="nil"/>
              <w:right w:val="nil"/>
            </w:tcBorders>
            <w:shd w:val="clear" w:color="auto" w:fill="auto"/>
            <w:noWrap/>
            <w:vAlign w:val="center"/>
            <w:hideMark/>
          </w:tcPr>
          <w:p w14:paraId="6BB368A3"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0.323*</w:t>
            </w:r>
          </w:p>
        </w:tc>
        <w:tc>
          <w:tcPr>
            <w:tcW w:w="850" w:type="dxa"/>
            <w:tcBorders>
              <w:top w:val="nil"/>
              <w:left w:val="nil"/>
              <w:bottom w:val="nil"/>
              <w:right w:val="nil"/>
            </w:tcBorders>
            <w:shd w:val="clear" w:color="auto" w:fill="auto"/>
            <w:noWrap/>
            <w:vAlign w:val="center"/>
            <w:hideMark/>
          </w:tcPr>
          <w:p w14:paraId="5CC22335"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0.607*</w:t>
            </w:r>
          </w:p>
        </w:tc>
        <w:tc>
          <w:tcPr>
            <w:tcW w:w="851" w:type="dxa"/>
            <w:tcBorders>
              <w:top w:val="nil"/>
              <w:left w:val="nil"/>
              <w:bottom w:val="nil"/>
              <w:right w:val="nil"/>
            </w:tcBorders>
            <w:shd w:val="clear" w:color="auto" w:fill="auto"/>
            <w:noWrap/>
            <w:vAlign w:val="center"/>
            <w:hideMark/>
          </w:tcPr>
          <w:p w14:paraId="1ECD9AF9"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0.617*</w:t>
            </w:r>
          </w:p>
        </w:tc>
        <w:tc>
          <w:tcPr>
            <w:tcW w:w="941" w:type="dxa"/>
            <w:tcBorders>
              <w:top w:val="nil"/>
              <w:left w:val="nil"/>
              <w:bottom w:val="nil"/>
              <w:right w:val="nil"/>
            </w:tcBorders>
            <w:shd w:val="clear" w:color="auto" w:fill="auto"/>
            <w:noWrap/>
            <w:vAlign w:val="center"/>
            <w:hideMark/>
          </w:tcPr>
          <w:p w14:paraId="50BEF974"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0.484*</w:t>
            </w:r>
          </w:p>
        </w:tc>
        <w:tc>
          <w:tcPr>
            <w:tcW w:w="902" w:type="dxa"/>
            <w:tcBorders>
              <w:top w:val="nil"/>
              <w:left w:val="nil"/>
              <w:bottom w:val="nil"/>
              <w:right w:val="nil"/>
            </w:tcBorders>
            <w:shd w:val="clear" w:color="auto" w:fill="auto"/>
            <w:noWrap/>
            <w:vAlign w:val="center"/>
            <w:hideMark/>
          </w:tcPr>
          <w:p w14:paraId="4974BD6B"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0.095*</w:t>
            </w:r>
          </w:p>
        </w:tc>
        <w:tc>
          <w:tcPr>
            <w:tcW w:w="766" w:type="dxa"/>
            <w:tcBorders>
              <w:top w:val="nil"/>
              <w:left w:val="nil"/>
              <w:bottom w:val="nil"/>
              <w:right w:val="nil"/>
            </w:tcBorders>
            <w:shd w:val="clear" w:color="auto" w:fill="auto"/>
            <w:noWrap/>
            <w:vAlign w:val="center"/>
            <w:hideMark/>
          </w:tcPr>
          <w:p w14:paraId="1E938964"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0.224*</w:t>
            </w:r>
          </w:p>
        </w:tc>
        <w:tc>
          <w:tcPr>
            <w:tcW w:w="940" w:type="dxa"/>
            <w:tcBorders>
              <w:top w:val="nil"/>
              <w:left w:val="nil"/>
              <w:bottom w:val="nil"/>
              <w:right w:val="nil"/>
            </w:tcBorders>
            <w:shd w:val="clear" w:color="auto" w:fill="auto"/>
            <w:noWrap/>
            <w:vAlign w:val="center"/>
            <w:hideMark/>
          </w:tcPr>
          <w:p w14:paraId="1D0A7ACD"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0.280*</w:t>
            </w:r>
          </w:p>
        </w:tc>
        <w:tc>
          <w:tcPr>
            <w:tcW w:w="845" w:type="dxa"/>
            <w:tcBorders>
              <w:top w:val="nil"/>
              <w:left w:val="nil"/>
              <w:bottom w:val="nil"/>
              <w:right w:val="nil"/>
            </w:tcBorders>
            <w:shd w:val="clear" w:color="auto" w:fill="auto"/>
            <w:noWrap/>
            <w:vAlign w:val="center"/>
            <w:hideMark/>
          </w:tcPr>
          <w:p w14:paraId="3615CA2A"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1.000</w:t>
            </w:r>
          </w:p>
        </w:tc>
        <w:tc>
          <w:tcPr>
            <w:tcW w:w="851" w:type="dxa"/>
            <w:tcBorders>
              <w:top w:val="nil"/>
              <w:left w:val="nil"/>
              <w:bottom w:val="nil"/>
              <w:right w:val="nil"/>
            </w:tcBorders>
            <w:shd w:val="clear" w:color="auto" w:fill="auto"/>
            <w:noWrap/>
            <w:vAlign w:val="center"/>
            <w:hideMark/>
          </w:tcPr>
          <w:p w14:paraId="7CF96FDE"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p>
        </w:tc>
        <w:tc>
          <w:tcPr>
            <w:tcW w:w="766" w:type="dxa"/>
            <w:tcBorders>
              <w:top w:val="nil"/>
              <w:left w:val="nil"/>
              <w:bottom w:val="nil"/>
              <w:right w:val="nil"/>
            </w:tcBorders>
            <w:shd w:val="clear" w:color="auto" w:fill="auto"/>
            <w:noWrap/>
            <w:vAlign w:val="center"/>
            <w:hideMark/>
          </w:tcPr>
          <w:p w14:paraId="084583D9"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35" w:type="dxa"/>
            <w:tcBorders>
              <w:top w:val="nil"/>
              <w:left w:val="nil"/>
              <w:bottom w:val="nil"/>
              <w:right w:val="nil"/>
            </w:tcBorders>
            <w:shd w:val="clear" w:color="auto" w:fill="auto"/>
            <w:noWrap/>
            <w:vAlign w:val="center"/>
            <w:hideMark/>
          </w:tcPr>
          <w:p w14:paraId="6DDFDA65"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766" w:type="dxa"/>
            <w:tcBorders>
              <w:top w:val="nil"/>
              <w:left w:val="nil"/>
              <w:bottom w:val="nil"/>
              <w:right w:val="nil"/>
            </w:tcBorders>
            <w:shd w:val="clear" w:color="auto" w:fill="auto"/>
            <w:noWrap/>
            <w:vAlign w:val="center"/>
            <w:hideMark/>
          </w:tcPr>
          <w:p w14:paraId="3FCA483B"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35" w:type="dxa"/>
            <w:tcBorders>
              <w:top w:val="nil"/>
              <w:left w:val="nil"/>
              <w:bottom w:val="nil"/>
              <w:right w:val="nil"/>
            </w:tcBorders>
            <w:shd w:val="clear" w:color="auto" w:fill="auto"/>
            <w:noWrap/>
            <w:vAlign w:val="center"/>
            <w:hideMark/>
          </w:tcPr>
          <w:p w14:paraId="4E41DCDE"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666" w:type="dxa"/>
            <w:tcBorders>
              <w:top w:val="nil"/>
              <w:left w:val="nil"/>
              <w:bottom w:val="nil"/>
              <w:right w:val="nil"/>
            </w:tcBorders>
            <w:shd w:val="clear" w:color="auto" w:fill="auto"/>
            <w:noWrap/>
            <w:vAlign w:val="center"/>
            <w:hideMark/>
          </w:tcPr>
          <w:p w14:paraId="4FC31DE5" w14:textId="77777777" w:rsidR="00E57A11" w:rsidRPr="00DA1D07" w:rsidRDefault="00E57A11" w:rsidP="002753C1">
            <w:pPr>
              <w:spacing w:after="0" w:line="240" w:lineRule="auto"/>
              <w:ind w:firstLineChars="100" w:firstLine="240"/>
              <w:jc w:val="center"/>
              <w:rPr>
                <w:rFonts w:asciiTheme="majorBidi" w:eastAsia="Times New Roman" w:hAnsiTheme="majorBidi" w:cstheme="majorBidi"/>
                <w:sz w:val="24"/>
                <w:szCs w:val="24"/>
                <w:lang w:val="en-US" w:eastAsia="en-GB"/>
              </w:rPr>
            </w:pPr>
          </w:p>
        </w:tc>
        <w:tc>
          <w:tcPr>
            <w:tcW w:w="751" w:type="dxa"/>
            <w:tcBorders>
              <w:top w:val="nil"/>
              <w:left w:val="nil"/>
              <w:bottom w:val="nil"/>
              <w:right w:val="nil"/>
            </w:tcBorders>
            <w:shd w:val="clear" w:color="auto" w:fill="auto"/>
            <w:noWrap/>
            <w:vAlign w:val="center"/>
            <w:hideMark/>
          </w:tcPr>
          <w:p w14:paraId="0B5EAD97"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r>
      <w:tr w:rsidR="00E57A11" w:rsidRPr="00F62082" w14:paraId="6981CFE7" w14:textId="77777777" w:rsidTr="002753C1">
        <w:trPr>
          <w:trHeight w:val="314"/>
          <w:jc w:val="center"/>
        </w:trPr>
        <w:tc>
          <w:tcPr>
            <w:tcW w:w="616" w:type="dxa"/>
            <w:tcBorders>
              <w:top w:val="nil"/>
              <w:left w:val="nil"/>
              <w:bottom w:val="nil"/>
              <w:right w:val="nil"/>
            </w:tcBorders>
            <w:shd w:val="clear" w:color="auto" w:fill="auto"/>
            <w:noWrap/>
            <w:vAlign w:val="center"/>
            <w:hideMark/>
          </w:tcPr>
          <w:p w14:paraId="1C6A3C8F"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(10)</w:t>
            </w:r>
          </w:p>
        </w:tc>
        <w:tc>
          <w:tcPr>
            <w:tcW w:w="1533" w:type="dxa"/>
            <w:tcBorders>
              <w:top w:val="nil"/>
              <w:left w:val="nil"/>
              <w:bottom w:val="nil"/>
              <w:right w:val="nil"/>
            </w:tcBorders>
            <w:shd w:val="clear" w:color="auto" w:fill="auto"/>
            <w:noWrap/>
            <w:vAlign w:val="center"/>
            <w:hideMark/>
          </w:tcPr>
          <w:p w14:paraId="32A20E52"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Employees</w:t>
            </w:r>
          </w:p>
        </w:tc>
        <w:tc>
          <w:tcPr>
            <w:tcW w:w="1002" w:type="dxa"/>
            <w:tcBorders>
              <w:top w:val="nil"/>
              <w:left w:val="nil"/>
              <w:bottom w:val="nil"/>
              <w:right w:val="nil"/>
            </w:tcBorders>
            <w:shd w:val="clear" w:color="auto" w:fill="auto"/>
            <w:noWrap/>
            <w:vAlign w:val="center"/>
            <w:hideMark/>
          </w:tcPr>
          <w:p w14:paraId="0E0C2780"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0.405*</w:t>
            </w:r>
          </w:p>
        </w:tc>
        <w:tc>
          <w:tcPr>
            <w:tcW w:w="841" w:type="dxa"/>
            <w:tcBorders>
              <w:top w:val="nil"/>
              <w:left w:val="nil"/>
              <w:bottom w:val="nil"/>
              <w:right w:val="nil"/>
            </w:tcBorders>
            <w:shd w:val="clear" w:color="auto" w:fill="auto"/>
            <w:noWrap/>
            <w:vAlign w:val="center"/>
            <w:hideMark/>
          </w:tcPr>
          <w:p w14:paraId="03540676"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0.405*</w:t>
            </w:r>
          </w:p>
        </w:tc>
        <w:tc>
          <w:tcPr>
            <w:tcW w:w="850" w:type="dxa"/>
            <w:tcBorders>
              <w:top w:val="nil"/>
              <w:left w:val="nil"/>
              <w:bottom w:val="nil"/>
              <w:right w:val="nil"/>
            </w:tcBorders>
            <w:shd w:val="clear" w:color="auto" w:fill="auto"/>
            <w:noWrap/>
            <w:vAlign w:val="center"/>
            <w:hideMark/>
          </w:tcPr>
          <w:p w14:paraId="49888FBE"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0.427*</w:t>
            </w:r>
          </w:p>
        </w:tc>
        <w:tc>
          <w:tcPr>
            <w:tcW w:w="851" w:type="dxa"/>
            <w:tcBorders>
              <w:top w:val="nil"/>
              <w:left w:val="nil"/>
              <w:bottom w:val="nil"/>
              <w:right w:val="nil"/>
            </w:tcBorders>
            <w:shd w:val="clear" w:color="auto" w:fill="auto"/>
            <w:noWrap/>
            <w:vAlign w:val="center"/>
            <w:hideMark/>
          </w:tcPr>
          <w:p w14:paraId="16FF52AE"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0.375*</w:t>
            </w:r>
          </w:p>
        </w:tc>
        <w:tc>
          <w:tcPr>
            <w:tcW w:w="941" w:type="dxa"/>
            <w:tcBorders>
              <w:top w:val="nil"/>
              <w:left w:val="nil"/>
              <w:bottom w:val="nil"/>
              <w:right w:val="nil"/>
            </w:tcBorders>
            <w:shd w:val="clear" w:color="auto" w:fill="auto"/>
            <w:noWrap/>
            <w:vAlign w:val="center"/>
            <w:hideMark/>
          </w:tcPr>
          <w:p w14:paraId="5C13A1D8"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0.517*</w:t>
            </w:r>
          </w:p>
        </w:tc>
        <w:tc>
          <w:tcPr>
            <w:tcW w:w="902" w:type="dxa"/>
            <w:tcBorders>
              <w:top w:val="nil"/>
              <w:left w:val="nil"/>
              <w:bottom w:val="nil"/>
              <w:right w:val="nil"/>
            </w:tcBorders>
            <w:shd w:val="clear" w:color="auto" w:fill="auto"/>
            <w:noWrap/>
            <w:vAlign w:val="center"/>
            <w:hideMark/>
          </w:tcPr>
          <w:p w14:paraId="7834C3FE"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0.215*</w:t>
            </w:r>
          </w:p>
        </w:tc>
        <w:tc>
          <w:tcPr>
            <w:tcW w:w="766" w:type="dxa"/>
            <w:tcBorders>
              <w:top w:val="nil"/>
              <w:left w:val="nil"/>
              <w:bottom w:val="nil"/>
              <w:right w:val="nil"/>
            </w:tcBorders>
            <w:shd w:val="clear" w:color="auto" w:fill="auto"/>
            <w:noWrap/>
            <w:vAlign w:val="center"/>
            <w:hideMark/>
          </w:tcPr>
          <w:p w14:paraId="1B4FD007"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0.205*</w:t>
            </w:r>
          </w:p>
        </w:tc>
        <w:tc>
          <w:tcPr>
            <w:tcW w:w="940" w:type="dxa"/>
            <w:tcBorders>
              <w:top w:val="nil"/>
              <w:left w:val="nil"/>
              <w:bottom w:val="nil"/>
              <w:right w:val="nil"/>
            </w:tcBorders>
            <w:shd w:val="clear" w:color="auto" w:fill="auto"/>
            <w:noWrap/>
            <w:vAlign w:val="center"/>
            <w:hideMark/>
          </w:tcPr>
          <w:p w14:paraId="5FEC4D9F"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0.177*</w:t>
            </w:r>
          </w:p>
        </w:tc>
        <w:tc>
          <w:tcPr>
            <w:tcW w:w="845" w:type="dxa"/>
            <w:tcBorders>
              <w:top w:val="nil"/>
              <w:left w:val="nil"/>
              <w:bottom w:val="nil"/>
              <w:right w:val="nil"/>
            </w:tcBorders>
            <w:shd w:val="clear" w:color="auto" w:fill="auto"/>
            <w:noWrap/>
            <w:vAlign w:val="center"/>
            <w:hideMark/>
          </w:tcPr>
          <w:p w14:paraId="076AA5A1"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0.681*</w:t>
            </w:r>
          </w:p>
        </w:tc>
        <w:tc>
          <w:tcPr>
            <w:tcW w:w="851" w:type="dxa"/>
            <w:tcBorders>
              <w:top w:val="nil"/>
              <w:left w:val="nil"/>
              <w:bottom w:val="nil"/>
              <w:right w:val="nil"/>
            </w:tcBorders>
            <w:shd w:val="clear" w:color="auto" w:fill="auto"/>
            <w:noWrap/>
            <w:vAlign w:val="center"/>
            <w:hideMark/>
          </w:tcPr>
          <w:p w14:paraId="2160D54D"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1.000</w:t>
            </w:r>
          </w:p>
        </w:tc>
        <w:tc>
          <w:tcPr>
            <w:tcW w:w="766" w:type="dxa"/>
            <w:tcBorders>
              <w:top w:val="nil"/>
              <w:left w:val="nil"/>
              <w:bottom w:val="nil"/>
              <w:right w:val="nil"/>
            </w:tcBorders>
            <w:shd w:val="clear" w:color="auto" w:fill="auto"/>
            <w:noWrap/>
            <w:vAlign w:val="center"/>
            <w:hideMark/>
          </w:tcPr>
          <w:p w14:paraId="1AE3AD36"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p>
        </w:tc>
        <w:tc>
          <w:tcPr>
            <w:tcW w:w="935" w:type="dxa"/>
            <w:tcBorders>
              <w:top w:val="nil"/>
              <w:left w:val="nil"/>
              <w:bottom w:val="nil"/>
              <w:right w:val="nil"/>
            </w:tcBorders>
            <w:shd w:val="clear" w:color="auto" w:fill="auto"/>
            <w:noWrap/>
            <w:vAlign w:val="center"/>
            <w:hideMark/>
          </w:tcPr>
          <w:p w14:paraId="2B78B9F9"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766" w:type="dxa"/>
            <w:tcBorders>
              <w:top w:val="nil"/>
              <w:left w:val="nil"/>
              <w:bottom w:val="nil"/>
              <w:right w:val="nil"/>
            </w:tcBorders>
            <w:shd w:val="clear" w:color="auto" w:fill="auto"/>
            <w:noWrap/>
            <w:vAlign w:val="center"/>
            <w:hideMark/>
          </w:tcPr>
          <w:p w14:paraId="518358A0"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35" w:type="dxa"/>
            <w:tcBorders>
              <w:top w:val="nil"/>
              <w:left w:val="nil"/>
              <w:bottom w:val="nil"/>
              <w:right w:val="nil"/>
            </w:tcBorders>
            <w:shd w:val="clear" w:color="auto" w:fill="auto"/>
            <w:noWrap/>
            <w:vAlign w:val="center"/>
            <w:hideMark/>
          </w:tcPr>
          <w:p w14:paraId="36EBE3CB"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666" w:type="dxa"/>
            <w:tcBorders>
              <w:top w:val="nil"/>
              <w:left w:val="nil"/>
              <w:bottom w:val="nil"/>
              <w:right w:val="nil"/>
            </w:tcBorders>
            <w:shd w:val="clear" w:color="auto" w:fill="auto"/>
            <w:noWrap/>
            <w:vAlign w:val="center"/>
            <w:hideMark/>
          </w:tcPr>
          <w:p w14:paraId="128EAB48" w14:textId="77777777" w:rsidR="00E57A11" w:rsidRPr="00DA1D07" w:rsidRDefault="00E57A11" w:rsidP="002753C1">
            <w:pPr>
              <w:spacing w:after="0" w:line="240" w:lineRule="auto"/>
              <w:ind w:firstLineChars="100" w:firstLine="240"/>
              <w:jc w:val="center"/>
              <w:rPr>
                <w:rFonts w:asciiTheme="majorBidi" w:eastAsia="Times New Roman" w:hAnsiTheme="majorBidi" w:cstheme="majorBidi"/>
                <w:sz w:val="24"/>
                <w:szCs w:val="24"/>
                <w:lang w:val="en-US" w:eastAsia="en-GB"/>
              </w:rPr>
            </w:pPr>
          </w:p>
        </w:tc>
        <w:tc>
          <w:tcPr>
            <w:tcW w:w="751" w:type="dxa"/>
            <w:tcBorders>
              <w:top w:val="nil"/>
              <w:left w:val="nil"/>
              <w:bottom w:val="nil"/>
              <w:right w:val="nil"/>
            </w:tcBorders>
            <w:shd w:val="clear" w:color="auto" w:fill="auto"/>
            <w:noWrap/>
            <w:vAlign w:val="center"/>
            <w:hideMark/>
          </w:tcPr>
          <w:p w14:paraId="064D960B"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r>
      <w:tr w:rsidR="00E57A11" w:rsidRPr="00F62082" w14:paraId="41C55BEB" w14:textId="77777777" w:rsidTr="002753C1">
        <w:trPr>
          <w:trHeight w:val="314"/>
          <w:jc w:val="center"/>
        </w:trPr>
        <w:tc>
          <w:tcPr>
            <w:tcW w:w="616" w:type="dxa"/>
            <w:tcBorders>
              <w:top w:val="nil"/>
              <w:left w:val="nil"/>
              <w:bottom w:val="nil"/>
              <w:right w:val="nil"/>
            </w:tcBorders>
            <w:shd w:val="clear" w:color="auto" w:fill="auto"/>
            <w:noWrap/>
            <w:vAlign w:val="center"/>
            <w:hideMark/>
          </w:tcPr>
          <w:p w14:paraId="3411BBB1"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(11)</w:t>
            </w:r>
          </w:p>
        </w:tc>
        <w:tc>
          <w:tcPr>
            <w:tcW w:w="1533" w:type="dxa"/>
            <w:tcBorders>
              <w:top w:val="nil"/>
              <w:left w:val="nil"/>
              <w:bottom w:val="nil"/>
              <w:right w:val="nil"/>
            </w:tcBorders>
            <w:shd w:val="clear" w:color="auto" w:fill="auto"/>
            <w:noWrap/>
            <w:vAlign w:val="center"/>
            <w:hideMark/>
          </w:tcPr>
          <w:p w14:paraId="275A48EC"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proofErr w:type="spellStart"/>
            <w:r w:rsidRPr="00DA1D07">
              <w:rPr>
                <w:rFonts w:asciiTheme="majorBidi" w:eastAsia="Times New Roman" w:hAnsiTheme="majorBidi" w:cstheme="majorBidi"/>
                <w:i/>
                <w:iCs/>
                <w:color w:val="000000"/>
                <w:sz w:val="24"/>
                <w:szCs w:val="24"/>
                <w:lang w:val="en-US" w:eastAsia="en-GB"/>
              </w:rPr>
              <w:t>AssetTurnover</w:t>
            </w:r>
            <w:proofErr w:type="spellEnd"/>
          </w:p>
        </w:tc>
        <w:tc>
          <w:tcPr>
            <w:tcW w:w="1002" w:type="dxa"/>
            <w:tcBorders>
              <w:top w:val="nil"/>
              <w:left w:val="nil"/>
              <w:bottom w:val="nil"/>
              <w:right w:val="nil"/>
            </w:tcBorders>
            <w:shd w:val="clear" w:color="auto" w:fill="auto"/>
            <w:noWrap/>
            <w:vAlign w:val="center"/>
            <w:hideMark/>
          </w:tcPr>
          <w:p w14:paraId="4DAC547C"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0.103*</w:t>
            </w:r>
          </w:p>
        </w:tc>
        <w:tc>
          <w:tcPr>
            <w:tcW w:w="841" w:type="dxa"/>
            <w:tcBorders>
              <w:top w:val="nil"/>
              <w:left w:val="nil"/>
              <w:bottom w:val="nil"/>
              <w:right w:val="nil"/>
            </w:tcBorders>
            <w:shd w:val="clear" w:color="auto" w:fill="auto"/>
            <w:noWrap/>
            <w:vAlign w:val="center"/>
            <w:hideMark/>
          </w:tcPr>
          <w:p w14:paraId="6731EF36"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0.102*</w:t>
            </w:r>
          </w:p>
        </w:tc>
        <w:tc>
          <w:tcPr>
            <w:tcW w:w="850" w:type="dxa"/>
            <w:tcBorders>
              <w:top w:val="nil"/>
              <w:left w:val="nil"/>
              <w:bottom w:val="nil"/>
              <w:right w:val="nil"/>
            </w:tcBorders>
            <w:shd w:val="clear" w:color="auto" w:fill="auto"/>
            <w:noWrap/>
            <w:vAlign w:val="center"/>
            <w:hideMark/>
          </w:tcPr>
          <w:p w14:paraId="01B2E67A"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-0.108*</w:t>
            </w:r>
          </w:p>
        </w:tc>
        <w:tc>
          <w:tcPr>
            <w:tcW w:w="851" w:type="dxa"/>
            <w:tcBorders>
              <w:top w:val="nil"/>
              <w:left w:val="nil"/>
              <w:bottom w:val="nil"/>
              <w:right w:val="nil"/>
            </w:tcBorders>
            <w:shd w:val="clear" w:color="auto" w:fill="auto"/>
            <w:noWrap/>
            <w:vAlign w:val="center"/>
            <w:hideMark/>
          </w:tcPr>
          <w:p w14:paraId="47409376"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-0.015*</w:t>
            </w:r>
          </w:p>
        </w:tc>
        <w:tc>
          <w:tcPr>
            <w:tcW w:w="941" w:type="dxa"/>
            <w:tcBorders>
              <w:top w:val="nil"/>
              <w:left w:val="nil"/>
              <w:bottom w:val="nil"/>
              <w:right w:val="nil"/>
            </w:tcBorders>
            <w:shd w:val="clear" w:color="auto" w:fill="auto"/>
            <w:noWrap/>
            <w:vAlign w:val="center"/>
            <w:hideMark/>
          </w:tcPr>
          <w:p w14:paraId="1365F81B"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0.038*</w:t>
            </w:r>
          </w:p>
        </w:tc>
        <w:tc>
          <w:tcPr>
            <w:tcW w:w="902" w:type="dxa"/>
            <w:tcBorders>
              <w:top w:val="nil"/>
              <w:left w:val="nil"/>
              <w:bottom w:val="nil"/>
              <w:right w:val="nil"/>
            </w:tcBorders>
            <w:shd w:val="clear" w:color="auto" w:fill="auto"/>
            <w:noWrap/>
            <w:vAlign w:val="center"/>
            <w:hideMark/>
          </w:tcPr>
          <w:p w14:paraId="49EBCCF2"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-0.083*</w:t>
            </w:r>
          </w:p>
        </w:tc>
        <w:tc>
          <w:tcPr>
            <w:tcW w:w="766" w:type="dxa"/>
            <w:tcBorders>
              <w:top w:val="nil"/>
              <w:left w:val="nil"/>
              <w:bottom w:val="nil"/>
              <w:right w:val="nil"/>
            </w:tcBorders>
            <w:shd w:val="clear" w:color="auto" w:fill="auto"/>
            <w:noWrap/>
            <w:vAlign w:val="center"/>
            <w:hideMark/>
          </w:tcPr>
          <w:p w14:paraId="76222F09"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0.205*</w:t>
            </w:r>
          </w:p>
        </w:tc>
        <w:tc>
          <w:tcPr>
            <w:tcW w:w="940" w:type="dxa"/>
            <w:tcBorders>
              <w:top w:val="nil"/>
              <w:left w:val="nil"/>
              <w:bottom w:val="nil"/>
              <w:right w:val="nil"/>
            </w:tcBorders>
            <w:shd w:val="clear" w:color="auto" w:fill="auto"/>
            <w:noWrap/>
            <w:vAlign w:val="center"/>
            <w:hideMark/>
          </w:tcPr>
          <w:p w14:paraId="18736548"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0.050*</w:t>
            </w:r>
          </w:p>
        </w:tc>
        <w:tc>
          <w:tcPr>
            <w:tcW w:w="845" w:type="dxa"/>
            <w:tcBorders>
              <w:top w:val="nil"/>
              <w:left w:val="nil"/>
              <w:bottom w:val="nil"/>
              <w:right w:val="nil"/>
            </w:tcBorders>
            <w:shd w:val="clear" w:color="auto" w:fill="auto"/>
            <w:noWrap/>
            <w:vAlign w:val="center"/>
            <w:hideMark/>
          </w:tcPr>
          <w:p w14:paraId="1E013C1F"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-0.101*</w:t>
            </w:r>
          </w:p>
        </w:tc>
        <w:tc>
          <w:tcPr>
            <w:tcW w:w="851" w:type="dxa"/>
            <w:tcBorders>
              <w:top w:val="nil"/>
              <w:left w:val="nil"/>
              <w:bottom w:val="nil"/>
              <w:right w:val="nil"/>
            </w:tcBorders>
            <w:shd w:val="clear" w:color="auto" w:fill="auto"/>
            <w:noWrap/>
            <w:vAlign w:val="center"/>
            <w:hideMark/>
          </w:tcPr>
          <w:p w14:paraId="306C373F"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0.170*</w:t>
            </w:r>
          </w:p>
        </w:tc>
        <w:tc>
          <w:tcPr>
            <w:tcW w:w="766" w:type="dxa"/>
            <w:tcBorders>
              <w:top w:val="nil"/>
              <w:left w:val="nil"/>
              <w:bottom w:val="nil"/>
              <w:right w:val="nil"/>
            </w:tcBorders>
            <w:shd w:val="clear" w:color="auto" w:fill="auto"/>
            <w:noWrap/>
            <w:vAlign w:val="center"/>
            <w:hideMark/>
          </w:tcPr>
          <w:p w14:paraId="42903864"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1.000</w:t>
            </w:r>
          </w:p>
        </w:tc>
        <w:tc>
          <w:tcPr>
            <w:tcW w:w="935" w:type="dxa"/>
            <w:tcBorders>
              <w:top w:val="nil"/>
              <w:left w:val="nil"/>
              <w:bottom w:val="nil"/>
              <w:right w:val="nil"/>
            </w:tcBorders>
            <w:shd w:val="clear" w:color="auto" w:fill="auto"/>
            <w:noWrap/>
            <w:vAlign w:val="center"/>
            <w:hideMark/>
          </w:tcPr>
          <w:p w14:paraId="31D01943"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p>
        </w:tc>
        <w:tc>
          <w:tcPr>
            <w:tcW w:w="766" w:type="dxa"/>
            <w:tcBorders>
              <w:top w:val="nil"/>
              <w:left w:val="nil"/>
              <w:bottom w:val="nil"/>
              <w:right w:val="nil"/>
            </w:tcBorders>
            <w:shd w:val="clear" w:color="auto" w:fill="auto"/>
            <w:noWrap/>
            <w:vAlign w:val="center"/>
            <w:hideMark/>
          </w:tcPr>
          <w:p w14:paraId="1765FD61"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935" w:type="dxa"/>
            <w:tcBorders>
              <w:top w:val="nil"/>
              <w:left w:val="nil"/>
              <w:bottom w:val="nil"/>
              <w:right w:val="nil"/>
            </w:tcBorders>
            <w:shd w:val="clear" w:color="auto" w:fill="auto"/>
            <w:noWrap/>
            <w:vAlign w:val="center"/>
            <w:hideMark/>
          </w:tcPr>
          <w:p w14:paraId="3EB62424"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666" w:type="dxa"/>
            <w:tcBorders>
              <w:top w:val="nil"/>
              <w:left w:val="nil"/>
              <w:bottom w:val="nil"/>
              <w:right w:val="nil"/>
            </w:tcBorders>
            <w:shd w:val="clear" w:color="auto" w:fill="auto"/>
            <w:noWrap/>
            <w:vAlign w:val="center"/>
            <w:hideMark/>
          </w:tcPr>
          <w:p w14:paraId="6C9551DE" w14:textId="77777777" w:rsidR="00E57A11" w:rsidRPr="00DA1D07" w:rsidRDefault="00E57A11" w:rsidP="002753C1">
            <w:pPr>
              <w:spacing w:after="0" w:line="240" w:lineRule="auto"/>
              <w:ind w:firstLineChars="100" w:firstLine="240"/>
              <w:jc w:val="center"/>
              <w:rPr>
                <w:rFonts w:asciiTheme="majorBidi" w:eastAsia="Times New Roman" w:hAnsiTheme="majorBidi" w:cstheme="majorBidi"/>
                <w:sz w:val="24"/>
                <w:szCs w:val="24"/>
                <w:lang w:val="en-US" w:eastAsia="en-GB"/>
              </w:rPr>
            </w:pPr>
          </w:p>
        </w:tc>
        <w:tc>
          <w:tcPr>
            <w:tcW w:w="751" w:type="dxa"/>
            <w:tcBorders>
              <w:top w:val="nil"/>
              <w:left w:val="nil"/>
              <w:bottom w:val="nil"/>
              <w:right w:val="nil"/>
            </w:tcBorders>
            <w:shd w:val="clear" w:color="auto" w:fill="auto"/>
            <w:noWrap/>
            <w:vAlign w:val="center"/>
            <w:hideMark/>
          </w:tcPr>
          <w:p w14:paraId="377294DB"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r>
      <w:tr w:rsidR="00E57A11" w:rsidRPr="00F62082" w14:paraId="6A97C655" w14:textId="77777777" w:rsidTr="002753C1">
        <w:trPr>
          <w:trHeight w:val="314"/>
          <w:jc w:val="center"/>
        </w:trPr>
        <w:tc>
          <w:tcPr>
            <w:tcW w:w="616" w:type="dxa"/>
            <w:tcBorders>
              <w:top w:val="nil"/>
              <w:left w:val="nil"/>
              <w:bottom w:val="nil"/>
              <w:right w:val="nil"/>
            </w:tcBorders>
            <w:shd w:val="clear" w:color="auto" w:fill="auto"/>
            <w:noWrap/>
            <w:vAlign w:val="center"/>
            <w:hideMark/>
          </w:tcPr>
          <w:p w14:paraId="4B640F5A"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(12)</w:t>
            </w:r>
          </w:p>
        </w:tc>
        <w:tc>
          <w:tcPr>
            <w:tcW w:w="1533" w:type="dxa"/>
            <w:tcBorders>
              <w:top w:val="nil"/>
              <w:left w:val="nil"/>
              <w:bottom w:val="nil"/>
              <w:right w:val="nil"/>
            </w:tcBorders>
            <w:shd w:val="clear" w:color="auto" w:fill="auto"/>
            <w:noWrap/>
            <w:vAlign w:val="center"/>
            <w:hideMark/>
          </w:tcPr>
          <w:p w14:paraId="58ADC663"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Market-to-book</w:t>
            </w:r>
          </w:p>
        </w:tc>
        <w:tc>
          <w:tcPr>
            <w:tcW w:w="1002" w:type="dxa"/>
            <w:tcBorders>
              <w:top w:val="nil"/>
              <w:left w:val="nil"/>
              <w:bottom w:val="nil"/>
              <w:right w:val="nil"/>
            </w:tcBorders>
            <w:shd w:val="clear" w:color="auto" w:fill="auto"/>
            <w:noWrap/>
            <w:vAlign w:val="center"/>
            <w:hideMark/>
          </w:tcPr>
          <w:p w14:paraId="1DA0A3E0"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-0.083*</w:t>
            </w:r>
          </w:p>
        </w:tc>
        <w:tc>
          <w:tcPr>
            <w:tcW w:w="841" w:type="dxa"/>
            <w:tcBorders>
              <w:top w:val="nil"/>
              <w:left w:val="nil"/>
              <w:bottom w:val="nil"/>
              <w:right w:val="nil"/>
            </w:tcBorders>
            <w:shd w:val="clear" w:color="auto" w:fill="auto"/>
            <w:noWrap/>
            <w:vAlign w:val="center"/>
            <w:hideMark/>
          </w:tcPr>
          <w:p w14:paraId="36BB8F09"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-0.082*</w:t>
            </w:r>
          </w:p>
        </w:tc>
        <w:tc>
          <w:tcPr>
            <w:tcW w:w="850" w:type="dxa"/>
            <w:tcBorders>
              <w:top w:val="nil"/>
              <w:left w:val="nil"/>
              <w:bottom w:val="nil"/>
              <w:right w:val="nil"/>
            </w:tcBorders>
            <w:shd w:val="clear" w:color="auto" w:fill="auto"/>
            <w:noWrap/>
            <w:vAlign w:val="center"/>
            <w:hideMark/>
          </w:tcPr>
          <w:p w14:paraId="546B0AC2"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0.096*</w:t>
            </w:r>
          </w:p>
        </w:tc>
        <w:tc>
          <w:tcPr>
            <w:tcW w:w="851" w:type="dxa"/>
            <w:tcBorders>
              <w:top w:val="nil"/>
              <w:left w:val="nil"/>
              <w:bottom w:val="nil"/>
              <w:right w:val="nil"/>
            </w:tcBorders>
            <w:shd w:val="clear" w:color="auto" w:fill="auto"/>
            <w:noWrap/>
            <w:vAlign w:val="center"/>
            <w:hideMark/>
          </w:tcPr>
          <w:p w14:paraId="2988A10D"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0.221*</w:t>
            </w:r>
          </w:p>
        </w:tc>
        <w:tc>
          <w:tcPr>
            <w:tcW w:w="941" w:type="dxa"/>
            <w:tcBorders>
              <w:top w:val="nil"/>
              <w:left w:val="nil"/>
              <w:bottom w:val="nil"/>
              <w:right w:val="nil"/>
            </w:tcBorders>
            <w:shd w:val="clear" w:color="auto" w:fill="auto"/>
            <w:noWrap/>
            <w:vAlign w:val="center"/>
            <w:hideMark/>
          </w:tcPr>
          <w:p w14:paraId="79972AC3"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-0.092*</w:t>
            </w:r>
          </w:p>
        </w:tc>
        <w:tc>
          <w:tcPr>
            <w:tcW w:w="902" w:type="dxa"/>
            <w:tcBorders>
              <w:top w:val="nil"/>
              <w:left w:val="nil"/>
              <w:bottom w:val="nil"/>
              <w:right w:val="nil"/>
            </w:tcBorders>
            <w:shd w:val="clear" w:color="auto" w:fill="auto"/>
            <w:noWrap/>
            <w:vAlign w:val="center"/>
            <w:hideMark/>
          </w:tcPr>
          <w:p w14:paraId="37508023"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-0.059*</w:t>
            </w:r>
          </w:p>
        </w:tc>
        <w:tc>
          <w:tcPr>
            <w:tcW w:w="766" w:type="dxa"/>
            <w:tcBorders>
              <w:top w:val="nil"/>
              <w:left w:val="nil"/>
              <w:bottom w:val="nil"/>
              <w:right w:val="nil"/>
            </w:tcBorders>
            <w:shd w:val="clear" w:color="auto" w:fill="auto"/>
            <w:noWrap/>
            <w:vAlign w:val="center"/>
            <w:hideMark/>
          </w:tcPr>
          <w:p w14:paraId="26509DF3"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0.059*</w:t>
            </w:r>
          </w:p>
        </w:tc>
        <w:tc>
          <w:tcPr>
            <w:tcW w:w="940" w:type="dxa"/>
            <w:tcBorders>
              <w:top w:val="nil"/>
              <w:left w:val="nil"/>
              <w:bottom w:val="nil"/>
              <w:right w:val="nil"/>
            </w:tcBorders>
            <w:shd w:val="clear" w:color="auto" w:fill="auto"/>
            <w:noWrap/>
            <w:vAlign w:val="center"/>
            <w:hideMark/>
          </w:tcPr>
          <w:p w14:paraId="7DC847F1"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0.129*</w:t>
            </w:r>
          </w:p>
        </w:tc>
        <w:tc>
          <w:tcPr>
            <w:tcW w:w="845" w:type="dxa"/>
            <w:tcBorders>
              <w:top w:val="nil"/>
              <w:left w:val="nil"/>
              <w:bottom w:val="nil"/>
              <w:right w:val="nil"/>
            </w:tcBorders>
            <w:shd w:val="clear" w:color="auto" w:fill="auto"/>
            <w:noWrap/>
            <w:vAlign w:val="center"/>
            <w:hideMark/>
          </w:tcPr>
          <w:p w14:paraId="077CF27F"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0.205*</w:t>
            </w:r>
          </w:p>
        </w:tc>
        <w:tc>
          <w:tcPr>
            <w:tcW w:w="851" w:type="dxa"/>
            <w:tcBorders>
              <w:top w:val="nil"/>
              <w:left w:val="nil"/>
              <w:bottom w:val="nil"/>
              <w:right w:val="nil"/>
            </w:tcBorders>
            <w:shd w:val="clear" w:color="auto" w:fill="auto"/>
            <w:noWrap/>
            <w:vAlign w:val="center"/>
            <w:hideMark/>
          </w:tcPr>
          <w:p w14:paraId="5F6FB50C"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-0.187*</w:t>
            </w:r>
          </w:p>
        </w:tc>
        <w:tc>
          <w:tcPr>
            <w:tcW w:w="766" w:type="dxa"/>
            <w:tcBorders>
              <w:top w:val="nil"/>
              <w:left w:val="nil"/>
              <w:bottom w:val="nil"/>
              <w:right w:val="nil"/>
            </w:tcBorders>
            <w:shd w:val="clear" w:color="auto" w:fill="auto"/>
            <w:noWrap/>
            <w:vAlign w:val="center"/>
            <w:hideMark/>
          </w:tcPr>
          <w:p w14:paraId="5B816F11"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0.028*</w:t>
            </w:r>
          </w:p>
        </w:tc>
        <w:tc>
          <w:tcPr>
            <w:tcW w:w="935" w:type="dxa"/>
            <w:tcBorders>
              <w:top w:val="nil"/>
              <w:left w:val="nil"/>
              <w:bottom w:val="nil"/>
              <w:right w:val="nil"/>
            </w:tcBorders>
            <w:shd w:val="clear" w:color="auto" w:fill="auto"/>
            <w:noWrap/>
            <w:vAlign w:val="center"/>
            <w:hideMark/>
          </w:tcPr>
          <w:p w14:paraId="0F8EB3A0"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1.000</w:t>
            </w:r>
          </w:p>
        </w:tc>
        <w:tc>
          <w:tcPr>
            <w:tcW w:w="766" w:type="dxa"/>
            <w:tcBorders>
              <w:top w:val="nil"/>
              <w:left w:val="nil"/>
              <w:bottom w:val="nil"/>
              <w:right w:val="nil"/>
            </w:tcBorders>
            <w:shd w:val="clear" w:color="auto" w:fill="auto"/>
            <w:noWrap/>
            <w:vAlign w:val="center"/>
            <w:hideMark/>
          </w:tcPr>
          <w:p w14:paraId="708DA96F"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p>
        </w:tc>
        <w:tc>
          <w:tcPr>
            <w:tcW w:w="935" w:type="dxa"/>
            <w:tcBorders>
              <w:top w:val="nil"/>
              <w:left w:val="nil"/>
              <w:bottom w:val="nil"/>
              <w:right w:val="nil"/>
            </w:tcBorders>
            <w:shd w:val="clear" w:color="auto" w:fill="auto"/>
            <w:noWrap/>
            <w:vAlign w:val="center"/>
            <w:hideMark/>
          </w:tcPr>
          <w:p w14:paraId="05A9FCE4"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c>
          <w:tcPr>
            <w:tcW w:w="666" w:type="dxa"/>
            <w:tcBorders>
              <w:top w:val="nil"/>
              <w:left w:val="nil"/>
              <w:bottom w:val="nil"/>
              <w:right w:val="nil"/>
            </w:tcBorders>
            <w:shd w:val="clear" w:color="auto" w:fill="auto"/>
            <w:noWrap/>
            <w:vAlign w:val="center"/>
            <w:hideMark/>
          </w:tcPr>
          <w:p w14:paraId="65576A27" w14:textId="77777777" w:rsidR="00E57A11" w:rsidRPr="00DA1D07" w:rsidRDefault="00E57A11" w:rsidP="002753C1">
            <w:pPr>
              <w:spacing w:after="0" w:line="240" w:lineRule="auto"/>
              <w:ind w:firstLineChars="100" w:firstLine="240"/>
              <w:jc w:val="center"/>
              <w:rPr>
                <w:rFonts w:asciiTheme="majorBidi" w:eastAsia="Times New Roman" w:hAnsiTheme="majorBidi" w:cstheme="majorBidi"/>
                <w:sz w:val="24"/>
                <w:szCs w:val="24"/>
                <w:lang w:val="en-US" w:eastAsia="en-GB"/>
              </w:rPr>
            </w:pPr>
          </w:p>
        </w:tc>
        <w:tc>
          <w:tcPr>
            <w:tcW w:w="751" w:type="dxa"/>
            <w:tcBorders>
              <w:top w:val="nil"/>
              <w:left w:val="nil"/>
              <w:bottom w:val="nil"/>
              <w:right w:val="nil"/>
            </w:tcBorders>
            <w:shd w:val="clear" w:color="auto" w:fill="auto"/>
            <w:noWrap/>
            <w:vAlign w:val="center"/>
            <w:hideMark/>
          </w:tcPr>
          <w:p w14:paraId="65904444"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r>
      <w:tr w:rsidR="00E57A11" w:rsidRPr="00F62082" w14:paraId="0EDCEC66" w14:textId="77777777" w:rsidTr="002753C1">
        <w:trPr>
          <w:trHeight w:val="314"/>
          <w:jc w:val="center"/>
        </w:trPr>
        <w:tc>
          <w:tcPr>
            <w:tcW w:w="616" w:type="dxa"/>
            <w:tcBorders>
              <w:top w:val="nil"/>
              <w:left w:val="nil"/>
              <w:bottom w:val="nil"/>
              <w:right w:val="nil"/>
            </w:tcBorders>
            <w:shd w:val="clear" w:color="auto" w:fill="auto"/>
            <w:noWrap/>
            <w:vAlign w:val="center"/>
            <w:hideMark/>
          </w:tcPr>
          <w:p w14:paraId="5BA09EB7"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(13)</w:t>
            </w:r>
          </w:p>
        </w:tc>
        <w:tc>
          <w:tcPr>
            <w:tcW w:w="1533" w:type="dxa"/>
            <w:tcBorders>
              <w:top w:val="nil"/>
              <w:left w:val="nil"/>
              <w:bottom w:val="nil"/>
              <w:right w:val="nil"/>
            </w:tcBorders>
            <w:shd w:val="clear" w:color="auto" w:fill="auto"/>
            <w:noWrap/>
            <w:vAlign w:val="center"/>
            <w:hideMark/>
          </w:tcPr>
          <w:p w14:paraId="3BF5CBA4"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Tangibility</w:t>
            </w:r>
          </w:p>
        </w:tc>
        <w:tc>
          <w:tcPr>
            <w:tcW w:w="1002" w:type="dxa"/>
            <w:tcBorders>
              <w:top w:val="nil"/>
              <w:left w:val="nil"/>
              <w:bottom w:val="nil"/>
              <w:right w:val="nil"/>
            </w:tcBorders>
            <w:shd w:val="clear" w:color="auto" w:fill="auto"/>
            <w:noWrap/>
            <w:vAlign w:val="center"/>
            <w:hideMark/>
          </w:tcPr>
          <w:p w14:paraId="5F922167"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0.154*</w:t>
            </w:r>
          </w:p>
        </w:tc>
        <w:tc>
          <w:tcPr>
            <w:tcW w:w="841" w:type="dxa"/>
            <w:tcBorders>
              <w:top w:val="nil"/>
              <w:left w:val="nil"/>
              <w:bottom w:val="nil"/>
              <w:right w:val="nil"/>
            </w:tcBorders>
            <w:shd w:val="clear" w:color="auto" w:fill="auto"/>
            <w:noWrap/>
            <w:vAlign w:val="center"/>
            <w:hideMark/>
          </w:tcPr>
          <w:p w14:paraId="0418498F"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0.143*</w:t>
            </w:r>
          </w:p>
        </w:tc>
        <w:tc>
          <w:tcPr>
            <w:tcW w:w="850" w:type="dxa"/>
            <w:tcBorders>
              <w:top w:val="nil"/>
              <w:left w:val="nil"/>
              <w:bottom w:val="nil"/>
              <w:right w:val="nil"/>
            </w:tcBorders>
            <w:shd w:val="clear" w:color="auto" w:fill="auto"/>
            <w:noWrap/>
            <w:vAlign w:val="center"/>
            <w:hideMark/>
          </w:tcPr>
          <w:p w14:paraId="32CA9DF6"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-0.019*</w:t>
            </w:r>
          </w:p>
        </w:tc>
        <w:tc>
          <w:tcPr>
            <w:tcW w:w="851" w:type="dxa"/>
            <w:tcBorders>
              <w:top w:val="nil"/>
              <w:left w:val="nil"/>
              <w:bottom w:val="nil"/>
              <w:right w:val="nil"/>
            </w:tcBorders>
            <w:shd w:val="clear" w:color="auto" w:fill="auto"/>
            <w:noWrap/>
            <w:vAlign w:val="center"/>
            <w:hideMark/>
          </w:tcPr>
          <w:p w14:paraId="221AA3E3"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-0.008</w:t>
            </w:r>
          </w:p>
        </w:tc>
        <w:tc>
          <w:tcPr>
            <w:tcW w:w="941" w:type="dxa"/>
            <w:tcBorders>
              <w:top w:val="nil"/>
              <w:left w:val="nil"/>
              <w:bottom w:val="nil"/>
              <w:right w:val="nil"/>
            </w:tcBorders>
            <w:shd w:val="clear" w:color="auto" w:fill="auto"/>
            <w:noWrap/>
            <w:vAlign w:val="center"/>
            <w:hideMark/>
          </w:tcPr>
          <w:p w14:paraId="730DF3CF"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0.106*</w:t>
            </w:r>
          </w:p>
        </w:tc>
        <w:tc>
          <w:tcPr>
            <w:tcW w:w="902" w:type="dxa"/>
            <w:tcBorders>
              <w:top w:val="nil"/>
              <w:left w:val="nil"/>
              <w:bottom w:val="nil"/>
              <w:right w:val="nil"/>
            </w:tcBorders>
            <w:shd w:val="clear" w:color="auto" w:fill="auto"/>
            <w:noWrap/>
            <w:vAlign w:val="center"/>
            <w:hideMark/>
          </w:tcPr>
          <w:p w14:paraId="794F3CD0"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0.207*</w:t>
            </w:r>
          </w:p>
        </w:tc>
        <w:tc>
          <w:tcPr>
            <w:tcW w:w="766" w:type="dxa"/>
            <w:tcBorders>
              <w:top w:val="nil"/>
              <w:left w:val="nil"/>
              <w:bottom w:val="nil"/>
              <w:right w:val="nil"/>
            </w:tcBorders>
            <w:shd w:val="clear" w:color="auto" w:fill="auto"/>
            <w:noWrap/>
            <w:vAlign w:val="center"/>
            <w:hideMark/>
          </w:tcPr>
          <w:p w14:paraId="6FDCF810"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0.130*</w:t>
            </w:r>
          </w:p>
        </w:tc>
        <w:tc>
          <w:tcPr>
            <w:tcW w:w="940" w:type="dxa"/>
            <w:tcBorders>
              <w:top w:val="nil"/>
              <w:left w:val="nil"/>
              <w:bottom w:val="nil"/>
              <w:right w:val="nil"/>
            </w:tcBorders>
            <w:shd w:val="clear" w:color="auto" w:fill="auto"/>
            <w:noWrap/>
            <w:vAlign w:val="center"/>
            <w:hideMark/>
          </w:tcPr>
          <w:p w14:paraId="0B256B70"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0.031*</w:t>
            </w:r>
          </w:p>
        </w:tc>
        <w:tc>
          <w:tcPr>
            <w:tcW w:w="845" w:type="dxa"/>
            <w:tcBorders>
              <w:top w:val="nil"/>
              <w:left w:val="nil"/>
              <w:bottom w:val="nil"/>
              <w:right w:val="nil"/>
            </w:tcBorders>
            <w:shd w:val="clear" w:color="auto" w:fill="auto"/>
            <w:noWrap/>
            <w:vAlign w:val="center"/>
            <w:hideMark/>
          </w:tcPr>
          <w:p w14:paraId="35975146"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0.028*</w:t>
            </w:r>
          </w:p>
        </w:tc>
        <w:tc>
          <w:tcPr>
            <w:tcW w:w="851" w:type="dxa"/>
            <w:tcBorders>
              <w:top w:val="nil"/>
              <w:left w:val="nil"/>
              <w:bottom w:val="nil"/>
              <w:right w:val="nil"/>
            </w:tcBorders>
            <w:shd w:val="clear" w:color="auto" w:fill="auto"/>
            <w:noWrap/>
            <w:vAlign w:val="center"/>
            <w:hideMark/>
          </w:tcPr>
          <w:p w14:paraId="0915BD01"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0.274*</w:t>
            </w:r>
          </w:p>
        </w:tc>
        <w:tc>
          <w:tcPr>
            <w:tcW w:w="766" w:type="dxa"/>
            <w:tcBorders>
              <w:top w:val="nil"/>
              <w:left w:val="nil"/>
              <w:bottom w:val="nil"/>
              <w:right w:val="nil"/>
            </w:tcBorders>
            <w:shd w:val="clear" w:color="auto" w:fill="auto"/>
            <w:noWrap/>
            <w:vAlign w:val="center"/>
            <w:hideMark/>
          </w:tcPr>
          <w:p w14:paraId="22008949"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0.074*</w:t>
            </w:r>
          </w:p>
        </w:tc>
        <w:tc>
          <w:tcPr>
            <w:tcW w:w="935" w:type="dxa"/>
            <w:tcBorders>
              <w:top w:val="nil"/>
              <w:left w:val="nil"/>
              <w:bottom w:val="nil"/>
              <w:right w:val="nil"/>
            </w:tcBorders>
            <w:shd w:val="clear" w:color="auto" w:fill="auto"/>
            <w:noWrap/>
            <w:vAlign w:val="center"/>
            <w:hideMark/>
          </w:tcPr>
          <w:p w14:paraId="099F78A9"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-0.134*</w:t>
            </w:r>
          </w:p>
        </w:tc>
        <w:tc>
          <w:tcPr>
            <w:tcW w:w="766" w:type="dxa"/>
            <w:tcBorders>
              <w:top w:val="nil"/>
              <w:left w:val="nil"/>
              <w:bottom w:val="nil"/>
              <w:right w:val="nil"/>
            </w:tcBorders>
            <w:shd w:val="clear" w:color="auto" w:fill="auto"/>
            <w:noWrap/>
            <w:vAlign w:val="center"/>
            <w:hideMark/>
          </w:tcPr>
          <w:p w14:paraId="45E49548"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1.000</w:t>
            </w:r>
          </w:p>
        </w:tc>
        <w:tc>
          <w:tcPr>
            <w:tcW w:w="935" w:type="dxa"/>
            <w:tcBorders>
              <w:top w:val="nil"/>
              <w:left w:val="nil"/>
              <w:bottom w:val="nil"/>
              <w:right w:val="nil"/>
            </w:tcBorders>
            <w:shd w:val="clear" w:color="auto" w:fill="auto"/>
            <w:noWrap/>
            <w:vAlign w:val="center"/>
            <w:hideMark/>
          </w:tcPr>
          <w:p w14:paraId="6D3FB33C"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p>
        </w:tc>
        <w:tc>
          <w:tcPr>
            <w:tcW w:w="666" w:type="dxa"/>
            <w:tcBorders>
              <w:top w:val="nil"/>
              <w:left w:val="nil"/>
              <w:bottom w:val="nil"/>
              <w:right w:val="nil"/>
            </w:tcBorders>
            <w:shd w:val="clear" w:color="auto" w:fill="auto"/>
            <w:noWrap/>
            <w:vAlign w:val="center"/>
            <w:hideMark/>
          </w:tcPr>
          <w:p w14:paraId="3FCBFAF6" w14:textId="77777777" w:rsidR="00E57A11" w:rsidRPr="00DA1D07" w:rsidRDefault="00E57A11" w:rsidP="002753C1">
            <w:pPr>
              <w:spacing w:after="0" w:line="240" w:lineRule="auto"/>
              <w:ind w:firstLineChars="100" w:firstLine="240"/>
              <w:jc w:val="center"/>
              <w:rPr>
                <w:rFonts w:asciiTheme="majorBidi" w:eastAsia="Times New Roman" w:hAnsiTheme="majorBidi" w:cstheme="majorBidi"/>
                <w:sz w:val="24"/>
                <w:szCs w:val="24"/>
                <w:lang w:val="en-US" w:eastAsia="en-GB"/>
              </w:rPr>
            </w:pPr>
          </w:p>
        </w:tc>
        <w:tc>
          <w:tcPr>
            <w:tcW w:w="751" w:type="dxa"/>
            <w:tcBorders>
              <w:top w:val="nil"/>
              <w:left w:val="nil"/>
              <w:bottom w:val="nil"/>
              <w:right w:val="nil"/>
            </w:tcBorders>
            <w:shd w:val="clear" w:color="auto" w:fill="auto"/>
            <w:noWrap/>
            <w:vAlign w:val="center"/>
            <w:hideMark/>
          </w:tcPr>
          <w:p w14:paraId="0F677414"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r>
      <w:tr w:rsidR="00E57A11" w:rsidRPr="00F62082" w14:paraId="1C7F7D14" w14:textId="77777777" w:rsidTr="002753C1">
        <w:trPr>
          <w:trHeight w:val="314"/>
          <w:jc w:val="center"/>
        </w:trPr>
        <w:tc>
          <w:tcPr>
            <w:tcW w:w="616" w:type="dxa"/>
            <w:tcBorders>
              <w:top w:val="nil"/>
              <w:left w:val="nil"/>
              <w:bottom w:val="nil"/>
              <w:right w:val="nil"/>
            </w:tcBorders>
            <w:shd w:val="clear" w:color="auto" w:fill="auto"/>
            <w:noWrap/>
            <w:vAlign w:val="center"/>
            <w:hideMark/>
          </w:tcPr>
          <w:p w14:paraId="4C65C352"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(14)</w:t>
            </w:r>
          </w:p>
        </w:tc>
        <w:tc>
          <w:tcPr>
            <w:tcW w:w="1533" w:type="dxa"/>
            <w:tcBorders>
              <w:top w:val="nil"/>
              <w:left w:val="nil"/>
              <w:bottom w:val="nil"/>
              <w:right w:val="nil"/>
            </w:tcBorders>
            <w:shd w:val="clear" w:color="auto" w:fill="auto"/>
            <w:noWrap/>
            <w:vAlign w:val="center"/>
            <w:hideMark/>
          </w:tcPr>
          <w:p w14:paraId="7702F874"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Capex</w:t>
            </w:r>
          </w:p>
        </w:tc>
        <w:tc>
          <w:tcPr>
            <w:tcW w:w="1002" w:type="dxa"/>
            <w:tcBorders>
              <w:top w:val="nil"/>
              <w:left w:val="nil"/>
              <w:bottom w:val="nil"/>
              <w:right w:val="nil"/>
            </w:tcBorders>
            <w:shd w:val="clear" w:color="auto" w:fill="auto"/>
            <w:noWrap/>
            <w:vAlign w:val="center"/>
            <w:hideMark/>
          </w:tcPr>
          <w:p w14:paraId="480267E9"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0.013</w:t>
            </w:r>
          </w:p>
        </w:tc>
        <w:tc>
          <w:tcPr>
            <w:tcW w:w="841" w:type="dxa"/>
            <w:tcBorders>
              <w:top w:val="nil"/>
              <w:left w:val="nil"/>
              <w:bottom w:val="nil"/>
              <w:right w:val="nil"/>
            </w:tcBorders>
            <w:shd w:val="clear" w:color="auto" w:fill="auto"/>
            <w:noWrap/>
            <w:vAlign w:val="center"/>
            <w:hideMark/>
          </w:tcPr>
          <w:p w14:paraId="1F593388"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0.010</w:t>
            </w:r>
          </w:p>
        </w:tc>
        <w:tc>
          <w:tcPr>
            <w:tcW w:w="850" w:type="dxa"/>
            <w:tcBorders>
              <w:top w:val="nil"/>
              <w:left w:val="nil"/>
              <w:bottom w:val="nil"/>
              <w:right w:val="nil"/>
            </w:tcBorders>
            <w:shd w:val="clear" w:color="auto" w:fill="auto"/>
            <w:noWrap/>
            <w:vAlign w:val="center"/>
            <w:hideMark/>
          </w:tcPr>
          <w:p w14:paraId="3C1AB2BC"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-0.017*</w:t>
            </w:r>
          </w:p>
        </w:tc>
        <w:tc>
          <w:tcPr>
            <w:tcW w:w="851" w:type="dxa"/>
            <w:tcBorders>
              <w:top w:val="nil"/>
              <w:left w:val="nil"/>
              <w:bottom w:val="nil"/>
              <w:right w:val="nil"/>
            </w:tcBorders>
            <w:shd w:val="clear" w:color="auto" w:fill="auto"/>
            <w:noWrap/>
            <w:vAlign w:val="center"/>
            <w:hideMark/>
          </w:tcPr>
          <w:p w14:paraId="6747B754"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0.098*</w:t>
            </w:r>
          </w:p>
        </w:tc>
        <w:tc>
          <w:tcPr>
            <w:tcW w:w="941" w:type="dxa"/>
            <w:tcBorders>
              <w:top w:val="nil"/>
              <w:left w:val="nil"/>
              <w:bottom w:val="nil"/>
              <w:right w:val="nil"/>
            </w:tcBorders>
            <w:shd w:val="clear" w:color="auto" w:fill="auto"/>
            <w:noWrap/>
            <w:vAlign w:val="center"/>
            <w:hideMark/>
          </w:tcPr>
          <w:p w14:paraId="4550F3F9"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-0.011</w:t>
            </w:r>
          </w:p>
        </w:tc>
        <w:tc>
          <w:tcPr>
            <w:tcW w:w="902" w:type="dxa"/>
            <w:tcBorders>
              <w:top w:val="nil"/>
              <w:left w:val="nil"/>
              <w:bottom w:val="nil"/>
              <w:right w:val="nil"/>
            </w:tcBorders>
            <w:shd w:val="clear" w:color="auto" w:fill="auto"/>
            <w:noWrap/>
            <w:vAlign w:val="center"/>
            <w:hideMark/>
          </w:tcPr>
          <w:p w14:paraId="4DAC64DC"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-0.020*</w:t>
            </w:r>
          </w:p>
        </w:tc>
        <w:tc>
          <w:tcPr>
            <w:tcW w:w="766" w:type="dxa"/>
            <w:tcBorders>
              <w:top w:val="nil"/>
              <w:left w:val="nil"/>
              <w:bottom w:val="nil"/>
              <w:right w:val="nil"/>
            </w:tcBorders>
            <w:shd w:val="clear" w:color="auto" w:fill="auto"/>
            <w:noWrap/>
            <w:vAlign w:val="center"/>
            <w:hideMark/>
          </w:tcPr>
          <w:p w14:paraId="69A617BF"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0.170*</w:t>
            </w:r>
          </w:p>
        </w:tc>
        <w:tc>
          <w:tcPr>
            <w:tcW w:w="940" w:type="dxa"/>
            <w:tcBorders>
              <w:top w:val="nil"/>
              <w:left w:val="nil"/>
              <w:bottom w:val="nil"/>
              <w:right w:val="nil"/>
            </w:tcBorders>
            <w:shd w:val="clear" w:color="auto" w:fill="auto"/>
            <w:noWrap/>
            <w:vAlign w:val="center"/>
            <w:hideMark/>
          </w:tcPr>
          <w:p w14:paraId="23E9F3B3"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-0.018*</w:t>
            </w:r>
          </w:p>
        </w:tc>
        <w:tc>
          <w:tcPr>
            <w:tcW w:w="845" w:type="dxa"/>
            <w:tcBorders>
              <w:top w:val="nil"/>
              <w:left w:val="nil"/>
              <w:bottom w:val="nil"/>
              <w:right w:val="nil"/>
            </w:tcBorders>
            <w:shd w:val="clear" w:color="auto" w:fill="auto"/>
            <w:noWrap/>
            <w:vAlign w:val="center"/>
            <w:hideMark/>
          </w:tcPr>
          <w:p w14:paraId="6136D06C"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0.031*</w:t>
            </w:r>
          </w:p>
        </w:tc>
        <w:tc>
          <w:tcPr>
            <w:tcW w:w="851" w:type="dxa"/>
            <w:tcBorders>
              <w:top w:val="nil"/>
              <w:left w:val="nil"/>
              <w:bottom w:val="nil"/>
              <w:right w:val="nil"/>
            </w:tcBorders>
            <w:shd w:val="clear" w:color="auto" w:fill="auto"/>
            <w:noWrap/>
            <w:vAlign w:val="center"/>
            <w:hideMark/>
          </w:tcPr>
          <w:p w14:paraId="0EE6BA7F"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0.076*</w:t>
            </w:r>
          </w:p>
        </w:tc>
        <w:tc>
          <w:tcPr>
            <w:tcW w:w="766" w:type="dxa"/>
            <w:tcBorders>
              <w:top w:val="nil"/>
              <w:left w:val="nil"/>
              <w:bottom w:val="nil"/>
              <w:right w:val="nil"/>
            </w:tcBorders>
            <w:shd w:val="clear" w:color="auto" w:fill="auto"/>
            <w:noWrap/>
            <w:vAlign w:val="center"/>
            <w:hideMark/>
          </w:tcPr>
          <w:p w14:paraId="448D45E5"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0.189*</w:t>
            </w:r>
          </w:p>
        </w:tc>
        <w:tc>
          <w:tcPr>
            <w:tcW w:w="935" w:type="dxa"/>
            <w:tcBorders>
              <w:top w:val="nil"/>
              <w:left w:val="nil"/>
              <w:bottom w:val="nil"/>
              <w:right w:val="nil"/>
            </w:tcBorders>
            <w:shd w:val="clear" w:color="auto" w:fill="auto"/>
            <w:noWrap/>
            <w:vAlign w:val="center"/>
            <w:hideMark/>
          </w:tcPr>
          <w:p w14:paraId="7ABF3F06"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0.195*</w:t>
            </w:r>
          </w:p>
        </w:tc>
        <w:tc>
          <w:tcPr>
            <w:tcW w:w="766" w:type="dxa"/>
            <w:tcBorders>
              <w:top w:val="nil"/>
              <w:left w:val="nil"/>
              <w:bottom w:val="nil"/>
              <w:right w:val="nil"/>
            </w:tcBorders>
            <w:shd w:val="clear" w:color="auto" w:fill="auto"/>
            <w:noWrap/>
            <w:vAlign w:val="center"/>
            <w:hideMark/>
          </w:tcPr>
          <w:p w14:paraId="15E1CB68"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0.517*</w:t>
            </w:r>
          </w:p>
        </w:tc>
        <w:tc>
          <w:tcPr>
            <w:tcW w:w="935" w:type="dxa"/>
            <w:tcBorders>
              <w:top w:val="nil"/>
              <w:left w:val="nil"/>
              <w:bottom w:val="nil"/>
              <w:right w:val="nil"/>
            </w:tcBorders>
            <w:shd w:val="clear" w:color="auto" w:fill="auto"/>
            <w:noWrap/>
            <w:vAlign w:val="center"/>
            <w:hideMark/>
          </w:tcPr>
          <w:p w14:paraId="124522EF"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1.000</w:t>
            </w:r>
          </w:p>
        </w:tc>
        <w:tc>
          <w:tcPr>
            <w:tcW w:w="666" w:type="dxa"/>
            <w:tcBorders>
              <w:top w:val="nil"/>
              <w:left w:val="nil"/>
              <w:bottom w:val="nil"/>
              <w:right w:val="nil"/>
            </w:tcBorders>
            <w:shd w:val="clear" w:color="auto" w:fill="auto"/>
            <w:noWrap/>
            <w:vAlign w:val="center"/>
            <w:hideMark/>
          </w:tcPr>
          <w:p w14:paraId="0159EF9D"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p>
        </w:tc>
        <w:tc>
          <w:tcPr>
            <w:tcW w:w="751" w:type="dxa"/>
            <w:tcBorders>
              <w:top w:val="nil"/>
              <w:left w:val="nil"/>
              <w:bottom w:val="nil"/>
              <w:right w:val="nil"/>
            </w:tcBorders>
            <w:shd w:val="clear" w:color="auto" w:fill="auto"/>
            <w:noWrap/>
            <w:vAlign w:val="center"/>
            <w:hideMark/>
          </w:tcPr>
          <w:p w14:paraId="724A03C4"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p>
        </w:tc>
      </w:tr>
      <w:tr w:rsidR="00E57A11" w:rsidRPr="00F62082" w14:paraId="40D767E3" w14:textId="77777777" w:rsidTr="002753C1">
        <w:trPr>
          <w:trHeight w:val="314"/>
          <w:jc w:val="center"/>
        </w:trPr>
        <w:tc>
          <w:tcPr>
            <w:tcW w:w="616" w:type="dxa"/>
            <w:tcBorders>
              <w:top w:val="nil"/>
              <w:left w:val="nil"/>
              <w:bottom w:val="nil"/>
              <w:right w:val="nil"/>
            </w:tcBorders>
            <w:shd w:val="clear" w:color="auto" w:fill="auto"/>
            <w:noWrap/>
            <w:vAlign w:val="center"/>
            <w:hideMark/>
          </w:tcPr>
          <w:p w14:paraId="61EE257B"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(15)</w:t>
            </w:r>
          </w:p>
        </w:tc>
        <w:tc>
          <w:tcPr>
            <w:tcW w:w="1533" w:type="dxa"/>
            <w:tcBorders>
              <w:top w:val="nil"/>
              <w:left w:val="nil"/>
              <w:bottom w:val="nil"/>
              <w:right w:val="nil"/>
            </w:tcBorders>
            <w:shd w:val="clear" w:color="auto" w:fill="auto"/>
            <w:noWrap/>
            <w:vAlign w:val="center"/>
            <w:hideMark/>
          </w:tcPr>
          <w:p w14:paraId="0820C8E3"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RET</w:t>
            </w:r>
          </w:p>
        </w:tc>
        <w:tc>
          <w:tcPr>
            <w:tcW w:w="1002" w:type="dxa"/>
            <w:tcBorders>
              <w:top w:val="nil"/>
              <w:left w:val="nil"/>
              <w:bottom w:val="nil"/>
              <w:right w:val="nil"/>
            </w:tcBorders>
            <w:shd w:val="clear" w:color="auto" w:fill="auto"/>
            <w:noWrap/>
            <w:vAlign w:val="center"/>
            <w:hideMark/>
          </w:tcPr>
          <w:p w14:paraId="6CC760D6"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-0.014</w:t>
            </w:r>
          </w:p>
        </w:tc>
        <w:tc>
          <w:tcPr>
            <w:tcW w:w="841" w:type="dxa"/>
            <w:tcBorders>
              <w:top w:val="nil"/>
              <w:left w:val="nil"/>
              <w:bottom w:val="nil"/>
              <w:right w:val="nil"/>
            </w:tcBorders>
            <w:shd w:val="clear" w:color="auto" w:fill="auto"/>
            <w:noWrap/>
            <w:vAlign w:val="center"/>
            <w:hideMark/>
          </w:tcPr>
          <w:p w14:paraId="37DAF0AC"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-0.014</w:t>
            </w:r>
          </w:p>
        </w:tc>
        <w:tc>
          <w:tcPr>
            <w:tcW w:w="850" w:type="dxa"/>
            <w:tcBorders>
              <w:top w:val="nil"/>
              <w:left w:val="nil"/>
              <w:bottom w:val="nil"/>
              <w:right w:val="nil"/>
            </w:tcBorders>
            <w:shd w:val="clear" w:color="auto" w:fill="auto"/>
            <w:noWrap/>
            <w:vAlign w:val="center"/>
            <w:hideMark/>
          </w:tcPr>
          <w:p w14:paraId="654FC4EF"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0.027*</w:t>
            </w:r>
          </w:p>
        </w:tc>
        <w:tc>
          <w:tcPr>
            <w:tcW w:w="851" w:type="dxa"/>
            <w:tcBorders>
              <w:top w:val="nil"/>
              <w:left w:val="nil"/>
              <w:bottom w:val="nil"/>
              <w:right w:val="nil"/>
            </w:tcBorders>
            <w:shd w:val="clear" w:color="auto" w:fill="auto"/>
            <w:noWrap/>
            <w:vAlign w:val="center"/>
            <w:hideMark/>
          </w:tcPr>
          <w:p w14:paraId="4042E57B"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0.198*</w:t>
            </w:r>
          </w:p>
        </w:tc>
        <w:tc>
          <w:tcPr>
            <w:tcW w:w="941" w:type="dxa"/>
            <w:tcBorders>
              <w:top w:val="nil"/>
              <w:left w:val="nil"/>
              <w:bottom w:val="nil"/>
              <w:right w:val="nil"/>
            </w:tcBorders>
            <w:shd w:val="clear" w:color="auto" w:fill="auto"/>
            <w:noWrap/>
            <w:vAlign w:val="center"/>
            <w:hideMark/>
          </w:tcPr>
          <w:p w14:paraId="616A85A9"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0.034*</w:t>
            </w:r>
          </w:p>
        </w:tc>
        <w:tc>
          <w:tcPr>
            <w:tcW w:w="902" w:type="dxa"/>
            <w:tcBorders>
              <w:top w:val="nil"/>
              <w:left w:val="nil"/>
              <w:bottom w:val="nil"/>
              <w:right w:val="nil"/>
            </w:tcBorders>
            <w:shd w:val="clear" w:color="auto" w:fill="auto"/>
            <w:noWrap/>
            <w:vAlign w:val="center"/>
            <w:hideMark/>
          </w:tcPr>
          <w:p w14:paraId="4E968666"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0.024*</w:t>
            </w:r>
          </w:p>
        </w:tc>
        <w:tc>
          <w:tcPr>
            <w:tcW w:w="766" w:type="dxa"/>
            <w:tcBorders>
              <w:top w:val="nil"/>
              <w:left w:val="nil"/>
              <w:bottom w:val="nil"/>
              <w:right w:val="nil"/>
            </w:tcBorders>
            <w:shd w:val="clear" w:color="auto" w:fill="auto"/>
            <w:noWrap/>
            <w:vAlign w:val="center"/>
            <w:hideMark/>
          </w:tcPr>
          <w:p w14:paraId="7FAEE75E"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0.157*</w:t>
            </w:r>
          </w:p>
        </w:tc>
        <w:tc>
          <w:tcPr>
            <w:tcW w:w="940" w:type="dxa"/>
            <w:tcBorders>
              <w:top w:val="nil"/>
              <w:left w:val="nil"/>
              <w:bottom w:val="nil"/>
              <w:right w:val="nil"/>
            </w:tcBorders>
            <w:shd w:val="clear" w:color="auto" w:fill="auto"/>
            <w:noWrap/>
            <w:vAlign w:val="center"/>
            <w:hideMark/>
          </w:tcPr>
          <w:p w14:paraId="73EF0C10"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-0.035*</w:t>
            </w:r>
          </w:p>
        </w:tc>
        <w:tc>
          <w:tcPr>
            <w:tcW w:w="845" w:type="dxa"/>
            <w:tcBorders>
              <w:top w:val="nil"/>
              <w:left w:val="nil"/>
              <w:bottom w:val="nil"/>
              <w:right w:val="nil"/>
            </w:tcBorders>
            <w:shd w:val="clear" w:color="auto" w:fill="auto"/>
            <w:noWrap/>
            <w:vAlign w:val="center"/>
            <w:hideMark/>
          </w:tcPr>
          <w:p w14:paraId="34AEB906"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-0.163*</w:t>
            </w:r>
          </w:p>
        </w:tc>
        <w:tc>
          <w:tcPr>
            <w:tcW w:w="851" w:type="dxa"/>
            <w:tcBorders>
              <w:top w:val="nil"/>
              <w:left w:val="nil"/>
              <w:bottom w:val="nil"/>
              <w:right w:val="nil"/>
            </w:tcBorders>
            <w:shd w:val="clear" w:color="auto" w:fill="auto"/>
            <w:noWrap/>
            <w:vAlign w:val="center"/>
            <w:hideMark/>
          </w:tcPr>
          <w:p w14:paraId="2DFCF4B8"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-0.062*</w:t>
            </w:r>
          </w:p>
        </w:tc>
        <w:tc>
          <w:tcPr>
            <w:tcW w:w="766" w:type="dxa"/>
            <w:tcBorders>
              <w:top w:val="nil"/>
              <w:left w:val="nil"/>
              <w:bottom w:val="nil"/>
              <w:right w:val="nil"/>
            </w:tcBorders>
            <w:shd w:val="clear" w:color="auto" w:fill="auto"/>
            <w:noWrap/>
            <w:vAlign w:val="center"/>
            <w:hideMark/>
          </w:tcPr>
          <w:p w14:paraId="5C451301"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0.081*</w:t>
            </w:r>
          </w:p>
        </w:tc>
        <w:tc>
          <w:tcPr>
            <w:tcW w:w="935" w:type="dxa"/>
            <w:tcBorders>
              <w:top w:val="nil"/>
              <w:left w:val="nil"/>
              <w:bottom w:val="nil"/>
              <w:right w:val="nil"/>
            </w:tcBorders>
            <w:shd w:val="clear" w:color="auto" w:fill="auto"/>
            <w:noWrap/>
            <w:vAlign w:val="center"/>
            <w:hideMark/>
          </w:tcPr>
          <w:p w14:paraId="60F6F73C"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-0.093*</w:t>
            </w:r>
          </w:p>
        </w:tc>
        <w:tc>
          <w:tcPr>
            <w:tcW w:w="766" w:type="dxa"/>
            <w:tcBorders>
              <w:top w:val="nil"/>
              <w:left w:val="nil"/>
              <w:bottom w:val="nil"/>
              <w:right w:val="nil"/>
            </w:tcBorders>
            <w:shd w:val="clear" w:color="auto" w:fill="auto"/>
            <w:noWrap/>
            <w:vAlign w:val="center"/>
            <w:hideMark/>
          </w:tcPr>
          <w:p w14:paraId="7D77ABE2"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0.000</w:t>
            </w:r>
          </w:p>
        </w:tc>
        <w:tc>
          <w:tcPr>
            <w:tcW w:w="935" w:type="dxa"/>
            <w:tcBorders>
              <w:top w:val="nil"/>
              <w:left w:val="nil"/>
              <w:bottom w:val="nil"/>
              <w:right w:val="nil"/>
            </w:tcBorders>
            <w:shd w:val="clear" w:color="auto" w:fill="auto"/>
            <w:noWrap/>
            <w:vAlign w:val="center"/>
            <w:hideMark/>
          </w:tcPr>
          <w:p w14:paraId="7309FD4D"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-0.003</w:t>
            </w:r>
          </w:p>
        </w:tc>
        <w:tc>
          <w:tcPr>
            <w:tcW w:w="666" w:type="dxa"/>
            <w:tcBorders>
              <w:top w:val="nil"/>
              <w:left w:val="nil"/>
              <w:bottom w:val="nil"/>
              <w:right w:val="nil"/>
            </w:tcBorders>
            <w:shd w:val="clear" w:color="auto" w:fill="auto"/>
            <w:noWrap/>
            <w:vAlign w:val="center"/>
            <w:hideMark/>
          </w:tcPr>
          <w:p w14:paraId="61476B15"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1.000</w:t>
            </w:r>
          </w:p>
        </w:tc>
        <w:tc>
          <w:tcPr>
            <w:tcW w:w="751" w:type="dxa"/>
            <w:tcBorders>
              <w:top w:val="nil"/>
              <w:left w:val="nil"/>
              <w:bottom w:val="nil"/>
              <w:right w:val="nil"/>
            </w:tcBorders>
            <w:shd w:val="clear" w:color="auto" w:fill="auto"/>
            <w:noWrap/>
            <w:vAlign w:val="center"/>
            <w:hideMark/>
          </w:tcPr>
          <w:p w14:paraId="0BE3E511"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p>
        </w:tc>
      </w:tr>
      <w:tr w:rsidR="00E57A11" w:rsidRPr="00F62082" w14:paraId="4B7C6800" w14:textId="77777777" w:rsidTr="002753C1">
        <w:trPr>
          <w:trHeight w:val="314"/>
          <w:jc w:val="center"/>
        </w:trPr>
        <w:tc>
          <w:tcPr>
            <w:tcW w:w="616" w:type="dxa"/>
            <w:tcBorders>
              <w:top w:val="nil"/>
              <w:left w:val="nil"/>
              <w:bottom w:val="nil"/>
              <w:right w:val="nil"/>
            </w:tcBorders>
            <w:shd w:val="clear" w:color="auto" w:fill="auto"/>
            <w:noWrap/>
            <w:vAlign w:val="center"/>
            <w:hideMark/>
          </w:tcPr>
          <w:p w14:paraId="22B93779"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(16)</w:t>
            </w:r>
          </w:p>
        </w:tc>
        <w:tc>
          <w:tcPr>
            <w:tcW w:w="1533" w:type="dxa"/>
            <w:tcBorders>
              <w:top w:val="nil"/>
              <w:left w:val="nil"/>
              <w:bottom w:val="nil"/>
              <w:right w:val="nil"/>
            </w:tcBorders>
            <w:shd w:val="clear" w:color="auto" w:fill="auto"/>
            <w:noWrap/>
            <w:vAlign w:val="center"/>
            <w:hideMark/>
          </w:tcPr>
          <w:p w14:paraId="3691E5CA"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proofErr w:type="spellStart"/>
            <w:r w:rsidRPr="00DA1D07">
              <w:rPr>
                <w:rFonts w:asciiTheme="majorBidi" w:eastAsia="Times New Roman" w:hAnsiTheme="majorBidi" w:cstheme="majorBidi"/>
                <w:i/>
                <w:iCs/>
                <w:color w:val="000000"/>
                <w:sz w:val="24"/>
                <w:szCs w:val="24"/>
                <w:lang w:val="en-US" w:eastAsia="en-GB"/>
              </w:rPr>
              <w:t>CEOage</w:t>
            </w:r>
            <w:proofErr w:type="spellEnd"/>
          </w:p>
        </w:tc>
        <w:tc>
          <w:tcPr>
            <w:tcW w:w="1002" w:type="dxa"/>
            <w:tcBorders>
              <w:top w:val="nil"/>
              <w:left w:val="nil"/>
              <w:bottom w:val="nil"/>
              <w:right w:val="nil"/>
            </w:tcBorders>
            <w:shd w:val="clear" w:color="auto" w:fill="auto"/>
            <w:noWrap/>
            <w:vAlign w:val="center"/>
            <w:hideMark/>
          </w:tcPr>
          <w:p w14:paraId="16293F24"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0.084*</w:t>
            </w:r>
          </w:p>
        </w:tc>
        <w:tc>
          <w:tcPr>
            <w:tcW w:w="841" w:type="dxa"/>
            <w:tcBorders>
              <w:top w:val="nil"/>
              <w:left w:val="nil"/>
              <w:bottom w:val="nil"/>
              <w:right w:val="nil"/>
            </w:tcBorders>
            <w:shd w:val="clear" w:color="auto" w:fill="auto"/>
            <w:noWrap/>
            <w:vAlign w:val="center"/>
            <w:hideMark/>
          </w:tcPr>
          <w:p w14:paraId="476809DD"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0.089*</w:t>
            </w:r>
          </w:p>
        </w:tc>
        <w:tc>
          <w:tcPr>
            <w:tcW w:w="850" w:type="dxa"/>
            <w:tcBorders>
              <w:top w:val="nil"/>
              <w:left w:val="nil"/>
              <w:bottom w:val="nil"/>
              <w:right w:val="nil"/>
            </w:tcBorders>
            <w:shd w:val="clear" w:color="auto" w:fill="auto"/>
            <w:noWrap/>
            <w:vAlign w:val="center"/>
            <w:hideMark/>
          </w:tcPr>
          <w:p w14:paraId="7D4F4F8E"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0.023*</w:t>
            </w:r>
          </w:p>
        </w:tc>
        <w:tc>
          <w:tcPr>
            <w:tcW w:w="851" w:type="dxa"/>
            <w:tcBorders>
              <w:top w:val="nil"/>
              <w:left w:val="nil"/>
              <w:bottom w:val="nil"/>
              <w:right w:val="nil"/>
            </w:tcBorders>
            <w:shd w:val="clear" w:color="auto" w:fill="auto"/>
            <w:noWrap/>
            <w:vAlign w:val="center"/>
            <w:hideMark/>
          </w:tcPr>
          <w:p w14:paraId="66ABE67B"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0.154*</w:t>
            </w:r>
          </w:p>
        </w:tc>
        <w:tc>
          <w:tcPr>
            <w:tcW w:w="941" w:type="dxa"/>
            <w:tcBorders>
              <w:top w:val="nil"/>
              <w:left w:val="nil"/>
              <w:bottom w:val="nil"/>
              <w:right w:val="nil"/>
            </w:tcBorders>
            <w:shd w:val="clear" w:color="auto" w:fill="auto"/>
            <w:noWrap/>
            <w:vAlign w:val="center"/>
            <w:hideMark/>
          </w:tcPr>
          <w:p w14:paraId="6BB5EC1A"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0.140*</w:t>
            </w:r>
          </w:p>
        </w:tc>
        <w:tc>
          <w:tcPr>
            <w:tcW w:w="902" w:type="dxa"/>
            <w:tcBorders>
              <w:top w:val="nil"/>
              <w:left w:val="nil"/>
              <w:bottom w:val="nil"/>
              <w:right w:val="nil"/>
            </w:tcBorders>
            <w:shd w:val="clear" w:color="auto" w:fill="auto"/>
            <w:noWrap/>
            <w:vAlign w:val="center"/>
            <w:hideMark/>
          </w:tcPr>
          <w:p w14:paraId="3D2F7F1B"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0.060*</w:t>
            </w:r>
          </w:p>
        </w:tc>
        <w:tc>
          <w:tcPr>
            <w:tcW w:w="766" w:type="dxa"/>
            <w:tcBorders>
              <w:top w:val="nil"/>
              <w:left w:val="nil"/>
              <w:bottom w:val="nil"/>
              <w:right w:val="nil"/>
            </w:tcBorders>
            <w:shd w:val="clear" w:color="auto" w:fill="auto"/>
            <w:noWrap/>
            <w:vAlign w:val="center"/>
            <w:hideMark/>
          </w:tcPr>
          <w:p w14:paraId="622C0ABE"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0.043*</w:t>
            </w:r>
          </w:p>
        </w:tc>
        <w:tc>
          <w:tcPr>
            <w:tcW w:w="940" w:type="dxa"/>
            <w:tcBorders>
              <w:top w:val="nil"/>
              <w:left w:val="nil"/>
              <w:bottom w:val="nil"/>
              <w:right w:val="nil"/>
            </w:tcBorders>
            <w:shd w:val="clear" w:color="auto" w:fill="auto"/>
            <w:noWrap/>
            <w:vAlign w:val="center"/>
            <w:hideMark/>
          </w:tcPr>
          <w:p w14:paraId="4EA5165B"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0.055*</w:t>
            </w:r>
          </w:p>
        </w:tc>
        <w:tc>
          <w:tcPr>
            <w:tcW w:w="845" w:type="dxa"/>
            <w:tcBorders>
              <w:top w:val="nil"/>
              <w:left w:val="nil"/>
              <w:bottom w:val="nil"/>
              <w:right w:val="nil"/>
            </w:tcBorders>
            <w:shd w:val="clear" w:color="auto" w:fill="auto"/>
            <w:noWrap/>
            <w:vAlign w:val="center"/>
            <w:hideMark/>
          </w:tcPr>
          <w:p w14:paraId="2E577A26"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0.066*</w:t>
            </w:r>
          </w:p>
        </w:tc>
        <w:tc>
          <w:tcPr>
            <w:tcW w:w="851" w:type="dxa"/>
            <w:tcBorders>
              <w:top w:val="nil"/>
              <w:left w:val="nil"/>
              <w:bottom w:val="nil"/>
              <w:right w:val="nil"/>
            </w:tcBorders>
            <w:shd w:val="clear" w:color="auto" w:fill="auto"/>
            <w:noWrap/>
            <w:vAlign w:val="center"/>
            <w:hideMark/>
          </w:tcPr>
          <w:p w14:paraId="6CF5DC84"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0.123*</w:t>
            </w:r>
          </w:p>
        </w:tc>
        <w:tc>
          <w:tcPr>
            <w:tcW w:w="766" w:type="dxa"/>
            <w:tcBorders>
              <w:top w:val="nil"/>
              <w:left w:val="nil"/>
              <w:bottom w:val="nil"/>
              <w:right w:val="nil"/>
            </w:tcBorders>
            <w:shd w:val="clear" w:color="auto" w:fill="auto"/>
            <w:noWrap/>
            <w:vAlign w:val="center"/>
            <w:hideMark/>
          </w:tcPr>
          <w:p w14:paraId="2F19B68E"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0.002</w:t>
            </w:r>
          </w:p>
        </w:tc>
        <w:tc>
          <w:tcPr>
            <w:tcW w:w="935" w:type="dxa"/>
            <w:tcBorders>
              <w:top w:val="nil"/>
              <w:left w:val="nil"/>
              <w:bottom w:val="nil"/>
              <w:right w:val="nil"/>
            </w:tcBorders>
            <w:shd w:val="clear" w:color="auto" w:fill="auto"/>
            <w:noWrap/>
            <w:vAlign w:val="center"/>
            <w:hideMark/>
          </w:tcPr>
          <w:p w14:paraId="087D3025"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-0.088*</w:t>
            </w:r>
          </w:p>
        </w:tc>
        <w:tc>
          <w:tcPr>
            <w:tcW w:w="766" w:type="dxa"/>
            <w:tcBorders>
              <w:top w:val="nil"/>
              <w:left w:val="nil"/>
              <w:bottom w:val="nil"/>
              <w:right w:val="nil"/>
            </w:tcBorders>
            <w:shd w:val="clear" w:color="auto" w:fill="auto"/>
            <w:noWrap/>
            <w:vAlign w:val="center"/>
            <w:hideMark/>
          </w:tcPr>
          <w:p w14:paraId="45ACA4A7"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0.075*</w:t>
            </w:r>
          </w:p>
        </w:tc>
        <w:tc>
          <w:tcPr>
            <w:tcW w:w="935" w:type="dxa"/>
            <w:tcBorders>
              <w:top w:val="nil"/>
              <w:left w:val="nil"/>
              <w:bottom w:val="nil"/>
              <w:right w:val="nil"/>
            </w:tcBorders>
            <w:shd w:val="clear" w:color="auto" w:fill="auto"/>
            <w:noWrap/>
            <w:vAlign w:val="center"/>
            <w:hideMark/>
          </w:tcPr>
          <w:p w14:paraId="0B3570C4"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-0.032*</w:t>
            </w:r>
          </w:p>
        </w:tc>
        <w:tc>
          <w:tcPr>
            <w:tcW w:w="666" w:type="dxa"/>
            <w:tcBorders>
              <w:top w:val="nil"/>
              <w:left w:val="nil"/>
              <w:bottom w:val="nil"/>
              <w:right w:val="nil"/>
            </w:tcBorders>
            <w:shd w:val="clear" w:color="auto" w:fill="auto"/>
            <w:noWrap/>
            <w:vAlign w:val="center"/>
            <w:hideMark/>
          </w:tcPr>
          <w:p w14:paraId="1C33B75E"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0.006</w:t>
            </w:r>
          </w:p>
        </w:tc>
        <w:tc>
          <w:tcPr>
            <w:tcW w:w="751" w:type="dxa"/>
            <w:tcBorders>
              <w:top w:val="nil"/>
              <w:left w:val="nil"/>
              <w:bottom w:val="nil"/>
              <w:right w:val="nil"/>
            </w:tcBorders>
            <w:shd w:val="clear" w:color="auto" w:fill="auto"/>
            <w:noWrap/>
            <w:vAlign w:val="center"/>
            <w:hideMark/>
          </w:tcPr>
          <w:p w14:paraId="070E526A"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1.000</w:t>
            </w:r>
          </w:p>
        </w:tc>
      </w:tr>
      <w:tr w:rsidR="00E57A11" w:rsidRPr="00F62082" w14:paraId="7719C3E4" w14:textId="77777777" w:rsidTr="002753C1">
        <w:trPr>
          <w:trHeight w:val="314"/>
          <w:jc w:val="center"/>
        </w:trPr>
        <w:tc>
          <w:tcPr>
            <w:tcW w:w="616" w:type="dxa"/>
            <w:tcBorders>
              <w:top w:val="nil"/>
              <w:left w:val="nil"/>
              <w:bottom w:val="single" w:sz="4" w:space="0" w:color="auto"/>
              <w:right w:val="nil"/>
            </w:tcBorders>
            <w:shd w:val="clear" w:color="auto" w:fill="auto"/>
            <w:noWrap/>
            <w:vAlign w:val="center"/>
            <w:hideMark/>
          </w:tcPr>
          <w:p w14:paraId="7EAEAA61"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(17)</w:t>
            </w:r>
          </w:p>
        </w:tc>
        <w:tc>
          <w:tcPr>
            <w:tcW w:w="1533" w:type="dxa"/>
            <w:tcBorders>
              <w:top w:val="nil"/>
              <w:left w:val="nil"/>
              <w:bottom w:val="single" w:sz="4" w:space="0" w:color="auto"/>
              <w:right w:val="nil"/>
            </w:tcBorders>
            <w:shd w:val="clear" w:color="auto" w:fill="auto"/>
            <w:noWrap/>
            <w:vAlign w:val="center"/>
            <w:hideMark/>
          </w:tcPr>
          <w:p w14:paraId="0DCB380A"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proofErr w:type="spellStart"/>
            <w:r w:rsidRPr="00DA1D07">
              <w:rPr>
                <w:rFonts w:asciiTheme="majorBidi" w:eastAsia="Times New Roman" w:hAnsiTheme="majorBidi" w:cstheme="majorBidi"/>
                <w:i/>
                <w:iCs/>
                <w:color w:val="000000"/>
                <w:sz w:val="24"/>
                <w:szCs w:val="24"/>
                <w:lang w:val="en-US" w:eastAsia="en-GB"/>
              </w:rPr>
              <w:t>CEOtenure</w:t>
            </w:r>
            <w:proofErr w:type="spellEnd"/>
          </w:p>
        </w:tc>
        <w:tc>
          <w:tcPr>
            <w:tcW w:w="1002" w:type="dxa"/>
            <w:tcBorders>
              <w:top w:val="nil"/>
              <w:left w:val="nil"/>
              <w:bottom w:val="single" w:sz="4" w:space="0" w:color="auto"/>
              <w:right w:val="nil"/>
            </w:tcBorders>
            <w:shd w:val="clear" w:color="auto" w:fill="auto"/>
            <w:noWrap/>
            <w:vAlign w:val="center"/>
            <w:hideMark/>
          </w:tcPr>
          <w:p w14:paraId="48318138"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-0.042*</w:t>
            </w:r>
          </w:p>
        </w:tc>
        <w:tc>
          <w:tcPr>
            <w:tcW w:w="841" w:type="dxa"/>
            <w:tcBorders>
              <w:top w:val="nil"/>
              <w:left w:val="nil"/>
              <w:bottom w:val="single" w:sz="4" w:space="0" w:color="auto"/>
              <w:right w:val="nil"/>
            </w:tcBorders>
            <w:shd w:val="clear" w:color="auto" w:fill="auto"/>
            <w:noWrap/>
            <w:vAlign w:val="center"/>
            <w:hideMark/>
          </w:tcPr>
          <w:p w14:paraId="2E3713EB"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-0.033*</w:t>
            </w:r>
          </w:p>
        </w:tc>
        <w:tc>
          <w:tcPr>
            <w:tcW w:w="850" w:type="dxa"/>
            <w:tcBorders>
              <w:top w:val="nil"/>
              <w:left w:val="nil"/>
              <w:bottom w:val="single" w:sz="4" w:space="0" w:color="auto"/>
              <w:right w:val="nil"/>
            </w:tcBorders>
            <w:shd w:val="clear" w:color="auto" w:fill="auto"/>
            <w:noWrap/>
            <w:vAlign w:val="center"/>
            <w:hideMark/>
          </w:tcPr>
          <w:p w14:paraId="1203D84B"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-0.015*</w:t>
            </w:r>
          </w:p>
        </w:tc>
        <w:tc>
          <w:tcPr>
            <w:tcW w:w="851" w:type="dxa"/>
            <w:tcBorders>
              <w:top w:val="nil"/>
              <w:left w:val="nil"/>
              <w:bottom w:val="single" w:sz="4" w:space="0" w:color="auto"/>
              <w:right w:val="nil"/>
            </w:tcBorders>
            <w:shd w:val="clear" w:color="auto" w:fill="auto"/>
            <w:noWrap/>
            <w:vAlign w:val="center"/>
            <w:hideMark/>
          </w:tcPr>
          <w:p w14:paraId="388D7862"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0.316*</w:t>
            </w:r>
          </w:p>
        </w:tc>
        <w:tc>
          <w:tcPr>
            <w:tcW w:w="941" w:type="dxa"/>
            <w:tcBorders>
              <w:top w:val="nil"/>
              <w:left w:val="nil"/>
              <w:bottom w:val="single" w:sz="4" w:space="0" w:color="auto"/>
              <w:right w:val="nil"/>
            </w:tcBorders>
            <w:shd w:val="clear" w:color="auto" w:fill="auto"/>
            <w:noWrap/>
            <w:vAlign w:val="center"/>
            <w:hideMark/>
          </w:tcPr>
          <w:p w14:paraId="265017DA"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-0.012</w:t>
            </w:r>
          </w:p>
        </w:tc>
        <w:tc>
          <w:tcPr>
            <w:tcW w:w="902" w:type="dxa"/>
            <w:tcBorders>
              <w:top w:val="nil"/>
              <w:left w:val="nil"/>
              <w:bottom w:val="single" w:sz="4" w:space="0" w:color="auto"/>
              <w:right w:val="nil"/>
            </w:tcBorders>
            <w:shd w:val="clear" w:color="auto" w:fill="auto"/>
            <w:noWrap/>
            <w:vAlign w:val="center"/>
            <w:hideMark/>
          </w:tcPr>
          <w:p w14:paraId="69AFCE46"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-0.067*</w:t>
            </w:r>
          </w:p>
        </w:tc>
        <w:tc>
          <w:tcPr>
            <w:tcW w:w="766" w:type="dxa"/>
            <w:tcBorders>
              <w:top w:val="nil"/>
              <w:left w:val="nil"/>
              <w:bottom w:val="single" w:sz="4" w:space="0" w:color="auto"/>
              <w:right w:val="nil"/>
            </w:tcBorders>
            <w:shd w:val="clear" w:color="auto" w:fill="auto"/>
            <w:noWrap/>
            <w:vAlign w:val="center"/>
            <w:hideMark/>
          </w:tcPr>
          <w:p w14:paraId="18894998"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0.031*</w:t>
            </w:r>
          </w:p>
        </w:tc>
        <w:tc>
          <w:tcPr>
            <w:tcW w:w="940" w:type="dxa"/>
            <w:tcBorders>
              <w:top w:val="nil"/>
              <w:left w:val="nil"/>
              <w:bottom w:val="single" w:sz="4" w:space="0" w:color="auto"/>
              <w:right w:val="nil"/>
            </w:tcBorders>
            <w:shd w:val="clear" w:color="auto" w:fill="auto"/>
            <w:noWrap/>
            <w:vAlign w:val="center"/>
            <w:hideMark/>
          </w:tcPr>
          <w:p w14:paraId="65D910DA"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-0.034*</w:t>
            </w:r>
          </w:p>
        </w:tc>
        <w:tc>
          <w:tcPr>
            <w:tcW w:w="845" w:type="dxa"/>
            <w:tcBorders>
              <w:top w:val="nil"/>
              <w:left w:val="nil"/>
              <w:bottom w:val="single" w:sz="4" w:space="0" w:color="auto"/>
              <w:right w:val="nil"/>
            </w:tcBorders>
            <w:shd w:val="clear" w:color="auto" w:fill="auto"/>
            <w:noWrap/>
            <w:vAlign w:val="center"/>
            <w:hideMark/>
          </w:tcPr>
          <w:p w14:paraId="536863B8"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-0.065*</w:t>
            </w:r>
          </w:p>
        </w:tc>
        <w:tc>
          <w:tcPr>
            <w:tcW w:w="851" w:type="dxa"/>
            <w:tcBorders>
              <w:top w:val="nil"/>
              <w:left w:val="nil"/>
              <w:bottom w:val="single" w:sz="4" w:space="0" w:color="auto"/>
              <w:right w:val="nil"/>
            </w:tcBorders>
            <w:shd w:val="clear" w:color="auto" w:fill="auto"/>
            <w:noWrap/>
            <w:vAlign w:val="center"/>
            <w:hideMark/>
          </w:tcPr>
          <w:p w14:paraId="66C67297"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-0.086*</w:t>
            </w:r>
          </w:p>
        </w:tc>
        <w:tc>
          <w:tcPr>
            <w:tcW w:w="766" w:type="dxa"/>
            <w:tcBorders>
              <w:top w:val="nil"/>
              <w:left w:val="nil"/>
              <w:bottom w:val="single" w:sz="4" w:space="0" w:color="auto"/>
              <w:right w:val="nil"/>
            </w:tcBorders>
            <w:shd w:val="clear" w:color="auto" w:fill="auto"/>
            <w:noWrap/>
            <w:vAlign w:val="center"/>
            <w:hideMark/>
          </w:tcPr>
          <w:p w14:paraId="66270882"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-0.010</w:t>
            </w:r>
          </w:p>
        </w:tc>
        <w:tc>
          <w:tcPr>
            <w:tcW w:w="935" w:type="dxa"/>
            <w:tcBorders>
              <w:top w:val="nil"/>
              <w:left w:val="nil"/>
              <w:bottom w:val="single" w:sz="4" w:space="0" w:color="auto"/>
              <w:right w:val="nil"/>
            </w:tcBorders>
            <w:shd w:val="clear" w:color="auto" w:fill="auto"/>
            <w:noWrap/>
            <w:vAlign w:val="center"/>
            <w:hideMark/>
          </w:tcPr>
          <w:p w14:paraId="027E5486"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0.031*</w:t>
            </w:r>
          </w:p>
        </w:tc>
        <w:tc>
          <w:tcPr>
            <w:tcW w:w="766" w:type="dxa"/>
            <w:tcBorders>
              <w:top w:val="nil"/>
              <w:left w:val="nil"/>
              <w:bottom w:val="single" w:sz="4" w:space="0" w:color="auto"/>
              <w:right w:val="nil"/>
            </w:tcBorders>
            <w:shd w:val="clear" w:color="auto" w:fill="auto"/>
            <w:noWrap/>
            <w:vAlign w:val="center"/>
            <w:hideMark/>
          </w:tcPr>
          <w:p w14:paraId="437D3E5E"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-0.009</w:t>
            </w:r>
          </w:p>
        </w:tc>
        <w:tc>
          <w:tcPr>
            <w:tcW w:w="935" w:type="dxa"/>
            <w:tcBorders>
              <w:top w:val="nil"/>
              <w:left w:val="nil"/>
              <w:bottom w:val="single" w:sz="4" w:space="0" w:color="auto"/>
              <w:right w:val="nil"/>
            </w:tcBorders>
            <w:shd w:val="clear" w:color="auto" w:fill="auto"/>
            <w:noWrap/>
            <w:vAlign w:val="center"/>
            <w:hideMark/>
          </w:tcPr>
          <w:p w14:paraId="36CE8401"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0.025*</w:t>
            </w:r>
          </w:p>
        </w:tc>
        <w:tc>
          <w:tcPr>
            <w:tcW w:w="666" w:type="dxa"/>
            <w:tcBorders>
              <w:top w:val="nil"/>
              <w:left w:val="nil"/>
              <w:bottom w:val="single" w:sz="4" w:space="0" w:color="auto"/>
              <w:right w:val="nil"/>
            </w:tcBorders>
            <w:shd w:val="clear" w:color="auto" w:fill="auto"/>
            <w:noWrap/>
            <w:vAlign w:val="center"/>
            <w:hideMark/>
          </w:tcPr>
          <w:p w14:paraId="2BAADB67"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0.010</w:t>
            </w:r>
          </w:p>
        </w:tc>
        <w:tc>
          <w:tcPr>
            <w:tcW w:w="751" w:type="dxa"/>
            <w:tcBorders>
              <w:top w:val="nil"/>
              <w:left w:val="nil"/>
              <w:bottom w:val="single" w:sz="4" w:space="0" w:color="auto"/>
              <w:right w:val="nil"/>
            </w:tcBorders>
            <w:shd w:val="clear" w:color="auto" w:fill="auto"/>
            <w:noWrap/>
            <w:vAlign w:val="center"/>
            <w:hideMark/>
          </w:tcPr>
          <w:p w14:paraId="54AFCB5E"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0.408*</w:t>
            </w:r>
          </w:p>
        </w:tc>
      </w:tr>
    </w:tbl>
    <w:p w14:paraId="327CED80" w14:textId="77777777" w:rsidR="00E57A11" w:rsidRPr="00DA1D07" w:rsidRDefault="00E57A11" w:rsidP="00E57A11">
      <w:pPr>
        <w:rPr>
          <w:sz w:val="20"/>
          <w:szCs w:val="20"/>
          <w:lang w:val="en-US"/>
        </w:rPr>
      </w:pPr>
    </w:p>
    <w:p w14:paraId="7DB02216" w14:textId="77777777" w:rsidR="00E57A11" w:rsidRPr="00DA1D07" w:rsidRDefault="00E57A11" w:rsidP="00E57A11">
      <w:pPr>
        <w:rPr>
          <w:sz w:val="20"/>
          <w:szCs w:val="20"/>
          <w:lang w:val="en-US"/>
        </w:rPr>
      </w:pPr>
    </w:p>
    <w:p w14:paraId="691896FB" w14:textId="77777777" w:rsidR="00E57A11" w:rsidRPr="00DA1D07" w:rsidRDefault="00E57A11" w:rsidP="00E57A11">
      <w:pPr>
        <w:rPr>
          <w:lang w:val="en-US"/>
        </w:rPr>
        <w:sectPr w:rsidR="00E57A11" w:rsidRPr="00DA1D07" w:rsidSect="00B437C7">
          <w:pgSz w:w="16838" w:h="11906" w:orient="landscape"/>
          <w:pgMar w:top="1440" w:right="1440" w:bottom="1440" w:left="1440" w:header="709" w:footer="709" w:gutter="0"/>
          <w:cols w:space="708"/>
          <w:docGrid w:linePitch="360"/>
        </w:sectPr>
      </w:pPr>
    </w:p>
    <w:tbl>
      <w:tblPr>
        <w:tblW w:w="5000" w:type="pct"/>
        <w:jc w:val="center"/>
        <w:tblLook w:val="04A0" w:firstRow="1" w:lastRow="0" w:firstColumn="1" w:lastColumn="0" w:noHBand="0" w:noVBand="1"/>
      </w:tblPr>
      <w:tblGrid>
        <w:gridCol w:w="4031"/>
        <w:gridCol w:w="2870"/>
        <w:gridCol w:w="2125"/>
      </w:tblGrid>
      <w:tr w:rsidR="00E57A11" w:rsidRPr="00F62082" w14:paraId="77AA5310" w14:textId="77777777" w:rsidTr="002753C1">
        <w:trPr>
          <w:trHeight w:val="57"/>
          <w:jc w:val="center"/>
        </w:trPr>
        <w:tc>
          <w:tcPr>
            <w:tcW w:w="5000" w:type="pct"/>
            <w:gridSpan w:val="3"/>
            <w:tcBorders>
              <w:top w:val="nil"/>
              <w:left w:val="nil"/>
              <w:bottom w:val="nil"/>
              <w:right w:val="nil"/>
            </w:tcBorders>
            <w:shd w:val="clear" w:color="000000" w:fill="FFFFFF"/>
            <w:noWrap/>
            <w:vAlign w:val="bottom"/>
            <w:hideMark/>
          </w:tcPr>
          <w:p w14:paraId="2AA0D8CF" w14:textId="54DAF798" w:rsidR="00E57A11" w:rsidRPr="00DA1D07" w:rsidRDefault="00E57A11" w:rsidP="002753C1">
            <w:pPr>
              <w:spacing w:line="240" w:lineRule="auto"/>
              <w:jc w:val="center"/>
              <w:rPr>
                <w:rFonts w:ascii="Times New Roman" w:eastAsia="Times New Roman" w:hAnsi="Times New Roman" w:cs="Times New Roman"/>
                <w:b/>
                <w:bCs/>
                <w:color w:val="000000"/>
                <w:sz w:val="24"/>
                <w:szCs w:val="24"/>
                <w:lang w:val="en-US" w:eastAsia="en-GB"/>
              </w:rPr>
            </w:pPr>
            <w:r w:rsidRPr="00DA1D07">
              <w:rPr>
                <w:rFonts w:ascii="Times New Roman" w:eastAsia="Times New Roman" w:hAnsi="Times New Roman" w:cs="Times New Roman"/>
                <w:b/>
                <w:bCs/>
                <w:color w:val="000000"/>
                <w:sz w:val="24"/>
                <w:szCs w:val="24"/>
                <w:lang w:val="en-US" w:eastAsia="en-GB"/>
              </w:rPr>
              <w:lastRenderedPageBreak/>
              <w:t xml:space="preserve">TABLE </w:t>
            </w:r>
            <w:r w:rsidR="00A85564">
              <w:rPr>
                <w:rFonts w:ascii="Times New Roman" w:eastAsia="Times New Roman" w:hAnsi="Times New Roman" w:cs="Times New Roman"/>
                <w:b/>
                <w:bCs/>
                <w:color w:val="000000"/>
                <w:sz w:val="24"/>
                <w:szCs w:val="24"/>
                <w:lang w:val="en-US" w:eastAsia="en-GB"/>
              </w:rPr>
              <w:t>4</w:t>
            </w:r>
          </w:p>
        </w:tc>
      </w:tr>
      <w:tr w:rsidR="00E57A11" w:rsidRPr="00F62082" w14:paraId="5AB75998" w14:textId="77777777" w:rsidTr="002753C1">
        <w:trPr>
          <w:trHeight w:val="57"/>
          <w:jc w:val="center"/>
        </w:trPr>
        <w:tc>
          <w:tcPr>
            <w:tcW w:w="5000" w:type="pct"/>
            <w:gridSpan w:val="3"/>
            <w:tcBorders>
              <w:top w:val="nil"/>
              <w:left w:val="nil"/>
              <w:bottom w:val="nil"/>
              <w:right w:val="nil"/>
            </w:tcBorders>
            <w:shd w:val="clear" w:color="000000" w:fill="FFFFFF"/>
            <w:noWrap/>
            <w:vAlign w:val="bottom"/>
            <w:hideMark/>
          </w:tcPr>
          <w:p w14:paraId="5C419328" w14:textId="77777777" w:rsidR="00E57A11" w:rsidRPr="00DA1D07" w:rsidRDefault="00E57A11" w:rsidP="002753C1">
            <w:pPr>
              <w:spacing w:line="240" w:lineRule="auto"/>
              <w:jc w:val="center"/>
              <w:rPr>
                <w:rFonts w:ascii="Times New Roman" w:eastAsia="Times New Roman" w:hAnsi="Times New Roman" w:cs="Times New Roman"/>
                <w:b/>
                <w:bCs/>
                <w:color w:val="000000"/>
                <w:sz w:val="24"/>
                <w:szCs w:val="24"/>
                <w:lang w:val="en-US" w:eastAsia="en-GB"/>
              </w:rPr>
            </w:pPr>
            <w:r w:rsidRPr="00DA1D07">
              <w:rPr>
                <w:rFonts w:ascii="Times New Roman" w:eastAsia="Times New Roman" w:hAnsi="Times New Roman" w:cs="Times New Roman"/>
                <w:b/>
                <w:bCs/>
                <w:color w:val="000000"/>
                <w:sz w:val="24"/>
                <w:szCs w:val="24"/>
                <w:lang w:val="en-US" w:eastAsia="en-GB"/>
              </w:rPr>
              <w:t>The Impact of Vega on the Number of Violations</w:t>
            </w:r>
          </w:p>
        </w:tc>
      </w:tr>
      <w:tr w:rsidR="00E57A11" w:rsidRPr="00F62082" w14:paraId="40A43732" w14:textId="77777777" w:rsidTr="002753C1">
        <w:trPr>
          <w:trHeight w:val="57"/>
          <w:jc w:val="center"/>
        </w:trPr>
        <w:tc>
          <w:tcPr>
            <w:tcW w:w="5000" w:type="pct"/>
            <w:gridSpan w:val="3"/>
            <w:tcBorders>
              <w:top w:val="nil"/>
              <w:left w:val="nil"/>
              <w:bottom w:val="single" w:sz="4" w:space="0" w:color="auto"/>
              <w:right w:val="nil"/>
            </w:tcBorders>
            <w:shd w:val="clear" w:color="000000" w:fill="FFFFFF"/>
            <w:vAlign w:val="bottom"/>
            <w:hideMark/>
          </w:tcPr>
          <w:p w14:paraId="46F503EB" w14:textId="3210EE49" w:rsidR="00E57A11" w:rsidRPr="006B635B" w:rsidRDefault="00E57A11" w:rsidP="002753C1">
            <w:pPr>
              <w:spacing w:line="240" w:lineRule="auto"/>
              <w:jc w:val="both"/>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 xml:space="preserve">This table reports the estimation results for two models. Column (1) reports the coefficients of OLS regression, where the dependent variable is the natural logarithm of violations. Column (2) reports the coefficients of Poisson regression, where the dependent variable is a count of violations. </w:t>
            </w:r>
            <w:r w:rsidR="007B6B48" w:rsidRPr="006B635B">
              <w:rPr>
                <w:rFonts w:ascii="Times New Roman" w:eastAsia="Times New Roman" w:hAnsi="Times New Roman" w:cs="Times New Roman"/>
                <w:i/>
                <w:iCs/>
                <w:color w:val="000000"/>
                <w:sz w:val="24"/>
                <w:szCs w:val="24"/>
                <w:lang w:val="en-US" w:eastAsia="en-GB"/>
              </w:rPr>
              <w:t xml:space="preserve">Leverage, </w:t>
            </w:r>
            <w:proofErr w:type="spellStart"/>
            <w:r w:rsidR="007B6B48" w:rsidRPr="006B635B">
              <w:rPr>
                <w:rFonts w:asciiTheme="majorBidi" w:eastAsia="Times New Roman" w:hAnsiTheme="majorBidi" w:cstheme="majorBidi"/>
                <w:i/>
                <w:iCs/>
                <w:color w:val="000000"/>
                <w:sz w:val="24"/>
                <w:szCs w:val="24"/>
                <w:lang w:val="en-US" w:eastAsia="en-GB"/>
              </w:rPr>
              <w:t>FirmSize</w:t>
            </w:r>
            <w:proofErr w:type="spellEnd"/>
            <w:r w:rsidR="007B6B48" w:rsidRPr="006B635B">
              <w:rPr>
                <w:rFonts w:asciiTheme="majorBidi" w:eastAsia="Times New Roman" w:hAnsiTheme="majorBidi" w:cstheme="majorBidi"/>
                <w:i/>
                <w:iCs/>
                <w:color w:val="000000"/>
                <w:sz w:val="24"/>
                <w:szCs w:val="24"/>
                <w:lang w:val="en-US" w:eastAsia="en-GB"/>
              </w:rPr>
              <w:t>,</w:t>
            </w:r>
            <w:r w:rsidR="007B6B48" w:rsidRPr="006B635B">
              <w:rPr>
                <w:rFonts w:ascii="Times New Roman" w:eastAsia="Times New Roman" w:hAnsi="Times New Roman" w:cs="Times New Roman"/>
                <w:i/>
                <w:iCs/>
                <w:color w:val="000000"/>
                <w:sz w:val="24"/>
                <w:szCs w:val="24"/>
                <w:lang w:val="en-US" w:eastAsia="en-GB"/>
              </w:rPr>
              <w:t xml:space="preserve"> Employees, Market-to-Book</w:t>
            </w:r>
            <w:r w:rsidR="007B6B48" w:rsidRPr="006B635B">
              <w:rPr>
                <w:rFonts w:ascii="Times New Roman" w:eastAsia="Times New Roman" w:hAnsi="Times New Roman" w:cs="Times New Roman"/>
                <w:color w:val="000000"/>
                <w:sz w:val="24"/>
                <w:szCs w:val="24"/>
                <w:lang w:val="en-US" w:eastAsia="en-GB"/>
              </w:rPr>
              <w:t xml:space="preserve">, and </w:t>
            </w:r>
            <w:r w:rsidR="007B6B48" w:rsidRPr="006B635B">
              <w:rPr>
                <w:rFonts w:ascii="Times New Roman" w:eastAsia="Times New Roman" w:hAnsi="Times New Roman" w:cs="Times New Roman"/>
                <w:i/>
                <w:iCs/>
                <w:color w:val="000000"/>
                <w:sz w:val="24"/>
                <w:szCs w:val="24"/>
                <w:lang w:val="en-US" w:eastAsia="en-GB"/>
              </w:rPr>
              <w:t>Tangibility</w:t>
            </w:r>
            <w:r w:rsidR="007B6B48" w:rsidRPr="006B635B">
              <w:rPr>
                <w:rFonts w:ascii="Times New Roman" w:eastAsia="Times New Roman" w:hAnsi="Times New Roman" w:cs="Times New Roman"/>
                <w:color w:val="000000"/>
                <w:sz w:val="24"/>
                <w:szCs w:val="24"/>
                <w:lang w:val="en-US" w:eastAsia="en-GB"/>
              </w:rPr>
              <w:t xml:space="preserve"> are lagged one year, while </w:t>
            </w:r>
            <w:proofErr w:type="spellStart"/>
            <w:r w:rsidR="007B6B48" w:rsidRPr="006B635B">
              <w:rPr>
                <w:rFonts w:ascii="Times New Roman" w:eastAsia="Times New Roman" w:hAnsi="Times New Roman" w:cs="Times New Roman"/>
                <w:i/>
                <w:iCs/>
                <w:color w:val="000000"/>
                <w:sz w:val="24"/>
                <w:szCs w:val="24"/>
                <w:lang w:val="en-US" w:eastAsia="en-GB"/>
              </w:rPr>
              <w:t>CashFlow</w:t>
            </w:r>
            <w:proofErr w:type="spellEnd"/>
            <w:r w:rsidR="007B6B48" w:rsidRPr="006B635B">
              <w:rPr>
                <w:rFonts w:ascii="Times New Roman" w:eastAsia="Times New Roman" w:hAnsi="Times New Roman" w:cs="Times New Roman"/>
                <w:i/>
                <w:iCs/>
                <w:color w:val="000000"/>
                <w:sz w:val="24"/>
                <w:szCs w:val="24"/>
                <w:lang w:val="en-US" w:eastAsia="en-GB"/>
              </w:rPr>
              <w:t xml:space="preserve">, </w:t>
            </w:r>
            <w:proofErr w:type="spellStart"/>
            <w:r w:rsidR="007B6B48" w:rsidRPr="006B635B">
              <w:rPr>
                <w:rFonts w:ascii="Times New Roman" w:eastAsia="Times New Roman" w:hAnsi="Times New Roman" w:cs="Times New Roman"/>
                <w:i/>
                <w:iCs/>
                <w:color w:val="000000"/>
                <w:sz w:val="24"/>
                <w:szCs w:val="24"/>
                <w:lang w:val="en-US" w:eastAsia="en-GB"/>
              </w:rPr>
              <w:t>DividendsPayout</w:t>
            </w:r>
            <w:proofErr w:type="spellEnd"/>
            <w:r w:rsidR="007B6B48" w:rsidRPr="006B635B">
              <w:rPr>
                <w:rFonts w:ascii="Times New Roman" w:eastAsia="Times New Roman" w:hAnsi="Times New Roman" w:cs="Times New Roman"/>
                <w:i/>
                <w:iCs/>
                <w:color w:val="000000"/>
                <w:sz w:val="24"/>
                <w:szCs w:val="24"/>
                <w:lang w:val="en-US" w:eastAsia="en-GB"/>
              </w:rPr>
              <w:t xml:space="preserve">, </w:t>
            </w:r>
            <w:proofErr w:type="spellStart"/>
            <w:r w:rsidR="007B6B48" w:rsidRPr="006B635B">
              <w:rPr>
                <w:rFonts w:ascii="Times New Roman" w:eastAsia="Times New Roman" w:hAnsi="Times New Roman" w:cs="Times New Roman"/>
                <w:i/>
                <w:iCs/>
                <w:color w:val="000000"/>
                <w:sz w:val="24"/>
                <w:szCs w:val="24"/>
                <w:lang w:val="en-US" w:eastAsia="en-GB"/>
              </w:rPr>
              <w:t>AssetTurnover</w:t>
            </w:r>
            <w:proofErr w:type="spellEnd"/>
            <w:r w:rsidR="007B6B48" w:rsidRPr="006B635B">
              <w:rPr>
                <w:rFonts w:ascii="Times New Roman" w:eastAsia="Times New Roman" w:hAnsi="Times New Roman" w:cs="Times New Roman"/>
                <w:i/>
                <w:iCs/>
                <w:color w:val="000000"/>
                <w:sz w:val="24"/>
                <w:szCs w:val="24"/>
                <w:lang w:val="en-US" w:eastAsia="en-GB"/>
              </w:rPr>
              <w:t xml:space="preserve">, Capex, RET, </w:t>
            </w:r>
            <w:proofErr w:type="spellStart"/>
            <w:r w:rsidR="007B6B48" w:rsidRPr="006B635B">
              <w:rPr>
                <w:rFonts w:ascii="Times New Roman" w:eastAsia="Times New Roman" w:hAnsi="Times New Roman" w:cs="Times New Roman"/>
                <w:i/>
                <w:iCs/>
                <w:color w:val="000000"/>
                <w:sz w:val="24"/>
                <w:szCs w:val="24"/>
                <w:lang w:val="en-US" w:eastAsia="en-GB"/>
              </w:rPr>
              <w:t>CEOage</w:t>
            </w:r>
            <w:proofErr w:type="spellEnd"/>
            <w:r w:rsidR="00155940" w:rsidRPr="006B635B">
              <w:rPr>
                <w:rFonts w:ascii="Times New Roman" w:eastAsia="Times New Roman" w:hAnsi="Times New Roman" w:cs="Times New Roman"/>
                <w:i/>
                <w:iCs/>
                <w:color w:val="000000"/>
                <w:sz w:val="24"/>
                <w:szCs w:val="24"/>
                <w:lang w:val="en-US" w:eastAsia="en-GB"/>
              </w:rPr>
              <w:t>,</w:t>
            </w:r>
            <w:r w:rsidR="007B6B48" w:rsidRPr="006B635B">
              <w:rPr>
                <w:rFonts w:ascii="Times New Roman" w:eastAsia="Times New Roman" w:hAnsi="Times New Roman" w:cs="Times New Roman"/>
                <w:color w:val="000000"/>
                <w:sz w:val="24"/>
                <w:szCs w:val="24"/>
                <w:lang w:val="en-US" w:eastAsia="en-GB"/>
              </w:rPr>
              <w:t xml:space="preserve"> and </w:t>
            </w:r>
            <w:proofErr w:type="spellStart"/>
            <w:r w:rsidR="007B6B48" w:rsidRPr="006B635B">
              <w:rPr>
                <w:rFonts w:ascii="Times New Roman" w:eastAsia="Times New Roman" w:hAnsi="Times New Roman" w:cs="Times New Roman"/>
                <w:i/>
                <w:iCs/>
                <w:color w:val="000000"/>
                <w:sz w:val="24"/>
                <w:szCs w:val="24"/>
                <w:lang w:val="en-US" w:eastAsia="en-GB"/>
              </w:rPr>
              <w:t>CEOtenure</w:t>
            </w:r>
            <w:proofErr w:type="spellEnd"/>
            <w:r w:rsidR="007B6B48" w:rsidRPr="006B635B">
              <w:rPr>
                <w:rFonts w:ascii="Times New Roman" w:eastAsia="Times New Roman" w:hAnsi="Times New Roman" w:cs="Times New Roman"/>
                <w:color w:val="000000"/>
                <w:sz w:val="24"/>
                <w:szCs w:val="24"/>
                <w:lang w:val="en-US" w:eastAsia="en-GB"/>
              </w:rPr>
              <w:t xml:space="preserve"> are measured contemporaneously. </w:t>
            </w:r>
            <w:r w:rsidRPr="006B635B">
              <w:rPr>
                <w:rFonts w:ascii="Times New Roman" w:eastAsia="Times New Roman" w:hAnsi="Times New Roman" w:cs="Times New Roman"/>
                <w:color w:val="000000"/>
                <w:sz w:val="24"/>
                <w:szCs w:val="24"/>
                <w:lang w:val="en-US" w:eastAsia="en-GB"/>
              </w:rPr>
              <w:t xml:space="preserve">The sample spans the period </w:t>
            </w:r>
            <w:r w:rsidR="00BF3F22" w:rsidRPr="006B635B">
              <w:rPr>
                <w:rFonts w:ascii="Times New Roman" w:eastAsia="Times New Roman" w:hAnsi="Times New Roman" w:cs="Times New Roman"/>
                <w:color w:val="000000"/>
                <w:sz w:val="24"/>
                <w:szCs w:val="24"/>
                <w:lang w:val="en-US" w:eastAsia="en-GB"/>
              </w:rPr>
              <w:t xml:space="preserve">from </w:t>
            </w:r>
            <w:r w:rsidRPr="006B635B">
              <w:rPr>
                <w:rFonts w:ascii="Times New Roman" w:eastAsia="Times New Roman" w:hAnsi="Times New Roman" w:cs="Times New Roman"/>
                <w:color w:val="000000"/>
                <w:sz w:val="24"/>
                <w:szCs w:val="24"/>
                <w:lang w:val="en-US" w:eastAsia="en-GB"/>
              </w:rPr>
              <w:t>2000</w:t>
            </w:r>
            <w:r w:rsidR="00BF3F22" w:rsidRPr="006B635B">
              <w:rPr>
                <w:rFonts w:ascii="Times New Roman" w:eastAsia="Times New Roman" w:hAnsi="Times New Roman" w:cs="Times New Roman"/>
                <w:color w:val="000000"/>
                <w:sz w:val="24"/>
                <w:szCs w:val="24"/>
                <w:lang w:val="en-US" w:eastAsia="en-GB"/>
              </w:rPr>
              <w:t xml:space="preserve"> to </w:t>
            </w:r>
            <w:r w:rsidRPr="006B635B">
              <w:rPr>
                <w:rFonts w:ascii="Times New Roman" w:eastAsia="Times New Roman" w:hAnsi="Times New Roman" w:cs="Times New Roman"/>
                <w:color w:val="000000"/>
                <w:sz w:val="24"/>
                <w:szCs w:val="24"/>
                <w:lang w:val="en-US" w:eastAsia="en-GB"/>
              </w:rPr>
              <w:t xml:space="preserve">2018. All variables are defined in Appendix </w:t>
            </w:r>
            <w:r w:rsidR="006B635B">
              <w:rPr>
                <w:rFonts w:ascii="Times New Roman" w:eastAsia="Times New Roman" w:hAnsi="Times New Roman" w:cs="Times New Roman"/>
                <w:color w:val="000000"/>
                <w:sz w:val="24"/>
                <w:szCs w:val="24"/>
                <w:lang w:val="en-US" w:eastAsia="en-GB"/>
              </w:rPr>
              <w:t>1</w:t>
            </w:r>
            <w:r w:rsidRPr="006B635B">
              <w:rPr>
                <w:rFonts w:ascii="Times New Roman" w:eastAsia="Times New Roman" w:hAnsi="Times New Roman" w:cs="Times New Roman"/>
                <w:color w:val="000000"/>
                <w:sz w:val="24"/>
                <w:szCs w:val="24"/>
                <w:lang w:val="en-US" w:eastAsia="en-GB"/>
              </w:rPr>
              <w:t>. The values in parentheses below</w:t>
            </w:r>
            <w:r w:rsidR="00BF3F22" w:rsidRPr="006B635B">
              <w:rPr>
                <w:rFonts w:ascii="Times New Roman" w:eastAsia="Times New Roman" w:hAnsi="Times New Roman" w:cs="Times New Roman"/>
                <w:color w:val="000000"/>
                <w:sz w:val="24"/>
                <w:szCs w:val="24"/>
                <w:lang w:val="en-US" w:eastAsia="en-GB"/>
              </w:rPr>
              <w:t xml:space="preserve"> the</w:t>
            </w:r>
            <w:r w:rsidRPr="006B635B">
              <w:rPr>
                <w:rFonts w:ascii="Times New Roman" w:eastAsia="Times New Roman" w:hAnsi="Times New Roman" w:cs="Times New Roman"/>
                <w:color w:val="000000"/>
                <w:sz w:val="24"/>
                <w:szCs w:val="24"/>
                <w:lang w:val="en-US" w:eastAsia="en-GB"/>
              </w:rPr>
              <w:t xml:space="preserve"> coefficients represent t-statistics in model (1) and z-statistics in model (2). Standard errors are clustered at </w:t>
            </w:r>
            <w:r w:rsidR="00BF3F22" w:rsidRPr="006B635B">
              <w:rPr>
                <w:rFonts w:ascii="Times New Roman" w:eastAsia="Times New Roman" w:hAnsi="Times New Roman" w:cs="Times New Roman"/>
                <w:color w:val="000000"/>
                <w:sz w:val="24"/>
                <w:szCs w:val="24"/>
                <w:lang w:val="en-US" w:eastAsia="en-GB"/>
              </w:rPr>
              <w:t xml:space="preserve">the </w:t>
            </w:r>
            <w:r w:rsidRPr="006B635B">
              <w:rPr>
                <w:rFonts w:ascii="Times New Roman" w:eastAsia="Times New Roman" w:hAnsi="Times New Roman" w:cs="Times New Roman"/>
                <w:color w:val="000000"/>
                <w:sz w:val="24"/>
                <w:szCs w:val="24"/>
                <w:lang w:val="en-US" w:eastAsia="en-GB"/>
              </w:rPr>
              <w:t>firm level.  *, **, *** represent significance at 1</w:t>
            </w:r>
            <w:r w:rsidR="00130B9A" w:rsidRPr="006B635B">
              <w:rPr>
                <w:rFonts w:ascii="Times New Roman" w:eastAsia="Times New Roman" w:hAnsi="Times New Roman" w:cs="Times New Roman"/>
                <w:color w:val="000000"/>
                <w:sz w:val="24"/>
                <w:szCs w:val="24"/>
                <w:lang w:val="en-US" w:eastAsia="en-GB"/>
              </w:rPr>
              <w:t>0</w:t>
            </w:r>
            <w:r w:rsidRPr="006B635B">
              <w:rPr>
                <w:rFonts w:ascii="Times New Roman" w:eastAsia="Times New Roman" w:hAnsi="Times New Roman" w:cs="Times New Roman"/>
                <w:color w:val="000000"/>
                <w:sz w:val="24"/>
                <w:szCs w:val="24"/>
                <w:lang w:val="en-US" w:eastAsia="en-GB"/>
              </w:rPr>
              <w:t xml:space="preserve">%, 5%, and 1% respectively.  </w:t>
            </w:r>
          </w:p>
        </w:tc>
      </w:tr>
      <w:tr w:rsidR="00E57A11" w:rsidRPr="00F62082" w14:paraId="51F1FE87" w14:textId="77777777" w:rsidTr="002753C1">
        <w:trPr>
          <w:trHeight w:val="57"/>
          <w:jc w:val="center"/>
        </w:trPr>
        <w:tc>
          <w:tcPr>
            <w:tcW w:w="2233" w:type="pct"/>
            <w:tcBorders>
              <w:top w:val="single" w:sz="4" w:space="0" w:color="auto"/>
              <w:left w:val="nil"/>
              <w:bottom w:val="nil"/>
              <w:right w:val="nil"/>
            </w:tcBorders>
            <w:shd w:val="clear" w:color="000000" w:fill="FFFFFF"/>
            <w:noWrap/>
            <w:vAlign w:val="bottom"/>
            <w:hideMark/>
          </w:tcPr>
          <w:p w14:paraId="76E6576C"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6B635B">
              <w:rPr>
                <w:rFonts w:ascii="Times New Roman" w:eastAsia="Times New Roman" w:hAnsi="Times New Roman" w:cs="Times New Roman"/>
                <w:i/>
                <w:iCs/>
                <w:color w:val="000000"/>
                <w:sz w:val="24"/>
                <w:szCs w:val="24"/>
                <w:lang w:val="en-US" w:eastAsia="en-GB"/>
              </w:rPr>
              <w:t> </w:t>
            </w:r>
          </w:p>
        </w:tc>
        <w:tc>
          <w:tcPr>
            <w:tcW w:w="1590" w:type="pct"/>
            <w:tcBorders>
              <w:top w:val="single" w:sz="4" w:space="0" w:color="auto"/>
              <w:left w:val="nil"/>
              <w:bottom w:val="nil"/>
              <w:right w:val="nil"/>
            </w:tcBorders>
            <w:shd w:val="clear" w:color="000000" w:fill="FFFFFF"/>
            <w:noWrap/>
            <w:vAlign w:val="bottom"/>
            <w:hideMark/>
          </w:tcPr>
          <w:p w14:paraId="7DB4B767" w14:textId="77777777" w:rsidR="00E57A11" w:rsidRPr="006B635B" w:rsidRDefault="00E57A11" w:rsidP="002753C1">
            <w:pPr>
              <w:spacing w:after="0" w:line="240" w:lineRule="auto"/>
              <w:jc w:val="center"/>
              <w:rPr>
                <w:rFonts w:ascii="Times New Roman" w:eastAsia="Times New Roman" w:hAnsi="Times New Roman" w:cs="Times New Roman"/>
                <w:i/>
                <w:iCs/>
                <w:color w:val="000000"/>
                <w:sz w:val="24"/>
                <w:szCs w:val="24"/>
                <w:lang w:val="en-US" w:eastAsia="en-GB"/>
              </w:rPr>
            </w:pPr>
            <w:r w:rsidRPr="006B635B">
              <w:rPr>
                <w:rFonts w:ascii="Times New Roman" w:eastAsia="Times New Roman" w:hAnsi="Times New Roman" w:cs="Times New Roman"/>
                <w:i/>
                <w:iCs/>
                <w:color w:val="000000"/>
                <w:sz w:val="24"/>
                <w:szCs w:val="24"/>
                <w:lang w:val="en-US" w:eastAsia="en-GB"/>
              </w:rPr>
              <w:t>(1)</w:t>
            </w:r>
          </w:p>
        </w:tc>
        <w:tc>
          <w:tcPr>
            <w:tcW w:w="1177" w:type="pct"/>
            <w:tcBorders>
              <w:top w:val="single" w:sz="4" w:space="0" w:color="auto"/>
              <w:left w:val="nil"/>
              <w:bottom w:val="nil"/>
              <w:right w:val="nil"/>
            </w:tcBorders>
            <w:shd w:val="clear" w:color="000000" w:fill="FFFFFF"/>
            <w:noWrap/>
            <w:vAlign w:val="bottom"/>
            <w:hideMark/>
          </w:tcPr>
          <w:p w14:paraId="18ECDD49" w14:textId="77777777" w:rsidR="00E57A11" w:rsidRPr="006B635B" w:rsidRDefault="00E57A11" w:rsidP="002753C1">
            <w:pPr>
              <w:spacing w:after="0" w:line="240" w:lineRule="auto"/>
              <w:jc w:val="center"/>
              <w:rPr>
                <w:rFonts w:ascii="Times New Roman" w:eastAsia="Times New Roman" w:hAnsi="Times New Roman" w:cs="Times New Roman"/>
                <w:i/>
                <w:iCs/>
                <w:color w:val="000000"/>
                <w:sz w:val="24"/>
                <w:szCs w:val="24"/>
                <w:lang w:val="en-US" w:eastAsia="en-GB"/>
              </w:rPr>
            </w:pPr>
            <w:r w:rsidRPr="006B635B">
              <w:rPr>
                <w:rFonts w:ascii="Times New Roman" w:eastAsia="Times New Roman" w:hAnsi="Times New Roman" w:cs="Times New Roman"/>
                <w:i/>
                <w:iCs/>
                <w:color w:val="000000"/>
                <w:sz w:val="24"/>
                <w:szCs w:val="24"/>
                <w:lang w:val="en-US" w:eastAsia="en-GB"/>
              </w:rPr>
              <w:t>(2)</w:t>
            </w:r>
          </w:p>
        </w:tc>
      </w:tr>
      <w:tr w:rsidR="00E57A11" w:rsidRPr="00F62082" w14:paraId="73964039" w14:textId="77777777" w:rsidTr="002753C1">
        <w:trPr>
          <w:trHeight w:val="57"/>
          <w:jc w:val="center"/>
        </w:trPr>
        <w:tc>
          <w:tcPr>
            <w:tcW w:w="2233" w:type="pct"/>
            <w:tcBorders>
              <w:top w:val="nil"/>
              <w:left w:val="nil"/>
              <w:bottom w:val="single" w:sz="4" w:space="0" w:color="auto"/>
              <w:right w:val="nil"/>
            </w:tcBorders>
            <w:shd w:val="clear" w:color="000000" w:fill="FFFFFF"/>
            <w:noWrap/>
            <w:vAlign w:val="bottom"/>
            <w:hideMark/>
          </w:tcPr>
          <w:p w14:paraId="4BBE660C" w14:textId="77777777" w:rsidR="00E57A11" w:rsidRPr="006B635B" w:rsidRDefault="00E57A11" w:rsidP="002753C1">
            <w:pPr>
              <w:spacing w:line="240" w:lineRule="auto"/>
              <w:rPr>
                <w:rFonts w:ascii="Times New Roman" w:eastAsia="Times New Roman" w:hAnsi="Times New Roman" w:cs="Times New Roman"/>
                <w:color w:val="000000"/>
                <w:sz w:val="24"/>
                <w:szCs w:val="24"/>
                <w:lang w:val="en-US" w:eastAsia="en-GB"/>
              </w:rPr>
            </w:pPr>
          </w:p>
        </w:tc>
        <w:tc>
          <w:tcPr>
            <w:tcW w:w="1590" w:type="pct"/>
            <w:tcBorders>
              <w:top w:val="nil"/>
              <w:left w:val="nil"/>
              <w:bottom w:val="single" w:sz="4" w:space="0" w:color="auto"/>
              <w:right w:val="nil"/>
            </w:tcBorders>
            <w:shd w:val="clear" w:color="000000" w:fill="FFFFFF"/>
            <w:noWrap/>
            <w:hideMark/>
          </w:tcPr>
          <w:p w14:paraId="625DAE81" w14:textId="77777777" w:rsidR="00E57A11" w:rsidRPr="006B635B" w:rsidRDefault="00E57A11" w:rsidP="002753C1">
            <w:pPr>
              <w:spacing w:line="240" w:lineRule="auto"/>
              <w:jc w:val="center"/>
              <w:rPr>
                <w:rFonts w:ascii="Times New Roman" w:eastAsia="Times New Roman" w:hAnsi="Times New Roman" w:cs="Times New Roman"/>
                <w:i/>
                <w:iCs/>
                <w:color w:val="000000"/>
                <w:sz w:val="24"/>
                <w:szCs w:val="24"/>
                <w:lang w:val="en-US" w:eastAsia="en-GB"/>
              </w:rPr>
            </w:pPr>
            <w:proofErr w:type="gramStart"/>
            <w:r w:rsidRPr="006B635B">
              <w:rPr>
                <w:rFonts w:ascii="Times New Roman" w:eastAsia="Times New Roman" w:hAnsi="Times New Roman" w:cs="Times New Roman"/>
                <w:i/>
                <w:iCs/>
                <w:color w:val="000000"/>
                <w:sz w:val="24"/>
                <w:szCs w:val="24"/>
                <w:lang w:val="en-US" w:eastAsia="en-GB"/>
              </w:rPr>
              <w:t>ln(</w:t>
            </w:r>
            <w:proofErr w:type="gramEnd"/>
            <w:r w:rsidRPr="006B635B">
              <w:rPr>
                <w:rFonts w:ascii="Times New Roman" w:eastAsia="Times New Roman" w:hAnsi="Times New Roman" w:cs="Times New Roman"/>
                <w:i/>
                <w:iCs/>
                <w:color w:val="000000"/>
                <w:sz w:val="24"/>
                <w:szCs w:val="24"/>
                <w:lang w:val="en-US" w:eastAsia="en-GB"/>
              </w:rPr>
              <w:t>Violations)</w:t>
            </w:r>
          </w:p>
        </w:tc>
        <w:tc>
          <w:tcPr>
            <w:tcW w:w="1177" w:type="pct"/>
            <w:tcBorders>
              <w:top w:val="nil"/>
              <w:left w:val="nil"/>
              <w:bottom w:val="single" w:sz="4" w:space="0" w:color="auto"/>
              <w:right w:val="nil"/>
            </w:tcBorders>
            <w:shd w:val="clear" w:color="000000" w:fill="FFFFFF"/>
            <w:noWrap/>
            <w:hideMark/>
          </w:tcPr>
          <w:p w14:paraId="3EFC6407" w14:textId="77777777" w:rsidR="00E57A11" w:rsidRPr="006B635B" w:rsidRDefault="00E57A11" w:rsidP="002753C1">
            <w:pPr>
              <w:spacing w:line="240" w:lineRule="auto"/>
              <w:jc w:val="center"/>
              <w:rPr>
                <w:rFonts w:ascii="Times New Roman" w:eastAsia="Times New Roman" w:hAnsi="Times New Roman" w:cs="Times New Roman"/>
                <w:i/>
                <w:iCs/>
                <w:color w:val="000000"/>
                <w:sz w:val="24"/>
                <w:szCs w:val="24"/>
                <w:lang w:val="en-US" w:eastAsia="en-GB"/>
              </w:rPr>
            </w:pPr>
            <w:r w:rsidRPr="006B635B">
              <w:rPr>
                <w:rFonts w:ascii="Times New Roman" w:eastAsia="Times New Roman" w:hAnsi="Times New Roman" w:cs="Times New Roman"/>
                <w:i/>
                <w:iCs/>
                <w:color w:val="000000"/>
                <w:sz w:val="24"/>
                <w:szCs w:val="24"/>
                <w:lang w:val="en-US" w:eastAsia="en-GB"/>
              </w:rPr>
              <w:t>Violations</w:t>
            </w:r>
          </w:p>
        </w:tc>
      </w:tr>
      <w:tr w:rsidR="00E57A11" w:rsidRPr="009C4136" w14:paraId="21B9057D" w14:textId="77777777" w:rsidTr="00306538">
        <w:trPr>
          <w:trHeight w:val="57"/>
          <w:jc w:val="center"/>
        </w:trPr>
        <w:tc>
          <w:tcPr>
            <w:tcW w:w="2233" w:type="pct"/>
            <w:tcBorders>
              <w:top w:val="single" w:sz="4" w:space="0" w:color="auto"/>
              <w:left w:val="nil"/>
              <w:bottom w:val="nil"/>
              <w:right w:val="nil"/>
            </w:tcBorders>
            <w:shd w:val="clear" w:color="auto" w:fill="D9D9D9" w:themeFill="background1" w:themeFillShade="D9"/>
            <w:noWrap/>
            <w:vAlign w:val="center"/>
            <w:hideMark/>
          </w:tcPr>
          <w:p w14:paraId="662AC92F"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6B635B">
              <w:rPr>
                <w:rFonts w:ascii="Times New Roman" w:eastAsia="Times New Roman" w:hAnsi="Times New Roman" w:cs="Times New Roman"/>
                <w:i/>
                <w:iCs/>
                <w:color w:val="000000"/>
                <w:sz w:val="24"/>
                <w:szCs w:val="24"/>
                <w:lang w:val="en-US" w:eastAsia="en-GB"/>
              </w:rPr>
              <w:t>Vega</w:t>
            </w:r>
          </w:p>
        </w:tc>
        <w:tc>
          <w:tcPr>
            <w:tcW w:w="1590" w:type="pct"/>
            <w:tcBorders>
              <w:top w:val="single" w:sz="4" w:space="0" w:color="auto"/>
              <w:left w:val="nil"/>
              <w:bottom w:val="nil"/>
              <w:right w:val="nil"/>
            </w:tcBorders>
            <w:shd w:val="clear" w:color="auto" w:fill="D9D9D9" w:themeFill="background1" w:themeFillShade="D9"/>
            <w:noWrap/>
            <w:vAlign w:val="bottom"/>
            <w:hideMark/>
          </w:tcPr>
          <w:p w14:paraId="1275014B"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0.008**</w:t>
            </w:r>
          </w:p>
        </w:tc>
        <w:tc>
          <w:tcPr>
            <w:tcW w:w="1177" w:type="pct"/>
            <w:tcBorders>
              <w:top w:val="single" w:sz="4" w:space="0" w:color="auto"/>
              <w:left w:val="nil"/>
              <w:bottom w:val="nil"/>
              <w:right w:val="nil"/>
            </w:tcBorders>
            <w:shd w:val="clear" w:color="auto" w:fill="D9D9D9" w:themeFill="background1" w:themeFillShade="D9"/>
            <w:noWrap/>
            <w:vAlign w:val="bottom"/>
            <w:hideMark/>
          </w:tcPr>
          <w:p w14:paraId="2DBF5F55"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0.051**</w:t>
            </w:r>
          </w:p>
        </w:tc>
      </w:tr>
      <w:tr w:rsidR="00E57A11" w:rsidRPr="009C4136" w14:paraId="7728306F" w14:textId="77777777" w:rsidTr="00306538">
        <w:trPr>
          <w:trHeight w:val="57"/>
          <w:jc w:val="center"/>
        </w:trPr>
        <w:tc>
          <w:tcPr>
            <w:tcW w:w="2233" w:type="pct"/>
            <w:tcBorders>
              <w:top w:val="nil"/>
              <w:left w:val="nil"/>
              <w:bottom w:val="nil"/>
              <w:right w:val="nil"/>
            </w:tcBorders>
            <w:shd w:val="clear" w:color="auto" w:fill="D9D9D9" w:themeFill="background1" w:themeFillShade="D9"/>
            <w:noWrap/>
            <w:vAlign w:val="bottom"/>
            <w:hideMark/>
          </w:tcPr>
          <w:p w14:paraId="52145C6F"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6B635B">
              <w:rPr>
                <w:rFonts w:ascii="Times New Roman" w:eastAsia="Times New Roman" w:hAnsi="Times New Roman" w:cs="Times New Roman"/>
                <w:i/>
                <w:iCs/>
                <w:color w:val="000000"/>
                <w:sz w:val="24"/>
                <w:szCs w:val="24"/>
                <w:lang w:val="en-US" w:eastAsia="en-GB"/>
              </w:rPr>
              <w:t> </w:t>
            </w:r>
          </w:p>
        </w:tc>
        <w:tc>
          <w:tcPr>
            <w:tcW w:w="1590" w:type="pct"/>
            <w:tcBorders>
              <w:top w:val="nil"/>
              <w:left w:val="nil"/>
              <w:bottom w:val="nil"/>
              <w:right w:val="nil"/>
            </w:tcBorders>
            <w:shd w:val="clear" w:color="auto" w:fill="D9D9D9" w:themeFill="background1" w:themeFillShade="D9"/>
            <w:noWrap/>
            <w:vAlign w:val="bottom"/>
            <w:hideMark/>
          </w:tcPr>
          <w:p w14:paraId="722AE7DC"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(2.04)</w:t>
            </w:r>
          </w:p>
        </w:tc>
        <w:tc>
          <w:tcPr>
            <w:tcW w:w="1177" w:type="pct"/>
            <w:tcBorders>
              <w:top w:val="nil"/>
              <w:left w:val="nil"/>
              <w:bottom w:val="nil"/>
              <w:right w:val="nil"/>
            </w:tcBorders>
            <w:shd w:val="clear" w:color="auto" w:fill="D9D9D9" w:themeFill="background1" w:themeFillShade="D9"/>
            <w:noWrap/>
            <w:vAlign w:val="bottom"/>
            <w:hideMark/>
          </w:tcPr>
          <w:p w14:paraId="730DE572"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(2.37)</w:t>
            </w:r>
          </w:p>
        </w:tc>
      </w:tr>
      <w:tr w:rsidR="00E57A11" w:rsidRPr="00F62082" w14:paraId="56F93C8F" w14:textId="77777777" w:rsidTr="002753C1">
        <w:trPr>
          <w:trHeight w:val="57"/>
          <w:jc w:val="center"/>
        </w:trPr>
        <w:tc>
          <w:tcPr>
            <w:tcW w:w="2233" w:type="pct"/>
            <w:tcBorders>
              <w:top w:val="nil"/>
              <w:left w:val="nil"/>
              <w:bottom w:val="nil"/>
              <w:right w:val="nil"/>
            </w:tcBorders>
            <w:shd w:val="clear" w:color="000000" w:fill="FFFFFF"/>
            <w:noWrap/>
            <w:vAlign w:val="center"/>
            <w:hideMark/>
          </w:tcPr>
          <w:p w14:paraId="5BD7136D"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6B635B">
              <w:rPr>
                <w:rFonts w:ascii="Times New Roman" w:eastAsia="Times New Roman" w:hAnsi="Times New Roman" w:cs="Times New Roman"/>
                <w:i/>
                <w:iCs/>
                <w:color w:val="000000"/>
                <w:sz w:val="24"/>
                <w:szCs w:val="24"/>
                <w:lang w:val="en-US" w:eastAsia="en-GB"/>
              </w:rPr>
              <w:t>Delta</w:t>
            </w:r>
          </w:p>
        </w:tc>
        <w:tc>
          <w:tcPr>
            <w:tcW w:w="1590" w:type="pct"/>
            <w:tcBorders>
              <w:top w:val="nil"/>
              <w:left w:val="nil"/>
              <w:bottom w:val="nil"/>
              <w:right w:val="nil"/>
            </w:tcBorders>
            <w:shd w:val="clear" w:color="000000" w:fill="FFFFFF"/>
            <w:noWrap/>
            <w:vAlign w:val="bottom"/>
            <w:hideMark/>
          </w:tcPr>
          <w:p w14:paraId="6511153C"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-0.005</w:t>
            </w:r>
          </w:p>
        </w:tc>
        <w:tc>
          <w:tcPr>
            <w:tcW w:w="1177" w:type="pct"/>
            <w:tcBorders>
              <w:top w:val="nil"/>
              <w:left w:val="nil"/>
              <w:bottom w:val="nil"/>
              <w:right w:val="nil"/>
            </w:tcBorders>
            <w:shd w:val="clear" w:color="000000" w:fill="FFFFFF"/>
            <w:noWrap/>
            <w:vAlign w:val="bottom"/>
            <w:hideMark/>
          </w:tcPr>
          <w:p w14:paraId="5B689A6D"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-0.037</w:t>
            </w:r>
          </w:p>
        </w:tc>
      </w:tr>
      <w:tr w:rsidR="00E57A11" w:rsidRPr="00F62082" w14:paraId="239D36B7" w14:textId="77777777" w:rsidTr="002753C1">
        <w:trPr>
          <w:trHeight w:val="57"/>
          <w:jc w:val="center"/>
        </w:trPr>
        <w:tc>
          <w:tcPr>
            <w:tcW w:w="2233" w:type="pct"/>
            <w:tcBorders>
              <w:top w:val="nil"/>
              <w:left w:val="nil"/>
              <w:bottom w:val="nil"/>
              <w:right w:val="nil"/>
            </w:tcBorders>
            <w:shd w:val="clear" w:color="000000" w:fill="FFFFFF"/>
            <w:noWrap/>
            <w:vAlign w:val="bottom"/>
            <w:hideMark/>
          </w:tcPr>
          <w:p w14:paraId="3295288B"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6B635B">
              <w:rPr>
                <w:rFonts w:ascii="Times New Roman" w:eastAsia="Times New Roman" w:hAnsi="Times New Roman" w:cs="Times New Roman"/>
                <w:i/>
                <w:iCs/>
                <w:color w:val="000000"/>
                <w:sz w:val="24"/>
                <w:szCs w:val="24"/>
                <w:lang w:val="en-US" w:eastAsia="en-GB"/>
              </w:rPr>
              <w:t> </w:t>
            </w:r>
          </w:p>
        </w:tc>
        <w:tc>
          <w:tcPr>
            <w:tcW w:w="1590" w:type="pct"/>
            <w:tcBorders>
              <w:top w:val="nil"/>
              <w:left w:val="nil"/>
              <w:bottom w:val="nil"/>
              <w:right w:val="nil"/>
            </w:tcBorders>
            <w:shd w:val="clear" w:color="000000" w:fill="FFFFFF"/>
            <w:noWrap/>
            <w:vAlign w:val="bottom"/>
            <w:hideMark/>
          </w:tcPr>
          <w:p w14:paraId="1F413A3C"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(-0.98)</w:t>
            </w:r>
          </w:p>
        </w:tc>
        <w:tc>
          <w:tcPr>
            <w:tcW w:w="1177" w:type="pct"/>
            <w:tcBorders>
              <w:top w:val="nil"/>
              <w:left w:val="nil"/>
              <w:bottom w:val="nil"/>
              <w:right w:val="nil"/>
            </w:tcBorders>
            <w:shd w:val="clear" w:color="000000" w:fill="FFFFFF"/>
            <w:noWrap/>
            <w:vAlign w:val="bottom"/>
            <w:hideMark/>
          </w:tcPr>
          <w:p w14:paraId="2463CC31"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(-1.42)</w:t>
            </w:r>
          </w:p>
        </w:tc>
      </w:tr>
      <w:tr w:rsidR="00E57A11" w:rsidRPr="00F62082" w14:paraId="783C3EAC" w14:textId="77777777" w:rsidTr="002753C1">
        <w:trPr>
          <w:trHeight w:val="57"/>
          <w:jc w:val="center"/>
        </w:trPr>
        <w:tc>
          <w:tcPr>
            <w:tcW w:w="2233" w:type="pct"/>
            <w:tcBorders>
              <w:top w:val="nil"/>
              <w:left w:val="nil"/>
              <w:bottom w:val="nil"/>
              <w:right w:val="nil"/>
            </w:tcBorders>
            <w:shd w:val="clear" w:color="000000" w:fill="FFFFFF"/>
            <w:noWrap/>
            <w:vAlign w:val="center"/>
            <w:hideMark/>
          </w:tcPr>
          <w:p w14:paraId="6148C5D2"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proofErr w:type="spellStart"/>
            <w:r w:rsidRPr="006B635B">
              <w:rPr>
                <w:rFonts w:ascii="Times New Roman" w:eastAsia="Times New Roman" w:hAnsi="Times New Roman" w:cs="Times New Roman"/>
                <w:i/>
                <w:iCs/>
                <w:color w:val="000000"/>
                <w:sz w:val="24"/>
                <w:szCs w:val="24"/>
                <w:lang w:val="en-US" w:eastAsia="en-GB"/>
              </w:rPr>
              <w:t>CashComp</w:t>
            </w:r>
            <w:proofErr w:type="spellEnd"/>
          </w:p>
        </w:tc>
        <w:tc>
          <w:tcPr>
            <w:tcW w:w="1590" w:type="pct"/>
            <w:tcBorders>
              <w:top w:val="nil"/>
              <w:left w:val="nil"/>
              <w:bottom w:val="nil"/>
              <w:right w:val="nil"/>
            </w:tcBorders>
            <w:shd w:val="clear" w:color="000000" w:fill="FFFFFF"/>
            <w:noWrap/>
            <w:vAlign w:val="bottom"/>
            <w:hideMark/>
          </w:tcPr>
          <w:p w14:paraId="3FDA0419"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-0.010</w:t>
            </w:r>
          </w:p>
        </w:tc>
        <w:tc>
          <w:tcPr>
            <w:tcW w:w="1177" w:type="pct"/>
            <w:tcBorders>
              <w:top w:val="nil"/>
              <w:left w:val="nil"/>
              <w:bottom w:val="nil"/>
              <w:right w:val="nil"/>
            </w:tcBorders>
            <w:shd w:val="clear" w:color="000000" w:fill="FFFFFF"/>
            <w:noWrap/>
            <w:vAlign w:val="bottom"/>
            <w:hideMark/>
          </w:tcPr>
          <w:p w14:paraId="29DC01C2"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-0.015</w:t>
            </w:r>
          </w:p>
        </w:tc>
      </w:tr>
      <w:tr w:rsidR="00E57A11" w:rsidRPr="00F62082" w14:paraId="48744A6E" w14:textId="77777777" w:rsidTr="002753C1">
        <w:trPr>
          <w:trHeight w:val="57"/>
          <w:jc w:val="center"/>
        </w:trPr>
        <w:tc>
          <w:tcPr>
            <w:tcW w:w="2233" w:type="pct"/>
            <w:tcBorders>
              <w:top w:val="nil"/>
              <w:left w:val="nil"/>
              <w:bottom w:val="nil"/>
              <w:right w:val="nil"/>
            </w:tcBorders>
            <w:shd w:val="clear" w:color="000000" w:fill="FFFFFF"/>
            <w:noWrap/>
            <w:vAlign w:val="bottom"/>
            <w:hideMark/>
          </w:tcPr>
          <w:p w14:paraId="3A3D4C76"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6B635B">
              <w:rPr>
                <w:rFonts w:ascii="Times New Roman" w:eastAsia="Times New Roman" w:hAnsi="Times New Roman" w:cs="Times New Roman"/>
                <w:i/>
                <w:iCs/>
                <w:color w:val="000000"/>
                <w:sz w:val="24"/>
                <w:szCs w:val="24"/>
                <w:lang w:val="en-US" w:eastAsia="en-GB"/>
              </w:rPr>
              <w:t> </w:t>
            </w:r>
          </w:p>
        </w:tc>
        <w:tc>
          <w:tcPr>
            <w:tcW w:w="1590" w:type="pct"/>
            <w:tcBorders>
              <w:top w:val="nil"/>
              <w:left w:val="nil"/>
              <w:bottom w:val="nil"/>
              <w:right w:val="nil"/>
            </w:tcBorders>
            <w:shd w:val="clear" w:color="000000" w:fill="FFFFFF"/>
            <w:noWrap/>
            <w:vAlign w:val="bottom"/>
            <w:hideMark/>
          </w:tcPr>
          <w:p w14:paraId="5CAB2DFF"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(-1.27)</w:t>
            </w:r>
          </w:p>
        </w:tc>
        <w:tc>
          <w:tcPr>
            <w:tcW w:w="1177" w:type="pct"/>
            <w:tcBorders>
              <w:top w:val="nil"/>
              <w:left w:val="nil"/>
              <w:bottom w:val="nil"/>
              <w:right w:val="nil"/>
            </w:tcBorders>
            <w:shd w:val="clear" w:color="000000" w:fill="FFFFFF"/>
            <w:noWrap/>
            <w:vAlign w:val="bottom"/>
            <w:hideMark/>
          </w:tcPr>
          <w:p w14:paraId="2E107564"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(-0.33)</w:t>
            </w:r>
          </w:p>
        </w:tc>
      </w:tr>
      <w:tr w:rsidR="00E57A11" w:rsidRPr="00F62082" w14:paraId="3272C113" w14:textId="77777777" w:rsidTr="002753C1">
        <w:trPr>
          <w:trHeight w:val="57"/>
          <w:jc w:val="center"/>
        </w:trPr>
        <w:tc>
          <w:tcPr>
            <w:tcW w:w="2233" w:type="pct"/>
            <w:tcBorders>
              <w:top w:val="nil"/>
              <w:left w:val="nil"/>
              <w:bottom w:val="nil"/>
              <w:right w:val="nil"/>
            </w:tcBorders>
            <w:shd w:val="clear" w:color="000000" w:fill="FFFFFF"/>
            <w:noWrap/>
            <w:hideMark/>
          </w:tcPr>
          <w:p w14:paraId="30583448"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6B635B">
              <w:rPr>
                <w:rFonts w:ascii="Times New Roman" w:eastAsia="Times New Roman" w:hAnsi="Times New Roman" w:cs="Times New Roman"/>
                <w:i/>
                <w:iCs/>
                <w:color w:val="000000"/>
                <w:sz w:val="24"/>
                <w:szCs w:val="24"/>
                <w:lang w:val="en-US" w:eastAsia="en-GB"/>
              </w:rPr>
              <w:t>Leverage</w:t>
            </w:r>
          </w:p>
        </w:tc>
        <w:tc>
          <w:tcPr>
            <w:tcW w:w="1590" w:type="pct"/>
            <w:tcBorders>
              <w:top w:val="nil"/>
              <w:left w:val="nil"/>
              <w:bottom w:val="nil"/>
              <w:right w:val="nil"/>
            </w:tcBorders>
            <w:shd w:val="clear" w:color="000000" w:fill="FFFFFF"/>
            <w:noWrap/>
            <w:vAlign w:val="bottom"/>
            <w:hideMark/>
          </w:tcPr>
          <w:p w14:paraId="42DA6B39"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0.020</w:t>
            </w:r>
          </w:p>
        </w:tc>
        <w:tc>
          <w:tcPr>
            <w:tcW w:w="1177" w:type="pct"/>
            <w:tcBorders>
              <w:top w:val="nil"/>
              <w:left w:val="nil"/>
              <w:bottom w:val="nil"/>
              <w:right w:val="nil"/>
            </w:tcBorders>
            <w:shd w:val="clear" w:color="000000" w:fill="FFFFFF"/>
            <w:noWrap/>
            <w:vAlign w:val="bottom"/>
            <w:hideMark/>
          </w:tcPr>
          <w:p w14:paraId="505044F8"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0.256</w:t>
            </w:r>
          </w:p>
        </w:tc>
      </w:tr>
      <w:tr w:rsidR="00E57A11" w:rsidRPr="00F62082" w14:paraId="7E0724B4" w14:textId="77777777" w:rsidTr="002753C1">
        <w:trPr>
          <w:trHeight w:val="57"/>
          <w:jc w:val="center"/>
        </w:trPr>
        <w:tc>
          <w:tcPr>
            <w:tcW w:w="2233" w:type="pct"/>
            <w:tcBorders>
              <w:top w:val="nil"/>
              <w:left w:val="nil"/>
              <w:bottom w:val="nil"/>
              <w:right w:val="nil"/>
            </w:tcBorders>
            <w:shd w:val="clear" w:color="000000" w:fill="FFFFFF"/>
            <w:noWrap/>
            <w:vAlign w:val="bottom"/>
            <w:hideMark/>
          </w:tcPr>
          <w:p w14:paraId="7765CDB7"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6B635B">
              <w:rPr>
                <w:rFonts w:ascii="Times New Roman" w:eastAsia="Times New Roman" w:hAnsi="Times New Roman" w:cs="Times New Roman"/>
                <w:i/>
                <w:iCs/>
                <w:color w:val="000000"/>
                <w:sz w:val="24"/>
                <w:szCs w:val="24"/>
                <w:lang w:val="en-US" w:eastAsia="en-GB"/>
              </w:rPr>
              <w:t> </w:t>
            </w:r>
          </w:p>
        </w:tc>
        <w:tc>
          <w:tcPr>
            <w:tcW w:w="1590" w:type="pct"/>
            <w:tcBorders>
              <w:top w:val="nil"/>
              <w:left w:val="nil"/>
              <w:bottom w:val="nil"/>
              <w:right w:val="nil"/>
            </w:tcBorders>
            <w:shd w:val="clear" w:color="000000" w:fill="FFFFFF"/>
            <w:noWrap/>
            <w:vAlign w:val="bottom"/>
            <w:hideMark/>
          </w:tcPr>
          <w:p w14:paraId="1791E131"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(1.01)</w:t>
            </w:r>
          </w:p>
        </w:tc>
        <w:tc>
          <w:tcPr>
            <w:tcW w:w="1177" w:type="pct"/>
            <w:tcBorders>
              <w:top w:val="nil"/>
              <w:left w:val="nil"/>
              <w:bottom w:val="nil"/>
              <w:right w:val="nil"/>
            </w:tcBorders>
            <w:shd w:val="clear" w:color="000000" w:fill="FFFFFF"/>
            <w:noWrap/>
            <w:vAlign w:val="bottom"/>
            <w:hideMark/>
          </w:tcPr>
          <w:p w14:paraId="5278C414"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(1.15)</w:t>
            </w:r>
          </w:p>
        </w:tc>
      </w:tr>
      <w:tr w:rsidR="00E57A11" w:rsidRPr="00F62082" w14:paraId="296E29D0" w14:textId="77777777" w:rsidTr="002753C1">
        <w:trPr>
          <w:trHeight w:val="57"/>
          <w:jc w:val="center"/>
        </w:trPr>
        <w:tc>
          <w:tcPr>
            <w:tcW w:w="2233" w:type="pct"/>
            <w:tcBorders>
              <w:top w:val="nil"/>
              <w:left w:val="nil"/>
              <w:bottom w:val="nil"/>
              <w:right w:val="nil"/>
            </w:tcBorders>
            <w:shd w:val="clear" w:color="000000" w:fill="FFFFFF"/>
            <w:noWrap/>
            <w:hideMark/>
          </w:tcPr>
          <w:p w14:paraId="73180DBD"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proofErr w:type="spellStart"/>
            <w:r w:rsidRPr="006B635B">
              <w:rPr>
                <w:rFonts w:ascii="Times New Roman" w:eastAsia="Times New Roman" w:hAnsi="Times New Roman" w:cs="Times New Roman"/>
                <w:i/>
                <w:iCs/>
                <w:color w:val="000000"/>
                <w:sz w:val="24"/>
                <w:szCs w:val="24"/>
                <w:lang w:val="en-US" w:eastAsia="en-GB"/>
              </w:rPr>
              <w:t>CashFlow</w:t>
            </w:r>
            <w:proofErr w:type="spellEnd"/>
          </w:p>
        </w:tc>
        <w:tc>
          <w:tcPr>
            <w:tcW w:w="1590" w:type="pct"/>
            <w:tcBorders>
              <w:top w:val="nil"/>
              <w:left w:val="nil"/>
              <w:bottom w:val="nil"/>
              <w:right w:val="nil"/>
            </w:tcBorders>
            <w:shd w:val="clear" w:color="000000" w:fill="FFFFFF"/>
            <w:noWrap/>
            <w:vAlign w:val="bottom"/>
            <w:hideMark/>
          </w:tcPr>
          <w:p w14:paraId="7CD411B4"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-0.012</w:t>
            </w:r>
          </w:p>
        </w:tc>
        <w:tc>
          <w:tcPr>
            <w:tcW w:w="1177" w:type="pct"/>
            <w:tcBorders>
              <w:top w:val="nil"/>
              <w:left w:val="nil"/>
              <w:bottom w:val="nil"/>
              <w:right w:val="nil"/>
            </w:tcBorders>
            <w:shd w:val="clear" w:color="000000" w:fill="FFFFFF"/>
            <w:noWrap/>
            <w:vAlign w:val="bottom"/>
            <w:hideMark/>
          </w:tcPr>
          <w:p w14:paraId="6EB824F1"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0.136</w:t>
            </w:r>
          </w:p>
        </w:tc>
      </w:tr>
      <w:tr w:rsidR="00E57A11" w:rsidRPr="00F62082" w14:paraId="3EA2CE5B" w14:textId="77777777" w:rsidTr="002753C1">
        <w:trPr>
          <w:trHeight w:val="57"/>
          <w:jc w:val="center"/>
        </w:trPr>
        <w:tc>
          <w:tcPr>
            <w:tcW w:w="2233" w:type="pct"/>
            <w:tcBorders>
              <w:top w:val="nil"/>
              <w:left w:val="nil"/>
              <w:bottom w:val="nil"/>
              <w:right w:val="nil"/>
            </w:tcBorders>
            <w:shd w:val="clear" w:color="000000" w:fill="FFFFFF"/>
            <w:noWrap/>
            <w:vAlign w:val="bottom"/>
            <w:hideMark/>
          </w:tcPr>
          <w:p w14:paraId="0246D893"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6B635B">
              <w:rPr>
                <w:rFonts w:ascii="Times New Roman" w:eastAsia="Times New Roman" w:hAnsi="Times New Roman" w:cs="Times New Roman"/>
                <w:i/>
                <w:iCs/>
                <w:color w:val="000000"/>
                <w:sz w:val="24"/>
                <w:szCs w:val="24"/>
                <w:lang w:val="en-US" w:eastAsia="en-GB"/>
              </w:rPr>
              <w:t> </w:t>
            </w:r>
          </w:p>
        </w:tc>
        <w:tc>
          <w:tcPr>
            <w:tcW w:w="1590" w:type="pct"/>
            <w:tcBorders>
              <w:top w:val="nil"/>
              <w:left w:val="nil"/>
              <w:bottom w:val="nil"/>
              <w:right w:val="nil"/>
            </w:tcBorders>
            <w:shd w:val="clear" w:color="000000" w:fill="FFFFFF"/>
            <w:noWrap/>
            <w:vAlign w:val="bottom"/>
            <w:hideMark/>
          </w:tcPr>
          <w:p w14:paraId="72EF21DE"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(-1.10)</w:t>
            </w:r>
          </w:p>
        </w:tc>
        <w:tc>
          <w:tcPr>
            <w:tcW w:w="1177" w:type="pct"/>
            <w:tcBorders>
              <w:top w:val="nil"/>
              <w:left w:val="nil"/>
              <w:bottom w:val="nil"/>
              <w:right w:val="nil"/>
            </w:tcBorders>
            <w:shd w:val="clear" w:color="000000" w:fill="FFFFFF"/>
            <w:noWrap/>
            <w:vAlign w:val="bottom"/>
            <w:hideMark/>
          </w:tcPr>
          <w:p w14:paraId="5AF330C5"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(0.46)</w:t>
            </w:r>
          </w:p>
        </w:tc>
      </w:tr>
      <w:tr w:rsidR="00E57A11" w:rsidRPr="00F62082" w14:paraId="48E6B396" w14:textId="77777777" w:rsidTr="002753C1">
        <w:trPr>
          <w:trHeight w:val="57"/>
          <w:jc w:val="center"/>
        </w:trPr>
        <w:tc>
          <w:tcPr>
            <w:tcW w:w="2233" w:type="pct"/>
            <w:tcBorders>
              <w:top w:val="nil"/>
              <w:left w:val="nil"/>
              <w:bottom w:val="nil"/>
              <w:right w:val="nil"/>
            </w:tcBorders>
            <w:shd w:val="clear" w:color="000000" w:fill="FFFFFF"/>
            <w:noWrap/>
            <w:hideMark/>
          </w:tcPr>
          <w:p w14:paraId="06D35C44"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proofErr w:type="spellStart"/>
            <w:r w:rsidRPr="006B635B">
              <w:rPr>
                <w:rFonts w:ascii="Times New Roman" w:eastAsia="Times New Roman" w:hAnsi="Times New Roman" w:cs="Times New Roman"/>
                <w:i/>
                <w:iCs/>
                <w:color w:val="000000"/>
                <w:sz w:val="24"/>
                <w:szCs w:val="24"/>
                <w:lang w:val="en-US" w:eastAsia="en-GB"/>
              </w:rPr>
              <w:t>DividendPayout</w:t>
            </w:r>
            <w:proofErr w:type="spellEnd"/>
          </w:p>
        </w:tc>
        <w:tc>
          <w:tcPr>
            <w:tcW w:w="1590" w:type="pct"/>
            <w:tcBorders>
              <w:top w:val="nil"/>
              <w:left w:val="nil"/>
              <w:bottom w:val="nil"/>
              <w:right w:val="nil"/>
            </w:tcBorders>
            <w:shd w:val="clear" w:color="000000" w:fill="FFFFFF"/>
            <w:noWrap/>
            <w:vAlign w:val="bottom"/>
            <w:hideMark/>
          </w:tcPr>
          <w:p w14:paraId="7587630F"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0.008</w:t>
            </w:r>
          </w:p>
        </w:tc>
        <w:tc>
          <w:tcPr>
            <w:tcW w:w="1177" w:type="pct"/>
            <w:tcBorders>
              <w:top w:val="nil"/>
              <w:left w:val="nil"/>
              <w:bottom w:val="nil"/>
              <w:right w:val="nil"/>
            </w:tcBorders>
            <w:shd w:val="clear" w:color="000000" w:fill="FFFFFF"/>
            <w:noWrap/>
            <w:vAlign w:val="bottom"/>
            <w:hideMark/>
          </w:tcPr>
          <w:p w14:paraId="65F025CA"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-1.735</w:t>
            </w:r>
          </w:p>
        </w:tc>
      </w:tr>
      <w:tr w:rsidR="00E57A11" w:rsidRPr="00F62082" w14:paraId="1CC41267" w14:textId="77777777" w:rsidTr="002753C1">
        <w:trPr>
          <w:trHeight w:val="57"/>
          <w:jc w:val="center"/>
        </w:trPr>
        <w:tc>
          <w:tcPr>
            <w:tcW w:w="2233" w:type="pct"/>
            <w:tcBorders>
              <w:top w:val="nil"/>
              <w:left w:val="nil"/>
              <w:bottom w:val="nil"/>
              <w:right w:val="nil"/>
            </w:tcBorders>
            <w:shd w:val="clear" w:color="000000" w:fill="FFFFFF"/>
            <w:noWrap/>
            <w:vAlign w:val="bottom"/>
            <w:hideMark/>
          </w:tcPr>
          <w:p w14:paraId="55846F56"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6B635B">
              <w:rPr>
                <w:rFonts w:ascii="Times New Roman" w:eastAsia="Times New Roman" w:hAnsi="Times New Roman" w:cs="Times New Roman"/>
                <w:i/>
                <w:iCs/>
                <w:color w:val="000000"/>
                <w:sz w:val="24"/>
                <w:szCs w:val="24"/>
                <w:lang w:val="en-US" w:eastAsia="en-GB"/>
              </w:rPr>
              <w:t> </w:t>
            </w:r>
          </w:p>
        </w:tc>
        <w:tc>
          <w:tcPr>
            <w:tcW w:w="1590" w:type="pct"/>
            <w:tcBorders>
              <w:top w:val="nil"/>
              <w:left w:val="nil"/>
              <w:bottom w:val="nil"/>
              <w:right w:val="nil"/>
            </w:tcBorders>
            <w:shd w:val="clear" w:color="000000" w:fill="FFFFFF"/>
            <w:noWrap/>
            <w:vAlign w:val="bottom"/>
            <w:hideMark/>
          </w:tcPr>
          <w:p w14:paraId="54B01B05"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(0.05)</w:t>
            </w:r>
          </w:p>
        </w:tc>
        <w:tc>
          <w:tcPr>
            <w:tcW w:w="1177" w:type="pct"/>
            <w:tcBorders>
              <w:top w:val="nil"/>
              <w:left w:val="nil"/>
              <w:bottom w:val="nil"/>
              <w:right w:val="nil"/>
            </w:tcBorders>
            <w:shd w:val="clear" w:color="000000" w:fill="FFFFFF"/>
            <w:noWrap/>
            <w:vAlign w:val="bottom"/>
            <w:hideMark/>
          </w:tcPr>
          <w:p w14:paraId="0309746C"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(-1.17)</w:t>
            </w:r>
          </w:p>
        </w:tc>
      </w:tr>
      <w:tr w:rsidR="00E57A11" w:rsidRPr="00F62082" w14:paraId="05453D49" w14:textId="77777777" w:rsidTr="002753C1">
        <w:trPr>
          <w:trHeight w:val="57"/>
          <w:jc w:val="center"/>
        </w:trPr>
        <w:tc>
          <w:tcPr>
            <w:tcW w:w="2233" w:type="pct"/>
            <w:tcBorders>
              <w:top w:val="nil"/>
              <w:left w:val="nil"/>
              <w:bottom w:val="nil"/>
              <w:right w:val="nil"/>
            </w:tcBorders>
            <w:shd w:val="clear" w:color="000000" w:fill="FFFFFF"/>
            <w:noWrap/>
            <w:hideMark/>
          </w:tcPr>
          <w:p w14:paraId="2902B19E"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proofErr w:type="spellStart"/>
            <w:r w:rsidRPr="006B635B">
              <w:rPr>
                <w:rFonts w:ascii="Times New Roman" w:eastAsia="Times New Roman" w:hAnsi="Times New Roman" w:cs="Times New Roman"/>
                <w:i/>
                <w:iCs/>
                <w:color w:val="000000"/>
                <w:sz w:val="24"/>
                <w:szCs w:val="24"/>
                <w:lang w:val="en-US" w:eastAsia="en-GB"/>
              </w:rPr>
              <w:t>FirmSize</w:t>
            </w:r>
            <w:proofErr w:type="spellEnd"/>
          </w:p>
        </w:tc>
        <w:tc>
          <w:tcPr>
            <w:tcW w:w="1590" w:type="pct"/>
            <w:tcBorders>
              <w:top w:val="nil"/>
              <w:left w:val="nil"/>
              <w:bottom w:val="nil"/>
              <w:right w:val="nil"/>
            </w:tcBorders>
            <w:shd w:val="clear" w:color="000000" w:fill="FFFFFF"/>
            <w:noWrap/>
            <w:vAlign w:val="bottom"/>
            <w:hideMark/>
          </w:tcPr>
          <w:p w14:paraId="6764CDB7"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0.022***</w:t>
            </w:r>
          </w:p>
        </w:tc>
        <w:tc>
          <w:tcPr>
            <w:tcW w:w="1177" w:type="pct"/>
            <w:tcBorders>
              <w:top w:val="nil"/>
              <w:left w:val="nil"/>
              <w:bottom w:val="nil"/>
              <w:right w:val="nil"/>
            </w:tcBorders>
            <w:shd w:val="clear" w:color="000000" w:fill="FFFFFF"/>
            <w:noWrap/>
            <w:vAlign w:val="bottom"/>
            <w:hideMark/>
          </w:tcPr>
          <w:p w14:paraId="2134E516"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0.151**</w:t>
            </w:r>
          </w:p>
        </w:tc>
      </w:tr>
      <w:tr w:rsidR="00E57A11" w:rsidRPr="00F62082" w14:paraId="3CC104C4" w14:textId="77777777" w:rsidTr="002753C1">
        <w:trPr>
          <w:trHeight w:val="57"/>
          <w:jc w:val="center"/>
        </w:trPr>
        <w:tc>
          <w:tcPr>
            <w:tcW w:w="2233" w:type="pct"/>
            <w:tcBorders>
              <w:top w:val="nil"/>
              <w:left w:val="nil"/>
              <w:bottom w:val="nil"/>
              <w:right w:val="nil"/>
            </w:tcBorders>
            <w:shd w:val="clear" w:color="000000" w:fill="FFFFFF"/>
            <w:noWrap/>
            <w:vAlign w:val="bottom"/>
            <w:hideMark/>
          </w:tcPr>
          <w:p w14:paraId="4C4CC727"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6B635B">
              <w:rPr>
                <w:rFonts w:ascii="Times New Roman" w:eastAsia="Times New Roman" w:hAnsi="Times New Roman" w:cs="Times New Roman"/>
                <w:i/>
                <w:iCs/>
                <w:color w:val="000000"/>
                <w:sz w:val="24"/>
                <w:szCs w:val="24"/>
                <w:lang w:val="en-US" w:eastAsia="en-GB"/>
              </w:rPr>
              <w:t> </w:t>
            </w:r>
          </w:p>
        </w:tc>
        <w:tc>
          <w:tcPr>
            <w:tcW w:w="1590" w:type="pct"/>
            <w:tcBorders>
              <w:top w:val="nil"/>
              <w:left w:val="nil"/>
              <w:bottom w:val="nil"/>
              <w:right w:val="nil"/>
            </w:tcBorders>
            <w:shd w:val="clear" w:color="000000" w:fill="FFFFFF"/>
            <w:noWrap/>
            <w:vAlign w:val="bottom"/>
            <w:hideMark/>
          </w:tcPr>
          <w:p w14:paraId="3880EE66"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(3.21)</w:t>
            </w:r>
          </w:p>
        </w:tc>
        <w:tc>
          <w:tcPr>
            <w:tcW w:w="1177" w:type="pct"/>
            <w:tcBorders>
              <w:top w:val="nil"/>
              <w:left w:val="nil"/>
              <w:bottom w:val="nil"/>
              <w:right w:val="nil"/>
            </w:tcBorders>
            <w:shd w:val="clear" w:color="000000" w:fill="FFFFFF"/>
            <w:noWrap/>
            <w:vAlign w:val="bottom"/>
            <w:hideMark/>
          </w:tcPr>
          <w:p w14:paraId="4546809E"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(2.50)</w:t>
            </w:r>
          </w:p>
        </w:tc>
      </w:tr>
      <w:tr w:rsidR="00E57A11" w:rsidRPr="00F62082" w14:paraId="4738FF66" w14:textId="77777777" w:rsidTr="002753C1">
        <w:trPr>
          <w:trHeight w:val="57"/>
          <w:jc w:val="center"/>
        </w:trPr>
        <w:tc>
          <w:tcPr>
            <w:tcW w:w="2233" w:type="pct"/>
            <w:tcBorders>
              <w:top w:val="nil"/>
              <w:left w:val="nil"/>
              <w:bottom w:val="nil"/>
              <w:right w:val="nil"/>
            </w:tcBorders>
            <w:shd w:val="clear" w:color="000000" w:fill="FFFFFF"/>
            <w:noWrap/>
            <w:hideMark/>
          </w:tcPr>
          <w:p w14:paraId="53E0A519"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6B635B">
              <w:rPr>
                <w:rFonts w:ascii="Times New Roman" w:eastAsia="Times New Roman" w:hAnsi="Times New Roman" w:cs="Times New Roman"/>
                <w:i/>
                <w:iCs/>
                <w:color w:val="000000"/>
                <w:sz w:val="24"/>
                <w:szCs w:val="24"/>
                <w:lang w:val="en-US" w:eastAsia="en-GB"/>
              </w:rPr>
              <w:t>Employees</w:t>
            </w:r>
          </w:p>
        </w:tc>
        <w:tc>
          <w:tcPr>
            <w:tcW w:w="1590" w:type="pct"/>
            <w:tcBorders>
              <w:top w:val="nil"/>
              <w:left w:val="nil"/>
              <w:bottom w:val="nil"/>
              <w:right w:val="nil"/>
            </w:tcBorders>
            <w:shd w:val="clear" w:color="000000" w:fill="FFFFFF"/>
            <w:noWrap/>
            <w:vAlign w:val="bottom"/>
            <w:hideMark/>
          </w:tcPr>
          <w:p w14:paraId="6C2A9E60"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0.016*</w:t>
            </w:r>
          </w:p>
        </w:tc>
        <w:tc>
          <w:tcPr>
            <w:tcW w:w="1177" w:type="pct"/>
            <w:tcBorders>
              <w:top w:val="nil"/>
              <w:left w:val="nil"/>
              <w:bottom w:val="nil"/>
              <w:right w:val="nil"/>
            </w:tcBorders>
            <w:shd w:val="clear" w:color="000000" w:fill="FFFFFF"/>
            <w:noWrap/>
            <w:vAlign w:val="bottom"/>
            <w:hideMark/>
          </w:tcPr>
          <w:p w14:paraId="3A0AB11A"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0.231***</w:t>
            </w:r>
          </w:p>
        </w:tc>
      </w:tr>
      <w:tr w:rsidR="00E57A11" w:rsidRPr="00F62082" w14:paraId="4B6AE1B3" w14:textId="77777777" w:rsidTr="002753C1">
        <w:trPr>
          <w:trHeight w:val="57"/>
          <w:jc w:val="center"/>
        </w:trPr>
        <w:tc>
          <w:tcPr>
            <w:tcW w:w="2233" w:type="pct"/>
            <w:tcBorders>
              <w:top w:val="nil"/>
              <w:left w:val="nil"/>
              <w:bottom w:val="nil"/>
              <w:right w:val="nil"/>
            </w:tcBorders>
            <w:shd w:val="clear" w:color="000000" w:fill="FFFFFF"/>
            <w:noWrap/>
            <w:vAlign w:val="bottom"/>
            <w:hideMark/>
          </w:tcPr>
          <w:p w14:paraId="70AAB46F"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6B635B">
              <w:rPr>
                <w:rFonts w:ascii="Times New Roman" w:eastAsia="Times New Roman" w:hAnsi="Times New Roman" w:cs="Times New Roman"/>
                <w:i/>
                <w:iCs/>
                <w:color w:val="000000"/>
                <w:sz w:val="24"/>
                <w:szCs w:val="24"/>
                <w:lang w:val="en-US" w:eastAsia="en-GB"/>
              </w:rPr>
              <w:t> </w:t>
            </w:r>
          </w:p>
        </w:tc>
        <w:tc>
          <w:tcPr>
            <w:tcW w:w="1590" w:type="pct"/>
            <w:tcBorders>
              <w:top w:val="nil"/>
              <w:left w:val="nil"/>
              <w:bottom w:val="nil"/>
              <w:right w:val="nil"/>
            </w:tcBorders>
            <w:shd w:val="clear" w:color="000000" w:fill="FFFFFF"/>
            <w:noWrap/>
            <w:vAlign w:val="bottom"/>
            <w:hideMark/>
          </w:tcPr>
          <w:p w14:paraId="5FD8F1FF"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(1.82)</w:t>
            </w:r>
          </w:p>
        </w:tc>
        <w:tc>
          <w:tcPr>
            <w:tcW w:w="1177" w:type="pct"/>
            <w:tcBorders>
              <w:top w:val="nil"/>
              <w:left w:val="nil"/>
              <w:bottom w:val="nil"/>
              <w:right w:val="nil"/>
            </w:tcBorders>
            <w:shd w:val="clear" w:color="000000" w:fill="FFFFFF"/>
            <w:noWrap/>
            <w:vAlign w:val="bottom"/>
            <w:hideMark/>
          </w:tcPr>
          <w:p w14:paraId="20C89E3A"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(2.96)</w:t>
            </w:r>
          </w:p>
        </w:tc>
      </w:tr>
      <w:tr w:rsidR="00E57A11" w:rsidRPr="00F62082" w14:paraId="61A5F403" w14:textId="77777777" w:rsidTr="002753C1">
        <w:trPr>
          <w:trHeight w:val="57"/>
          <w:jc w:val="center"/>
        </w:trPr>
        <w:tc>
          <w:tcPr>
            <w:tcW w:w="2233" w:type="pct"/>
            <w:tcBorders>
              <w:top w:val="nil"/>
              <w:left w:val="nil"/>
              <w:bottom w:val="nil"/>
              <w:right w:val="nil"/>
            </w:tcBorders>
            <w:shd w:val="clear" w:color="000000" w:fill="FFFFFF"/>
            <w:noWrap/>
            <w:hideMark/>
          </w:tcPr>
          <w:p w14:paraId="5E616691"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proofErr w:type="spellStart"/>
            <w:r w:rsidRPr="006B635B">
              <w:rPr>
                <w:rFonts w:ascii="Times New Roman" w:eastAsia="Times New Roman" w:hAnsi="Times New Roman" w:cs="Times New Roman"/>
                <w:i/>
                <w:iCs/>
                <w:color w:val="000000"/>
                <w:sz w:val="24"/>
                <w:szCs w:val="24"/>
                <w:lang w:val="en-US" w:eastAsia="en-GB"/>
              </w:rPr>
              <w:t>AssetTurnover</w:t>
            </w:r>
            <w:proofErr w:type="spellEnd"/>
          </w:p>
        </w:tc>
        <w:tc>
          <w:tcPr>
            <w:tcW w:w="1590" w:type="pct"/>
            <w:tcBorders>
              <w:top w:val="nil"/>
              <w:left w:val="nil"/>
              <w:bottom w:val="nil"/>
              <w:right w:val="nil"/>
            </w:tcBorders>
            <w:shd w:val="clear" w:color="000000" w:fill="FFFFFF"/>
            <w:noWrap/>
            <w:vAlign w:val="bottom"/>
            <w:hideMark/>
          </w:tcPr>
          <w:p w14:paraId="59A8C102"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0.010</w:t>
            </w:r>
          </w:p>
        </w:tc>
        <w:tc>
          <w:tcPr>
            <w:tcW w:w="1177" w:type="pct"/>
            <w:tcBorders>
              <w:top w:val="nil"/>
              <w:left w:val="nil"/>
              <w:bottom w:val="nil"/>
              <w:right w:val="nil"/>
            </w:tcBorders>
            <w:shd w:val="clear" w:color="000000" w:fill="FFFFFF"/>
            <w:noWrap/>
            <w:vAlign w:val="bottom"/>
            <w:hideMark/>
          </w:tcPr>
          <w:p w14:paraId="3A015EFD"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0.124*</w:t>
            </w:r>
          </w:p>
        </w:tc>
      </w:tr>
      <w:tr w:rsidR="00E57A11" w:rsidRPr="00F62082" w14:paraId="3DE7A600" w14:textId="77777777" w:rsidTr="002753C1">
        <w:trPr>
          <w:trHeight w:val="57"/>
          <w:jc w:val="center"/>
        </w:trPr>
        <w:tc>
          <w:tcPr>
            <w:tcW w:w="2233" w:type="pct"/>
            <w:tcBorders>
              <w:top w:val="nil"/>
              <w:left w:val="nil"/>
              <w:bottom w:val="nil"/>
              <w:right w:val="nil"/>
            </w:tcBorders>
            <w:shd w:val="clear" w:color="000000" w:fill="FFFFFF"/>
            <w:noWrap/>
            <w:vAlign w:val="bottom"/>
            <w:hideMark/>
          </w:tcPr>
          <w:p w14:paraId="368F0AB5"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6B635B">
              <w:rPr>
                <w:rFonts w:ascii="Times New Roman" w:eastAsia="Times New Roman" w:hAnsi="Times New Roman" w:cs="Times New Roman"/>
                <w:i/>
                <w:iCs/>
                <w:color w:val="000000"/>
                <w:sz w:val="24"/>
                <w:szCs w:val="24"/>
                <w:lang w:val="en-US" w:eastAsia="en-GB"/>
              </w:rPr>
              <w:t> </w:t>
            </w:r>
          </w:p>
        </w:tc>
        <w:tc>
          <w:tcPr>
            <w:tcW w:w="1590" w:type="pct"/>
            <w:tcBorders>
              <w:top w:val="nil"/>
              <w:left w:val="nil"/>
              <w:bottom w:val="nil"/>
              <w:right w:val="nil"/>
            </w:tcBorders>
            <w:shd w:val="clear" w:color="000000" w:fill="FFFFFF"/>
            <w:noWrap/>
            <w:vAlign w:val="bottom"/>
            <w:hideMark/>
          </w:tcPr>
          <w:p w14:paraId="289A7FA5"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(1.03)</w:t>
            </w:r>
          </w:p>
        </w:tc>
        <w:tc>
          <w:tcPr>
            <w:tcW w:w="1177" w:type="pct"/>
            <w:tcBorders>
              <w:top w:val="nil"/>
              <w:left w:val="nil"/>
              <w:bottom w:val="nil"/>
              <w:right w:val="nil"/>
            </w:tcBorders>
            <w:shd w:val="clear" w:color="000000" w:fill="FFFFFF"/>
            <w:noWrap/>
            <w:vAlign w:val="bottom"/>
            <w:hideMark/>
          </w:tcPr>
          <w:p w14:paraId="4A1FB821"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(1.75)</w:t>
            </w:r>
          </w:p>
        </w:tc>
      </w:tr>
      <w:tr w:rsidR="00E57A11" w:rsidRPr="00F62082" w14:paraId="62198037" w14:textId="77777777" w:rsidTr="002753C1">
        <w:trPr>
          <w:trHeight w:val="57"/>
          <w:jc w:val="center"/>
        </w:trPr>
        <w:tc>
          <w:tcPr>
            <w:tcW w:w="2233" w:type="pct"/>
            <w:tcBorders>
              <w:top w:val="nil"/>
              <w:left w:val="nil"/>
              <w:bottom w:val="nil"/>
              <w:right w:val="nil"/>
            </w:tcBorders>
            <w:shd w:val="clear" w:color="000000" w:fill="FFFFFF"/>
            <w:noWrap/>
            <w:hideMark/>
          </w:tcPr>
          <w:p w14:paraId="7AD829EF"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6B635B">
              <w:rPr>
                <w:rFonts w:ascii="Times New Roman" w:eastAsia="Times New Roman" w:hAnsi="Times New Roman" w:cs="Times New Roman"/>
                <w:i/>
                <w:iCs/>
                <w:color w:val="000000"/>
                <w:sz w:val="24"/>
                <w:szCs w:val="24"/>
                <w:lang w:val="en-US" w:eastAsia="en-GB"/>
              </w:rPr>
              <w:t>Market-to-book</w:t>
            </w:r>
          </w:p>
        </w:tc>
        <w:tc>
          <w:tcPr>
            <w:tcW w:w="1590" w:type="pct"/>
            <w:tcBorders>
              <w:top w:val="nil"/>
              <w:left w:val="nil"/>
              <w:bottom w:val="nil"/>
              <w:right w:val="nil"/>
            </w:tcBorders>
            <w:shd w:val="clear" w:color="000000" w:fill="FFFFFF"/>
            <w:noWrap/>
            <w:vAlign w:val="bottom"/>
            <w:hideMark/>
          </w:tcPr>
          <w:p w14:paraId="51CDB128"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0.001</w:t>
            </w:r>
          </w:p>
        </w:tc>
        <w:tc>
          <w:tcPr>
            <w:tcW w:w="1177" w:type="pct"/>
            <w:tcBorders>
              <w:top w:val="nil"/>
              <w:left w:val="nil"/>
              <w:bottom w:val="nil"/>
              <w:right w:val="nil"/>
            </w:tcBorders>
            <w:shd w:val="clear" w:color="000000" w:fill="FFFFFF"/>
            <w:noWrap/>
            <w:vAlign w:val="bottom"/>
            <w:hideMark/>
          </w:tcPr>
          <w:p w14:paraId="5B1224C5"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0.021</w:t>
            </w:r>
          </w:p>
        </w:tc>
      </w:tr>
      <w:tr w:rsidR="00E57A11" w:rsidRPr="00F62082" w14:paraId="42FA3AC7" w14:textId="77777777" w:rsidTr="002753C1">
        <w:trPr>
          <w:trHeight w:val="57"/>
          <w:jc w:val="center"/>
        </w:trPr>
        <w:tc>
          <w:tcPr>
            <w:tcW w:w="2233" w:type="pct"/>
            <w:tcBorders>
              <w:top w:val="nil"/>
              <w:left w:val="nil"/>
              <w:bottom w:val="nil"/>
              <w:right w:val="nil"/>
            </w:tcBorders>
            <w:shd w:val="clear" w:color="000000" w:fill="FFFFFF"/>
            <w:noWrap/>
            <w:vAlign w:val="bottom"/>
            <w:hideMark/>
          </w:tcPr>
          <w:p w14:paraId="0758B858"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6B635B">
              <w:rPr>
                <w:rFonts w:ascii="Times New Roman" w:eastAsia="Times New Roman" w:hAnsi="Times New Roman" w:cs="Times New Roman"/>
                <w:i/>
                <w:iCs/>
                <w:color w:val="000000"/>
                <w:sz w:val="24"/>
                <w:szCs w:val="24"/>
                <w:lang w:val="en-US" w:eastAsia="en-GB"/>
              </w:rPr>
              <w:t> </w:t>
            </w:r>
          </w:p>
        </w:tc>
        <w:tc>
          <w:tcPr>
            <w:tcW w:w="1590" w:type="pct"/>
            <w:tcBorders>
              <w:top w:val="nil"/>
              <w:left w:val="nil"/>
              <w:bottom w:val="nil"/>
              <w:right w:val="nil"/>
            </w:tcBorders>
            <w:shd w:val="clear" w:color="000000" w:fill="FFFFFF"/>
            <w:noWrap/>
            <w:vAlign w:val="bottom"/>
            <w:hideMark/>
          </w:tcPr>
          <w:p w14:paraId="71A4ACD5"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(1.13)</w:t>
            </w:r>
          </w:p>
        </w:tc>
        <w:tc>
          <w:tcPr>
            <w:tcW w:w="1177" w:type="pct"/>
            <w:tcBorders>
              <w:top w:val="nil"/>
              <w:left w:val="nil"/>
              <w:bottom w:val="nil"/>
              <w:right w:val="nil"/>
            </w:tcBorders>
            <w:shd w:val="clear" w:color="000000" w:fill="FFFFFF"/>
            <w:noWrap/>
            <w:vAlign w:val="bottom"/>
            <w:hideMark/>
          </w:tcPr>
          <w:p w14:paraId="55874F4E"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(0.55)</w:t>
            </w:r>
          </w:p>
        </w:tc>
      </w:tr>
      <w:tr w:rsidR="00E57A11" w:rsidRPr="00F62082" w14:paraId="1D426FA1" w14:textId="77777777" w:rsidTr="002753C1">
        <w:trPr>
          <w:trHeight w:val="57"/>
          <w:jc w:val="center"/>
        </w:trPr>
        <w:tc>
          <w:tcPr>
            <w:tcW w:w="2233" w:type="pct"/>
            <w:tcBorders>
              <w:top w:val="nil"/>
              <w:left w:val="nil"/>
              <w:bottom w:val="nil"/>
              <w:right w:val="nil"/>
            </w:tcBorders>
            <w:shd w:val="clear" w:color="000000" w:fill="FFFFFF"/>
            <w:noWrap/>
            <w:hideMark/>
          </w:tcPr>
          <w:p w14:paraId="14ADBD29"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6B635B">
              <w:rPr>
                <w:rFonts w:ascii="Times New Roman" w:eastAsia="Times New Roman" w:hAnsi="Times New Roman" w:cs="Times New Roman"/>
                <w:i/>
                <w:iCs/>
                <w:color w:val="000000"/>
                <w:sz w:val="24"/>
                <w:szCs w:val="24"/>
                <w:lang w:val="en-US" w:eastAsia="en-GB"/>
              </w:rPr>
              <w:t>Tangibility</w:t>
            </w:r>
          </w:p>
        </w:tc>
        <w:tc>
          <w:tcPr>
            <w:tcW w:w="1590" w:type="pct"/>
            <w:tcBorders>
              <w:top w:val="nil"/>
              <w:left w:val="nil"/>
              <w:bottom w:val="nil"/>
              <w:right w:val="nil"/>
            </w:tcBorders>
            <w:shd w:val="clear" w:color="000000" w:fill="FFFFFF"/>
            <w:noWrap/>
            <w:vAlign w:val="bottom"/>
            <w:hideMark/>
          </w:tcPr>
          <w:p w14:paraId="683E91B4"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-0.048</w:t>
            </w:r>
          </w:p>
        </w:tc>
        <w:tc>
          <w:tcPr>
            <w:tcW w:w="1177" w:type="pct"/>
            <w:tcBorders>
              <w:top w:val="nil"/>
              <w:left w:val="nil"/>
              <w:bottom w:val="nil"/>
              <w:right w:val="nil"/>
            </w:tcBorders>
            <w:shd w:val="clear" w:color="000000" w:fill="FFFFFF"/>
            <w:noWrap/>
            <w:vAlign w:val="bottom"/>
            <w:hideMark/>
          </w:tcPr>
          <w:p w14:paraId="43688EFE"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0.082</w:t>
            </w:r>
          </w:p>
        </w:tc>
      </w:tr>
      <w:tr w:rsidR="00E57A11" w:rsidRPr="00F62082" w14:paraId="5D117C31" w14:textId="77777777" w:rsidTr="002753C1">
        <w:trPr>
          <w:trHeight w:val="57"/>
          <w:jc w:val="center"/>
        </w:trPr>
        <w:tc>
          <w:tcPr>
            <w:tcW w:w="2233" w:type="pct"/>
            <w:tcBorders>
              <w:top w:val="nil"/>
              <w:left w:val="nil"/>
              <w:bottom w:val="nil"/>
              <w:right w:val="nil"/>
            </w:tcBorders>
            <w:shd w:val="clear" w:color="000000" w:fill="FFFFFF"/>
            <w:noWrap/>
            <w:vAlign w:val="bottom"/>
            <w:hideMark/>
          </w:tcPr>
          <w:p w14:paraId="18C146A9"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6B635B">
              <w:rPr>
                <w:rFonts w:ascii="Times New Roman" w:eastAsia="Times New Roman" w:hAnsi="Times New Roman" w:cs="Times New Roman"/>
                <w:i/>
                <w:iCs/>
                <w:color w:val="000000"/>
                <w:sz w:val="24"/>
                <w:szCs w:val="24"/>
                <w:lang w:val="en-US" w:eastAsia="en-GB"/>
              </w:rPr>
              <w:t> </w:t>
            </w:r>
          </w:p>
        </w:tc>
        <w:tc>
          <w:tcPr>
            <w:tcW w:w="1590" w:type="pct"/>
            <w:tcBorders>
              <w:top w:val="nil"/>
              <w:left w:val="nil"/>
              <w:bottom w:val="nil"/>
              <w:right w:val="nil"/>
            </w:tcBorders>
            <w:shd w:val="clear" w:color="000000" w:fill="FFFFFF"/>
            <w:noWrap/>
            <w:vAlign w:val="bottom"/>
            <w:hideMark/>
          </w:tcPr>
          <w:p w14:paraId="49C08CB2"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(-0.85)</w:t>
            </w:r>
          </w:p>
        </w:tc>
        <w:tc>
          <w:tcPr>
            <w:tcW w:w="1177" w:type="pct"/>
            <w:tcBorders>
              <w:top w:val="nil"/>
              <w:left w:val="nil"/>
              <w:bottom w:val="nil"/>
              <w:right w:val="nil"/>
            </w:tcBorders>
            <w:shd w:val="clear" w:color="000000" w:fill="FFFFFF"/>
            <w:noWrap/>
            <w:vAlign w:val="bottom"/>
            <w:hideMark/>
          </w:tcPr>
          <w:p w14:paraId="7AE2778E"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(0.22)</w:t>
            </w:r>
          </w:p>
        </w:tc>
      </w:tr>
      <w:tr w:rsidR="00E57A11" w:rsidRPr="00F62082" w14:paraId="1181BA59" w14:textId="77777777" w:rsidTr="002753C1">
        <w:trPr>
          <w:trHeight w:val="57"/>
          <w:jc w:val="center"/>
        </w:trPr>
        <w:tc>
          <w:tcPr>
            <w:tcW w:w="2233" w:type="pct"/>
            <w:tcBorders>
              <w:top w:val="nil"/>
              <w:left w:val="nil"/>
              <w:bottom w:val="nil"/>
              <w:right w:val="nil"/>
            </w:tcBorders>
            <w:shd w:val="clear" w:color="000000" w:fill="FFFFFF"/>
            <w:noWrap/>
            <w:hideMark/>
          </w:tcPr>
          <w:p w14:paraId="02D65C84"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6B635B">
              <w:rPr>
                <w:rFonts w:ascii="Times New Roman" w:eastAsia="Times New Roman" w:hAnsi="Times New Roman" w:cs="Times New Roman"/>
                <w:i/>
                <w:iCs/>
                <w:color w:val="000000"/>
                <w:sz w:val="24"/>
                <w:szCs w:val="24"/>
                <w:lang w:val="en-US" w:eastAsia="en-GB"/>
              </w:rPr>
              <w:t>Capex</w:t>
            </w:r>
          </w:p>
        </w:tc>
        <w:tc>
          <w:tcPr>
            <w:tcW w:w="1590" w:type="pct"/>
            <w:tcBorders>
              <w:top w:val="nil"/>
              <w:left w:val="nil"/>
              <w:bottom w:val="nil"/>
              <w:right w:val="nil"/>
            </w:tcBorders>
            <w:shd w:val="clear" w:color="000000" w:fill="FFFFFF"/>
            <w:noWrap/>
            <w:vAlign w:val="bottom"/>
            <w:hideMark/>
          </w:tcPr>
          <w:p w14:paraId="74A7D8F7"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-0.099</w:t>
            </w:r>
          </w:p>
        </w:tc>
        <w:tc>
          <w:tcPr>
            <w:tcW w:w="1177" w:type="pct"/>
            <w:tcBorders>
              <w:top w:val="nil"/>
              <w:left w:val="nil"/>
              <w:bottom w:val="nil"/>
              <w:right w:val="nil"/>
            </w:tcBorders>
            <w:shd w:val="clear" w:color="000000" w:fill="FFFFFF"/>
            <w:noWrap/>
            <w:vAlign w:val="bottom"/>
            <w:hideMark/>
          </w:tcPr>
          <w:p w14:paraId="663B7198"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-1.345</w:t>
            </w:r>
          </w:p>
        </w:tc>
      </w:tr>
      <w:tr w:rsidR="00E57A11" w:rsidRPr="00F62082" w14:paraId="08A56A77" w14:textId="77777777" w:rsidTr="002753C1">
        <w:trPr>
          <w:trHeight w:val="57"/>
          <w:jc w:val="center"/>
        </w:trPr>
        <w:tc>
          <w:tcPr>
            <w:tcW w:w="2233" w:type="pct"/>
            <w:tcBorders>
              <w:top w:val="nil"/>
              <w:left w:val="nil"/>
              <w:bottom w:val="nil"/>
              <w:right w:val="nil"/>
            </w:tcBorders>
            <w:shd w:val="clear" w:color="000000" w:fill="FFFFFF"/>
            <w:noWrap/>
            <w:vAlign w:val="bottom"/>
            <w:hideMark/>
          </w:tcPr>
          <w:p w14:paraId="38D6B1EA" w14:textId="77777777" w:rsidR="00E57A11" w:rsidRPr="006B635B" w:rsidRDefault="00E57A11" w:rsidP="002753C1">
            <w:pPr>
              <w:spacing w:after="0" w:line="240" w:lineRule="auto"/>
              <w:rPr>
                <w:rFonts w:ascii="Calibri" w:eastAsia="Times New Roman" w:hAnsi="Calibri" w:cs="Calibri"/>
                <w:color w:val="000000"/>
                <w:sz w:val="24"/>
                <w:szCs w:val="24"/>
                <w:lang w:val="en-US" w:eastAsia="en-GB"/>
              </w:rPr>
            </w:pPr>
            <w:r w:rsidRPr="006B635B">
              <w:rPr>
                <w:rFonts w:ascii="Calibri" w:eastAsia="Times New Roman" w:hAnsi="Calibri" w:cs="Calibri"/>
                <w:color w:val="000000"/>
                <w:sz w:val="24"/>
                <w:szCs w:val="24"/>
                <w:lang w:val="en-US" w:eastAsia="en-GB"/>
              </w:rPr>
              <w:t> </w:t>
            </w:r>
          </w:p>
        </w:tc>
        <w:tc>
          <w:tcPr>
            <w:tcW w:w="1590" w:type="pct"/>
            <w:tcBorders>
              <w:top w:val="nil"/>
              <w:left w:val="nil"/>
              <w:bottom w:val="nil"/>
              <w:right w:val="nil"/>
            </w:tcBorders>
            <w:shd w:val="clear" w:color="000000" w:fill="FFFFFF"/>
            <w:noWrap/>
            <w:vAlign w:val="bottom"/>
            <w:hideMark/>
          </w:tcPr>
          <w:p w14:paraId="1F741FB9"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(-1.12)</w:t>
            </w:r>
          </w:p>
        </w:tc>
        <w:tc>
          <w:tcPr>
            <w:tcW w:w="1177" w:type="pct"/>
            <w:tcBorders>
              <w:top w:val="nil"/>
              <w:left w:val="nil"/>
              <w:bottom w:val="nil"/>
              <w:right w:val="nil"/>
            </w:tcBorders>
            <w:shd w:val="clear" w:color="000000" w:fill="FFFFFF"/>
            <w:noWrap/>
            <w:vAlign w:val="bottom"/>
            <w:hideMark/>
          </w:tcPr>
          <w:p w14:paraId="44F1BB26"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(-1.50)</w:t>
            </w:r>
          </w:p>
        </w:tc>
      </w:tr>
      <w:tr w:rsidR="00E57A11" w:rsidRPr="00F62082" w14:paraId="4B301AB4" w14:textId="77777777" w:rsidTr="002753C1">
        <w:trPr>
          <w:trHeight w:val="57"/>
          <w:jc w:val="center"/>
        </w:trPr>
        <w:tc>
          <w:tcPr>
            <w:tcW w:w="2233" w:type="pct"/>
            <w:tcBorders>
              <w:top w:val="nil"/>
              <w:left w:val="nil"/>
              <w:bottom w:val="nil"/>
              <w:right w:val="nil"/>
            </w:tcBorders>
            <w:shd w:val="clear" w:color="000000" w:fill="FFFFFF"/>
            <w:noWrap/>
            <w:hideMark/>
          </w:tcPr>
          <w:p w14:paraId="4CF1F98C"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6B635B">
              <w:rPr>
                <w:rFonts w:ascii="Times New Roman" w:eastAsia="Times New Roman" w:hAnsi="Times New Roman" w:cs="Times New Roman"/>
                <w:i/>
                <w:iCs/>
                <w:color w:val="000000"/>
                <w:sz w:val="24"/>
                <w:szCs w:val="24"/>
                <w:lang w:val="en-US" w:eastAsia="en-GB"/>
              </w:rPr>
              <w:t>RET</w:t>
            </w:r>
          </w:p>
        </w:tc>
        <w:tc>
          <w:tcPr>
            <w:tcW w:w="1590" w:type="pct"/>
            <w:tcBorders>
              <w:top w:val="nil"/>
              <w:left w:val="nil"/>
              <w:bottom w:val="nil"/>
              <w:right w:val="nil"/>
            </w:tcBorders>
            <w:shd w:val="clear" w:color="000000" w:fill="FFFFFF"/>
            <w:noWrap/>
            <w:vAlign w:val="bottom"/>
            <w:hideMark/>
          </w:tcPr>
          <w:p w14:paraId="79FF510A"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0.014**</w:t>
            </w:r>
          </w:p>
        </w:tc>
        <w:tc>
          <w:tcPr>
            <w:tcW w:w="1177" w:type="pct"/>
            <w:tcBorders>
              <w:top w:val="nil"/>
              <w:left w:val="nil"/>
              <w:bottom w:val="nil"/>
              <w:right w:val="nil"/>
            </w:tcBorders>
            <w:shd w:val="clear" w:color="000000" w:fill="FFFFFF"/>
            <w:noWrap/>
            <w:vAlign w:val="bottom"/>
            <w:hideMark/>
          </w:tcPr>
          <w:p w14:paraId="52D4DD06"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0.061</w:t>
            </w:r>
          </w:p>
        </w:tc>
      </w:tr>
      <w:tr w:rsidR="00E57A11" w:rsidRPr="00F62082" w14:paraId="0D9339DE" w14:textId="77777777" w:rsidTr="002753C1">
        <w:trPr>
          <w:trHeight w:val="57"/>
          <w:jc w:val="center"/>
        </w:trPr>
        <w:tc>
          <w:tcPr>
            <w:tcW w:w="2233" w:type="pct"/>
            <w:tcBorders>
              <w:top w:val="nil"/>
              <w:left w:val="nil"/>
              <w:bottom w:val="nil"/>
              <w:right w:val="nil"/>
            </w:tcBorders>
            <w:shd w:val="clear" w:color="000000" w:fill="FFFFFF"/>
            <w:noWrap/>
            <w:vAlign w:val="bottom"/>
            <w:hideMark/>
          </w:tcPr>
          <w:p w14:paraId="0F7D37F8"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6B635B">
              <w:rPr>
                <w:rFonts w:ascii="Times New Roman" w:eastAsia="Times New Roman" w:hAnsi="Times New Roman" w:cs="Times New Roman"/>
                <w:i/>
                <w:iCs/>
                <w:color w:val="000000"/>
                <w:sz w:val="24"/>
                <w:szCs w:val="24"/>
                <w:lang w:val="en-US" w:eastAsia="en-GB"/>
              </w:rPr>
              <w:t> </w:t>
            </w:r>
          </w:p>
        </w:tc>
        <w:tc>
          <w:tcPr>
            <w:tcW w:w="1590" w:type="pct"/>
            <w:tcBorders>
              <w:top w:val="nil"/>
              <w:left w:val="nil"/>
              <w:bottom w:val="nil"/>
              <w:right w:val="nil"/>
            </w:tcBorders>
            <w:shd w:val="clear" w:color="000000" w:fill="FFFFFF"/>
            <w:noWrap/>
            <w:vAlign w:val="bottom"/>
            <w:hideMark/>
          </w:tcPr>
          <w:p w14:paraId="51D8F0FF"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(2.22)</w:t>
            </w:r>
          </w:p>
        </w:tc>
        <w:tc>
          <w:tcPr>
            <w:tcW w:w="1177" w:type="pct"/>
            <w:tcBorders>
              <w:top w:val="nil"/>
              <w:left w:val="nil"/>
              <w:bottom w:val="nil"/>
              <w:right w:val="nil"/>
            </w:tcBorders>
            <w:shd w:val="clear" w:color="000000" w:fill="FFFFFF"/>
            <w:noWrap/>
            <w:vAlign w:val="bottom"/>
            <w:hideMark/>
          </w:tcPr>
          <w:p w14:paraId="0AA2408E"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(1.26)</w:t>
            </w:r>
          </w:p>
        </w:tc>
      </w:tr>
      <w:tr w:rsidR="00E57A11" w:rsidRPr="00F62082" w14:paraId="723D80DB" w14:textId="77777777" w:rsidTr="002753C1">
        <w:trPr>
          <w:trHeight w:val="57"/>
          <w:jc w:val="center"/>
        </w:trPr>
        <w:tc>
          <w:tcPr>
            <w:tcW w:w="2233" w:type="pct"/>
            <w:tcBorders>
              <w:top w:val="nil"/>
              <w:left w:val="nil"/>
              <w:bottom w:val="nil"/>
              <w:right w:val="nil"/>
            </w:tcBorders>
            <w:shd w:val="clear" w:color="000000" w:fill="FFFFFF"/>
            <w:noWrap/>
            <w:vAlign w:val="bottom"/>
            <w:hideMark/>
          </w:tcPr>
          <w:p w14:paraId="641FA88D"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proofErr w:type="spellStart"/>
            <w:r w:rsidRPr="006B635B">
              <w:rPr>
                <w:rFonts w:ascii="Times New Roman" w:eastAsia="Times New Roman" w:hAnsi="Times New Roman" w:cs="Times New Roman"/>
                <w:i/>
                <w:iCs/>
                <w:color w:val="000000"/>
                <w:sz w:val="24"/>
                <w:szCs w:val="24"/>
                <w:lang w:val="en-US" w:eastAsia="en-GB"/>
              </w:rPr>
              <w:t>CEOage</w:t>
            </w:r>
            <w:proofErr w:type="spellEnd"/>
          </w:p>
        </w:tc>
        <w:tc>
          <w:tcPr>
            <w:tcW w:w="1590" w:type="pct"/>
            <w:tcBorders>
              <w:top w:val="nil"/>
              <w:left w:val="nil"/>
              <w:bottom w:val="nil"/>
              <w:right w:val="nil"/>
            </w:tcBorders>
            <w:shd w:val="clear" w:color="000000" w:fill="FFFFFF"/>
            <w:noWrap/>
            <w:vAlign w:val="bottom"/>
            <w:hideMark/>
          </w:tcPr>
          <w:p w14:paraId="2D921E30"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0.000</w:t>
            </w:r>
          </w:p>
        </w:tc>
        <w:tc>
          <w:tcPr>
            <w:tcW w:w="1177" w:type="pct"/>
            <w:tcBorders>
              <w:top w:val="nil"/>
              <w:left w:val="nil"/>
              <w:bottom w:val="nil"/>
              <w:right w:val="nil"/>
            </w:tcBorders>
            <w:shd w:val="clear" w:color="000000" w:fill="FFFFFF"/>
            <w:noWrap/>
            <w:vAlign w:val="bottom"/>
            <w:hideMark/>
          </w:tcPr>
          <w:p w14:paraId="599CDFAB"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0.007</w:t>
            </w:r>
          </w:p>
        </w:tc>
      </w:tr>
      <w:tr w:rsidR="00E57A11" w:rsidRPr="00F62082" w14:paraId="00C6E082" w14:textId="77777777" w:rsidTr="002753C1">
        <w:trPr>
          <w:trHeight w:val="57"/>
          <w:jc w:val="center"/>
        </w:trPr>
        <w:tc>
          <w:tcPr>
            <w:tcW w:w="2233" w:type="pct"/>
            <w:tcBorders>
              <w:top w:val="nil"/>
              <w:left w:val="nil"/>
              <w:bottom w:val="nil"/>
              <w:right w:val="nil"/>
            </w:tcBorders>
            <w:shd w:val="clear" w:color="000000" w:fill="FFFFFF"/>
            <w:noWrap/>
            <w:vAlign w:val="bottom"/>
            <w:hideMark/>
          </w:tcPr>
          <w:p w14:paraId="3C853451"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6B635B">
              <w:rPr>
                <w:rFonts w:ascii="Times New Roman" w:eastAsia="Times New Roman" w:hAnsi="Times New Roman" w:cs="Times New Roman"/>
                <w:i/>
                <w:iCs/>
                <w:color w:val="000000"/>
                <w:sz w:val="24"/>
                <w:szCs w:val="24"/>
                <w:lang w:val="en-US" w:eastAsia="en-GB"/>
              </w:rPr>
              <w:t> </w:t>
            </w:r>
          </w:p>
        </w:tc>
        <w:tc>
          <w:tcPr>
            <w:tcW w:w="1590" w:type="pct"/>
            <w:tcBorders>
              <w:top w:val="nil"/>
              <w:left w:val="nil"/>
              <w:bottom w:val="nil"/>
              <w:right w:val="nil"/>
            </w:tcBorders>
            <w:shd w:val="clear" w:color="000000" w:fill="FFFFFF"/>
            <w:noWrap/>
            <w:vAlign w:val="bottom"/>
            <w:hideMark/>
          </w:tcPr>
          <w:p w14:paraId="5D34CA7C"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(0.46)</w:t>
            </w:r>
          </w:p>
        </w:tc>
        <w:tc>
          <w:tcPr>
            <w:tcW w:w="1177" w:type="pct"/>
            <w:tcBorders>
              <w:top w:val="nil"/>
              <w:left w:val="nil"/>
              <w:bottom w:val="nil"/>
              <w:right w:val="nil"/>
            </w:tcBorders>
            <w:shd w:val="clear" w:color="000000" w:fill="FFFFFF"/>
            <w:noWrap/>
            <w:vAlign w:val="bottom"/>
            <w:hideMark/>
          </w:tcPr>
          <w:p w14:paraId="4D48E6B1"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(1.27)</w:t>
            </w:r>
          </w:p>
        </w:tc>
      </w:tr>
      <w:tr w:rsidR="00E57A11" w:rsidRPr="00F62082" w14:paraId="4E6BE525" w14:textId="77777777" w:rsidTr="002753C1">
        <w:trPr>
          <w:trHeight w:val="57"/>
          <w:jc w:val="center"/>
        </w:trPr>
        <w:tc>
          <w:tcPr>
            <w:tcW w:w="2233" w:type="pct"/>
            <w:tcBorders>
              <w:top w:val="nil"/>
              <w:left w:val="nil"/>
              <w:bottom w:val="nil"/>
              <w:right w:val="nil"/>
            </w:tcBorders>
            <w:shd w:val="clear" w:color="000000" w:fill="FFFFFF"/>
            <w:noWrap/>
            <w:vAlign w:val="bottom"/>
            <w:hideMark/>
          </w:tcPr>
          <w:p w14:paraId="689F8449"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proofErr w:type="spellStart"/>
            <w:r w:rsidRPr="006B635B">
              <w:rPr>
                <w:rFonts w:ascii="Times New Roman" w:eastAsia="Times New Roman" w:hAnsi="Times New Roman" w:cs="Times New Roman"/>
                <w:i/>
                <w:iCs/>
                <w:color w:val="000000"/>
                <w:sz w:val="24"/>
                <w:szCs w:val="24"/>
                <w:lang w:val="en-US" w:eastAsia="en-GB"/>
              </w:rPr>
              <w:t>CEOtenure</w:t>
            </w:r>
            <w:proofErr w:type="spellEnd"/>
          </w:p>
        </w:tc>
        <w:tc>
          <w:tcPr>
            <w:tcW w:w="1590" w:type="pct"/>
            <w:tcBorders>
              <w:top w:val="nil"/>
              <w:left w:val="nil"/>
              <w:bottom w:val="nil"/>
              <w:right w:val="nil"/>
            </w:tcBorders>
            <w:shd w:val="clear" w:color="000000" w:fill="FFFFFF"/>
            <w:noWrap/>
            <w:vAlign w:val="bottom"/>
            <w:hideMark/>
          </w:tcPr>
          <w:p w14:paraId="4AA2D30A"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0.000</w:t>
            </w:r>
          </w:p>
        </w:tc>
        <w:tc>
          <w:tcPr>
            <w:tcW w:w="1177" w:type="pct"/>
            <w:tcBorders>
              <w:top w:val="nil"/>
              <w:left w:val="nil"/>
              <w:bottom w:val="nil"/>
              <w:right w:val="nil"/>
            </w:tcBorders>
            <w:shd w:val="clear" w:color="000000" w:fill="FFFFFF"/>
            <w:noWrap/>
            <w:vAlign w:val="bottom"/>
            <w:hideMark/>
          </w:tcPr>
          <w:p w14:paraId="638708DD"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-0.002</w:t>
            </w:r>
          </w:p>
        </w:tc>
      </w:tr>
      <w:tr w:rsidR="00E57A11" w:rsidRPr="00F62082" w14:paraId="5DAB868B" w14:textId="77777777" w:rsidTr="002753C1">
        <w:trPr>
          <w:trHeight w:val="57"/>
          <w:jc w:val="center"/>
        </w:trPr>
        <w:tc>
          <w:tcPr>
            <w:tcW w:w="2233" w:type="pct"/>
            <w:tcBorders>
              <w:top w:val="nil"/>
              <w:left w:val="nil"/>
              <w:bottom w:val="nil"/>
              <w:right w:val="nil"/>
            </w:tcBorders>
            <w:shd w:val="clear" w:color="000000" w:fill="FFFFFF"/>
            <w:noWrap/>
            <w:vAlign w:val="bottom"/>
            <w:hideMark/>
          </w:tcPr>
          <w:p w14:paraId="1C4294A2" w14:textId="77777777" w:rsidR="00E57A11" w:rsidRPr="006B635B" w:rsidRDefault="00E57A11" w:rsidP="002753C1">
            <w:pPr>
              <w:spacing w:after="0" w:line="240" w:lineRule="auto"/>
              <w:rPr>
                <w:rFonts w:ascii="Calibri" w:eastAsia="Times New Roman" w:hAnsi="Calibri" w:cs="Calibri"/>
                <w:color w:val="000000"/>
                <w:sz w:val="24"/>
                <w:szCs w:val="24"/>
                <w:lang w:val="en-US" w:eastAsia="en-GB"/>
              </w:rPr>
            </w:pPr>
            <w:r w:rsidRPr="006B635B">
              <w:rPr>
                <w:rFonts w:ascii="Calibri" w:eastAsia="Times New Roman" w:hAnsi="Calibri" w:cs="Calibri"/>
                <w:color w:val="000000"/>
                <w:sz w:val="24"/>
                <w:szCs w:val="24"/>
                <w:lang w:val="en-US" w:eastAsia="en-GB"/>
              </w:rPr>
              <w:t> </w:t>
            </w:r>
          </w:p>
        </w:tc>
        <w:tc>
          <w:tcPr>
            <w:tcW w:w="1590" w:type="pct"/>
            <w:tcBorders>
              <w:top w:val="nil"/>
              <w:left w:val="nil"/>
              <w:bottom w:val="nil"/>
              <w:right w:val="nil"/>
            </w:tcBorders>
            <w:shd w:val="clear" w:color="000000" w:fill="FFFFFF"/>
            <w:noWrap/>
            <w:vAlign w:val="bottom"/>
            <w:hideMark/>
          </w:tcPr>
          <w:p w14:paraId="414CDCAC"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(0.10)</w:t>
            </w:r>
          </w:p>
        </w:tc>
        <w:tc>
          <w:tcPr>
            <w:tcW w:w="1177" w:type="pct"/>
            <w:tcBorders>
              <w:top w:val="nil"/>
              <w:left w:val="nil"/>
              <w:bottom w:val="nil"/>
              <w:right w:val="nil"/>
            </w:tcBorders>
            <w:shd w:val="clear" w:color="000000" w:fill="FFFFFF"/>
            <w:noWrap/>
            <w:vAlign w:val="bottom"/>
            <w:hideMark/>
          </w:tcPr>
          <w:p w14:paraId="3CBA99D0"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(-0.33)</w:t>
            </w:r>
          </w:p>
        </w:tc>
      </w:tr>
      <w:tr w:rsidR="00E57A11" w:rsidRPr="00F62082" w14:paraId="706DDD00" w14:textId="77777777" w:rsidTr="002753C1">
        <w:trPr>
          <w:trHeight w:val="57"/>
          <w:jc w:val="center"/>
        </w:trPr>
        <w:tc>
          <w:tcPr>
            <w:tcW w:w="2233" w:type="pct"/>
            <w:tcBorders>
              <w:top w:val="nil"/>
              <w:left w:val="nil"/>
              <w:bottom w:val="nil"/>
              <w:right w:val="nil"/>
            </w:tcBorders>
            <w:shd w:val="clear" w:color="000000" w:fill="FFFFFF"/>
            <w:noWrap/>
            <w:vAlign w:val="bottom"/>
            <w:hideMark/>
          </w:tcPr>
          <w:p w14:paraId="1855755D"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6B635B">
              <w:rPr>
                <w:rFonts w:ascii="Times New Roman" w:eastAsia="Times New Roman" w:hAnsi="Times New Roman" w:cs="Times New Roman"/>
                <w:i/>
                <w:iCs/>
                <w:color w:val="000000"/>
                <w:sz w:val="24"/>
                <w:szCs w:val="24"/>
                <w:lang w:val="en-US" w:eastAsia="en-GB"/>
              </w:rPr>
              <w:t>Constant</w:t>
            </w:r>
          </w:p>
        </w:tc>
        <w:tc>
          <w:tcPr>
            <w:tcW w:w="1590" w:type="pct"/>
            <w:tcBorders>
              <w:top w:val="nil"/>
              <w:left w:val="nil"/>
              <w:bottom w:val="nil"/>
              <w:right w:val="nil"/>
            </w:tcBorders>
            <w:shd w:val="clear" w:color="000000" w:fill="FFFFFF"/>
            <w:noWrap/>
            <w:vAlign w:val="bottom"/>
            <w:hideMark/>
          </w:tcPr>
          <w:p w14:paraId="218435B9"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-0.016</w:t>
            </w:r>
          </w:p>
        </w:tc>
        <w:tc>
          <w:tcPr>
            <w:tcW w:w="1177" w:type="pct"/>
            <w:tcBorders>
              <w:top w:val="nil"/>
              <w:left w:val="nil"/>
              <w:bottom w:val="nil"/>
              <w:right w:val="nil"/>
            </w:tcBorders>
            <w:shd w:val="clear" w:color="000000" w:fill="FFFFFF"/>
            <w:noWrap/>
            <w:vAlign w:val="bottom"/>
            <w:hideMark/>
          </w:tcPr>
          <w:p w14:paraId="680DB1E0"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-3.434***</w:t>
            </w:r>
          </w:p>
        </w:tc>
      </w:tr>
      <w:tr w:rsidR="00E57A11" w:rsidRPr="00F62082" w14:paraId="7E2950AA" w14:textId="77777777" w:rsidTr="002753C1">
        <w:trPr>
          <w:trHeight w:val="57"/>
          <w:jc w:val="center"/>
        </w:trPr>
        <w:tc>
          <w:tcPr>
            <w:tcW w:w="2233" w:type="pct"/>
            <w:tcBorders>
              <w:top w:val="nil"/>
              <w:left w:val="nil"/>
              <w:bottom w:val="nil"/>
              <w:right w:val="nil"/>
            </w:tcBorders>
            <w:shd w:val="clear" w:color="000000" w:fill="FFFFFF"/>
            <w:noWrap/>
            <w:vAlign w:val="bottom"/>
            <w:hideMark/>
          </w:tcPr>
          <w:p w14:paraId="41C44827" w14:textId="77777777" w:rsidR="00E57A11" w:rsidRPr="006B635B" w:rsidRDefault="00E57A11" w:rsidP="002753C1">
            <w:pPr>
              <w:spacing w:after="0" w:line="240" w:lineRule="auto"/>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 </w:t>
            </w:r>
          </w:p>
        </w:tc>
        <w:tc>
          <w:tcPr>
            <w:tcW w:w="1590" w:type="pct"/>
            <w:tcBorders>
              <w:top w:val="nil"/>
              <w:left w:val="nil"/>
              <w:bottom w:val="nil"/>
              <w:right w:val="nil"/>
            </w:tcBorders>
            <w:shd w:val="clear" w:color="000000" w:fill="FFFFFF"/>
            <w:noWrap/>
            <w:vAlign w:val="bottom"/>
            <w:hideMark/>
          </w:tcPr>
          <w:p w14:paraId="2210E373"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(-0.21)</w:t>
            </w:r>
          </w:p>
        </w:tc>
        <w:tc>
          <w:tcPr>
            <w:tcW w:w="1177" w:type="pct"/>
            <w:tcBorders>
              <w:top w:val="nil"/>
              <w:left w:val="nil"/>
              <w:bottom w:val="nil"/>
              <w:right w:val="nil"/>
            </w:tcBorders>
            <w:shd w:val="clear" w:color="000000" w:fill="FFFFFF"/>
            <w:noWrap/>
            <w:vAlign w:val="bottom"/>
            <w:hideMark/>
          </w:tcPr>
          <w:p w14:paraId="7CF2801A"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(-5.27)</w:t>
            </w:r>
          </w:p>
        </w:tc>
      </w:tr>
      <w:tr w:rsidR="00E57A11" w:rsidRPr="00F62082" w14:paraId="116D4026" w14:textId="77777777" w:rsidTr="002753C1">
        <w:trPr>
          <w:trHeight w:val="57"/>
          <w:jc w:val="center"/>
        </w:trPr>
        <w:tc>
          <w:tcPr>
            <w:tcW w:w="2233" w:type="pct"/>
            <w:tcBorders>
              <w:top w:val="nil"/>
              <w:left w:val="nil"/>
              <w:bottom w:val="nil"/>
              <w:right w:val="nil"/>
            </w:tcBorders>
            <w:shd w:val="clear" w:color="000000" w:fill="FFFFFF"/>
            <w:noWrap/>
            <w:vAlign w:val="bottom"/>
            <w:hideMark/>
          </w:tcPr>
          <w:p w14:paraId="12088744" w14:textId="77777777" w:rsidR="00E57A11" w:rsidRPr="006B635B" w:rsidRDefault="00E57A11" w:rsidP="002753C1">
            <w:pPr>
              <w:spacing w:after="0" w:line="240" w:lineRule="auto"/>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R-squared</w:t>
            </w:r>
          </w:p>
        </w:tc>
        <w:tc>
          <w:tcPr>
            <w:tcW w:w="1590" w:type="pct"/>
            <w:tcBorders>
              <w:top w:val="nil"/>
              <w:left w:val="nil"/>
              <w:bottom w:val="nil"/>
              <w:right w:val="nil"/>
            </w:tcBorders>
            <w:shd w:val="clear" w:color="000000" w:fill="FFFFFF"/>
            <w:noWrap/>
            <w:vAlign w:val="bottom"/>
            <w:hideMark/>
          </w:tcPr>
          <w:p w14:paraId="6C39F8C4"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0.651</w:t>
            </w:r>
          </w:p>
        </w:tc>
        <w:tc>
          <w:tcPr>
            <w:tcW w:w="1177" w:type="pct"/>
            <w:tcBorders>
              <w:top w:val="nil"/>
              <w:left w:val="nil"/>
              <w:bottom w:val="nil"/>
              <w:right w:val="nil"/>
            </w:tcBorders>
            <w:shd w:val="clear" w:color="000000" w:fill="FFFFFF"/>
            <w:noWrap/>
            <w:vAlign w:val="bottom"/>
            <w:hideMark/>
          </w:tcPr>
          <w:p w14:paraId="070978D5"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p>
        </w:tc>
      </w:tr>
      <w:tr w:rsidR="00E57A11" w:rsidRPr="00F62082" w14:paraId="5258863F" w14:textId="77777777" w:rsidTr="002753C1">
        <w:trPr>
          <w:trHeight w:val="57"/>
          <w:jc w:val="center"/>
        </w:trPr>
        <w:tc>
          <w:tcPr>
            <w:tcW w:w="2233" w:type="pct"/>
            <w:tcBorders>
              <w:top w:val="nil"/>
              <w:left w:val="nil"/>
              <w:bottom w:val="nil"/>
              <w:right w:val="nil"/>
            </w:tcBorders>
            <w:shd w:val="clear" w:color="000000" w:fill="FFFFFF"/>
            <w:noWrap/>
            <w:vAlign w:val="bottom"/>
            <w:hideMark/>
          </w:tcPr>
          <w:p w14:paraId="2742B132" w14:textId="77777777" w:rsidR="00E57A11" w:rsidRPr="006B635B"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6B635B">
              <w:rPr>
                <w:rFonts w:ascii="Times New Roman" w:eastAsia="Times New Roman" w:hAnsi="Times New Roman" w:cs="Times New Roman"/>
                <w:i/>
                <w:iCs/>
                <w:color w:val="000000"/>
                <w:sz w:val="24"/>
                <w:szCs w:val="24"/>
                <w:lang w:val="en-US" w:eastAsia="en-GB"/>
              </w:rPr>
              <w:lastRenderedPageBreak/>
              <w:t>Log-likelihood</w:t>
            </w:r>
          </w:p>
        </w:tc>
        <w:tc>
          <w:tcPr>
            <w:tcW w:w="1590" w:type="pct"/>
            <w:tcBorders>
              <w:top w:val="nil"/>
              <w:left w:val="nil"/>
              <w:bottom w:val="nil"/>
              <w:right w:val="nil"/>
            </w:tcBorders>
            <w:shd w:val="clear" w:color="000000" w:fill="FFFFFF"/>
            <w:noWrap/>
            <w:vAlign w:val="bottom"/>
            <w:hideMark/>
          </w:tcPr>
          <w:p w14:paraId="44949844"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p>
        </w:tc>
        <w:tc>
          <w:tcPr>
            <w:tcW w:w="1177" w:type="pct"/>
            <w:tcBorders>
              <w:top w:val="nil"/>
              <w:left w:val="nil"/>
              <w:bottom w:val="nil"/>
              <w:right w:val="nil"/>
            </w:tcBorders>
            <w:shd w:val="clear" w:color="000000" w:fill="FFFFFF"/>
            <w:noWrap/>
            <w:vAlign w:val="bottom"/>
            <w:hideMark/>
          </w:tcPr>
          <w:p w14:paraId="13A23F06"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-7,562.323</w:t>
            </w:r>
          </w:p>
        </w:tc>
      </w:tr>
      <w:tr w:rsidR="00E57A11" w:rsidRPr="00F62082" w14:paraId="6E255B15" w14:textId="77777777" w:rsidTr="002753C1">
        <w:trPr>
          <w:trHeight w:val="57"/>
          <w:jc w:val="center"/>
        </w:trPr>
        <w:tc>
          <w:tcPr>
            <w:tcW w:w="2233" w:type="pct"/>
            <w:tcBorders>
              <w:top w:val="nil"/>
              <w:left w:val="nil"/>
              <w:bottom w:val="nil"/>
              <w:right w:val="nil"/>
            </w:tcBorders>
            <w:shd w:val="clear" w:color="000000" w:fill="FFFFFF"/>
            <w:noWrap/>
            <w:vAlign w:val="bottom"/>
            <w:hideMark/>
          </w:tcPr>
          <w:p w14:paraId="2922FA27" w14:textId="77777777" w:rsidR="00E57A11" w:rsidRPr="006B635B" w:rsidRDefault="00E57A11" w:rsidP="002753C1">
            <w:pPr>
              <w:spacing w:after="0" w:line="240" w:lineRule="auto"/>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Observations</w:t>
            </w:r>
          </w:p>
        </w:tc>
        <w:tc>
          <w:tcPr>
            <w:tcW w:w="1590" w:type="pct"/>
            <w:tcBorders>
              <w:top w:val="nil"/>
              <w:left w:val="nil"/>
              <w:bottom w:val="nil"/>
              <w:right w:val="nil"/>
            </w:tcBorders>
            <w:shd w:val="clear" w:color="000000" w:fill="FFFFFF"/>
            <w:noWrap/>
            <w:vAlign w:val="bottom"/>
            <w:hideMark/>
          </w:tcPr>
          <w:p w14:paraId="3DE366C9"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17,831</w:t>
            </w:r>
          </w:p>
        </w:tc>
        <w:tc>
          <w:tcPr>
            <w:tcW w:w="1177" w:type="pct"/>
            <w:tcBorders>
              <w:top w:val="nil"/>
              <w:left w:val="nil"/>
              <w:bottom w:val="nil"/>
              <w:right w:val="nil"/>
            </w:tcBorders>
            <w:shd w:val="clear" w:color="000000" w:fill="FFFFFF"/>
            <w:noWrap/>
            <w:vAlign w:val="bottom"/>
            <w:hideMark/>
          </w:tcPr>
          <w:p w14:paraId="57EB04D6"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17,831</w:t>
            </w:r>
          </w:p>
        </w:tc>
      </w:tr>
      <w:tr w:rsidR="00E57A11" w:rsidRPr="00F62082" w14:paraId="1A46A3FD" w14:textId="77777777" w:rsidTr="002753C1">
        <w:trPr>
          <w:trHeight w:val="57"/>
          <w:jc w:val="center"/>
        </w:trPr>
        <w:tc>
          <w:tcPr>
            <w:tcW w:w="2233" w:type="pct"/>
            <w:tcBorders>
              <w:top w:val="nil"/>
              <w:left w:val="nil"/>
              <w:bottom w:val="nil"/>
              <w:right w:val="nil"/>
            </w:tcBorders>
            <w:shd w:val="clear" w:color="000000" w:fill="FFFFFF"/>
            <w:noWrap/>
            <w:vAlign w:val="bottom"/>
            <w:hideMark/>
          </w:tcPr>
          <w:p w14:paraId="2A243090" w14:textId="77777777" w:rsidR="00E57A11" w:rsidRPr="006B635B" w:rsidRDefault="00E57A11" w:rsidP="002753C1">
            <w:pPr>
              <w:spacing w:after="0" w:line="240" w:lineRule="auto"/>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Firm fixed effects</w:t>
            </w:r>
          </w:p>
        </w:tc>
        <w:tc>
          <w:tcPr>
            <w:tcW w:w="1590" w:type="pct"/>
            <w:tcBorders>
              <w:top w:val="nil"/>
              <w:left w:val="nil"/>
              <w:bottom w:val="nil"/>
              <w:right w:val="nil"/>
            </w:tcBorders>
            <w:shd w:val="clear" w:color="000000" w:fill="FFFFFF"/>
            <w:noWrap/>
            <w:vAlign w:val="bottom"/>
            <w:hideMark/>
          </w:tcPr>
          <w:p w14:paraId="4967C892"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Yes</w:t>
            </w:r>
          </w:p>
        </w:tc>
        <w:tc>
          <w:tcPr>
            <w:tcW w:w="1177" w:type="pct"/>
            <w:tcBorders>
              <w:top w:val="nil"/>
              <w:left w:val="nil"/>
              <w:bottom w:val="nil"/>
              <w:right w:val="nil"/>
            </w:tcBorders>
            <w:shd w:val="clear" w:color="000000" w:fill="FFFFFF"/>
            <w:noWrap/>
            <w:vAlign w:val="bottom"/>
            <w:hideMark/>
          </w:tcPr>
          <w:p w14:paraId="2D867516"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Yes</w:t>
            </w:r>
          </w:p>
        </w:tc>
      </w:tr>
      <w:tr w:rsidR="00E57A11" w:rsidRPr="00F62082" w14:paraId="42623D92" w14:textId="77777777" w:rsidTr="002753C1">
        <w:trPr>
          <w:trHeight w:val="57"/>
          <w:jc w:val="center"/>
        </w:trPr>
        <w:tc>
          <w:tcPr>
            <w:tcW w:w="2233" w:type="pct"/>
            <w:tcBorders>
              <w:top w:val="nil"/>
              <w:left w:val="nil"/>
              <w:bottom w:val="nil"/>
              <w:right w:val="nil"/>
            </w:tcBorders>
            <w:shd w:val="clear" w:color="000000" w:fill="FFFFFF"/>
            <w:noWrap/>
            <w:vAlign w:val="bottom"/>
            <w:hideMark/>
          </w:tcPr>
          <w:p w14:paraId="230DCFF8" w14:textId="77777777" w:rsidR="00E57A11" w:rsidRPr="006B635B" w:rsidRDefault="00E57A11" w:rsidP="002753C1">
            <w:pPr>
              <w:spacing w:after="0" w:line="240" w:lineRule="auto"/>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Year fixed effects</w:t>
            </w:r>
          </w:p>
        </w:tc>
        <w:tc>
          <w:tcPr>
            <w:tcW w:w="1590" w:type="pct"/>
            <w:tcBorders>
              <w:top w:val="nil"/>
              <w:left w:val="nil"/>
              <w:bottom w:val="nil"/>
              <w:right w:val="nil"/>
            </w:tcBorders>
            <w:shd w:val="clear" w:color="000000" w:fill="FFFFFF"/>
            <w:noWrap/>
            <w:vAlign w:val="bottom"/>
            <w:hideMark/>
          </w:tcPr>
          <w:p w14:paraId="63F01344"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Yes</w:t>
            </w:r>
          </w:p>
        </w:tc>
        <w:tc>
          <w:tcPr>
            <w:tcW w:w="1177" w:type="pct"/>
            <w:tcBorders>
              <w:top w:val="nil"/>
              <w:left w:val="nil"/>
              <w:bottom w:val="nil"/>
              <w:right w:val="nil"/>
            </w:tcBorders>
            <w:shd w:val="clear" w:color="000000" w:fill="FFFFFF"/>
            <w:noWrap/>
            <w:vAlign w:val="bottom"/>
            <w:hideMark/>
          </w:tcPr>
          <w:p w14:paraId="0C1FFE0F"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Yes</w:t>
            </w:r>
          </w:p>
        </w:tc>
      </w:tr>
      <w:tr w:rsidR="00E57A11" w:rsidRPr="00F62082" w14:paraId="3E804C10" w14:textId="77777777" w:rsidTr="002753C1">
        <w:trPr>
          <w:trHeight w:val="57"/>
          <w:jc w:val="center"/>
        </w:trPr>
        <w:tc>
          <w:tcPr>
            <w:tcW w:w="2233" w:type="pct"/>
            <w:tcBorders>
              <w:top w:val="nil"/>
              <w:left w:val="nil"/>
              <w:bottom w:val="single" w:sz="4" w:space="0" w:color="auto"/>
              <w:right w:val="nil"/>
            </w:tcBorders>
            <w:shd w:val="clear" w:color="000000" w:fill="FFFFFF"/>
            <w:noWrap/>
            <w:vAlign w:val="bottom"/>
            <w:hideMark/>
          </w:tcPr>
          <w:p w14:paraId="4DE0E5C0" w14:textId="77777777" w:rsidR="00E57A11" w:rsidRPr="006B635B" w:rsidRDefault="00E57A11" w:rsidP="002753C1">
            <w:pPr>
              <w:spacing w:after="0" w:line="240" w:lineRule="auto"/>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Model</w:t>
            </w:r>
          </w:p>
        </w:tc>
        <w:tc>
          <w:tcPr>
            <w:tcW w:w="1590" w:type="pct"/>
            <w:tcBorders>
              <w:top w:val="nil"/>
              <w:left w:val="nil"/>
              <w:bottom w:val="single" w:sz="4" w:space="0" w:color="auto"/>
              <w:right w:val="nil"/>
            </w:tcBorders>
            <w:shd w:val="clear" w:color="000000" w:fill="FFFFFF"/>
            <w:noWrap/>
            <w:vAlign w:val="bottom"/>
            <w:hideMark/>
          </w:tcPr>
          <w:p w14:paraId="47DADD2D"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OLS</w:t>
            </w:r>
          </w:p>
        </w:tc>
        <w:tc>
          <w:tcPr>
            <w:tcW w:w="1177" w:type="pct"/>
            <w:tcBorders>
              <w:top w:val="nil"/>
              <w:left w:val="nil"/>
              <w:bottom w:val="single" w:sz="4" w:space="0" w:color="auto"/>
              <w:right w:val="nil"/>
            </w:tcBorders>
            <w:shd w:val="clear" w:color="000000" w:fill="FFFFFF"/>
            <w:noWrap/>
            <w:vAlign w:val="bottom"/>
            <w:hideMark/>
          </w:tcPr>
          <w:p w14:paraId="3263ECCD" w14:textId="77777777" w:rsidR="00E57A11" w:rsidRPr="006B635B"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6B635B">
              <w:rPr>
                <w:rFonts w:ascii="Times New Roman" w:eastAsia="Times New Roman" w:hAnsi="Times New Roman" w:cs="Times New Roman"/>
                <w:color w:val="000000"/>
                <w:sz w:val="24"/>
                <w:szCs w:val="24"/>
                <w:lang w:val="en-US" w:eastAsia="en-GB"/>
              </w:rPr>
              <w:t>Poisson</w:t>
            </w:r>
          </w:p>
        </w:tc>
      </w:tr>
    </w:tbl>
    <w:p w14:paraId="5AF2E89D" w14:textId="77777777" w:rsidR="00E57A11" w:rsidRPr="00DA1D07" w:rsidRDefault="00E57A11" w:rsidP="00E57A11">
      <w:pPr>
        <w:rPr>
          <w:lang w:val="en-US"/>
        </w:rPr>
      </w:pPr>
    </w:p>
    <w:p w14:paraId="33D2B0F8" w14:textId="77777777" w:rsidR="00E57A11" w:rsidRPr="00DA1D07" w:rsidRDefault="00E57A11" w:rsidP="00E57A11">
      <w:pPr>
        <w:rPr>
          <w:lang w:val="en-US"/>
        </w:rPr>
      </w:pPr>
    </w:p>
    <w:p w14:paraId="34DBDD15" w14:textId="77777777" w:rsidR="00E57A11" w:rsidRPr="00DA1D07" w:rsidRDefault="00E57A11" w:rsidP="00E57A11">
      <w:pPr>
        <w:rPr>
          <w:lang w:val="en-US"/>
        </w:rPr>
        <w:sectPr w:rsidR="00E57A11" w:rsidRPr="00DA1D07" w:rsidSect="00B437C7">
          <w:pgSz w:w="11906" w:h="16838"/>
          <w:pgMar w:top="1440" w:right="1440" w:bottom="1440" w:left="1440" w:header="709" w:footer="709" w:gutter="0"/>
          <w:cols w:space="708"/>
          <w:docGrid w:linePitch="360"/>
        </w:sectPr>
      </w:pPr>
    </w:p>
    <w:tbl>
      <w:tblPr>
        <w:tblW w:w="5000" w:type="pct"/>
        <w:jc w:val="center"/>
        <w:tblLook w:val="04A0" w:firstRow="1" w:lastRow="0" w:firstColumn="1" w:lastColumn="0" w:noHBand="0" w:noVBand="1"/>
      </w:tblPr>
      <w:tblGrid>
        <w:gridCol w:w="3591"/>
        <w:gridCol w:w="2480"/>
        <w:gridCol w:w="2955"/>
      </w:tblGrid>
      <w:tr w:rsidR="00E57A11" w:rsidRPr="00F62082" w14:paraId="091D296E" w14:textId="77777777" w:rsidTr="002753C1">
        <w:trPr>
          <w:trHeight w:val="57"/>
          <w:jc w:val="center"/>
        </w:trPr>
        <w:tc>
          <w:tcPr>
            <w:tcW w:w="5000" w:type="pct"/>
            <w:gridSpan w:val="3"/>
            <w:tcBorders>
              <w:top w:val="nil"/>
              <w:left w:val="nil"/>
              <w:bottom w:val="nil"/>
              <w:right w:val="nil"/>
            </w:tcBorders>
            <w:shd w:val="clear" w:color="000000" w:fill="FFFFFF"/>
            <w:noWrap/>
            <w:vAlign w:val="bottom"/>
            <w:hideMark/>
          </w:tcPr>
          <w:p w14:paraId="020B5DE1" w14:textId="6F596220" w:rsidR="00E57A11" w:rsidRPr="00DA1D07" w:rsidRDefault="00E57A11" w:rsidP="002753C1">
            <w:pPr>
              <w:spacing w:line="240" w:lineRule="auto"/>
              <w:jc w:val="center"/>
              <w:rPr>
                <w:rFonts w:ascii="Times New Roman" w:eastAsia="Times New Roman" w:hAnsi="Times New Roman" w:cs="Times New Roman"/>
                <w:b/>
                <w:bCs/>
                <w:color w:val="000000"/>
                <w:sz w:val="24"/>
                <w:szCs w:val="24"/>
                <w:lang w:val="en-US" w:eastAsia="en-GB"/>
              </w:rPr>
            </w:pPr>
            <w:r w:rsidRPr="00DA1D07">
              <w:rPr>
                <w:rFonts w:ascii="Times New Roman" w:eastAsia="Times New Roman" w:hAnsi="Times New Roman" w:cs="Times New Roman"/>
                <w:b/>
                <w:bCs/>
                <w:color w:val="000000"/>
                <w:sz w:val="24"/>
                <w:szCs w:val="24"/>
                <w:lang w:val="en-US" w:eastAsia="en-GB"/>
              </w:rPr>
              <w:lastRenderedPageBreak/>
              <w:t xml:space="preserve">TABLE </w:t>
            </w:r>
            <w:r w:rsidR="00A85564">
              <w:rPr>
                <w:rFonts w:ascii="Times New Roman" w:eastAsia="Times New Roman" w:hAnsi="Times New Roman" w:cs="Times New Roman"/>
                <w:b/>
                <w:bCs/>
                <w:color w:val="000000"/>
                <w:sz w:val="24"/>
                <w:szCs w:val="24"/>
                <w:lang w:val="en-US" w:eastAsia="en-GB"/>
              </w:rPr>
              <w:t>5</w:t>
            </w:r>
          </w:p>
        </w:tc>
      </w:tr>
      <w:tr w:rsidR="00E57A11" w:rsidRPr="00F62082" w14:paraId="0DBCADCD" w14:textId="77777777" w:rsidTr="002753C1">
        <w:trPr>
          <w:trHeight w:val="57"/>
          <w:jc w:val="center"/>
        </w:trPr>
        <w:tc>
          <w:tcPr>
            <w:tcW w:w="5000" w:type="pct"/>
            <w:gridSpan w:val="3"/>
            <w:tcBorders>
              <w:top w:val="nil"/>
              <w:left w:val="nil"/>
              <w:bottom w:val="nil"/>
              <w:right w:val="nil"/>
            </w:tcBorders>
            <w:shd w:val="clear" w:color="000000" w:fill="FFFFFF"/>
            <w:noWrap/>
            <w:vAlign w:val="bottom"/>
            <w:hideMark/>
          </w:tcPr>
          <w:p w14:paraId="3ECB0647" w14:textId="77777777" w:rsidR="00E57A11" w:rsidRPr="00DA1D07" w:rsidRDefault="00E57A11" w:rsidP="002753C1">
            <w:pPr>
              <w:spacing w:line="240" w:lineRule="auto"/>
              <w:jc w:val="center"/>
              <w:rPr>
                <w:rFonts w:ascii="Times New Roman" w:eastAsia="Times New Roman" w:hAnsi="Times New Roman" w:cs="Times New Roman"/>
                <w:b/>
                <w:bCs/>
                <w:color w:val="000000"/>
                <w:sz w:val="24"/>
                <w:szCs w:val="24"/>
                <w:lang w:val="en-US" w:eastAsia="en-GB"/>
              </w:rPr>
            </w:pPr>
            <w:r w:rsidRPr="00DA1D07">
              <w:rPr>
                <w:rFonts w:ascii="Times New Roman" w:eastAsia="Times New Roman" w:hAnsi="Times New Roman" w:cs="Times New Roman"/>
                <w:b/>
                <w:bCs/>
                <w:color w:val="000000"/>
                <w:sz w:val="24"/>
                <w:szCs w:val="24"/>
                <w:lang w:val="en-US" w:eastAsia="en-GB"/>
              </w:rPr>
              <w:t>Determinants of Penalties</w:t>
            </w:r>
          </w:p>
        </w:tc>
      </w:tr>
      <w:tr w:rsidR="00E57A11" w:rsidRPr="00F62082" w14:paraId="11BC06B7" w14:textId="77777777" w:rsidTr="002753C1">
        <w:trPr>
          <w:trHeight w:val="57"/>
          <w:jc w:val="center"/>
        </w:trPr>
        <w:tc>
          <w:tcPr>
            <w:tcW w:w="5000" w:type="pct"/>
            <w:gridSpan w:val="3"/>
            <w:tcBorders>
              <w:top w:val="nil"/>
              <w:left w:val="nil"/>
              <w:bottom w:val="single" w:sz="4" w:space="0" w:color="auto"/>
              <w:right w:val="nil"/>
            </w:tcBorders>
            <w:shd w:val="clear" w:color="000000" w:fill="FFFFFF"/>
            <w:vAlign w:val="bottom"/>
            <w:hideMark/>
          </w:tcPr>
          <w:p w14:paraId="1A6437C3" w14:textId="5826E459" w:rsidR="00E57A11" w:rsidRPr="00DA1D07" w:rsidRDefault="00E57A11" w:rsidP="002753C1">
            <w:pPr>
              <w:spacing w:line="240" w:lineRule="auto"/>
              <w:jc w:val="both"/>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 xml:space="preserve">This table reports the estimation results for two models. Column (1) reports the coefficients of </w:t>
            </w:r>
            <w:r w:rsidR="00447478">
              <w:rPr>
                <w:rFonts w:ascii="Times New Roman" w:eastAsia="Times New Roman" w:hAnsi="Times New Roman" w:cs="Times New Roman"/>
                <w:color w:val="000000"/>
                <w:sz w:val="24"/>
                <w:szCs w:val="24"/>
                <w:lang w:val="en-US" w:eastAsia="en-GB"/>
              </w:rPr>
              <w:t xml:space="preserve">the </w:t>
            </w:r>
            <w:r w:rsidRPr="00DA1D07">
              <w:rPr>
                <w:rFonts w:ascii="Times New Roman" w:eastAsia="Times New Roman" w:hAnsi="Times New Roman" w:cs="Times New Roman"/>
                <w:color w:val="000000"/>
                <w:sz w:val="24"/>
                <w:szCs w:val="24"/>
                <w:lang w:val="en-US" w:eastAsia="en-GB"/>
              </w:rPr>
              <w:t xml:space="preserve">OLS regression, where the dependent variable is the natural logarithm of the total value of penalties. Column (2) reports the coefficients of Poisson regression, where the dependent variable is a categorical variable created by deciles of Penalties. </w:t>
            </w:r>
            <w:r w:rsidR="007B6B48" w:rsidRPr="00DA1D07">
              <w:rPr>
                <w:rFonts w:ascii="Times New Roman" w:eastAsia="Times New Roman" w:hAnsi="Times New Roman" w:cs="Times New Roman"/>
                <w:i/>
                <w:iCs/>
                <w:color w:val="000000"/>
                <w:sz w:val="24"/>
                <w:szCs w:val="24"/>
                <w:lang w:val="en-US" w:eastAsia="en-GB"/>
              </w:rPr>
              <w:t>Leverage,</w:t>
            </w:r>
            <w:r w:rsidR="007B6B48">
              <w:rPr>
                <w:rFonts w:ascii="Times New Roman" w:eastAsia="Times New Roman" w:hAnsi="Times New Roman" w:cs="Times New Roman"/>
                <w:i/>
                <w:iCs/>
                <w:color w:val="000000"/>
                <w:sz w:val="24"/>
                <w:szCs w:val="24"/>
                <w:lang w:val="en-US" w:eastAsia="en-GB"/>
              </w:rPr>
              <w:t xml:space="preserve"> </w:t>
            </w:r>
            <w:proofErr w:type="spellStart"/>
            <w:r w:rsidR="007B6B48" w:rsidRPr="00DA1D07">
              <w:rPr>
                <w:rFonts w:asciiTheme="majorBidi" w:eastAsia="Times New Roman" w:hAnsiTheme="majorBidi" w:cstheme="majorBidi"/>
                <w:i/>
                <w:iCs/>
                <w:color w:val="000000"/>
                <w:sz w:val="24"/>
                <w:szCs w:val="24"/>
                <w:lang w:val="en-US" w:eastAsia="en-GB"/>
              </w:rPr>
              <w:t>FirmSize</w:t>
            </w:r>
            <w:proofErr w:type="spellEnd"/>
            <w:r w:rsidR="007B6B48">
              <w:rPr>
                <w:rFonts w:asciiTheme="majorBidi" w:eastAsia="Times New Roman" w:hAnsiTheme="majorBidi" w:cstheme="majorBidi"/>
                <w:i/>
                <w:iCs/>
                <w:color w:val="000000"/>
                <w:sz w:val="24"/>
                <w:szCs w:val="24"/>
                <w:lang w:val="en-US" w:eastAsia="en-GB"/>
              </w:rPr>
              <w:t>,</w:t>
            </w:r>
            <w:r w:rsidR="007B6B48" w:rsidRPr="00DA1D07">
              <w:rPr>
                <w:rFonts w:ascii="Times New Roman" w:eastAsia="Times New Roman" w:hAnsi="Times New Roman" w:cs="Times New Roman"/>
                <w:i/>
                <w:iCs/>
                <w:color w:val="000000"/>
                <w:sz w:val="24"/>
                <w:szCs w:val="24"/>
                <w:lang w:val="en-US" w:eastAsia="en-GB"/>
              </w:rPr>
              <w:t xml:space="preserve"> Employees, Market-to-Book</w:t>
            </w:r>
            <w:r w:rsidR="007B6B48" w:rsidRPr="00DA1D07">
              <w:rPr>
                <w:rFonts w:ascii="Times New Roman" w:eastAsia="Times New Roman" w:hAnsi="Times New Roman" w:cs="Times New Roman"/>
                <w:color w:val="000000"/>
                <w:sz w:val="24"/>
                <w:szCs w:val="24"/>
                <w:lang w:val="en-US" w:eastAsia="en-GB"/>
              </w:rPr>
              <w:t xml:space="preserve">, and </w:t>
            </w:r>
            <w:r w:rsidR="007B6B48" w:rsidRPr="00DA1D07">
              <w:rPr>
                <w:rFonts w:ascii="Times New Roman" w:eastAsia="Times New Roman" w:hAnsi="Times New Roman" w:cs="Times New Roman"/>
                <w:i/>
                <w:iCs/>
                <w:color w:val="000000"/>
                <w:sz w:val="24"/>
                <w:szCs w:val="24"/>
                <w:lang w:val="en-US" w:eastAsia="en-GB"/>
              </w:rPr>
              <w:t>Tangibility</w:t>
            </w:r>
            <w:r w:rsidR="007B6B48" w:rsidRPr="00DA1D07">
              <w:rPr>
                <w:rFonts w:ascii="Times New Roman" w:eastAsia="Times New Roman" w:hAnsi="Times New Roman" w:cs="Times New Roman"/>
                <w:color w:val="000000"/>
                <w:sz w:val="24"/>
                <w:szCs w:val="24"/>
                <w:lang w:val="en-US" w:eastAsia="en-GB"/>
              </w:rPr>
              <w:t xml:space="preserve"> are lagged one year, while </w:t>
            </w:r>
            <w:proofErr w:type="spellStart"/>
            <w:r w:rsidR="007B6B48" w:rsidRPr="00DA1D07">
              <w:rPr>
                <w:rFonts w:ascii="Times New Roman" w:eastAsia="Times New Roman" w:hAnsi="Times New Roman" w:cs="Times New Roman"/>
                <w:i/>
                <w:iCs/>
                <w:color w:val="000000"/>
                <w:sz w:val="24"/>
                <w:szCs w:val="24"/>
                <w:lang w:val="en-US" w:eastAsia="en-GB"/>
              </w:rPr>
              <w:t>CashFlow</w:t>
            </w:r>
            <w:proofErr w:type="spellEnd"/>
            <w:r w:rsidR="007B6B48" w:rsidRPr="00DA1D07">
              <w:rPr>
                <w:rFonts w:ascii="Times New Roman" w:eastAsia="Times New Roman" w:hAnsi="Times New Roman" w:cs="Times New Roman"/>
                <w:i/>
                <w:iCs/>
                <w:color w:val="000000"/>
                <w:sz w:val="24"/>
                <w:szCs w:val="24"/>
                <w:lang w:val="en-US" w:eastAsia="en-GB"/>
              </w:rPr>
              <w:t xml:space="preserve">, </w:t>
            </w:r>
            <w:proofErr w:type="spellStart"/>
            <w:r w:rsidR="007B6B48" w:rsidRPr="00DA1D07">
              <w:rPr>
                <w:rFonts w:ascii="Times New Roman" w:eastAsia="Times New Roman" w:hAnsi="Times New Roman" w:cs="Times New Roman"/>
                <w:i/>
                <w:iCs/>
                <w:color w:val="000000"/>
                <w:sz w:val="24"/>
                <w:szCs w:val="24"/>
                <w:lang w:val="en-US" w:eastAsia="en-GB"/>
              </w:rPr>
              <w:t>DividendsPayout</w:t>
            </w:r>
            <w:proofErr w:type="spellEnd"/>
            <w:r w:rsidR="007B6B48" w:rsidRPr="00DA1D07">
              <w:rPr>
                <w:rFonts w:ascii="Times New Roman" w:eastAsia="Times New Roman" w:hAnsi="Times New Roman" w:cs="Times New Roman"/>
                <w:i/>
                <w:iCs/>
                <w:color w:val="000000"/>
                <w:sz w:val="24"/>
                <w:szCs w:val="24"/>
                <w:lang w:val="en-US" w:eastAsia="en-GB"/>
              </w:rPr>
              <w:t xml:space="preserve">, </w:t>
            </w:r>
            <w:proofErr w:type="spellStart"/>
            <w:r w:rsidR="007B6B48" w:rsidRPr="00DA1D07">
              <w:rPr>
                <w:rFonts w:ascii="Times New Roman" w:eastAsia="Times New Roman" w:hAnsi="Times New Roman" w:cs="Times New Roman"/>
                <w:i/>
                <w:iCs/>
                <w:color w:val="000000"/>
                <w:sz w:val="24"/>
                <w:szCs w:val="24"/>
                <w:lang w:val="en-US" w:eastAsia="en-GB"/>
              </w:rPr>
              <w:t>AssetTurnover</w:t>
            </w:r>
            <w:proofErr w:type="spellEnd"/>
            <w:r w:rsidR="007B6B48" w:rsidRPr="00DA1D07">
              <w:rPr>
                <w:rFonts w:ascii="Times New Roman" w:eastAsia="Times New Roman" w:hAnsi="Times New Roman" w:cs="Times New Roman"/>
                <w:i/>
                <w:iCs/>
                <w:color w:val="000000"/>
                <w:sz w:val="24"/>
                <w:szCs w:val="24"/>
                <w:lang w:val="en-US" w:eastAsia="en-GB"/>
              </w:rPr>
              <w:t xml:space="preserve">, Capex, RET, </w:t>
            </w:r>
            <w:proofErr w:type="spellStart"/>
            <w:r w:rsidR="007B6B48" w:rsidRPr="00DA1D07">
              <w:rPr>
                <w:rFonts w:ascii="Times New Roman" w:eastAsia="Times New Roman" w:hAnsi="Times New Roman" w:cs="Times New Roman"/>
                <w:i/>
                <w:iCs/>
                <w:color w:val="000000"/>
                <w:sz w:val="24"/>
                <w:szCs w:val="24"/>
                <w:lang w:val="en-US" w:eastAsia="en-GB"/>
              </w:rPr>
              <w:t>CEOage</w:t>
            </w:r>
            <w:proofErr w:type="spellEnd"/>
            <w:r w:rsidR="00155940">
              <w:rPr>
                <w:rFonts w:ascii="Times New Roman" w:eastAsia="Times New Roman" w:hAnsi="Times New Roman" w:cs="Times New Roman"/>
                <w:i/>
                <w:iCs/>
                <w:color w:val="000000"/>
                <w:sz w:val="24"/>
                <w:szCs w:val="24"/>
                <w:lang w:val="en-US" w:eastAsia="en-GB"/>
              </w:rPr>
              <w:t>,</w:t>
            </w:r>
            <w:r w:rsidR="007B6B48" w:rsidRPr="00DA1D07">
              <w:rPr>
                <w:rFonts w:ascii="Times New Roman" w:eastAsia="Times New Roman" w:hAnsi="Times New Roman" w:cs="Times New Roman"/>
                <w:color w:val="000000"/>
                <w:sz w:val="24"/>
                <w:szCs w:val="24"/>
                <w:lang w:val="en-US" w:eastAsia="en-GB"/>
              </w:rPr>
              <w:t xml:space="preserve"> and </w:t>
            </w:r>
            <w:proofErr w:type="spellStart"/>
            <w:r w:rsidR="007B6B48" w:rsidRPr="00DA1D07">
              <w:rPr>
                <w:rFonts w:ascii="Times New Roman" w:eastAsia="Times New Roman" w:hAnsi="Times New Roman" w:cs="Times New Roman"/>
                <w:i/>
                <w:iCs/>
                <w:color w:val="000000"/>
                <w:sz w:val="24"/>
                <w:szCs w:val="24"/>
                <w:lang w:val="en-US" w:eastAsia="en-GB"/>
              </w:rPr>
              <w:t>CEOtenure</w:t>
            </w:r>
            <w:proofErr w:type="spellEnd"/>
            <w:r w:rsidR="007B6B48" w:rsidRPr="00DA1D07">
              <w:rPr>
                <w:rFonts w:ascii="Times New Roman" w:eastAsia="Times New Roman" w:hAnsi="Times New Roman" w:cs="Times New Roman"/>
                <w:color w:val="000000"/>
                <w:sz w:val="24"/>
                <w:szCs w:val="24"/>
                <w:lang w:val="en-US" w:eastAsia="en-GB"/>
              </w:rPr>
              <w:t xml:space="preserve"> are measured contemporaneously.</w:t>
            </w:r>
            <w:r w:rsidR="007B6B48">
              <w:rPr>
                <w:rFonts w:ascii="Times New Roman" w:eastAsia="Times New Roman" w:hAnsi="Times New Roman" w:cs="Times New Roman"/>
                <w:color w:val="000000"/>
                <w:sz w:val="24"/>
                <w:szCs w:val="24"/>
                <w:lang w:val="en-US" w:eastAsia="en-GB"/>
              </w:rPr>
              <w:t xml:space="preserve"> </w:t>
            </w:r>
            <w:r w:rsidRPr="00DA1D07">
              <w:rPr>
                <w:rFonts w:ascii="Times New Roman" w:eastAsia="Times New Roman" w:hAnsi="Times New Roman" w:cs="Times New Roman"/>
                <w:color w:val="000000"/>
                <w:sz w:val="24"/>
                <w:szCs w:val="24"/>
                <w:lang w:val="en-US" w:eastAsia="en-GB"/>
              </w:rPr>
              <w:t xml:space="preserve">The sample spans the period </w:t>
            </w:r>
            <w:r w:rsidR="00447478">
              <w:rPr>
                <w:rFonts w:ascii="Times New Roman" w:eastAsia="Times New Roman" w:hAnsi="Times New Roman" w:cs="Times New Roman"/>
                <w:color w:val="000000"/>
                <w:sz w:val="24"/>
                <w:szCs w:val="24"/>
                <w:lang w:val="en-US" w:eastAsia="en-GB"/>
              </w:rPr>
              <w:t xml:space="preserve">from </w:t>
            </w:r>
            <w:r w:rsidRPr="00DA1D07">
              <w:rPr>
                <w:rFonts w:ascii="Times New Roman" w:eastAsia="Times New Roman" w:hAnsi="Times New Roman" w:cs="Times New Roman"/>
                <w:color w:val="000000"/>
                <w:sz w:val="24"/>
                <w:szCs w:val="24"/>
                <w:lang w:val="en-US" w:eastAsia="en-GB"/>
              </w:rPr>
              <w:t>2000</w:t>
            </w:r>
            <w:r w:rsidR="00447478">
              <w:rPr>
                <w:rFonts w:ascii="Times New Roman" w:eastAsia="Times New Roman" w:hAnsi="Times New Roman" w:cs="Times New Roman"/>
                <w:color w:val="000000"/>
                <w:sz w:val="24"/>
                <w:szCs w:val="24"/>
                <w:lang w:val="en-US" w:eastAsia="en-GB"/>
              </w:rPr>
              <w:t xml:space="preserve"> to </w:t>
            </w:r>
            <w:r w:rsidRPr="00DA1D07">
              <w:rPr>
                <w:rFonts w:ascii="Times New Roman" w:eastAsia="Times New Roman" w:hAnsi="Times New Roman" w:cs="Times New Roman"/>
                <w:color w:val="000000"/>
                <w:sz w:val="24"/>
                <w:szCs w:val="24"/>
                <w:lang w:val="en-US" w:eastAsia="en-GB"/>
              </w:rPr>
              <w:t xml:space="preserve">2018. All variables are defined in Appendix </w:t>
            </w:r>
            <w:r w:rsidR="006B635B">
              <w:rPr>
                <w:rFonts w:ascii="Times New Roman" w:eastAsia="Times New Roman" w:hAnsi="Times New Roman" w:cs="Times New Roman"/>
                <w:color w:val="000000"/>
                <w:sz w:val="24"/>
                <w:szCs w:val="24"/>
                <w:lang w:val="en-US" w:eastAsia="en-GB"/>
              </w:rPr>
              <w:t>1</w:t>
            </w:r>
            <w:r w:rsidRPr="00DA1D07">
              <w:rPr>
                <w:rFonts w:ascii="Times New Roman" w:eastAsia="Times New Roman" w:hAnsi="Times New Roman" w:cs="Times New Roman"/>
                <w:color w:val="000000"/>
                <w:sz w:val="24"/>
                <w:szCs w:val="24"/>
                <w:lang w:val="en-US" w:eastAsia="en-GB"/>
              </w:rPr>
              <w:t xml:space="preserve">. The values reported in parentheses below coefficients represent t-statistics in the model (1) and z-statistics in the model (2). Standard errors are clustered at </w:t>
            </w:r>
            <w:r w:rsidR="00447478">
              <w:rPr>
                <w:rFonts w:ascii="Times New Roman" w:eastAsia="Times New Roman" w:hAnsi="Times New Roman" w:cs="Times New Roman"/>
                <w:color w:val="000000"/>
                <w:sz w:val="24"/>
                <w:szCs w:val="24"/>
                <w:lang w:val="en-US" w:eastAsia="en-GB"/>
              </w:rPr>
              <w:t xml:space="preserve">the </w:t>
            </w:r>
            <w:r w:rsidRPr="00DA1D07">
              <w:rPr>
                <w:rFonts w:ascii="Times New Roman" w:eastAsia="Times New Roman" w:hAnsi="Times New Roman" w:cs="Times New Roman"/>
                <w:color w:val="000000"/>
                <w:sz w:val="24"/>
                <w:szCs w:val="24"/>
                <w:lang w:val="en-US" w:eastAsia="en-GB"/>
              </w:rPr>
              <w:t>firm level. *, **, *** represent significance at 1</w:t>
            </w:r>
            <w:r w:rsidR="00130B9A">
              <w:rPr>
                <w:rFonts w:ascii="Times New Roman" w:eastAsia="Times New Roman" w:hAnsi="Times New Roman" w:cs="Times New Roman"/>
                <w:color w:val="000000"/>
                <w:sz w:val="24"/>
                <w:szCs w:val="24"/>
                <w:lang w:val="en-US" w:eastAsia="en-GB"/>
              </w:rPr>
              <w:t>0</w:t>
            </w:r>
            <w:r w:rsidRPr="00DA1D07">
              <w:rPr>
                <w:rFonts w:ascii="Times New Roman" w:eastAsia="Times New Roman" w:hAnsi="Times New Roman" w:cs="Times New Roman"/>
                <w:color w:val="000000"/>
                <w:sz w:val="24"/>
                <w:szCs w:val="24"/>
                <w:lang w:val="en-US" w:eastAsia="en-GB"/>
              </w:rPr>
              <w:t>%, 5%, and 1% respectively.</w:t>
            </w:r>
          </w:p>
        </w:tc>
      </w:tr>
      <w:tr w:rsidR="00E57A11" w:rsidRPr="00F62082" w14:paraId="38AE3E70" w14:textId="77777777" w:rsidTr="002753C1">
        <w:trPr>
          <w:trHeight w:val="57"/>
          <w:jc w:val="center"/>
        </w:trPr>
        <w:tc>
          <w:tcPr>
            <w:tcW w:w="1989" w:type="pct"/>
            <w:tcBorders>
              <w:top w:val="single" w:sz="4" w:space="0" w:color="auto"/>
              <w:left w:val="nil"/>
              <w:bottom w:val="nil"/>
              <w:right w:val="nil"/>
            </w:tcBorders>
            <w:shd w:val="clear" w:color="000000" w:fill="FFFFFF"/>
            <w:noWrap/>
            <w:vAlign w:val="bottom"/>
            <w:hideMark/>
          </w:tcPr>
          <w:p w14:paraId="755A49E8"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374" w:type="pct"/>
            <w:tcBorders>
              <w:top w:val="single" w:sz="4" w:space="0" w:color="auto"/>
              <w:left w:val="nil"/>
              <w:bottom w:val="nil"/>
              <w:right w:val="nil"/>
            </w:tcBorders>
            <w:shd w:val="clear" w:color="000000" w:fill="FFFFFF"/>
            <w:noWrap/>
            <w:vAlign w:val="bottom"/>
            <w:hideMark/>
          </w:tcPr>
          <w:p w14:paraId="23D248A9" w14:textId="77777777" w:rsidR="00E57A11" w:rsidRPr="00DA1D07" w:rsidRDefault="00E57A11" w:rsidP="002753C1">
            <w:pPr>
              <w:spacing w:after="0" w:line="240" w:lineRule="auto"/>
              <w:jc w:val="center"/>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(1)</w:t>
            </w:r>
          </w:p>
        </w:tc>
        <w:tc>
          <w:tcPr>
            <w:tcW w:w="1637" w:type="pct"/>
            <w:tcBorders>
              <w:top w:val="single" w:sz="4" w:space="0" w:color="auto"/>
              <w:left w:val="nil"/>
              <w:bottom w:val="nil"/>
              <w:right w:val="nil"/>
            </w:tcBorders>
            <w:shd w:val="clear" w:color="000000" w:fill="FFFFFF"/>
            <w:noWrap/>
            <w:vAlign w:val="bottom"/>
            <w:hideMark/>
          </w:tcPr>
          <w:p w14:paraId="553A4D24" w14:textId="77777777" w:rsidR="00E57A11" w:rsidRPr="00DA1D07" w:rsidRDefault="00E57A11" w:rsidP="002753C1">
            <w:pPr>
              <w:spacing w:after="0" w:line="240" w:lineRule="auto"/>
              <w:jc w:val="center"/>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(2)</w:t>
            </w:r>
          </w:p>
        </w:tc>
      </w:tr>
      <w:tr w:rsidR="00E57A11" w:rsidRPr="00F62082" w14:paraId="3A98B3A8" w14:textId="77777777" w:rsidTr="002753C1">
        <w:trPr>
          <w:trHeight w:val="57"/>
          <w:jc w:val="center"/>
        </w:trPr>
        <w:tc>
          <w:tcPr>
            <w:tcW w:w="1989" w:type="pct"/>
            <w:tcBorders>
              <w:top w:val="nil"/>
              <w:left w:val="nil"/>
              <w:bottom w:val="single" w:sz="4" w:space="0" w:color="auto"/>
              <w:right w:val="nil"/>
            </w:tcBorders>
            <w:shd w:val="clear" w:color="000000" w:fill="FFFFFF"/>
            <w:noWrap/>
            <w:vAlign w:val="bottom"/>
            <w:hideMark/>
          </w:tcPr>
          <w:p w14:paraId="0F9E18CB" w14:textId="77777777" w:rsidR="00E57A11" w:rsidRPr="00DA1D07" w:rsidRDefault="00E57A11" w:rsidP="002753C1">
            <w:pPr>
              <w:spacing w:line="240" w:lineRule="auto"/>
              <w:rPr>
                <w:rFonts w:ascii="Times New Roman" w:eastAsia="Times New Roman" w:hAnsi="Times New Roman" w:cs="Times New Roman"/>
                <w:color w:val="000000"/>
                <w:sz w:val="24"/>
                <w:szCs w:val="24"/>
                <w:lang w:val="en-US" w:eastAsia="en-GB"/>
              </w:rPr>
            </w:pPr>
          </w:p>
        </w:tc>
        <w:tc>
          <w:tcPr>
            <w:tcW w:w="1374" w:type="pct"/>
            <w:tcBorders>
              <w:top w:val="nil"/>
              <w:left w:val="nil"/>
              <w:bottom w:val="single" w:sz="4" w:space="0" w:color="auto"/>
              <w:right w:val="nil"/>
            </w:tcBorders>
            <w:shd w:val="clear" w:color="000000" w:fill="FFFFFF"/>
            <w:noWrap/>
            <w:vAlign w:val="bottom"/>
            <w:hideMark/>
          </w:tcPr>
          <w:p w14:paraId="3F29EFE0" w14:textId="77777777" w:rsidR="00E57A11" w:rsidRPr="00DA1D07" w:rsidRDefault="00E57A11" w:rsidP="002753C1">
            <w:pPr>
              <w:spacing w:line="240" w:lineRule="auto"/>
              <w:jc w:val="center"/>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ln(Penalties)</w:t>
            </w:r>
          </w:p>
        </w:tc>
        <w:tc>
          <w:tcPr>
            <w:tcW w:w="1637" w:type="pct"/>
            <w:tcBorders>
              <w:top w:val="nil"/>
              <w:left w:val="nil"/>
              <w:bottom w:val="single" w:sz="4" w:space="0" w:color="auto"/>
              <w:right w:val="nil"/>
            </w:tcBorders>
            <w:shd w:val="clear" w:color="000000" w:fill="FFFFFF"/>
            <w:noWrap/>
            <w:hideMark/>
          </w:tcPr>
          <w:p w14:paraId="46E42CD5" w14:textId="77777777" w:rsidR="00E57A11" w:rsidRPr="00DA1D07" w:rsidRDefault="00E57A11" w:rsidP="002753C1">
            <w:pPr>
              <w:spacing w:line="240" w:lineRule="auto"/>
              <w:jc w:val="center"/>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Q(Penalties)</w:t>
            </w:r>
          </w:p>
        </w:tc>
      </w:tr>
      <w:tr w:rsidR="00E57A11" w:rsidRPr="00F62082" w14:paraId="400F4FA1" w14:textId="77777777" w:rsidTr="00306538">
        <w:trPr>
          <w:trHeight w:val="57"/>
          <w:jc w:val="center"/>
        </w:trPr>
        <w:tc>
          <w:tcPr>
            <w:tcW w:w="1989" w:type="pct"/>
            <w:tcBorders>
              <w:top w:val="single" w:sz="4" w:space="0" w:color="auto"/>
              <w:left w:val="nil"/>
              <w:bottom w:val="nil"/>
              <w:right w:val="nil"/>
            </w:tcBorders>
            <w:shd w:val="clear" w:color="auto" w:fill="D9D9D9" w:themeFill="background1" w:themeFillShade="D9"/>
            <w:noWrap/>
            <w:vAlign w:val="center"/>
            <w:hideMark/>
          </w:tcPr>
          <w:p w14:paraId="0F310A6D"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Vega</w:t>
            </w:r>
          </w:p>
        </w:tc>
        <w:tc>
          <w:tcPr>
            <w:tcW w:w="1374" w:type="pct"/>
            <w:tcBorders>
              <w:top w:val="single" w:sz="4" w:space="0" w:color="auto"/>
              <w:left w:val="nil"/>
              <w:bottom w:val="nil"/>
              <w:right w:val="nil"/>
            </w:tcBorders>
            <w:shd w:val="clear" w:color="auto" w:fill="D9D9D9" w:themeFill="background1" w:themeFillShade="D9"/>
            <w:noWrap/>
            <w:vAlign w:val="bottom"/>
            <w:hideMark/>
          </w:tcPr>
          <w:p w14:paraId="6769BBA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0.068*</w:t>
            </w:r>
          </w:p>
        </w:tc>
        <w:tc>
          <w:tcPr>
            <w:tcW w:w="1637" w:type="pct"/>
            <w:tcBorders>
              <w:top w:val="single" w:sz="4" w:space="0" w:color="auto"/>
              <w:left w:val="nil"/>
              <w:bottom w:val="nil"/>
              <w:right w:val="nil"/>
            </w:tcBorders>
            <w:shd w:val="clear" w:color="auto" w:fill="D9D9D9" w:themeFill="background1" w:themeFillShade="D9"/>
            <w:noWrap/>
            <w:vAlign w:val="bottom"/>
            <w:hideMark/>
          </w:tcPr>
          <w:p w14:paraId="5E500CFE"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0.023**</w:t>
            </w:r>
          </w:p>
        </w:tc>
      </w:tr>
      <w:tr w:rsidR="00E57A11" w:rsidRPr="00F62082" w14:paraId="65ED0F4F" w14:textId="77777777" w:rsidTr="00306538">
        <w:trPr>
          <w:trHeight w:val="57"/>
          <w:jc w:val="center"/>
        </w:trPr>
        <w:tc>
          <w:tcPr>
            <w:tcW w:w="1989" w:type="pct"/>
            <w:tcBorders>
              <w:top w:val="nil"/>
              <w:left w:val="nil"/>
              <w:bottom w:val="nil"/>
              <w:right w:val="nil"/>
            </w:tcBorders>
            <w:shd w:val="clear" w:color="auto" w:fill="D9D9D9" w:themeFill="background1" w:themeFillShade="D9"/>
            <w:noWrap/>
            <w:vAlign w:val="bottom"/>
            <w:hideMark/>
          </w:tcPr>
          <w:p w14:paraId="266EA7C9"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374" w:type="pct"/>
            <w:tcBorders>
              <w:top w:val="nil"/>
              <w:left w:val="nil"/>
              <w:bottom w:val="nil"/>
              <w:right w:val="nil"/>
            </w:tcBorders>
            <w:shd w:val="clear" w:color="auto" w:fill="D9D9D9" w:themeFill="background1" w:themeFillShade="D9"/>
            <w:noWrap/>
            <w:vAlign w:val="bottom"/>
            <w:hideMark/>
          </w:tcPr>
          <w:p w14:paraId="7E278AC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(1.69)</w:t>
            </w:r>
          </w:p>
        </w:tc>
        <w:tc>
          <w:tcPr>
            <w:tcW w:w="1637" w:type="pct"/>
            <w:tcBorders>
              <w:top w:val="nil"/>
              <w:left w:val="nil"/>
              <w:bottom w:val="nil"/>
              <w:right w:val="nil"/>
            </w:tcBorders>
            <w:shd w:val="clear" w:color="auto" w:fill="D9D9D9" w:themeFill="background1" w:themeFillShade="D9"/>
            <w:noWrap/>
            <w:vAlign w:val="bottom"/>
            <w:hideMark/>
          </w:tcPr>
          <w:p w14:paraId="4E030BEB"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(2.21)</w:t>
            </w:r>
          </w:p>
        </w:tc>
      </w:tr>
      <w:tr w:rsidR="00E57A11" w:rsidRPr="00F62082" w14:paraId="1A9A2C5C" w14:textId="77777777" w:rsidTr="002753C1">
        <w:trPr>
          <w:trHeight w:val="57"/>
          <w:jc w:val="center"/>
        </w:trPr>
        <w:tc>
          <w:tcPr>
            <w:tcW w:w="1989" w:type="pct"/>
            <w:tcBorders>
              <w:top w:val="nil"/>
              <w:left w:val="nil"/>
              <w:bottom w:val="nil"/>
              <w:right w:val="nil"/>
            </w:tcBorders>
            <w:shd w:val="clear" w:color="000000" w:fill="FFFFFF"/>
            <w:noWrap/>
            <w:vAlign w:val="center"/>
            <w:hideMark/>
          </w:tcPr>
          <w:p w14:paraId="52713AD7"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Delta</w:t>
            </w:r>
          </w:p>
        </w:tc>
        <w:tc>
          <w:tcPr>
            <w:tcW w:w="1374" w:type="pct"/>
            <w:tcBorders>
              <w:top w:val="nil"/>
              <w:left w:val="nil"/>
              <w:bottom w:val="nil"/>
              <w:right w:val="nil"/>
            </w:tcBorders>
            <w:shd w:val="clear" w:color="000000" w:fill="FFFFFF"/>
            <w:noWrap/>
            <w:vAlign w:val="bottom"/>
            <w:hideMark/>
          </w:tcPr>
          <w:p w14:paraId="5CEB2E95"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-0.048</w:t>
            </w:r>
          </w:p>
        </w:tc>
        <w:tc>
          <w:tcPr>
            <w:tcW w:w="1637" w:type="pct"/>
            <w:tcBorders>
              <w:top w:val="nil"/>
              <w:left w:val="nil"/>
              <w:bottom w:val="nil"/>
              <w:right w:val="nil"/>
            </w:tcBorders>
            <w:shd w:val="clear" w:color="000000" w:fill="FFFFFF"/>
            <w:noWrap/>
            <w:vAlign w:val="bottom"/>
            <w:hideMark/>
          </w:tcPr>
          <w:p w14:paraId="4566FA39"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-0.026*</w:t>
            </w:r>
          </w:p>
        </w:tc>
      </w:tr>
      <w:tr w:rsidR="00E57A11" w:rsidRPr="00F62082" w14:paraId="163AC0D0" w14:textId="77777777" w:rsidTr="002753C1">
        <w:trPr>
          <w:trHeight w:val="57"/>
          <w:jc w:val="center"/>
        </w:trPr>
        <w:tc>
          <w:tcPr>
            <w:tcW w:w="1989" w:type="pct"/>
            <w:tcBorders>
              <w:top w:val="nil"/>
              <w:left w:val="nil"/>
              <w:bottom w:val="nil"/>
              <w:right w:val="nil"/>
            </w:tcBorders>
            <w:shd w:val="clear" w:color="000000" w:fill="FFFFFF"/>
            <w:noWrap/>
            <w:vAlign w:val="bottom"/>
            <w:hideMark/>
          </w:tcPr>
          <w:p w14:paraId="27A47C1F"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374" w:type="pct"/>
            <w:tcBorders>
              <w:top w:val="nil"/>
              <w:left w:val="nil"/>
              <w:bottom w:val="nil"/>
              <w:right w:val="nil"/>
            </w:tcBorders>
            <w:shd w:val="clear" w:color="000000" w:fill="FFFFFF"/>
            <w:noWrap/>
            <w:vAlign w:val="bottom"/>
            <w:hideMark/>
          </w:tcPr>
          <w:p w14:paraId="6C3A7BAA"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(-0.93)</w:t>
            </w:r>
          </w:p>
        </w:tc>
        <w:tc>
          <w:tcPr>
            <w:tcW w:w="1637" w:type="pct"/>
            <w:tcBorders>
              <w:top w:val="nil"/>
              <w:left w:val="nil"/>
              <w:bottom w:val="nil"/>
              <w:right w:val="nil"/>
            </w:tcBorders>
            <w:shd w:val="clear" w:color="000000" w:fill="FFFFFF"/>
            <w:noWrap/>
            <w:vAlign w:val="bottom"/>
            <w:hideMark/>
          </w:tcPr>
          <w:p w14:paraId="1AA710C3"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(-1.85)</w:t>
            </w:r>
          </w:p>
        </w:tc>
      </w:tr>
      <w:tr w:rsidR="00E57A11" w:rsidRPr="00F62082" w14:paraId="405F1DF7" w14:textId="77777777" w:rsidTr="002753C1">
        <w:trPr>
          <w:trHeight w:val="57"/>
          <w:jc w:val="center"/>
        </w:trPr>
        <w:tc>
          <w:tcPr>
            <w:tcW w:w="1989" w:type="pct"/>
            <w:tcBorders>
              <w:top w:val="nil"/>
              <w:left w:val="nil"/>
              <w:bottom w:val="nil"/>
              <w:right w:val="nil"/>
            </w:tcBorders>
            <w:shd w:val="clear" w:color="000000" w:fill="FFFFFF"/>
            <w:noWrap/>
            <w:vAlign w:val="center"/>
            <w:hideMark/>
          </w:tcPr>
          <w:p w14:paraId="6703B956"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CashComp</w:t>
            </w:r>
            <w:proofErr w:type="spellEnd"/>
          </w:p>
        </w:tc>
        <w:tc>
          <w:tcPr>
            <w:tcW w:w="1374" w:type="pct"/>
            <w:tcBorders>
              <w:top w:val="nil"/>
              <w:left w:val="nil"/>
              <w:bottom w:val="nil"/>
              <w:right w:val="nil"/>
            </w:tcBorders>
            <w:shd w:val="clear" w:color="000000" w:fill="FFFFFF"/>
            <w:noWrap/>
            <w:vAlign w:val="bottom"/>
            <w:hideMark/>
          </w:tcPr>
          <w:p w14:paraId="14EA06EA"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-0.052</w:t>
            </w:r>
          </w:p>
        </w:tc>
        <w:tc>
          <w:tcPr>
            <w:tcW w:w="1637" w:type="pct"/>
            <w:tcBorders>
              <w:top w:val="nil"/>
              <w:left w:val="nil"/>
              <w:bottom w:val="nil"/>
              <w:right w:val="nil"/>
            </w:tcBorders>
            <w:shd w:val="clear" w:color="000000" w:fill="FFFFFF"/>
            <w:noWrap/>
            <w:vAlign w:val="bottom"/>
            <w:hideMark/>
          </w:tcPr>
          <w:p w14:paraId="7117FD58"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0.003</w:t>
            </w:r>
          </w:p>
        </w:tc>
      </w:tr>
      <w:tr w:rsidR="00E57A11" w:rsidRPr="00F62082" w14:paraId="781AB76F" w14:textId="77777777" w:rsidTr="002753C1">
        <w:trPr>
          <w:trHeight w:val="57"/>
          <w:jc w:val="center"/>
        </w:trPr>
        <w:tc>
          <w:tcPr>
            <w:tcW w:w="1989" w:type="pct"/>
            <w:tcBorders>
              <w:top w:val="nil"/>
              <w:left w:val="nil"/>
              <w:bottom w:val="nil"/>
              <w:right w:val="nil"/>
            </w:tcBorders>
            <w:shd w:val="clear" w:color="000000" w:fill="FFFFFF"/>
            <w:noWrap/>
            <w:vAlign w:val="bottom"/>
            <w:hideMark/>
          </w:tcPr>
          <w:p w14:paraId="1C0D7675"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374" w:type="pct"/>
            <w:tcBorders>
              <w:top w:val="nil"/>
              <w:left w:val="nil"/>
              <w:bottom w:val="nil"/>
              <w:right w:val="nil"/>
            </w:tcBorders>
            <w:shd w:val="clear" w:color="000000" w:fill="FFFFFF"/>
            <w:noWrap/>
            <w:vAlign w:val="bottom"/>
            <w:hideMark/>
          </w:tcPr>
          <w:p w14:paraId="4B86254B"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(-0.69)</w:t>
            </w:r>
          </w:p>
        </w:tc>
        <w:tc>
          <w:tcPr>
            <w:tcW w:w="1637" w:type="pct"/>
            <w:tcBorders>
              <w:top w:val="nil"/>
              <w:left w:val="nil"/>
              <w:bottom w:val="nil"/>
              <w:right w:val="nil"/>
            </w:tcBorders>
            <w:shd w:val="clear" w:color="000000" w:fill="FFFFFF"/>
            <w:noWrap/>
            <w:vAlign w:val="bottom"/>
            <w:hideMark/>
          </w:tcPr>
          <w:p w14:paraId="74519053"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(0.15)</w:t>
            </w:r>
          </w:p>
        </w:tc>
      </w:tr>
      <w:tr w:rsidR="00E57A11" w:rsidRPr="00F62082" w14:paraId="0BF24320" w14:textId="77777777" w:rsidTr="002753C1">
        <w:trPr>
          <w:trHeight w:val="57"/>
          <w:jc w:val="center"/>
        </w:trPr>
        <w:tc>
          <w:tcPr>
            <w:tcW w:w="1989" w:type="pct"/>
            <w:tcBorders>
              <w:top w:val="nil"/>
              <w:left w:val="nil"/>
              <w:bottom w:val="nil"/>
              <w:right w:val="nil"/>
            </w:tcBorders>
            <w:shd w:val="clear" w:color="000000" w:fill="FFFFFF"/>
            <w:noWrap/>
            <w:hideMark/>
          </w:tcPr>
          <w:p w14:paraId="33FC241F"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Leverage</w:t>
            </w:r>
          </w:p>
        </w:tc>
        <w:tc>
          <w:tcPr>
            <w:tcW w:w="1374" w:type="pct"/>
            <w:tcBorders>
              <w:top w:val="nil"/>
              <w:left w:val="nil"/>
              <w:bottom w:val="nil"/>
              <w:right w:val="nil"/>
            </w:tcBorders>
            <w:shd w:val="clear" w:color="000000" w:fill="FFFFFF"/>
            <w:noWrap/>
            <w:vAlign w:val="bottom"/>
            <w:hideMark/>
          </w:tcPr>
          <w:p w14:paraId="6B028A68"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0.077</w:t>
            </w:r>
          </w:p>
        </w:tc>
        <w:tc>
          <w:tcPr>
            <w:tcW w:w="1637" w:type="pct"/>
            <w:tcBorders>
              <w:top w:val="nil"/>
              <w:left w:val="nil"/>
              <w:bottom w:val="nil"/>
              <w:right w:val="nil"/>
            </w:tcBorders>
            <w:shd w:val="clear" w:color="000000" w:fill="FFFFFF"/>
            <w:noWrap/>
            <w:vAlign w:val="bottom"/>
            <w:hideMark/>
          </w:tcPr>
          <w:p w14:paraId="5B84AD1E"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0.050</w:t>
            </w:r>
          </w:p>
        </w:tc>
      </w:tr>
      <w:tr w:rsidR="00E57A11" w:rsidRPr="00F62082" w14:paraId="22F5229C" w14:textId="77777777" w:rsidTr="002753C1">
        <w:trPr>
          <w:trHeight w:val="57"/>
          <w:jc w:val="center"/>
        </w:trPr>
        <w:tc>
          <w:tcPr>
            <w:tcW w:w="1989" w:type="pct"/>
            <w:tcBorders>
              <w:top w:val="nil"/>
              <w:left w:val="nil"/>
              <w:bottom w:val="nil"/>
              <w:right w:val="nil"/>
            </w:tcBorders>
            <w:shd w:val="clear" w:color="000000" w:fill="FFFFFF"/>
            <w:noWrap/>
            <w:vAlign w:val="bottom"/>
            <w:hideMark/>
          </w:tcPr>
          <w:p w14:paraId="6805D354"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374" w:type="pct"/>
            <w:tcBorders>
              <w:top w:val="nil"/>
              <w:left w:val="nil"/>
              <w:bottom w:val="nil"/>
              <w:right w:val="nil"/>
            </w:tcBorders>
            <w:shd w:val="clear" w:color="000000" w:fill="FFFFFF"/>
            <w:noWrap/>
            <w:vAlign w:val="bottom"/>
            <w:hideMark/>
          </w:tcPr>
          <w:p w14:paraId="428919E7"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(0.35)</w:t>
            </w:r>
          </w:p>
        </w:tc>
        <w:tc>
          <w:tcPr>
            <w:tcW w:w="1637" w:type="pct"/>
            <w:tcBorders>
              <w:top w:val="nil"/>
              <w:left w:val="nil"/>
              <w:bottom w:val="nil"/>
              <w:right w:val="nil"/>
            </w:tcBorders>
            <w:shd w:val="clear" w:color="000000" w:fill="FFFFFF"/>
            <w:noWrap/>
            <w:vAlign w:val="bottom"/>
            <w:hideMark/>
          </w:tcPr>
          <w:p w14:paraId="20B38B56"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(0.65)</w:t>
            </w:r>
          </w:p>
        </w:tc>
      </w:tr>
      <w:tr w:rsidR="00E57A11" w:rsidRPr="00F62082" w14:paraId="0D38C563" w14:textId="77777777" w:rsidTr="002753C1">
        <w:trPr>
          <w:trHeight w:val="57"/>
          <w:jc w:val="center"/>
        </w:trPr>
        <w:tc>
          <w:tcPr>
            <w:tcW w:w="1989" w:type="pct"/>
            <w:tcBorders>
              <w:top w:val="nil"/>
              <w:left w:val="nil"/>
              <w:bottom w:val="nil"/>
              <w:right w:val="nil"/>
            </w:tcBorders>
            <w:shd w:val="clear" w:color="000000" w:fill="FFFFFF"/>
            <w:noWrap/>
            <w:hideMark/>
          </w:tcPr>
          <w:p w14:paraId="313D6F46"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CashFlow</w:t>
            </w:r>
            <w:proofErr w:type="spellEnd"/>
          </w:p>
        </w:tc>
        <w:tc>
          <w:tcPr>
            <w:tcW w:w="1374" w:type="pct"/>
            <w:tcBorders>
              <w:top w:val="nil"/>
              <w:left w:val="nil"/>
              <w:bottom w:val="nil"/>
              <w:right w:val="nil"/>
            </w:tcBorders>
            <w:shd w:val="clear" w:color="000000" w:fill="FFFFFF"/>
            <w:noWrap/>
            <w:vAlign w:val="bottom"/>
            <w:hideMark/>
          </w:tcPr>
          <w:p w14:paraId="1CE2978A"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-0.120</w:t>
            </w:r>
          </w:p>
        </w:tc>
        <w:tc>
          <w:tcPr>
            <w:tcW w:w="1637" w:type="pct"/>
            <w:tcBorders>
              <w:top w:val="nil"/>
              <w:left w:val="nil"/>
              <w:bottom w:val="nil"/>
              <w:right w:val="nil"/>
            </w:tcBorders>
            <w:shd w:val="clear" w:color="000000" w:fill="FFFFFF"/>
            <w:noWrap/>
            <w:vAlign w:val="bottom"/>
            <w:hideMark/>
          </w:tcPr>
          <w:p w14:paraId="3BDC4B12"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-0.006</w:t>
            </w:r>
          </w:p>
        </w:tc>
      </w:tr>
      <w:tr w:rsidR="00E57A11" w:rsidRPr="00F62082" w14:paraId="67E3125E" w14:textId="77777777" w:rsidTr="002753C1">
        <w:trPr>
          <w:trHeight w:val="57"/>
          <w:jc w:val="center"/>
        </w:trPr>
        <w:tc>
          <w:tcPr>
            <w:tcW w:w="1989" w:type="pct"/>
            <w:tcBorders>
              <w:top w:val="nil"/>
              <w:left w:val="nil"/>
              <w:bottom w:val="nil"/>
              <w:right w:val="nil"/>
            </w:tcBorders>
            <w:shd w:val="clear" w:color="000000" w:fill="FFFFFF"/>
            <w:noWrap/>
            <w:vAlign w:val="bottom"/>
            <w:hideMark/>
          </w:tcPr>
          <w:p w14:paraId="55F92441"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374" w:type="pct"/>
            <w:tcBorders>
              <w:top w:val="nil"/>
              <w:left w:val="nil"/>
              <w:bottom w:val="nil"/>
              <w:right w:val="nil"/>
            </w:tcBorders>
            <w:shd w:val="clear" w:color="000000" w:fill="FFFFFF"/>
            <w:noWrap/>
            <w:vAlign w:val="bottom"/>
            <w:hideMark/>
          </w:tcPr>
          <w:p w14:paraId="51F0C1C8"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(-0.84)</w:t>
            </w:r>
          </w:p>
        </w:tc>
        <w:tc>
          <w:tcPr>
            <w:tcW w:w="1637" w:type="pct"/>
            <w:tcBorders>
              <w:top w:val="nil"/>
              <w:left w:val="nil"/>
              <w:bottom w:val="nil"/>
              <w:right w:val="nil"/>
            </w:tcBorders>
            <w:shd w:val="clear" w:color="000000" w:fill="FFFFFF"/>
            <w:noWrap/>
            <w:vAlign w:val="bottom"/>
            <w:hideMark/>
          </w:tcPr>
          <w:p w14:paraId="1C46EC47"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(-0.09)</w:t>
            </w:r>
          </w:p>
        </w:tc>
      </w:tr>
      <w:tr w:rsidR="00E57A11" w:rsidRPr="00F62082" w14:paraId="010DB49B" w14:textId="77777777" w:rsidTr="002753C1">
        <w:trPr>
          <w:trHeight w:val="57"/>
          <w:jc w:val="center"/>
        </w:trPr>
        <w:tc>
          <w:tcPr>
            <w:tcW w:w="1989" w:type="pct"/>
            <w:tcBorders>
              <w:top w:val="nil"/>
              <w:left w:val="nil"/>
              <w:bottom w:val="nil"/>
              <w:right w:val="nil"/>
            </w:tcBorders>
            <w:shd w:val="clear" w:color="000000" w:fill="FFFFFF"/>
            <w:noWrap/>
            <w:hideMark/>
          </w:tcPr>
          <w:p w14:paraId="0D44914B"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DividendPayout</w:t>
            </w:r>
            <w:proofErr w:type="spellEnd"/>
          </w:p>
        </w:tc>
        <w:tc>
          <w:tcPr>
            <w:tcW w:w="1374" w:type="pct"/>
            <w:tcBorders>
              <w:top w:val="nil"/>
              <w:left w:val="nil"/>
              <w:bottom w:val="nil"/>
              <w:right w:val="nil"/>
            </w:tcBorders>
            <w:shd w:val="clear" w:color="000000" w:fill="FFFFFF"/>
            <w:noWrap/>
            <w:vAlign w:val="bottom"/>
            <w:hideMark/>
          </w:tcPr>
          <w:p w14:paraId="1A86A85D"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2.603</w:t>
            </w:r>
          </w:p>
        </w:tc>
        <w:tc>
          <w:tcPr>
            <w:tcW w:w="1637" w:type="pct"/>
            <w:tcBorders>
              <w:top w:val="nil"/>
              <w:left w:val="nil"/>
              <w:bottom w:val="nil"/>
              <w:right w:val="nil"/>
            </w:tcBorders>
            <w:shd w:val="clear" w:color="000000" w:fill="FFFFFF"/>
            <w:noWrap/>
            <w:vAlign w:val="bottom"/>
            <w:hideMark/>
          </w:tcPr>
          <w:p w14:paraId="3AF5C184"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0.634</w:t>
            </w:r>
          </w:p>
        </w:tc>
      </w:tr>
      <w:tr w:rsidR="00E57A11" w:rsidRPr="00F62082" w14:paraId="47776368" w14:textId="77777777" w:rsidTr="002753C1">
        <w:trPr>
          <w:trHeight w:val="57"/>
          <w:jc w:val="center"/>
        </w:trPr>
        <w:tc>
          <w:tcPr>
            <w:tcW w:w="1989" w:type="pct"/>
            <w:tcBorders>
              <w:top w:val="nil"/>
              <w:left w:val="nil"/>
              <w:bottom w:val="nil"/>
              <w:right w:val="nil"/>
            </w:tcBorders>
            <w:shd w:val="clear" w:color="000000" w:fill="FFFFFF"/>
            <w:noWrap/>
            <w:vAlign w:val="bottom"/>
            <w:hideMark/>
          </w:tcPr>
          <w:p w14:paraId="05D65503"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374" w:type="pct"/>
            <w:tcBorders>
              <w:top w:val="nil"/>
              <w:left w:val="nil"/>
              <w:bottom w:val="nil"/>
              <w:right w:val="nil"/>
            </w:tcBorders>
            <w:shd w:val="clear" w:color="000000" w:fill="FFFFFF"/>
            <w:noWrap/>
            <w:vAlign w:val="bottom"/>
            <w:hideMark/>
          </w:tcPr>
          <w:p w14:paraId="0A87F823"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(1.18)</w:t>
            </w:r>
          </w:p>
        </w:tc>
        <w:tc>
          <w:tcPr>
            <w:tcW w:w="1637" w:type="pct"/>
            <w:tcBorders>
              <w:top w:val="nil"/>
              <w:left w:val="nil"/>
              <w:bottom w:val="nil"/>
              <w:right w:val="nil"/>
            </w:tcBorders>
            <w:shd w:val="clear" w:color="000000" w:fill="FFFFFF"/>
            <w:noWrap/>
            <w:vAlign w:val="bottom"/>
            <w:hideMark/>
          </w:tcPr>
          <w:p w14:paraId="1D46FD7D"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(1.06)</w:t>
            </w:r>
          </w:p>
        </w:tc>
      </w:tr>
      <w:tr w:rsidR="00E57A11" w:rsidRPr="00F62082" w14:paraId="0EEBD10F" w14:textId="77777777" w:rsidTr="002753C1">
        <w:trPr>
          <w:trHeight w:val="57"/>
          <w:jc w:val="center"/>
        </w:trPr>
        <w:tc>
          <w:tcPr>
            <w:tcW w:w="1989" w:type="pct"/>
            <w:tcBorders>
              <w:top w:val="nil"/>
              <w:left w:val="nil"/>
              <w:bottom w:val="nil"/>
              <w:right w:val="nil"/>
            </w:tcBorders>
            <w:shd w:val="clear" w:color="000000" w:fill="FFFFFF"/>
            <w:noWrap/>
            <w:hideMark/>
          </w:tcPr>
          <w:p w14:paraId="4A2D6545"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FirmSize</w:t>
            </w:r>
            <w:proofErr w:type="spellEnd"/>
          </w:p>
        </w:tc>
        <w:tc>
          <w:tcPr>
            <w:tcW w:w="1374" w:type="pct"/>
            <w:tcBorders>
              <w:top w:val="nil"/>
              <w:left w:val="nil"/>
              <w:bottom w:val="nil"/>
              <w:right w:val="nil"/>
            </w:tcBorders>
            <w:shd w:val="clear" w:color="000000" w:fill="FFFFFF"/>
            <w:noWrap/>
            <w:vAlign w:val="bottom"/>
            <w:hideMark/>
          </w:tcPr>
          <w:p w14:paraId="4A92F5C3"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0.178**</w:t>
            </w:r>
          </w:p>
        </w:tc>
        <w:tc>
          <w:tcPr>
            <w:tcW w:w="1637" w:type="pct"/>
            <w:tcBorders>
              <w:top w:val="nil"/>
              <w:left w:val="nil"/>
              <w:bottom w:val="nil"/>
              <w:right w:val="nil"/>
            </w:tcBorders>
            <w:shd w:val="clear" w:color="000000" w:fill="FFFFFF"/>
            <w:noWrap/>
            <w:vAlign w:val="bottom"/>
            <w:hideMark/>
          </w:tcPr>
          <w:p w14:paraId="02EB10B0"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0.050**</w:t>
            </w:r>
          </w:p>
        </w:tc>
      </w:tr>
      <w:tr w:rsidR="00E57A11" w:rsidRPr="00F62082" w14:paraId="302B7D45" w14:textId="77777777" w:rsidTr="002753C1">
        <w:trPr>
          <w:trHeight w:val="57"/>
          <w:jc w:val="center"/>
        </w:trPr>
        <w:tc>
          <w:tcPr>
            <w:tcW w:w="1989" w:type="pct"/>
            <w:tcBorders>
              <w:top w:val="nil"/>
              <w:left w:val="nil"/>
              <w:bottom w:val="nil"/>
              <w:right w:val="nil"/>
            </w:tcBorders>
            <w:shd w:val="clear" w:color="000000" w:fill="FFFFFF"/>
            <w:noWrap/>
            <w:vAlign w:val="bottom"/>
            <w:hideMark/>
          </w:tcPr>
          <w:p w14:paraId="07BFEADF"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374" w:type="pct"/>
            <w:tcBorders>
              <w:top w:val="nil"/>
              <w:left w:val="nil"/>
              <w:bottom w:val="nil"/>
              <w:right w:val="nil"/>
            </w:tcBorders>
            <w:shd w:val="clear" w:color="000000" w:fill="FFFFFF"/>
            <w:noWrap/>
            <w:vAlign w:val="bottom"/>
            <w:hideMark/>
          </w:tcPr>
          <w:p w14:paraId="68A21CE4"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(2.51)</w:t>
            </w:r>
          </w:p>
        </w:tc>
        <w:tc>
          <w:tcPr>
            <w:tcW w:w="1637" w:type="pct"/>
            <w:tcBorders>
              <w:top w:val="nil"/>
              <w:left w:val="nil"/>
              <w:bottom w:val="nil"/>
              <w:right w:val="nil"/>
            </w:tcBorders>
            <w:shd w:val="clear" w:color="000000" w:fill="FFFFFF"/>
            <w:noWrap/>
            <w:vAlign w:val="bottom"/>
            <w:hideMark/>
          </w:tcPr>
          <w:p w14:paraId="2E3B334B"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(2.15)</w:t>
            </w:r>
          </w:p>
        </w:tc>
      </w:tr>
      <w:tr w:rsidR="00E57A11" w:rsidRPr="00F62082" w14:paraId="071ABD0B" w14:textId="77777777" w:rsidTr="002753C1">
        <w:trPr>
          <w:trHeight w:val="57"/>
          <w:jc w:val="center"/>
        </w:trPr>
        <w:tc>
          <w:tcPr>
            <w:tcW w:w="1989" w:type="pct"/>
            <w:tcBorders>
              <w:top w:val="nil"/>
              <w:left w:val="nil"/>
              <w:bottom w:val="nil"/>
              <w:right w:val="nil"/>
            </w:tcBorders>
            <w:shd w:val="clear" w:color="000000" w:fill="FFFFFF"/>
            <w:noWrap/>
            <w:hideMark/>
          </w:tcPr>
          <w:p w14:paraId="0F717C50"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Employees</w:t>
            </w:r>
          </w:p>
        </w:tc>
        <w:tc>
          <w:tcPr>
            <w:tcW w:w="1374" w:type="pct"/>
            <w:tcBorders>
              <w:top w:val="nil"/>
              <w:left w:val="nil"/>
              <w:bottom w:val="nil"/>
              <w:right w:val="nil"/>
            </w:tcBorders>
            <w:shd w:val="clear" w:color="000000" w:fill="FFFFFF"/>
            <w:noWrap/>
            <w:vAlign w:val="bottom"/>
            <w:hideMark/>
          </w:tcPr>
          <w:p w14:paraId="0FBABE0A"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0.085</w:t>
            </w:r>
          </w:p>
        </w:tc>
        <w:tc>
          <w:tcPr>
            <w:tcW w:w="1637" w:type="pct"/>
            <w:tcBorders>
              <w:top w:val="nil"/>
              <w:left w:val="nil"/>
              <w:bottom w:val="nil"/>
              <w:right w:val="nil"/>
            </w:tcBorders>
            <w:shd w:val="clear" w:color="000000" w:fill="FFFFFF"/>
            <w:noWrap/>
            <w:vAlign w:val="bottom"/>
            <w:hideMark/>
          </w:tcPr>
          <w:p w14:paraId="0A194939"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0.029</w:t>
            </w:r>
          </w:p>
        </w:tc>
      </w:tr>
      <w:tr w:rsidR="00E57A11" w:rsidRPr="00F62082" w14:paraId="779094CF" w14:textId="77777777" w:rsidTr="002753C1">
        <w:trPr>
          <w:trHeight w:val="57"/>
          <w:jc w:val="center"/>
        </w:trPr>
        <w:tc>
          <w:tcPr>
            <w:tcW w:w="1989" w:type="pct"/>
            <w:tcBorders>
              <w:top w:val="nil"/>
              <w:left w:val="nil"/>
              <w:bottom w:val="nil"/>
              <w:right w:val="nil"/>
            </w:tcBorders>
            <w:shd w:val="clear" w:color="000000" w:fill="FFFFFF"/>
            <w:noWrap/>
            <w:vAlign w:val="bottom"/>
            <w:hideMark/>
          </w:tcPr>
          <w:p w14:paraId="27D2FE5A"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374" w:type="pct"/>
            <w:tcBorders>
              <w:top w:val="nil"/>
              <w:left w:val="nil"/>
              <w:bottom w:val="nil"/>
              <w:right w:val="nil"/>
            </w:tcBorders>
            <w:shd w:val="clear" w:color="000000" w:fill="FFFFFF"/>
            <w:noWrap/>
            <w:vAlign w:val="bottom"/>
            <w:hideMark/>
          </w:tcPr>
          <w:p w14:paraId="647494BD"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(1.02)</w:t>
            </w:r>
          </w:p>
        </w:tc>
        <w:tc>
          <w:tcPr>
            <w:tcW w:w="1637" w:type="pct"/>
            <w:tcBorders>
              <w:top w:val="nil"/>
              <w:left w:val="nil"/>
              <w:bottom w:val="nil"/>
              <w:right w:val="nil"/>
            </w:tcBorders>
            <w:shd w:val="clear" w:color="000000" w:fill="FFFFFF"/>
            <w:noWrap/>
            <w:vAlign w:val="bottom"/>
            <w:hideMark/>
          </w:tcPr>
          <w:p w14:paraId="677B12E4"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(1.07)</w:t>
            </w:r>
          </w:p>
        </w:tc>
      </w:tr>
      <w:tr w:rsidR="00E57A11" w:rsidRPr="00F62082" w14:paraId="39249D10" w14:textId="77777777" w:rsidTr="002753C1">
        <w:trPr>
          <w:trHeight w:val="57"/>
          <w:jc w:val="center"/>
        </w:trPr>
        <w:tc>
          <w:tcPr>
            <w:tcW w:w="1989" w:type="pct"/>
            <w:tcBorders>
              <w:top w:val="nil"/>
              <w:left w:val="nil"/>
              <w:bottom w:val="nil"/>
              <w:right w:val="nil"/>
            </w:tcBorders>
            <w:shd w:val="clear" w:color="000000" w:fill="FFFFFF"/>
            <w:noWrap/>
            <w:hideMark/>
          </w:tcPr>
          <w:p w14:paraId="00A9BD31"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AssetTurnover</w:t>
            </w:r>
            <w:proofErr w:type="spellEnd"/>
          </w:p>
        </w:tc>
        <w:tc>
          <w:tcPr>
            <w:tcW w:w="1374" w:type="pct"/>
            <w:tcBorders>
              <w:top w:val="nil"/>
              <w:left w:val="nil"/>
              <w:bottom w:val="nil"/>
              <w:right w:val="nil"/>
            </w:tcBorders>
            <w:shd w:val="clear" w:color="000000" w:fill="FFFFFF"/>
            <w:noWrap/>
            <w:vAlign w:val="bottom"/>
            <w:hideMark/>
          </w:tcPr>
          <w:p w14:paraId="0ACBBB2C"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0.052</w:t>
            </w:r>
          </w:p>
        </w:tc>
        <w:tc>
          <w:tcPr>
            <w:tcW w:w="1637" w:type="pct"/>
            <w:tcBorders>
              <w:top w:val="nil"/>
              <w:left w:val="nil"/>
              <w:bottom w:val="nil"/>
              <w:right w:val="nil"/>
            </w:tcBorders>
            <w:shd w:val="clear" w:color="000000" w:fill="FFFFFF"/>
            <w:noWrap/>
            <w:vAlign w:val="bottom"/>
            <w:hideMark/>
          </w:tcPr>
          <w:p w14:paraId="44D84D9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0.026</w:t>
            </w:r>
          </w:p>
        </w:tc>
      </w:tr>
      <w:tr w:rsidR="00E57A11" w:rsidRPr="00F62082" w14:paraId="6FA0ACA1" w14:textId="77777777" w:rsidTr="002753C1">
        <w:trPr>
          <w:trHeight w:val="57"/>
          <w:jc w:val="center"/>
        </w:trPr>
        <w:tc>
          <w:tcPr>
            <w:tcW w:w="1989" w:type="pct"/>
            <w:tcBorders>
              <w:top w:val="nil"/>
              <w:left w:val="nil"/>
              <w:bottom w:val="nil"/>
              <w:right w:val="nil"/>
            </w:tcBorders>
            <w:shd w:val="clear" w:color="000000" w:fill="FFFFFF"/>
            <w:noWrap/>
            <w:vAlign w:val="bottom"/>
            <w:hideMark/>
          </w:tcPr>
          <w:p w14:paraId="4CAA47D4"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374" w:type="pct"/>
            <w:tcBorders>
              <w:top w:val="nil"/>
              <w:left w:val="nil"/>
              <w:bottom w:val="nil"/>
              <w:right w:val="nil"/>
            </w:tcBorders>
            <w:shd w:val="clear" w:color="000000" w:fill="FFFFFF"/>
            <w:noWrap/>
            <w:vAlign w:val="bottom"/>
            <w:hideMark/>
          </w:tcPr>
          <w:p w14:paraId="3B9261C3"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(0.56)</w:t>
            </w:r>
          </w:p>
        </w:tc>
        <w:tc>
          <w:tcPr>
            <w:tcW w:w="1637" w:type="pct"/>
            <w:tcBorders>
              <w:top w:val="nil"/>
              <w:left w:val="nil"/>
              <w:bottom w:val="nil"/>
              <w:right w:val="nil"/>
            </w:tcBorders>
            <w:shd w:val="clear" w:color="000000" w:fill="FFFFFF"/>
            <w:noWrap/>
            <w:vAlign w:val="bottom"/>
            <w:hideMark/>
          </w:tcPr>
          <w:p w14:paraId="79BD5632"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(0.93)</w:t>
            </w:r>
          </w:p>
        </w:tc>
      </w:tr>
      <w:tr w:rsidR="00E57A11" w:rsidRPr="00F62082" w14:paraId="7ABA0F0B" w14:textId="77777777" w:rsidTr="002753C1">
        <w:trPr>
          <w:trHeight w:val="57"/>
          <w:jc w:val="center"/>
        </w:trPr>
        <w:tc>
          <w:tcPr>
            <w:tcW w:w="1989" w:type="pct"/>
            <w:tcBorders>
              <w:top w:val="nil"/>
              <w:left w:val="nil"/>
              <w:bottom w:val="nil"/>
              <w:right w:val="nil"/>
            </w:tcBorders>
            <w:shd w:val="clear" w:color="000000" w:fill="FFFFFF"/>
            <w:noWrap/>
            <w:hideMark/>
          </w:tcPr>
          <w:p w14:paraId="020B8F0F"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Market-to-book</w:t>
            </w:r>
          </w:p>
        </w:tc>
        <w:tc>
          <w:tcPr>
            <w:tcW w:w="1374" w:type="pct"/>
            <w:tcBorders>
              <w:top w:val="nil"/>
              <w:left w:val="nil"/>
              <w:bottom w:val="nil"/>
              <w:right w:val="nil"/>
            </w:tcBorders>
            <w:shd w:val="clear" w:color="000000" w:fill="FFFFFF"/>
            <w:noWrap/>
            <w:vAlign w:val="bottom"/>
            <w:hideMark/>
          </w:tcPr>
          <w:p w14:paraId="107BDB97"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0.011</w:t>
            </w:r>
          </w:p>
        </w:tc>
        <w:tc>
          <w:tcPr>
            <w:tcW w:w="1637" w:type="pct"/>
            <w:tcBorders>
              <w:top w:val="nil"/>
              <w:left w:val="nil"/>
              <w:bottom w:val="nil"/>
              <w:right w:val="nil"/>
            </w:tcBorders>
            <w:shd w:val="clear" w:color="000000" w:fill="FFFFFF"/>
            <w:noWrap/>
            <w:vAlign w:val="bottom"/>
            <w:hideMark/>
          </w:tcPr>
          <w:p w14:paraId="7AA3D89E"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0.003</w:t>
            </w:r>
          </w:p>
        </w:tc>
      </w:tr>
      <w:tr w:rsidR="00E57A11" w:rsidRPr="00F62082" w14:paraId="516FC7A7" w14:textId="77777777" w:rsidTr="002753C1">
        <w:trPr>
          <w:trHeight w:val="57"/>
          <w:jc w:val="center"/>
        </w:trPr>
        <w:tc>
          <w:tcPr>
            <w:tcW w:w="1989" w:type="pct"/>
            <w:tcBorders>
              <w:top w:val="nil"/>
              <w:left w:val="nil"/>
              <w:bottom w:val="nil"/>
              <w:right w:val="nil"/>
            </w:tcBorders>
            <w:shd w:val="clear" w:color="000000" w:fill="FFFFFF"/>
            <w:noWrap/>
            <w:vAlign w:val="bottom"/>
            <w:hideMark/>
          </w:tcPr>
          <w:p w14:paraId="4EE01DB2"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374" w:type="pct"/>
            <w:tcBorders>
              <w:top w:val="nil"/>
              <w:left w:val="nil"/>
              <w:bottom w:val="nil"/>
              <w:right w:val="nil"/>
            </w:tcBorders>
            <w:shd w:val="clear" w:color="000000" w:fill="FFFFFF"/>
            <w:noWrap/>
            <w:vAlign w:val="bottom"/>
            <w:hideMark/>
          </w:tcPr>
          <w:p w14:paraId="06E00385"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(0.86)</w:t>
            </w:r>
          </w:p>
        </w:tc>
        <w:tc>
          <w:tcPr>
            <w:tcW w:w="1637" w:type="pct"/>
            <w:tcBorders>
              <w:top w:val="nil"/>
              <w:left w:val="nil"/>
              <w:bottom w:val="nil"/>
              <w:right w:val="nil"/>
            </w:tcBorders>
            <w:shd w:val="clear" w:color="000000" w:fill="FFFFFF"/>
            <w:noWrap/>
            <w:vAlign w:val="bottom"/>
            <w:hideMark/>
          </w:tcPr>
          <w:p w14:paraId="5AF3AE3A"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(0.45)</w:t>
            </w:r>
          </w:p>
        </w:tc>
      </w:tr>
      <w:tr w:rsidR="00E57A11" w:rsidRPr="00F62082" w14:paraId="515A4321" w14:textId="77777777" w:rsidTr="002753C1">
        <w:trPr>
          <w:trHeight w:val="57"/>
          <w:jc w:val="center"/>
        </w:trPr>
        <w:tc>
          <w:tcPr>
            <w:tcW w:w="1989" w:type="pct"/>
            <w:tcBorders>
              <w:top w:val="nil"/>
              <w:left w:val="nil"/>
              <w:bottom w:val="nil"/>
              <w:right w:val="nil"/>
            </w:tcBorders>
            <w:shd w:val="clear" w:color="000000" w:fill="FFFFFF"/>
            <w:noWrap/>
            <w:hideMark/>
          </w:tcPr>
          <w:p w14:paraId="484B30AD"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Tangibility</w:t>
            </w:r>
          </w:p>
        </w:tc>
        <w:tc>
          <w:tcPr>
            <w:tcW w:w="1374" w:type="pct"/>
            <w:tcBorders>
              <w:top w:val="nil"/>
              <w:left w:val="nil"/>
              <w:bottom w:val="nil"/>
              <w:right w:val="nil"/>
            </w:tcBorders>
            <w:shd w:val="clear" w:color="000000" w:fill="FFFFFF"/>
            <w:noWrap/>
            <w:vAlign w:val="bottom"/>
            <w:hideMark/>
          </w:tcPr>
          <w:p w14:paraId="079742FB"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-0.324</w:t>
            </w:r>
          </w:p>
        </w:tc>
        <w:tc>
          <w:tcPr>
            <w:tcW w:w="1637" w:type="pct"/>
            <w:tcBorders>
              <w:top w:val="nil"/>
              <w:left w:val="nil"/>
              <w:bottom w:val="nil"/>
              <w:right w:val="nil"/>
            </w:tcBorders>
            <w:shd w:val="clear" w:color="000000" w:fill="FFFFFF"/>
            <w:noWrap/>
            <w:vAlign w:val="bottom"/>
            <w:hideMark/>
          </w:tcPr>
          <w:p w14:paraId="50F13A66"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-0.054</w:t>
            </w:r>
          </w:p>
        </w:tc>
      </w:tr>
      <w:tr w:rsidR="00E57A11" w:rsidRPr="00F62082" w14:paraId="48C178C4" w14:textId="77777777" w:rsidTr="002753C1">
        <w:trPr>
          <w:trHeight w:val="57"/>
          <w:jc w:val="center"/>
        </w:trPr>
        <w:tc>
          <w:tcPr>
            <w:tcW w:w="1989" w:type="pct"/>
            <w:tcBorders>
              <w:top w:val="nil"/>
              <w:left w:val="nil"/>
              <w:bottom w:val="nil"/>
              <w:right w:val="nil"/>
            </w:tcBorders>
            <w:shd w:val="clear" w:color="000000" w:fill="FFFFFF"/>
            <w:noWrap/>
            <w:vAlign w:val="bottom"/>
            <w:hideMark/>
          </w:tcPr>
          <w:p w14:paraId="0ECE2E4B"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374" w:type="pct"/>
            <w:tcBorders>
              <w:top w:val="nil"/>
              <w:left w:val="nil"/>
              <w:bottom w:val="nil"/>
              <w:right w:val="nil"/>
            </w:tcBorders>
            <w:shd w:val="clear" w:color="000000" w:fill="FFFFFF"/>
            <w:noWrap/>
            <w:vAlign w:val="bottom"/>
            <w:hideMark/>
          </w:tcPr>
          <w:p w14:paraId="16D2BCE7"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(-0.62)</w:t>
            </w:r>
          </w:p>
        </w:tc>
        <w:tc>
          <w:tcPr>
            <w:tcW w:w="1637" w:type="pct"/>
            <w:tcBorders>
              <w:top w:val="nil"/>
              <w:left w:val="nil"/>
              <w:bottom w:val="nil"/>
              <w:right w:val="nil"/>
            </w:tcBorders>
            <w:shd w:val="clear" w:color="000000" w:fill="FFFFFF"/>
            <w:noWrap/>
            <w:vAlign w:val="bottom"/>
            <w:hideMark/>
          </w:tcPr>
          <w:p w14:paraId="2DA5B29A"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(-0.35)</w:t>
            </w:r>
          </w:p>
        </w:tc>
      </w:tr>
      <w:tr w:rsidR="00E57A11" w:rsidRPr="00F62082" w14:paraId="67F6CE07" w14:textId="77777777" w:rsidTr="002753C1">
        <w:trPr>
          <w:trHeight w:val="57"/>
          <w:jc w:val="center"/>
        </w:trPr>
        <w:tc>
          <w:tcPr>
            <w:tcW w:w="1989" w:type="pct"/>
            <w:tcBorders>
              <w:top w:val="nil"/>
              <w:left w:val="nil"/>
              <w:bottom w:val="nil"/>
              <w:right w:val="nil"/>
            </w:tcBorders>
            <w:shd w:val="clear" w:color="000000" w:fill="FFFFFF"/>
            <w:noWrap/>
            <w:hideMark/>
          </w:tcPr>
          <w:p w14:paraId="4142C13C"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Capex</w:t>
            </w:r>
          </w:p>
        </w:tc>
        <w:tc>
          <w:tcPr>
            <w:tcW w:w="1374" w:type="pct"/>
            <w:tcBorders>
              <w:top w:val="nil"/>
              <w:left w:val="nil"/>
              <w:bottom w:val="nil"/>
              <w:right w:val="nil"/>
            </w:tcBorders>
            <w:shd w:val="clear" w:color="000000" w:fill="FFFFFF"/>
            <w:noWrap/>
            <w:vAlign w:val="bottom"/>
            <w:hideMark/>
          </w:tcPr>
          <w:p w14:paraId="38FBDFF5"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-0.865</w:t>
            </w:r>
          </w:p>
        </w:tc>
        <w:tc>
          <w:tcPr>
            <w:tcW w:w="1637" w:type="pct"/>
            <w:tcBorders>
              <w:top w:val="nil"/>
              <w:left w:val="nil"/>
              <w:bottom w:val="nil"/>
              <w:right w:val="nil"/>
            </w:tcBorders>
            <w:shd w:val="clear" w:color="000000" w:fill="FFFFFF"/>
            <w:noWrap/>
            <w:vAlign w:val="bottom"/>
            <w:hideMark/>
          </w:tcPr>
          <w:p w14:paraId="31CB8695"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-0.281</w:t>
            </w:r>
          </w:p>
        </w:tc>
      </w:tr>
      <w:tr w:rsidR="00E57A11" w:rsidRPr="00F62082" w14:paraId="3D824889" w14:textId="77777777" w:rsidTr="002753C1">
        <w:trPr>
          <w:trHeight w:val="57"/>
          <w:jc w:val="center"/>
        </w:trPr>
        <w:tc>
          <w:tcPr>
            <w:tcW w:w="1989" w:type="pct"/>
            <w:tcBorders>
              <w:top w:val="nil"/>
              <w:left w:val="nil"/>
              <w:bottom w:val="nil"/>
              <w:right w:val="nil"/>
            </w:tcBorders>
            <w:shd w:val="clear" w:color="000000" w:fill="FFFFFF"/>
            <w:noWrap/>
            <w:vAlign w:val="bottom"/>
            <w:hideMark/>
          </w:tcPr>
          <w:p w14:paraId="024AE2D3" w14:textId="77777777" w:rsidR="00E57A11" w:rsidRPr="00DA1D07" w:rsidRDefault="00E57A11" w:rsidP="002753C1">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 </w:t>
            </w:r>
          </w:p>
        </w:tc>
        <w:tc>
          <w:tcPr>
            <w:tcW w:w="1374" w:type="pct"/>
            <w:tcBorders>
              <w:top w:val="nil"/>
              <w:left w:val="nil"/>
              <w:bottom w:val="nil"/>
              <w:right w:val="nil"/>
            </w:tcBorders>
            <w:shd w:val="clear" w:color="000000" w:fill="FFFFFF"/>
            <w:noWrap/>
            <w:vAlign w:val="bottom"/>
            <w:hideMark/>
          </w:tcPr>
          <w:p w14:paraId="0DEC6AEF"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(-1.03)</w:t>
            </w:r>
          </w:p>
        </w:tc>
        <w:tc>
          <w:tcPr>
            <w:tcW w:w="1637" w:type="pct"/>
            <w:tcBorders>
              <w:top w:val="nil"/>
              <w:left w:val="nil"/>
              <w:bottom w:val="nil"/>
              <w:right w:val="nil"/>
            </w:tcBorders>
            <w:shd w:val="clear" w:color="000000" w:fill="FFFFFF"/>
            <w:noWrap/>
            <w:vAlign w:val="bottom"/>
            <w:hideMark/>
          </w:tcPr>
          <w:p w14:paraId="41CF01BB"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(-0.94)</w:t>
            </w:r>
          </w:p>
        </w:tc>
      </w:tr>
      <w:tr w:rsidR="00E57A11" w:rsidRPr="00F62082" w14:paraId="5A7FAB47" w14:textId="77777777" w:rsidTr="002753C1">
        <w:trPr>
          <w:trHeight w:val="57"/>
          <w:jc w:val="center"/>
        </w:trPr>
        <w:tc>
          <w:tcPr>
            <w:tcW w:w="1989" w:type="pct"/>
            <w:tcBorders>
              <w:top w:val="nil"/>
              <w:left w:val="nil"/>
              <w:bottom w:val="nil"/>
              <w:right w:val="nil"/>
            </w:tcBorders>
            <w:shd w:val="clear" w:color="000000" w:fill="FFFFFF"/>
            <w:noWrap/>
            <w:hideMark/>
          </w:tcPr>
          <w:p w14:paraId="4A25954C"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RET</w:t>
            </w:r>
          </w:p>
        </w:tc>
        <w:tc>
          <w:tcPr>
            <w:tcW w:w="1374" w:type="pct"/>
            <w:tcBorders>
              <w:top w:val="nil"/>
              <w:left w:val="nil"/>
              <w:bottom w:val="nil"/>
              <w:right w:val="nil"/>
            </w:tcBorders>
            <w:shd w:val="clear" w:color="000000" w:fill="FFFFFF"/>
            <w:noWrap/>
            <w:vAlign w:val="bottom"/>
            <w:hideMark/>
          </w:tcPr>
          <w:p w14:paraId="1EDD632C"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0.104</w:t>
            </w:r>
          </w:p>
        </w:tc>
        <w:tc>
          <w:tcPr>
            <w:tcW w:w="1637" w:type="pct"/>
            <w:tcBorders>
              <w:top w:val="nil"/>
              <w:left w:val="nil"/>
              <w:bottom w:val="nil"/>
              <w:right w:val="nil"/>
            </w:tcBorders>
            <w:shd w:val="clear" w:color="000000" w:fill="FFFFFF"/>
            <w:noWrap/>
            <w:vAlign w:val="bottom"/>
            <w:hideMark/>
          </w:tcPr>
          <w:p w14:paraId="2E324B4E"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0.025</w:t>
            </w:r>
          </w:p>
        </w:tc>
      </w:tr>
      <w:tr w:rsidR="00E57A11" w:rsidRPr="00F62082" w14:paraId="0C0EBAF4" w14:textId="77777777" w:rsidTr="002753C1">
        <w:trPr>
          <w:trHeight w:val="57"/>
          <w:jc w:val="center"/>
        </w:trPr>
        <w:tc>
          <w:tcPr>
            <w:tcW w:w="1989" w:type="pct"/>
            <w:tcBorders>
              <w:top w:val="nil"/>
              <w:left w:val="nil"/>
              <w:bottom w:val="nil"/>
              <w:right w:val="nil"/>
            </w:tcBorders>
            <w:shd w:val="clear" w:color="000000" w:fill="FFFFFF"/>
            <w:noWrap/>
            <w:vAlign w:val="bottom"/>
            <w:hideMark/>
          </w:tcPr>
          <w:p w14:paraId="6EDAA89E"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374" w:type="pct"/>
            <w:tcBorders>
              <w:top w:val="nil"/>
              <w:left w:val="nil"/>
              <w:bottom w:val="nil"/>
              <w:right w:val="nil"/>
            </w:tcBorders>
            <w:shd w:val="clear" w:color="000000" w:fill="FFFFFF"/>
            <w:noWrap/>
            <w:vAlign w:val="bottom"/>
            <w:hideMark/>
          </w:tcPr>
          <w:p w14:paraId="5583AFD5"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(1.55)</w:t>
            </w:r>
          </w:p>
        </w:tc>
        <w:tc>
          <w:tcPr>
            <w:tcW w:w="1637" w:type="pct"/>
            <w:tcBorders>
              <w:top w:val="nil"/>
              <w:left w:val="nil"/>
              <w:bottom w:val="nil"/>
              <w:right w:val="nil"/>
            </w:tcBorders>
            <w:shd w:val="clear" w:color="000000" w:fill="FFFFFF"/>
            <w:noWrap/>
            <w:vAlign w:val="bottom"/>
            <w:hideMark/>
          </w:tcPr>
          <w:p w14:paraId="37FD50BA"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(1.07)</w:t>
            </w:r>
          </w:p>
        </w:tc>
      </w:tr>
      <w:tr w:rsidR="00E57A11" w:rsidRPr="00F62082" w14:paraId="25CD9E35" w14:textId="77777777" w:rsidTr="002753C1">
        <w:trPr>
          <w:trHeight w:val="57"/>
          <w:jc w:val="center"/>
        </w:trPr>
        <w:tc>
          <w:tcPr>
            <w:tcW w:w="1989" w:type="pct"/>
            <w:tcBorders>
              <w:top w:val="nil"/>
              <w:left w:val="nil"/>
              <w:bottom w:val="nil"/>
              <w:right w:val="nil"/>
            </w:tcBorders>
            <w:shd w:val="clear" w:color="000000" w:fill="FFFFFF"/>
            <w:noWrap/>
            <w:vAlign w:val="bottom"/>
            <w:hideMark/>
          </w:tcPr>
          <w:p w14:paraId="2C26CBC7"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CEOage</w:t>
            </w:r>
            <w:proofErr w:type="spellEnd"/>
          </w:p>
        </w:tc>
        <w:tc>
          <w:tcPr>
            <w:tcW w:w="1374" w:type="pct"/>
            <w:tcBorders>
              <w:top w:val="nil"/>
              <w:left w:val="nil"/>
              <w:bottom w:val="nil"/>
              <w:right w:val="nil"/>
            </w:tcBorders>
            <w:shd w:val="clear" w:color="000000" w:fill="FFFFFF"/>
            <w:noWrap/>
            <w:vAlign w:val="bottom"/>
            <w:hideMark/>
          </w:tcPr>
          <w:p w14:paraId="6764606A"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0.004</w:t>
            </w:r>
          </w:p>
        </w:tc>
        <w:tc>
          <w:tcPr>
            <w:tcW w:w="1637" w:type="pct"/>
            <w:tcBorders>
              <w:top w:val="nil"/>
              <w:left w:val="nil"/>
              <w:bottom w:val="nil"/>
              <w:right w:val="nil"/>
            </w:tcBorders>
            <w:shd w:val="clear" w:color="000000" w:fill="FFFFFF"/>
            <w:noWrap/>
            <w:vAlign w:val="bottom"/>
            <w:hideMark/>
          </w:tcPr>
          <w:p w14:paraId="10D3BB85"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0.002</w:t>
            </w:r>
          </w:p>
        </w:tc>
      </w:tr>
      <w:tr w:rsidR="00E57A11" w:rsidRPr="00F62082" w14:paraId="5BBFC87A" w14:textId="77777777" w:rsidTr="002753C1">
        <w:trPr>
          <w:trHeight w:val="57"/>
          <w:jc w:val="center"/>
        </w:trPr>
        <w:tc>
          <w:tcPr>
            <w:tcW w:w="1989" w:type="pct"/>
            <w:tcBorders>
              <w:top w:val="nil"/>
              <w:left w:val="nil"/>
              <w:bottom w:val="nil"/>
              <w:right w:val="nil"/>
            </w:tcBorders>
            <w:shd w:val="clear" w:color="000000" w:fill="FFFFFF"/>
            <w:noWrap/>
            <w:vAlign w:val="bottom"/>
            <w:hideMark/>
          </w:tcPr>
          <w:p w14:paraId="5C3B1644"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374" w:type="pct"/>
            <w:tcBorders>
              <w:top w:val="nil"/>
              <w:left w:val="nil"/>
              <w:bottom w:val="nil"/>
              <w:right w:val="nil"/>
            </w:tcBorders>
            <w:shd w:val="clear" w:color="000000" w:fill="FFFFFF"/>
            <w:noWrap/>
            <w:vAlign w:val="bottom"/>
            <w:hideMark/>
          </w:tcPr>
          <w:p w14:paraId="61D225B0"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(0.51)</w:t>
            </w:r>
          </w:p>
        </w:tc>
        <w:tc>
          <w:tcPr>
            <w:tcW w:w="1637" w:type="pct"/>
            <w:tcBorders>
              <w:top w:val="nil"/>
              <w:left w:val="nil"/>
              <w:bottom w:val="nil"/>
              <w:right w:val="nil"/>
            </w:tcBorders>
            <w:shd w:val="clear" w:color="000000" w:fill="FFFFFF"/>
            <w:noWrap/>
            <w:vAlign w:val="bottom"/>
            <w:hideMark/>
          </w:tcPr>
          <w:p w14:paraId="55FCBBDC"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(0.88)</w:t>
            </w:r>
          </w:p>
        </w:tc>
      </w:tr>
      <w:tr w:rsidR="00E57A11" w:rsidRPr="00F62082" w14:paraId="1B05C9FB" w14:textId="77777777" w:rsidTr="002753C1">
        <w:trPr>
          <w:trHeight w:val="57"/>
          <w:jc w:val="center"/>
        </w:trPr>
        <w:tc>
          <w:tcPr>
            <w:tcW w:w="1989" w:type="pct"/>
            <w:tcBorders>
              <w:top w:val="nil"/>
              <w:left w:val="nil"/>
              <w:bottom w:val="nil"/>
              <w:right w:val="nil"/>
            </w:tcBorders>
            <w:shd w:val="clear" w:color="000000" w:fill="FFFFFF"/>
            <w:noWrap/>
            <w:vAlign w:val="bottom"/>
            <w:hideMark/>
          </w:tcPr>
          <w:p w14:paraId="677ADD30"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CEOtenure</w:t>
            </w:r>
            <w:proofErr w:type="spellEnd"/>
          </w:p>
        </w:tc>
        <w:tc>
          <w:tcPr>
            <w:tcW w:w="1374" w:type="pct"/>
            <w:tcBorders>
              <w:top w:val="nil"/>
              <w:left w:val="nil"/>
              <w:bottom w:val="nil"/>
              <w:right w:val="nil"/>
            </w:tcBorders>
            <w:shd w:val="clear" w:color="000000" w:fill="FFFFFF"/>
            <w:noWrap/>
            <w:vAlign w:val="bottom"/>
            <w:hideMark/>
          </w:tcPr>
          <w:p w14:paraId="6F8477B7"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0.002</w:t>
            </w:r>
          </w:p>
        </w:tc>
        <w:tc>
          <w:tcPr>
            <w:tcW w:w="1637" w:type="pct"/>
            <w:tcBorders>
              <w:top w:val="nil"/>
              <w:left w:val="nil"/>
              <w:bottom w:val="nil"/>
              <w:right w:val="nil"/>
            </w:tcBorders>
            <w:shd w:val="clear" w:color="000000" w:fill="FFFFFF"/>
            <w:noWrap/>
            <w:vAlign w:val="bottom"/>
            <w:hideMark/>
          </w:tcPr>
          <w:p w14:paraId="47F19C4B"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0.001</w:t>
            </w:r>
          </w:p>
        </w:tc>
      </w:tr>
      <w:tr w:rsidR="00E57A11" w:rsidRPr="00F62082" w14:paraId="6113D39B" w14:textId="77777777" w:rsidTr="002753C1">
        <w:trPr>
          <w:trHeight w:val="57"/>
          <w:jc w:val="center"/>
        </w:trPr>
        <w:tc>
          <w:tcPr>
            <w:tcW w:w="1989" w:type="pct"/>
            <w:tcBorders>
              <w:top w:val="nil"/>
              <w:left w:val="nil"/>
              <w:bottom w:val="nil"/>
              <w:right w:val="nil"/>
            </w:tcBorders>
            <w:shd w:val="clear" w:color="000000" w:fill="FFFFFF"/>
            <w:noWrap/>
            <w:vAlign w:val="bottom"/>
            <w:hideMark/>
          </w:tcPr>
          <w:p w14:paraId="482268C4" w14:textId="77777777" w:rsidR="00E57A11" w:rsidRPr="00DA1D07" w:rsidRDefault="00E57A11" w:rsidP="002753C1">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 </w:t>
            </w:r>
          </w:p>
        </w:tc>
        <w:tc>
          <w:tcPr>
            <w:tcW w:w="1374" w:type="pct"/>
            <w:tcBorders>
              <w:top w:val="nil"/>
              <w:left w:val="nil"/>
              <w:bottom w:val="nil"/>
              <w:right w:val="nil"/>
            </w:tcBorders>
            <w:shd w:val="clear" w:color="000000" w:fill="FFFFFF"/>
            <w:noWrap/>
            <w:vAlign w:val="bottom"/>
            <w:hideMark/>
          </w:tcPr>
          <w:p w14:paraId="6B1A0516"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(0.25)</w:t>
            </w:r>
          </w:p>
        </w:tc>
        <w:tc>
          <w:tcPr>
            <w:tcW w:w="1637" w:type="pct"/>
            <w:tcBorders>
              <w:top w:val="nil"/>
              <w:left w:val="nil"/>
              <w:bottom w:val="nil"/>
              <w:right w:val="nil"/>
            </w:tcBorders>
            <w:shd w:val="clear" w:color="000000" w:fill="FFFFFF"/>
            <w:noWrap/>
            <w:vAlign w:val="bottom"/>
            <w:hideMark/>
          </w:tcPr>
          <w:p w14:paraId="60420DAF"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(0.44)</w:t>
            </w:r>
          </w:p>
        </w:tc>
      </w:tr>
      <w:tr w:rsidR="00E57A11" w:rsidRPr="00F62082" w14:paraId="074D9AAA" w14:textId="77777777" w:rsidTr="002753C1">
        <w:trPr>
          <w:trHeight w:val="57"/>
          <w:jc w:val="center"/>
        </w:trPr>
        <w:tc>
          <w:tcPr>
            <w:tcW w:w="1989" w:type="pct"/>
            <w:tcBorders>
              <w:top w:val="nil"/>
              <w:left w:val="nil"/>
              <w:bottom w:val="nil"/>
              <w:right w:val="nil"/>
            </w:tcBorders>
            <w:shd w:val="clear" w:color="000000" w:fill="FFFFFF"/>
            <w:noWrap/>
            <w:vAlign w:val="bottom"/>
            <w:hideMark/>
          </w:tcPr>
          <w:p w14:paraId="50A9C3C4"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Constant</w:t>
            </w:r>
          </w:p>
        </w:tc>
        <w:tc>
          <w:tcPr>
            <w:tcW w:w="1374" w:type="pct"/>
            <w:tcBorders>
              <w:top w:val="nil"/>
              <w:left w:val="nil"/>
              <w:bottom w:val="nil"/>
              <w:right w:val="nil"/>
            </w:tcBorders>
            <w:shd w:val="clear" w:color="000000" w:fill="FFFFFF"/>
            <w:noWrap/>
            <w:vAlign w:val="bottom"/>
            <w:hideMark/>
          </w:tcPr>
          <w:p w14:paraId="1BC8039B"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0.240</w:t>
            </w:r>
          </w:p>
        </w:tc>
        <w:tc>
          <w:tcPr>
            <w:tcW w:w="1637" w:type="pct"/>
            <w:tcBorders>
              <w:top w:val="nil"/>
              <w:left w:val="nil"/>
              <w:bottom w:val="nil"/>
              <w:right w:val="nil"/>
            </w:tcBorders>
            <w:shd w:val="clear" w:color="000000" w:fill="FFFFFF"/>
            <w:noWrap/>
            <w:vAlign w:val="bottom"/>
            <w:hideMark/>
          </w:tcPr>
          <w:p w14:paraId="633F1D22"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0.863***</w:t>
            </w:r>
          </w:p>
        </w:tc>
      </w:tr>
      <w:tr w:rsidR="00E57A11" w:rsidRPr="00F62082" w14:paraId="39A7EFAE" w14:textId="77777777" w:rsidTr="007B6B48">
        <w:trPr>
          <w:trHeight w:val="57"/>
          <w:jc w:val="center"/>
        </w:trPr>
        <w:tc>
          <w:tcPr>
            <w:tcW w:w="1989" w:type="pct"/>
            <w:tcBorders>
              <w:top w:val="nil"/>
              <w:left w:val="nil"/>
              <w:right w:val="nil"/>
            </w:tcBorders>
            <w:shd w:val="clear" w:color="000000" w:fill="FFFFFF"/>
            <w:noWrap/>
            <w:vAlign w:val="bottom"/>
            <w:hideMark/>
          </w:tcPr>
          <w:p w14:paraId="47332228" w14:textId="77777777" w:rsidR="00E57A11" w:rsidRPr="00DA1D07" w:rsidRDefault="00E57A11" w:rsidP="002753C1">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 </w:t>
            </w:r>
          </w:p>
        </w:tc>
        <w:tc>
          <w:tcPr>
            <w:tcW w:w="1374" w:type="pct"/>
            <w:tcBorders>
              <w:top w:val="nil"/>
              <w:left w:val="nil"/>
              <w:right w:val="nil"/>
            </w:tcBorders>
            <w:shd w:val="clear" w:color="000000" w:fill="FFFFFF"/>
            <w:noWrap/>
            <w:vAlign w:val="bottom"/>
            <w:hideMark/>
          </w:tcPr>
          <w:p w14:paraId="0FB22D6E"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(0.31)</w:t>
            </w:r>
          </w:p>
        </w:tc>
        <w:tc>
          <w:tcPr>
            <w:tcW w:w="1637" w:type="pct"/>
            <w:tcBorders>
              <w:top w:val="nil"/>
              <w:left w:val="nil"/>
              <w:right w:val="nil"/>
            </w:tcBorders>
            <w:shd w:val="clear" w:color="000000" w:fill="FFFFFF"/>
            <w:noWrap/>
            <w:vAlign w:val="bottom"/>
            <w:hideMark/>
          </w:tcPr>
          <w:p w14:paraId="418580B8"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(3.37)</w:t>
            </w:r>
          </w:p>
        </w:tc>
      </w:tr>
      <w:tr w:rsidR="00E57A11" w:rsidRPr="00F62082" w14:paraId="212B7934" w14:textId="77777777" w:rsidTr="007B6B48">
        <w:trPr>
          <w:trHeight w:val="57"/>
          <w:jc w:val="center"/>
        </w:trPr>
        <w:tc>
          <w:tcPr>
            <w:tcW w:w="1989" w:type="pct"/>
            <w:shd w:val="clear" w:color="000000" w:fill="FFFFFF"/>
            <w:noWrap/>
            <w:vAlign w:val="bottom"/>
            <w:hideMark/>
          </w:tcPr>
          <w:p w14:paraId="7AA2C212" w14:textId="77777777" w:rsidR="00E57A11" w:rsidRPr="00DA1D07" w:rsidRDefault="00E57A11" w:rsidP="002753C1">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R-squared</w:t>
            </w:r>
          </w:p>
        </w:tc>
        <w:tc>
          <w:tcPr>
            <w:tcW w:w="1374" w:type="pct"/>
            <w:shd w:val="clear" w:color="000000" w:fill="FFFFFF"/>
            <w:noWrap/>
            <w:vAlign w:val="bottom"/>
            <w:hideMark/>
          </w:tcPr>
          <w:p w14:paraId="50FC20E7"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0.548</w:t>
            </w:r>
          </w:p>
        </w:tc>
        <w:tc>
          <w:tcPr>
            <w:tcW w:w="1637" w:type="pct"/>
            <w:shd w:val="clear" w:color="000000" w:fill="FFFFFF"/>
            <w:noWrap/>
            <w:vAlign w:val="bottom"/>
            <w:hideMark/>
          </w:tcPr>
          <w:p w14:paraId="73871B33" w14:textId="1AE35FFC"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p>
        </w:tc>
      </w:tr>
      <w:tr w:rsidR="00E57A11" w:rsidRPr="00F62082" w14:paraId="711B714D" w14:textId="77777777" w:rsidTr="007B6B48">
        <w:trPr>
          <w:trHeight w:val="57"/>
          <w:jc w:val="center"/>
        </w:trPr>
        <w:tc>
          <w:tcPr>
            <w:tcW w:w="1989" w:type="pct"/>
            <w:shd w:val="clear" w:color="000000" w:fill="FFFFFF"/>
            <w:noWrap/>
            <w:vAlign w:val="bottom"/>
            <w:hideMark/>
          </w:tcPr>
          <w:p w14:paraId="1BD5752B"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lastRenderedPageBreak/>
              <w:t>Log-likelihood</w:t>
            </w:r>
          </w:p>
        </w:tc>
        <w:tc>
          <w:tcPr>
            <w:tcW w:w="1374" w:type="pct"/>
            <w:shd w:val="clear" w:color="000000" w:fill="FFFFFF"/>
            <w:noWrap/>
            <w:vAlign w:val="bottom"/>
            <w:hideMark/>
          </w:tcPr>
          <w:p w14:paraId="66FCABB7"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p>
        </w:tc>
        <w:tc>
          <w:tcPr>
            <w:tcW w:w="1637" w:type="pct"/>
            <w:shd w:val="clear" w:color="000000" w:fill="FFFFFF"/>
            <w:noWrap/>
            <w:vAlign w:val="bottom"/>
            <w:hideMark/>
          </w:tcPr>
          <w:p w14:paraId="0654750F" w14:textId="220344CD" w:rsidR="00E57A11" w:rsidRPr="00DA1D07" w:rsidRDefault="007B6B48"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-31</w:t>
            </w:r>
            <w:r w:rsidR="00280DFC">
              <w:rPr>
                <w:rFonts w:ascii="Times New Roman" w:eastAsia="Times New Roman" w:hAnsi="Times New Roman" w:cs="Times New Roman"/>
                <w:color w:val="000000"/>
                <w:sz w:val="24"/>
                <w:szCs w:val="24"/>
                <w:lang w:val="en-US" w:eastAsia="en-GB"/>
              </w:rPr>
              <w:t>,</w:t>
            </w:r>
            <w:r w:rsidRPr="00DA1D07">
              <w:rPr>
                <w:rFonts w:ascii="Times New Roman" w:eastAsia="Times New Roman" w:hAnsi="Times New Roman" w:cs="Times New Roman"/>
                <w:color w:val="000000"/>
                <w:sz w:val="24"/>
                <w:szCs w:val="24"/>
                <w:lang w:val="en-US" w:eastAsia="en-GB"/>
              </w:rPr>
              <w:t>753.488</w:t>
            </w:r>
          </w:p>
        </w:tc>
      </w:tr>
      <w:tr w:rsidR="00E57A11" w:rsidRPr="00F62082" w14:paraId="35CB4650" w14:textId="77777777" w:rsidTr="007B6B48">
        <w:trPr>
          <w:trHeight w:val="57"/>
          <w:jc w:val="center"/>
        </w:trPr>
        <w:tc>
          <w:tcPr>
            <w:tcW w:w="1989" w:type="pct"/>
            <w:shd w:val="clear" w:color="000000" w:fill="FFFFFF"/>
            <w:noWrap/>
            <w:vAlign w:val="bottom"/>
            <w:hideMark/>
          </w:tcPr>
          <w:p w14:paraId="44D6814C" w14:textId="77777777" w:rsidR="00E57A11" w:rsidRPr="00DA1D07" w:rsidRDefault="00E57A11" w:rsidP="002753C1">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Observations</w:t>
            </w:r>
          </w:p>
        </w:tc>
        <w:tc>
          <w:tcPr>
            <w:tcW w:w="1374" w:type="pct"/>
            <w:shd w:val="clear" w:color="000000" w:fill="FFFFFF"/>
            <w:noWrap/>
            <w:vAlign w:val="bottom"/>
            <w:hideMark/>
          </w:tcPr>
          <w:p w14:paraId="742B10DB"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17,831</w:t>
            </w:r>
          </w:p>
        </w:tc>
        <w:tc>
          <w:tcPr>
            <w:tcW w:w="1637" w:type="pct"/>
            <w:shd w:val="clear" w:color="000000" w:fill="FFFFFF"/>
            <w:noWrap/>
            <w:vAlign w:val="bottom"/>
            <w:hideMark/>
          </w:tcPr>
          <w:p w14:paraId="33329001" w14:textId="531652A5"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17,831</w:t>
            </w:r>
          </w:p>
        </w:tc>
      </w:tr>
      <w:tr w:rsidR="00E57A11" w:rsidRPr="00F62082" w14:paraId="6E26A871" w14:textId="77777777" w:rsidTr="007B6B48">
        <w:trPr>
          <w:trHeight w:val="57"/>
          <w:jc w:val="center"/>
        </w:trPr>
        <w:tc>
          <w:tcPr>
            <w:tcW w:w="1989" w:type="pct"/>
            <w:shd w:val="clear" w:color="000000" w:fill="FFFFFF"/>
            <w:noWrap/>
            <w:vAlign w:val="bottom"/>
            <w:hideMark/>
          </w:tcPr>
          <w:p w14:paraId="52553DA2" w14:textId="77777777" w:rsidR="00E57A11" w:rsidRPr="00DA1D07" w:rsidRDefault="00E57A11" w:rsidP="002753C1">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Firm fixed effects</w:t>
            </w:r>
          </w:p>
        </w:tc>
        <w:tc>
          <w:tcPr>
            <w:tcW w:w="1374" w:type="pct"/>
            <w:shd w:val="clear" w:color="000000" w:fill="FFFFFF"/>
            <w:noWrap/>
            <w:vAlign w:val="bottom"/>
            <w:hideMark/>
          </w:tcPr>
          <w:p w14:paraId="2B2A5023"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Yes</w:t>
            </w:r>
          </w:p>
        </w:tc>
        <w:tc>
          <w:tcPr>
            <w:tcW w:w="1637" w:type="pct"/>
            <w:shd w:val="clear" w:color="000000" w:fill="FFFFFF"/>
            <w:noWrap/>
            <w:vAlign w:val="bottom"/>
            <w:hideMark/>
          </w:tcPr>
          <w:p w14:paraId="115111DB"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Yes</w:t>
            </w:r>
          </w:p>
        </w:tc>
      </w:tr>
      <w:tr w:rsidR="00E57A11" w:rsidRPr="00F62082" w14:paraId="494E6B98" w14:textId="77777777" w:rsidTr="007B6B48">
        <w:trPr>
          <w:trHeight w:val="57"/>
          <w:jc w:val="center"/>
        </w:trPr>
        <w:tc>
          <w:tcPr>
            <w:tcW w:w="1989" w:type="pct"/>
            <w:tcBorders>
              <w:left w:val="nil"/>
              <w:bottom w:val="nil"/>
              <w:right w:val="nil"/>
            </w:tcBorders>
            <w:shd w:val="clear" w:color="000000" w:fill="FFFFFF"/>
            <w:noWrap/>
            <w:vAlign w:val="bottom"/>
            <w:hideMark/>
          </w:tcPr>
          <w:p w14:paraId="5C18E57E" w14:textId="77777777" w:rsidR="00E57A11" w:rsidRPr="00DA1D07" w:rsidRDefault="00E57A11" w:rsidP="002753C1">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Year fixed effects</w:t>
            </w:r>
          </w:p>
        </w:tc>
        <w:tc>
          <w:tcPr>
            <w:tcW w:w="1374" w:type="pct"/>
            <w:tcBorders>
              <w:left w:val="nil"/>
              <w:bottom w:val="nil"/>
              <w:right w:val="nil"/>
            </w:tcBorders>
            <w:shd w:val="clear" w:color="000000" w:fill="FFFFFF"/>
            <w:noWrap/>
            <w:vAlign w:val="bottom"/>
            <w:hideMark/>
          </w:tcPr>
          <w:p w14:paraId="42290916"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Yes</w:t>
            </w:r>
          </w:p>
        </w:tc>
        <w:tc>
          <w:tcPr>
            <w:tcW w:w="1637" w:type="pct"/>
            <w:tcBorders>
              <w:left w:val="nil"/>
              <w:bottom w:val="nil"/>
              <w:right w:val="nil"/>
            </w:tcBorders>
            <w:shd w:val="clear" w:color="000000" w:fill="FFFFFF"/>
            <w:noWrap/>
            <w:vAlign w:val="bottom"/>
            <w:hideMark/>
          </w:tcPr>
          <w:p w14:paraId="3B4E6390"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Yes</w:t>
            </w:r>
          </w:p>
        </w:tc>
      </w:tr>
      <w:tr w:rsidR="00E57A11" w:rsidRPr="00F62082" w14:paraId="1E6FEE46" w14:textId="77777777" w:rsidTr="002753C1">
        <w:trPr>
          <w:trHeight w:val="57"/>
          <w:jc w:val="center"/>
        </w:trPr>
        <w:tc>
          <w:tcPr>
            <w:tcW w:w="1989" w:type="pct"/>
            <w:tcBorders>
              <w:top w:val="nil"/>
              <w:left w:val="nil"/>
              <w:bottom w:val="single" w:sz="4" w:space="0" w:color="auto"/>
              <w:right w:val="nil"/>
            </w:tcBorders>
            <w:shd w:val="clear" w:color="000000" w:fill="FFFFFF"/>
            <w:noWrap/>
            <w:vAlign w:val="bottom"/>
            <w:hideMark/>
          </w:tcPr>
          <w:p w14:paraId="60828FB7" w14:textId="77777777" w:rsidR="00E57A11" w:rsidRPr="00DA1D07" w:rsidRDefault="00E57A11" w:rsidP="002753C1">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Model</w:t>
            </w:r>
          </w:p>
        </w:tc>
        <w:tc>
          <w:tcPr>
            <w:tcW w:w="1374" w:type="pct"/>
            <w:tcBorders>
              <w:top w:val="nil"/>
              <w:left w:val="nil"/>
              <w:bottom w:val="single" w:sz="4" w:space="0" w:color="auto"/>
              <w:right w:val="nil"/>
            </w:tcBorders>
            <w:shd w:val="clear" w:color="000000" w:fill="FFFFFF"/>
            <w:noWrap/>
            <w:vAlign w:val="bottom"/>
            <w:hideMark/>
          </w:tcPr>
          <w:p w14:paraId="0BD05618"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OLS</w:t>
            </w:r>
          </w:p>
        </w:tc>
        <w:tc>
          <w:tcPr>
            <w:tcW w:w="1637" w:type="pct"/>
            <w:tcBorders>
              <w:top w:val="nil"/>
              <w:left w:val="nil"/>
              <w:bottom w:val="single" w:sz="4" w:space="0" w:color="auto"/>
              <w:right w:val="nil"/>
            </w:tcBorders>
            <w:shd w:val="clear" w:color="000000" w:fill="FFFFFF"/>
            <w:noWrap/>
            <w:vAlign w:val="bottom"/>
            <w:hideMark/>
          </w:tcPr>
          <w:p w14:paraId="52839ECD"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Poisson</w:t>
            </w:r>
          </w:p>
        </w:tc>
      </w:tr>
    </w:tbl>
    <w:p w14:paraId="4714B810" w14:textId="77777777" w:rsidR="00E57A11" w:rsidRPr="00DA1D07" w:rsidRDefault="00E57A11" w:rsidP="00E57A11">
      <w:pPr>
        <w:rPr>
          <w:lang w:val="en-US"/>
        </w:rPr>
      </w:pPr>
    </w:p>
    <w:p w14:paraId="00E62657" w14:textId="77777777" w:rsidR="00E57A11" w:rsidRPr="00DA1D07" w:rsidRDefault="00E57A11" w:rsidP="00E57A11">
      <w:pPr>
        <w:rPr>
          <w:lang w:val="en-US"/>
        </w:rPr>
      </w:pPr>
    </w:p>
    <w:p w14:paraId="185999FF" w14:textId="77777777" w:rsidR="00E57A11" w:rsidRPr="00DA1D07" w:rsidRDefault="00E57A11" w:rsidP="00E57A11">
      <w:pPr>
        <w:rPr>
          <w:lang w:val="en-US"/>
        </w:rPr>
        <w:sectPr w:rsidR="00E57A11" w:rsidRPr="00DA1D07" w:rsidSect="00B437C7">
          <w:pgSz w:w="11906" w:h="16838"/>
          <w:pgMar w:top="1440" w:right="1440" w:bottom="1440" w:left="1440" w:header="709" w:footer="709" w:gutter="0"/>
          <w:cols w:space="708"/>
          <w:docGrid w:linePitch="360"/>
        </w:sectPr>
      </w:pPr>
    </w:p>
    <w:tbl>
      <w:tblPr>
        <w:tblW w:w="9356" w:type="dxa"/>
        <w:tblLook w:val="04A0" w:firstRow="1" w:lastRow="0" w:firstColumn="1" w:lastColumn="0" w:noHBand="0" w:noVBand="1"/>
      </w:tblPr>
      <w:tblGrid>
        <w:gridCol w:w="4606"/>
        <w:gridCol w:w="2468"/>
        <w:gridCol w:w="2282"/>
      </w:tblGrid>
      <w:tr w:rsidR="00E57A11" w:rsidRPr="00F62082" w14:paraId="76389D1A" w14:textId="77777777" w:rsidTr="006B635B">
        <w:trPr>
          <w:trHeight w:val="300"/>
        </w:trPr>
        <w:tc>
          <w:tcPr>
            <w:tcW w:w="9356" w:type="dxa"/>
            <w:gridSpan w:val="3"/>
            <w:tcBorders>
              <w:top w:val="nil"/>
              <w:left w:val="nil"/>
              <w:bottom w:val="nil"/>
              <w:right w:val="nil"/>
            </w:tcBorders>
            <w:shd w:val="clear" w:color="auto" w:fill="auto"/>
            <w:noWrap/>
            <w:vAlign w:val="center"/>
            <w:hideMark/>
          </w:tcPr>
          <w:p w14:paraId="40757C91" w14:textId="1A6D68DF" w:rsidR="00E57A11" w:rsidRPr="00DA1D07" w:rsidRDefault="00E57A11" w:rsidP="002753C1">
            <w:pPr>
              <w:spacing w:line="240" w:lineRule="auto"/>
              <w:jc w:val="center"/>
              <w:rPr>
                <w:rFonts w:ascii="Times New Roman" w:eastAsia="Times New Roman" w:hAnsi="Times New Roman" w:cs="Times New Roman"/>
                <w:b/>
                <w:bCs/>
                <w:color w:val="000000"/>
                <w:sz w:val="24"/>
                <w:szCs w:val="24"/>
                <w:lang w:val="en-US" w:eastAsia="zh-CN"/>
              </w:rPr>
            </w:pPr>
            <w:r w:rsidRPr="00DA1D07">
              <w:rPr>
                <w:rFonts w:ascii="Times New Roman" w:eastAsia="Times New Roman" w:hAnsi="Times New Roman" w:cs="Times New Roman"/>
                <w:b/>
                <w:bCs/>
                <w:color w:val="000000"/>
                <w:sz w:val="24"/>
                <w:szCs w:val="24"/>
                <w:lang w:val="en-US" w:eastAsia="zh-CN"/>
              </w:rPr>
              <w:lastRenderedPageBreak/>
              <w:t xml:space="preserve">TABLE </w:t>
            </w:r>
            <w:r w:rsidR="00A85564">
              <w:rPr>
                <w:rFonts w:ascii="Times New Roman" w:eastAsia="Times New Roman" w:hAnsi="Times New Roman" w:cs="Times New Roman"/>
                <w:b/>
                <w:bCs/>
                <w:color w:val="000000"/>
                <w:sz w:val="24"/>
                <w:szCs w:val="24"/>
                <w:lang w:val="en-US" w:eastAsia="zh-CN"/>
              </w:rPr>
              <w:t>6</w:t>
            </w:r>
          </w:p>
        </w:tc>
      </w:tr>
      <w:tr w:rsidR="00E57A11" w:rsidRPr="00F62082" w14:paraId="33C2C6B4" w14:textId="77777777" w:rsidTr="006B635B">
        <w:trPr>
          <w:trHeight w:val="300"/>
        </w:trPr>
        <w:tc>
          <w:tcPr>
            <w:tcW w:w="9356" w:type="dxa"/>
            <w:gridSpan w:val="3"/>
            <w:tcBorders>
              <w:top w:val="nil"/>
              <w:left w:val="nil"/>
              <w:bottom w:val="nil"/>
              <w:right w:val="nil"/>
            </w:tcBorders>
            <w:shd w:val="clear" w:color="auto" w:fill="auto"/>
            <w:noWrap/>
            <w:vAlign w:val="center"/>
            <w:hideMark/>
          </w:tcPr>
          <w:p w14:paraId="74EFEF78" w14:textId="77777777" w:rsidR="00E57A11" w:rsidRPr="00DA1D07" w:rsidRDefault="00E57A11" w:rsidP="002753C1">
            <w:pPr>
              <w:spacing w:line="240" w:lineRule="auto"/>
              <w:jc w:val="center"/>
              <w:rPr>
                <w:rFonts w:ascii="Times New Roman" w:eastAsia="Times New Roman" w:hAnsi="Times New Roman" w:cs="Times New Roman"/>
                <w:b/>
                <w:bCs/>
                <w:color w:val="000000"/>
                <w:sz w:val="24"/>
                <w:szCs w:val="24"/>
                <w:lang w:val="en-US" w:eastAsia="zh-CN"/>
              </w:rPr>
            </w:pPr>
            <w:r w:rsidRPr="00DA1D07">
              <w:rPr>
                <w:rFonts w:ascii="Times New Roman" w:eastAsia="Times New Roman" w:hAnsi="Times New Roman" w:cs="Times New Roman"/>
                <w:b/>
                <w:bCs/>
                <w:color w:val="000000"/>
                <w:sz w:val="24"/>
                <w:szCs w:val="24"/>
                <w:lang w:val="en-US" w:eastAsia="zh-CN"/>
              </w:rPr>
              <w:t>Matched Sample Tests for Non-Bipartite Matching</w:t>
            </w:r>
          </w:p>
        </w:tc>
      </w:tr>
      <w:tr w:rsidR="00E57A11" w:rsidRPr="00F62082" w14:paraId="0CF7BABA" w14:textId="77777777" w:rsidTr="006B635B">
        <w:trPr>
          <w:trHeight w:val="310"/>
        </w:trPr>
        <w:tc>
          <w:tcPr>
            <w:tcW w:w="9356" w:type="dxa"/>
            <w:gridSpan w:val="3"/>
            <w:tcBorders>
              <w:top w:val="nil"/>
              <w:left w:val="nil"/>
              <w:right w:val="nil"/>
            </w:tcBorders>
            <w:shd w:val="clear" w:color="000000" w:fill="FFFFFF"/>
            <w:vAlign w:val="center"/>
            <w:hideMark/>
          </w:tcPr>
          <w:p w14:paraId="524DC7D3" w14:textId="610C6CB6" w:rsidR="00E57A11" w:rsidRPr="00DA1D07" w:rsidRDefault="00E57A11" w:rsidP="002753C1">
            <w:pPr>
              <w:spacing w:line="240" w:lineRule="auto"/>
              <w:jc w:val="both"/>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In Panel A the first column presents average coefficients of year-specific cross-sectional estimations from the ordered logistic regression. The second column reports an aggregate z-statistic, which is calculated as the sum of the individual z-statistics divided by the square root of the number of years over which the ordered logistic regressions were estimated. In Panel B</w:t>
            </w:r>
            <w:r w:rsidR="00447478">
              <w:rPr>
                <w:rFonts w:ascii="Times New Roman" w:eastAsia="Times New Roman" w:hAnsi="Times New Roman" w:cs="Times New Roman"/>
                <w:color w:val="000000"/>
                <w:sz w:val="24"/>
                <w:szCs w:val="24"/>
                <w:lang w:val="en-US" w:eastAsia="zh-CN"/>
              </w:rPr>
              <w:t>,</w:t>
            </w:r>
            <w:r w:rsidRPr="00DA1D07">
              <w:rPr>
                <w:rFonts w:ascii="Times New Roman" w:eastAsia="Times New Roman" w:hAnsi="Times New Roman" w:cs="Times New Roman"/>
                <w:color w:val="000000"/>
                <w:sz w:val="24"/>
                <w:szCs w:val="24"/>
                <w:lang w:val="en-US" w:eastAsia="zh-CN"/>
              </w:rPr>
              <w:t xml:space="preserve"> we report covariate balance for non-bipartite matching, where higher equity-incentive observations are labeled as treatment and lower equity-incentive observations are labeled as control.</w:t>
            </w:r>
            <w:r w:rsidRPr="00DA1D07">
              <w:rPr>
                <w:rFonts w:ascii="Times New Roman" w:eastAsia="Times New Roman" w:hAnsi="Times New Roman" w:cs="Times New Roman"/>
                <w:b/>
                <w:bCs/>
                <w:color w:val="000000"/>
                <w:sz w:val="24"/>
                <w:szCs w:val="24"/>
                <w:lang w:val="en-US" w:eastAsia="zh-CN"/>
              </w:rPr>
              <w:t xml:space="preserve"> </w:t>
            </w:r>
            <w:r w:rsidRPr="00DA1D07">
              <w:rPr>
                <w:rFonts w:ascii="Times New Roman" w:eastAsia="Times New Roman" w:hAnsi="Times New Roman" w:cs="Times New Roman"/>
                <w:color w:val="000000"/>
                <w:sz w:val="24"/>
                <w:szCs w:val="24"/>
                <w:lang w:val="en-US" w:eastAsia="zh-CN"/>
              </w:rPr>
              <w:t>In Panel C we report the estimation results for a matched sample from OLS regression (</w:t>
            </w:r>
            <w:r w:rsidR="00D4619E">
              <w:rPr>
                <w:rFonts w:ascii="Times New Roman" w:eastAsia="Times New Roman" w:hAnsi="Times New Roman" w:cs="Times New Roman"/>
                <w:color w:val="000000"/>
                <w:sz w:val="24"/>
                <w:szCs w:val="24"/>
                <w:lang w:val="en-US" w:eastAsia="zh-CN"/>
              </w:rPr>
              <w:t xml:space="preserve">models </w:t>
            </w:r>
            <w:r w:rsidRPr="00DA1D07">
              <w:rPr>
                <w:rFonts w:ascii="Times New Roman" w:eastAsia="Times New Roman" w:hAnsi="Times New Roman" w:cs="Times New Roman"/>
                <w:color w:val="000000"/>
                <w:sz w:val="24"/>
                <w:szCs w:val="24"/>
                <w:lang w:val="en-US" w:eastAsia="zh-CN"/>
              </w:rPr>
              <w:t>1</w:t>
            </w:r>
            <w:r w:rsidR="00D4619E">
              <w:rPr>
                <w:rFonts w:ascii="Times New Roman" w:eastAsia="Times New Roman" w:hAnsi="Times New Roman" w:cs="Times New Roman"/>
                <w:color w:val="000000"/>
                <w:sz w:val="24"/>
                <w:szCs w:val="24"/>
                <w:lang w:val="en-US" w:eastAsia="zh-CN"/>
              </w:rPr>
              <w:t xml:space="preserve"> and</w:t>
            </w:r>
            <w:r w:rsidRPr="00DA1D07">
              <w:rPr>
                <w:rFonts w:ascii="Times New Roman" w:eastAsia="Times New Roman" w:hAnsi="Times New Roman" w:cs="Times New Roman"/>
                <w:color w:val="000000"/>
                <w:sz w:val="24"/>
                <w:szCs w:val="24"/>
                <w:lang w:val="en-US" w:eastAsia="zh-CN"/>
              </w:rPr>
              <w:t xml:space="preserve"> 3) and Poisson regression (</w:t>
            </w:r>
            <w:r w:rsidR="00D4619E">
              <w:rPr>
                <w:rFonts w:ascii="Times New Roman" w:eastAsia="Times New Roman" w:hAnsi="Times New Roman" w:cs="Times New Roman"/>
                <w:color w:val="000000"/>
                <w:sz w:val="24"/>
                <w:szCs w:val="24"/>
                <w:lang w:val="en-US" w:eastAsia="zh-CN"/>
              </w:rPr>
              <w:t xml:space="preserve">models </w:t>
            </w:r>
            <w:r w:rsidRPr="00DA1D07">
              <w:rPr>
                <w:rFonts w:ascii="Times New Roman" w:eastAsia="Times New Roman" w:hAnsi="Times New Roman" w:cs="Times New Roman"/>
                <w:color w:val="000000"/>
                <w:sz w:val="24"/>
                <w:szCs w:val="24"/>
                <w:lang w:val="en-US" w:eastAsia="zh-CN"/>
              </w:rPr>
              <w:t>2</w:t>
            </w:r>
            <w:r w:rsidR="00D4619E">
              <w:rPr>
                <w:rFonts w:ascii="Times New Roman" w:eastAsia="Times New Roman" w:hAnsi="Times New Roman" w:cs="Times New Roman"/>
                <w:color w:val="000000"/>
                <w:sz w:val="24"/>
                <w:szCs w:val="24"/>
                <w:lang w:val="en-US" w:eastAsia="zh-CN"/>
              </w:rPr>
              <w:t xml:space="preserve"> and</w:t>
            </w:r>
            <w:r w:rsidRPr="00DA1D07">
              <w:rPr>
                <w:rFonts w:ascii="Times New Roman" w:eastAsia="Times New Roman" w:hAnsi="Times New Roman" w:cs="Times New Roman"/>
                <w:color w:val="000000"/>
                <w:sz w:val="24"/>
                <w:szCs w:val="24"/>
                <w:lang w:val="en-US" w:eastAsia="zh-CN"/>
              </w:rPr>
              <w:t xml:space="preserve"> 4</w:t>
            </w:r>
            <w:r w:rsidR="00D4619E">
              <w:rPr>
                <w:rFonts w:ascii="Times New Roman" w:eastAsia="Times New Roman" w:hAnsi="Times New Roman" w:cs="Times New Roman"/>
                <w:color w:val="000000"/>
                <w:sz w:val="24"/>
                <w:szCs w:val="24"/>
                <w:lang w:val="en-US" w:eastAsia="zh-CN"/>
              </w:rPr>
              <w:t>).</w:t>
            </w:r>
            <w:r w:rsidR="007B6B48" w:rsidRPr="00DA1D07">
              <w:rPr>
                <w:rFonts w:ascii="Times New Roman" w:eastAsia="Times New Roman" w:hAnsi="Times New Roman" w:cs="Times New Roman"/>
                <w:i/>
                <w:iCs/>
                <w:color w:val="000000"/>
                <w:sz w:val="24"/>
                <w:szCs w:val="24"/>
                <w:lang w:val="en-US" w:eastAsia="en-GB"/>
              </w:rPr>
              <w:t xml:space="preserve"> Leverage,</w:t>
            </w:r>
            <w:r w:rsidR="007B6B48">
              <w:rPr>
                <w:rFonts w:ascii="Times New Roman" w:eastAsia="Times New Roman" w:hAnsi="Times New Roman" w:cs="Times New Roman"/>
                <w:i/>
                <w:iCs/>
                <w:color w:val="000000"/>
                <w:sz w:val="24"/>
                <w:szCs w:val="24"/>
                <w:lang w:val="en-US" w:eastAsia="en-GB"/>
              </w:rPr>
              <w:t xml:space="preserve"> </w:t>
            </w:r>
            <w:proofErr w:type="spellStart"/>
            <w:r w:rsidR="007B6B48" w:rsidRPr="00DA1D07">
              <w:rPr>
                <w:rFonts w:asciiTheme="majorBidi" w:eastAsia="Times New Roman" w:hAnsiTheme="majorBidi" w:cstheme="majorBidi"/>
                <w:i/>
                <w:iCs/>
                <w:color w:val="000000"/>
                <w:sz w:val="24"/>
                <w:szCs w:val="24"/>
                <w:lang w:val="en-US" w:eastAsia="en-GB"/>
              </w:rPr>
              <w:t>FirmSize</w:t>
            </w:r>
            <w:proofErr w:type="spellEnd"/>
            <w:r w:rsidR="007B6B48">
              <w:rPr>
                <w:rFonts w:asciiTheme="majorBidi" w:eastAsia="Times New Roman" w:hAnsiTheme="majorBidi" w:cstheme="majorBidi"/>
                <w:i/>
                <w:iCs/>
                <w:color w:val="000000"/>
                <w:sz w:val="24"/>
                <w:szCs w:val="24"/>
                <w:lang w:val="en-US" w:eastAsia="en-GB"/>
              </w:rPr>
              <w:t>,</w:t>
            </w:r>
            <w:r w:rsidR="007B6B48" w:rsidRPr="00DA1D07">
              <w:rPr>
                <w:rFonts w:ascii="Times New Roman" w:eastAsia="Times New Roman" w:hAnsi="Times New Roman" w:cs="Times New Roman"/>
                <w:i/>
                <w:iCs/>
                <w:color w:val="000000"/>
                <w:sz w:val="24"/>
                <w:szCs w:val="24"/>
                <w:lang w:val="en-US" w:eastAsia="en-GB"/>
              </w:rPr>
              <w:t xml:space="preserve"> Employees, Market-to-Book</w:t>
            </w:r>
            <w:r w:rsidR="007B6B48" w:rsidRPr="00DA1D07">
              <w:rPr>
                <w:rFonts w:ascii="Times New Roman" w:eastAsia="Times New Roman" w:hAnsi="Times New Roman" w:cs="Times New Roman"/>
                <w:color w:val="000000"/>
                <w:sz w:val="24"/>
                <w:szCs w:val="24"/>
                <w:lang w:val="en-US" w:eastAsia="en-GB"/>
              </w:rPr>
              <w:t xml:space="preserve">, and </w:t>
            </w:r>
            <w:r w:rsidR="007B6B48" w:rsidRPr="00DA1D07">
              <w:rPr>
                <w:rFonts w:ascii="Times New Roman" w:eastAsia="Times New Roman" w:hAnsi="Times New Roman" w:cs="Times New Roman"/>
                <w:i/>
                <w:iCs/>
                <w:color w:val="000000"/>
                <w:sz w:val="24"/>
                <w:szCs w:val="24"/>
                <w:lang w:val="en-US" w:eastAsia="en-GB"/>
              </w:rPr>
              <w:t>Tangibility</w:t>
            </w:r>
            <w:r w:rsidR="007B6B48" w:rsidRPr="00DA1D07">
              <w:rPr>
                <w:rFonts w:ascii="Times New Roman" w:eastAsia="Times New Roman" w:hAnsi="Times New Roman" w:cs="Times New Roman"/>
                <w:color w:val="000000"/>
                <w:sz w:val="24"/>
                <w:szCs w:val="24"/>
                <w:lang w:val="en-US" w:eastAsia="en-GB"/>
              </w:rPr>
              <w:t xml:space="preserve"> are lagged</w:t>
            </w:r>
            <w:r w:rsidR="00130B9A">
              <w:rPr>
                <w:rFonts w:ascii="Times New Roman" w:eastAsia="Times New Roman" w:hAnsi="Times New Roman" w:cs="Times New Roman"/>
                <w:color w:val="000000"/>
                <w:sz w:val="24"/>
                <w:szCs w:val="24"/>
                <w:lang w:val="en-US" w:eastAsia="en-GB"/>
              </w:rPr>
              <w:t xml:space="preserve"> by</w:t>
            </w:r>
            <w:r w:rsidR="007B6B48" w:rsidRPr="00DA1D07">
              <w:rPr>
                <w:rFonts w:ascii="Times New Roman" w:eastAsia="Times New Roman" w:hAnsi="Times New Roman" w:cs="Times New Roman"/>
                <w:color w:val="000000"/>
                <w:sz w:val="24"/>
                <w:szCs w:val="24"/>
                <w:lang w:val="en-US" w:eastAsia="en-GB"/>
              </w:rPr>
              <w:t xml:space="preserve"> one year, while </w:t>
            </w:r>
            <w:proofErr w:type="spellStart"/>
            <w:r w:rsidR="007B6B48" w:rsidRPr="00DA1D07">
              <w:rPr>
                <w:rFonts w:ascii="Times New Roman" w:eastAsia="Times New Roman" w:hAnsi="Times New Roman" w:cs="Times New Roman"/>
                <w:i/>
                <w:iCs/>
                <w:color w:val="000000"/>
                <w:sz w:val="24"/>
                <w:szCs w:val="24"/>
                <w:lang w:val="en-US" w:eastAsia="en-GB"/>
              </w:rPr>
              <w:t>CashFlow</w:t>
            </w:r>
            <w:proofErr w:type="spellEnd"/>
            <w:r w:rsidR="007B6B48" w:rsidRPr="00DA1D07">
              <w:rPr>
                <w:rFonts w:ascii="Times New Roman" w:eastAsia="Times New Roman" w:hAnsi="Times New Roman" w:cs="Times New Roman"/>
                <w:i/>
                <w:iCs/>
                <w:color w:val="000000"/>
                <w:sz w:val="24"/>
                <w:szCs w:val="24"/>
                <w:lang w:val="en-US" w:eastAsia="en-GB"/>
              </w:rPr>
              <w:t xml:space="preserve">, </w:t>
            </w:r>
            <w:proofErr w:type="spellStart"/>
            <w:r w:rsidR="007B6B48" w:rsidRPr="00DA1D07">
              <w:rPr>
                <w:rFonts w:ascii="Times New Roman" w:eastAsia="Times New Roman" w:hAnsi="Times New Roman" w:cs="Times New Roman"/>
                <w:i/>
                <w:iCs/>
                <w:color w:val="000000"/>
                <w:sz w:val="24"/>
                <w:szCs w:val="24"/>
                <w:lang w:val="en-US" w:eastAsia="en-GB"/>
              </w:rPr>
              <w:t>DividendsPayout</w:t>
            </w:r>
            <w:proofErr w:type="spellEnd"/>
            <w:r w:rsidR="007B6B48" w:rsidRPr="00DA1D07">
              <w:rPr>
                <w:rFonts w:ascii="Times New Roman" w:eastAsia="Times New Roman" w:hAnsi="Times New Roman" w:cs="Times New Roman"/>
                <w:i/>
                <w:iCs/>
                <w:color w:val="000000"/>
                <w:sz w:val="24"/>
                <w:szCs w:val="24"/>
                <w:lang w:val="en-US" w:eastAsia="en-GB"/>
              </w:rPr>
              <w:t xml:space="preserve">, </w:t>
            </w:r>
            <w:proofErr w:type="spellStart"/>
            <w:r w:rsidR="007B6B48" w:rsidRPr="00DA1D07">
              <w:rPr>
                <w:rFonts w:ascii="Times New Roman" w:eastAsia="Times New Roman" w:hAnsi="Times New Roman" w:cs="Times New Roman"/>
                <w:i/>
                <w:iCs/>
                <w:color w:val="000000"/>
                <w:sz w:val="24"/>
                <w:szCs w:val="24"/>
                <w:lang w:val="en-US" w:eastAsia="en-GB"/>
              </w:rPr>
              <w:t>AssetTurnover</w:t>
            </w:r>
            <w:proofErr w:type="spellEnd"/>
            <w:r w:rsidR="007B6B48" w:rsidRPr="00DA1D07">
              <w:rPr>
                <w:rFonts w:ascii="Times New Roman" w:eastAsia="Times New Roman" w:hAnsi="Times New Roman" w:cs="Times New Roman"/>
                <w:i/>
                <w:iCs/>
                <w:color w:val="000000"/>
                <w:sz w:val="24"/>
                <w:szCs w:val="24"/>
                <w:lang w:val="en-US" w:eastAsia="en-GB"/>
              </w:rPr>
              <w:t xml:space="preserve">, Capex, RET, </w:t>
            </w:r>
            <w:proofErr w:type="spellStart"/>
            <w:r w:rsidR="007B6B48" w:rsidRPr="00DA1D07">
              <w:rPr>
                <w:rFonts w:ascii="Times New Roman" w:eastAsia="Times New Roman" w:hAnsi="Times New Roman" w:cs="Times New Roman"/>
                <w:i/>
                <w:iCs/>
                <w:color w:val="000000"/>
                <w:sz w:val="24"/>
                <w:szCs w:val="24"/>
                <w:lang w:val="en-US" w:eastAsia="en-GB"/>
              </w:rPr>
              <w:t>CEOage</w:t>
            </w:r>
            <w:proofErr w:type="spellEnd"/>
            <w:r w:rsidR="00155940">
              <w:rPr>
                <w:rFonts w:ascii="Times New Roman" w:eastAsia="Times New Roman" w:hAnsi="Times New Roman" w:cs="Times New Roman"/>
                <w:i/>
                <w:iCs/>
                <w:color w:val="000000"/>
                <w:sz w:val="24"/>
                <w:szCs w:val="24"/>
                <w:lang w:val="en-US" w:eastAsia="en-GB"/>
              </w:rPr>
              <w:t>,</w:t>
            </w:r>
            <w:r w:rsidR="007B6B48" w:rsidRPr="00DA1D07">
              <w:rPr>
                <w:rFonts w:ascii="Times New Roman" w:eastAsia="Times New Roman" w:hAnsi="Times New Roman" w:cs="Times New Roman"/>
                <w:color w:val="000000"/>
                <w:sz w:val="24"/>
                <w:szCs w:val="24"/>
                <w:lang w:val="en-US" w:eastAsia="en-GB"/>
              </w:rPr>
              <w:t xml:space="preserve"> and </w:t>
            </w:r>
            <w:proofErr w:type="spellStart"/>
            <w:r w:rsidR="007B6B48" w:rsidRPr="00DA1D07">
              <w:rPr>
                <w:rFonts w:ascii="Times New Roman" w:eastAsia="Times New Roman" w:hAnsi="Times New Roman" w:cs="Times New Roman"/>
                <w:i/>
                <w:iCs/>
                <w:color w:val="000000"/>
                <w:sz w:val="24"/>
                <w:szCs w:val="24"/>
                <w:lang w:val="en-US" w:eastAsia="en-GB"/>
              </w:rPr>
              <w:t>CEOtenure</w:t>
            </w:r>
            <w:proofErr w:type="spellEnd"/>
            <w:r w:rsidR="007B6B48" w:rsidRPr="00DA1D07">
              <w:rPr>
                <w:rFonts w:ascii="Times New Roman" w:eastAsia="Times New Roman" w:hAnsi="Times New Roman" w:cs="Times New Roman"/>
                <w:color w:val="000000"/>
                <w:sz w:val="24"/>
                <w:szCs w:val="24"/>
                <w:lang w:val="en-US" w:eastAsia="en-GB"/>
              </w:rPr>
              <w:t xml:space="preserve"> are measured contemporaneously.</w:t>
            </w:r>
            <w:r w:rsidRPr="00DA1D07">
              <w:rPr>
                <w:rFonts w:ascii="Times New Roman" w:eastAsia="Times New Roman" w:hAnsi="Times New Roman" w:cs="Times New Roman"/>
                <w:color w:val="000000"/>
                <w:sz w:val="24"/>
                <w:szCs w:val="24"/>
                <w:lang w:val="en-US" w:eastAsia="zh-CN"/>
              </w:rPr>
              <w:t xml:space="preserve"> All models include time and firm fixed effects. The sample spans the period </w:t>
            </w:r>
            <w:r w:rsidR="00130B9A">
              <w:rPr>
                <w:rFonts w:ascii="Times New Roman" w:eastAsia="Times New Roman" w:hAnsi="Times New Roman" w:cs="Times New Roman"/>
                <w:color w:val="000000"/>
                <w:sz w:val="24"/>
                <w:szCs w:val="24"/>
                <w:lang w:val="en-US" w:eastAsia="zh-CN"/>
              </w:rPr>
              <w:t xml:space="preserve">from </w:t>
            </w:r>
            <w:r w:rsidRPr="00DA1D07">
              <w:rPr>
                <w:rFonts w:ascii="Times New Roman" w:eastAsia="Times New Roman" w:hAnsi="Times New Roman" w:cs="Times New Roman"/>
                <w:color w:val="000000"/>
                <w:sz w:val="24"/>
                <w:szCs w:val="24"/>
                <w:lang w:val="en-US" w:eastAsia="zh-CN"/>
              </w:rPr>
              <w:t>2000</w:t>
            </w:r>
            <w:r w:rsidR="00130B9A">
              <w:rPr>
                <w:rFonts w:ascii="Times New Roman" w:eastAsia="Times New Roman" w:hAnsi="Times New Roman" w:cs="Times New Roman"/>
                <w:color w:val="000000"/>
                <w:sz w:val="24"/>
                <w:szCs w:val="24"/>
                <w:lang w:val="en-US" w:eastAsia="zh-CN"/>
              </w:rPr>
              <w:t xml:space="preserve"> to </w:t>
            </w:r>
            <w:r w:rsidRPr="00DA1D07">
              <w:rPr>
                <w:rFonts w:ascii="Times New Roman" w:eastAsia="Times New Roman" w:hAnsi="Times New Roman" w:cs="Times New Roman"/>
                <w:color w:val="000000"/>
                <w:sz w:val="24"/>
                <w:szCs w:val="24"/>
                <w:lang w:val="en-US" w:eastAsia="zh-CN"/>
              </w:rPr>
              <w:t xml:space="preserve">2018. </w:t>
            </w:r>
            <w:r w:rsidR="00130B9A">
              <w:rPr>
                <w:rFonts w:ascii="Times New Roman" w:eastAsia="Times New Roman" w:hAnsi="Times New Roman" w:cs="Times New Roman"/>
                <w:color w:val="000000"/>
                <w:sz w:val="24"/>
                <w:szCs w:val="24"/>
                <w:lang w:val="en-US" w:eastAsia="zh-CN"/>
              </w:rPr>
              <w:t>D</w:t>
            </w:r>
            <w:r w:rsidRPr="00DA1D07">
              <w:rPr>
                <w:rFonts w:ascii="Times New Roman" w:eastAsia="Times New Roman" w:hAnsi="Times New Roman" w:cs="Times New Roman"/>
                <w:color w:val="000000"/>
                <w:sz w:val="24"/>
                <w:szCs w:val="24"/>
                <w:lang w:val="en-US" w:eastAsia="zh-CN"/>
              </w:rPr>
              <w:t xml:space="preserve">efinitions of all variables are provided in Appendix </w:t>
            </w:r>
            <w:r w:rsidR="006B635B">
              <w:rPr>
                <w:rFonts w:ascii="Times New Roman" w:eastAsia="Times New Roman" w:hAnsi="Times New Roman" w:cs="Times New Roman"/>
                <w:color w:val="000000"/>
                <w:sz w:val="24"/>
                <w:szCs w:val="24"/>
                <w:lang w:val="en-US" w:eastAsia="zh-CN"/>
              </w:rPr>
              <w:t>1</w:t>
            </w:r>
            <w:r w:rsidRPr="00DA1D07">
              <w:rPr>
                <w:rFonts w:ascii="Times New Roman" w:eastAsia="Times New Roman" w:hAnsi="Times New Roman" w:cs="Times New Roman"/>
                <w:color w:val="000000"/>
                <w:sz w:val="24"/>
                <w:szCs w:val="24"/>
                <w:lang w:val="en-US" w:eastAsia="zh-CN"/>
              </w:rPr>
              <w:t xml:space="preserve">. The values reported in parentheses below </w:t>
            </w:r>
            <w:r w:rsidR="00130B9A">
              <w:rPr>
                <w:rFonts w:ascii="Times New Roman" w:eastAsia="Times New Roman" w:hAnsi="Times New Roman" w:cs="Times New Roman"/>
                <w:color w:val="000000"/>
                <w:sz w:val="24"/>
                <w:szCs w:val="24"/>
                <w:lang w:val="en-US" w:eastAsia="zh-CN"/>
              </w:rPr>
              <w:t xml:space="preserve">the </w:t>
            </w:r>
            <w:r w:rsidRPr="00DA1D07">
              <w:rPr>
                <w:rFonts w:ascii="Times New Roman" w:eastAsia="Times New Roman" w:hAnsi="Times New Roman" w:cs="Times New Roman"/>
                <w:color w:val="000000"/>
                <w:sz w:val="24"/>
                <w:szCs w:val="24"/>
                <w:lang w:val="en-US" w:eastAsia="zh-CN"/>
              </w:rPr>
              <w:t xml:space="preserve">coefficients represent t-statistics in models (1) and (3) and z-statistics in models (2) and (4). Standard errors are clustered at </w:t>
            </w:r>
            <w:r w:rsidR="00447478">
              <w:rPr>
                <w:rFonts w:ascii="Times New Roman" w:eastAsia="Times New Roman" w:hAnsi="Times New Roman" w:cs="Times New Roman"/>
                <w:color w:val="000000"/>
                <w:sz w:val="24"/>
                <w:szCs w:val="24"/>
                <w:lang w:val="en-US" w:eastAsia="zh-CN"/>
              </w:rPr>
              <w:t xml:space="preserve">the </w:t>
            </w:r>
            <w:r w:rsidRPr="00DA1D07">
              <w:rPr>
                <w:rFonts w:ascii="Times New Roman" w:eastAsia="Times New Roman" w:hAnsi="Times New Roman" w:cs="Times New Roman"/>
                <w:color w:val="000000"/>
                <w:sz w:val="24"/>
                <w:szCs w:val="24"/>
                <w:lang w:val="en-US" w:eastAsia="zh-CN"/>
              </w:rPr>
              <w:t>firm level.  *, **, *** represent significance at 1</w:t>
            </w:r>
            <w:r w:rsidR="00130B9A">
              <w:rPr>
                <w:rFonts w:ascii="Times New Roman" w:eastAsia="Times New Roman" w:hAnsi="Times New Roman" w:cs="Times New Roman"/>
                <w:color w:val="000000"/>
                <w:sz w:val="24"/>
                <w:szCs w:val="24"/>
                <w:lang w:val="en-US" w:eastAsia="zh-CN"/>
              </w:rPr>
              <w:t>0</w:t>
            </w:r>
            <w:r w:rsidRPr="00DA1D07">
              <w:rPr>
                <w:rFonts w:ascii="Times New Roman" w:eastAsia="Times New Roman" w:hAnsi="Times New Roman" w:cs="Times New Roman"/>
                <w:color w:val="000000"/>
                <w:sz w:val="24"/>
                <w:szCs w:val="24"/>
                <w:lang w:val="en-US" w:eastAsia="zh-CN"/>
              </w:rPr>
              <w:t xml:space="preserve">%, 5%, and 1% respectively.  </w:t>
            </w:r>
          </w:p>
        </w:tc>
      </w:tr>
      <w:tr w:rsidR="00E57A11" w:rsidRPr="00F62082" w14:paraId="5A84AB98" w14:textId="77777777" w:rsidTr="006B635B">
        <w:trPr>
          <w:trHeight w:val="300"/>
        </w:trPr>
        <w:tc>
          <w:tcPr>
            <w:tcW w:w="9356" w:type="dxa"/>
            <w:gridSpan w:val="3"/>
            <w:tcBorders>
              <w:left w:val="nil"/>
              <w:bottom w:val="single" w:sz="4" w:space="0" w:color="auto"/>
              <w:right w:val="nil"/>
            </w:tcBorders>
            <w:shd w:val="clear" w:color="000000" w:fill="FFFFFF"/>
            <w:noWrap/>
            <w:vAlign w:val="center"/>
            <w:hideMark/>
          </w:tcPr>
          <w:p w14:paraId="16C33994" w14:textId="77777777" w:rsidR="00E57A11" w:rsidRPr="00DA1D07" w:rsidRDefault="00E57A11" w:rsidP="002753C1">
            <w:pPr>
              <w:spacing w:line="240" w:lineRule="auto"/>
              <w:rPr>
                <w:rFonts w:ascii="Times New Roman" w:eastAsia="Times New Roman" w:hAnsi="Times New Roman" w:cs="Times New Roman"/>
                <w:b/>
                <w:bCs/>
                <w:color w:val="000000"/>
                <w:sz w:val="24"/>
                <w:szCs w:val="24"/>
                <w:lang w:val="en-US" w:eastAsia="zh-CN"/>
              </w:rPr>
            </w:pPr>
            <w:r w:rsidRPr="00DA1D07">
              <w:rPr>
                <w:rFonts w:ascii="Times New Roman" w:eastAsia="Times New Roman" w:hAnsi="Times New Roman" w:cs="Times New Roman"/>
                <w:b/>
                <w:bCs/>
                <w:color w:val="000000"/>
                <w:sz w:val="24"/>
                <w:szCs w:val="24"/>
                <w:lang w:val="en-US" w:eastAsia="zh-CN"/>
              </w:rPr>
              <w:t>Panel A. Propensity-Score Estimation using Ordered Logistic Regression</w:t>
            </w:r>
          </w:p>
        </w:tc>
      </w:tr>
      <w:tr w:rsidR="00E57A11" w:rsidRPr="00F62082" w14:paraId="76D5AD7A" w14:textId="77777777" w:rsidTr="006B635B">
        <w:trPr>
          <w:trHeight w:val="310"/>
        </w:trPr>
        <w:tc>
          <w:tcPr>
            <w:tcW w:w="4606" w:type="dxa"/>
            <w:tcBorders>
              <w:top w:val="single" w:sz="4" w:space="0" w:color="auto"/>
              <w:left w:val="nil"/>
              <w:bottom w:val="single" w:sz="4" w:space="0" w:color="auto"/>
              <w:right w:val="nil"/>
            </w:tcBorders>
            <w:shd w:val="clear" w:color="000000" w:fill="FFFFFF"/>
            <w:noWrap/>
            <w:vAlign w:val="center"/>
            <w:hideMark/>
          </w:tcPr>
          <w:p w14:paraId="2EB7D557" w14:textId="77777777" w:rsidR="00E57A11" w:rsidRPr="00DA1D07" w:rsidRDefault="00E57A11" w:rsidP="002753C1">
            <w:pPr>
              <w:spacing w:line="240" w:lineRule="auto"/>
              <w:rPr>
                <w:rFonts w:ascii="Times New Roman" w:eastAsia="Times New Roman" w:hAnsi="Times New Roman" w:cs="Times New Roman"/>
                <w:i/>
                <w:iCs/>
                <w:color w:val="000000"/>
                <w:sz w:val="24"/>
                <w:szCs w:val="24"/>
                <w:lang w:val="en-US" w:eastAsia="zh-CN"/>
              </w:rPr>
            </w:pPr>
            <w:r w:rsidRPr="00DA1D07">
              <w:rPr>
                <w:rFonts w:ascii="Times New Roman" w:eastAsia="Times New Roman" w:hAnsi="Times New Roman" w:cs="Times New Roman"/>
                <w:i/>
                <w:iCs/>
                <w:color w:val="000000"/>
                <w:sz w:val="24"/>
                <w:szCs w:val="24"/>
                <w:lang w:val="en-US" w:eastAsia="zh-CN"/>
              </w:rPr>
              <w:t>Dependent Variable=Vega Quintile</w:t>
            </w:r>
          </w:p>
        </w:tc>
        <w:tc>
          <w:tcPr>
            <w:tcW w:w="2468" w:type="dxa"/>
            <w:tcBorders>
              <w:top w:val="single" w:sz="4" w:space="0" w:color="auto"/>
              <w:left w:val="nil"/>
              <w:bottom w:val="single" w:sz="4" w:space="0" w:color="auto"/>
              <w:right w:val="nil"/>
            </w:tcBorders>
            <w:shd w:val="clear" w:color="000000" w:fill="FFFFFF"/>
            <w:noWrap/>
            <w:vAlign w:val="center"/>
            <w:hideMark/>
          </w:tcPr>
          <w:p w14:paraId="5D802C64" w14:textId="77777777" w:rsidR="00E57A11" w:rsidRPr="009D768D" w:rsidRDefault="00E57A11" w:rsidP="002753C1">
            <w:pPr>
              <w:spacing w:line="240" w:lineRule="auto"/>
              <w:jc w:val="center"/>
              <w:rPr>
                <w:rFonts w:ascii="Times New Roman" w:eastAsia="Times New Roman" w:hAnsi="Times New Roman" w:cs="Times New Roman"/>
                <w:i/>
                <w:color w:val="000000"/>
                <w:sz w:val="24"/>
                <w:szCs w:val="24"/>
                <w:lang w:val="en-US" w:eastAsia="zh-CN"/>
              </w:rPr>
            </w:pPr>
            <w:r w:rsidRPr="009D768D">
              <w:rPr>
                <w:rFonts w:ascii="Times New Roman" w:eastAsia="Times New Roman" w:hAnsi="Times New Roman" w:cs="Times New Roman"/>
                <w:i/>
                <w:color w:val="000000"/>
                <w:sz w:val="24"/>
                <w:szCs w:val="24"/>
                <w:lang w:val="en-US" w:eastAsia="zh-CN"/>
              </w:rPr>
              <w:t>Average coefficients</w:t>
            </w:r>
          </w:p>
        </w:tc>
        <w:tc>
          <w:tcPr>
            <w:tcW w:w="2282" w:type="dxa"/>
            <w:tcBorders>
              <w:top w:val="single" w:sz="4" w:space="0" w:color="auto"/>
              <w:left w:val="nil"/>
              <w:bottom w:val="single" w:sz="4" w:space="0" w:color="auto"/>
              <w:right w:val="nil"/>
            </w:tcBorders>
            <w:shd w:val="clear" w:color="000000" w:fill="FFFFFF"/>
            <w:noWrap/>
            <w:vAlign w:val="center"/>
            <w:hideMark/>
          </w:tcPr>
          <w:p w14:paraId="1933E49A" w14:textId="77777777" w:rsidR="00E57A11" w:rsidRPr="009D768D" w:rsidRDefault="00E57A11" w:rsidP="002753C1">
            <w:pPr>
              <w:spacing w:line="240" w:lineRule="auto"/>
              <w:jc w:val="center"/>
              <w:rPr>
                <w:rFonts w:ascii="Times New Roman" w:eastAsia="Times New Roman" w:hAnsi="Times New Roman" w:cs="Times New Roman"/>
                <w:i/>
                <w:color w:val="000000"/>
                <w:sz w:val="24"/>
                <w:szCs w:val="24"/>
                <w:lang w:val="en-US" w:eastAsia="zh-CN"/>
              </w:rPr>
            </w:pPr>
            <w:r w:rsidRPr="009D768D">
              <w:rPr>
                <w:rFonts w:ascii="Times New Roman" w:eastAsia="Times New Roman" w:hAnsi="Times New Roman" w:cs="Times New Roman"/>
                <w:i/>
                <w:color w:val="000000"/>
                <w:sz w:val="24"/>
                <w:szCs w:val="24"/>
                <w:lang w:val="en-US" w:eastAsia="zh-CN"/>
              </w:rPr>
              <w:t>Aggregate z-statistics </w:t>
            </w:r>
          </w:p>
        </w:tc>
      </w:tr>
      <w:tr w:rsidR="00E57A11" w:rsidRPr="00F62082" w14:paraId="0574AF90" w14:textId="77777777" w:rsidTr="006B635B">
        <w:trPr>
          <w:trHeight w:val="310"/>
        </w:trPr>
        <w:tc>
          <w:tcPr>
            <w:tcW w:w="4606" w:type="dxa"/>
            <w:tcBorders>
              <w:top w:val="single" w:sz="4" w:space="0" w:color="auto"/>
              <w:left w:val="nil"/>
              <w:bottom w:val="nil"/>
              <w:right w:val="nil"/>
            </w:tcBorders>
            <w:shd w:val="clear" w:color="auto" w:fill="auto"/>
            <w:noWrap/>
            <w:vAlign w:val="center"/>
            <w:hideMark/>
          </w:tcPr>
          <w:p w14:paraId="7E6D10BC"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zh-CN"/>
              </w:rPr>
            </w:pPr>
            <w:r w:rsidRPr="00DA1D07">
              <w:rPr>
                <w:rFonts w:ascii="Times New Roman" w:eastAsia="Times New Roman" w:hAnsi="Times New Roman" w:cs="Times New Roman"/>
                <w:i/>
                <w:iCs/>
                <w:color w:val="000000"/>
                <w:sz w:val="24"/>
                <w:szCs w:val="24"/>
                <w:lang w:val="en-US" w:eastAsia="zh-CN"/>
              </w:rPr>
              <w:t>Delta</w:t>
            </w:r>
          </w:p>
        </w:tc>
        <w:tc>
          <w:tcPr>
            <w:tcW w:w="2468" w:type="dxa"/>
            <w:tcBorders>
              <w:top w:val="single" w:sz="4" w:space="0" w:color="auto"/>
              <w:left w:val="nil"/>
              <w:bottom w:val="nil"/>
              <w:right w:val="nil"/>
            </w:tcBorders>
            <w:shd w:val="clear" w:color="auto" w:fill="auto"/>
            <w:noWrap/>
            <w:vAlign w:val="bottom"/>
            <w:hideMark/>
          </w:tcPr>
          <w:p w14:paraId="39280065"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1.11</w:t>
            </w:r>
          </w:p>
        </w:tc>
        <w:tc>
          <w:tcPr>
            <w:tcW w:w="2282" w:type="dxa"/>
            <w:tcBorders>
              <w:top w:val="single" w:sz="4" w:space="0" w:color="auto"/>
              <w:left w:val="nil"/>
              <w:bottom w:val="nil"/>
              <w:right w:val="nil"/>
            </w:tcBorders>
            <w:shd w:val="clear" w:color="auto" w:fill="auto"/>
            <w:noWrap/>
            <w:vAlign w:val="bottom"/>
            <w:hideMark/>
          </w:tcPr>
          <w:p w14:paraId="4EA40585"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52.69</w:t>
            </w:r>
          </w:p>
        </w:tc>
      </w:tr>
      <w:tr w:rsidR="00E57A11" w:rsidRPr="00F62082" w14:paraId="34FFFBAF" w14:textId="77777777" w:rsidTr="006B635B">
        <w:trPr>
          <w:trHeight w:val="310"/>
        </w:trPr>
        <w:tc>
          <w:tcPr>
            <w:tcW w:w="4606" w:type="dxa"/>
            <w:tcBorders>
              <w:top w:val="nil"/>
              <w:left w:val="nil"/>
              <w:bottom w:val="nil"/>
              <w:right w:val="nil"/>
            </w:tcBorders>
            <w:shd w:val="clear" w:color="auto" w:fill="auto"/>
            <w:noWrap/>
            <w:vAlign w:val="center"/>
            <w:hideMark/>
          </w:tcPr>
          <w:p w14:paraId="687FDE88"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zh-CN"/>
              </w:rPr>
            </w:pPr>
            <w:proofErr w:type="spellStart"/>
            <w:r w:rsidRPr="00DA1D07">
              <w:rPr>
                <w:rFonts w:ascii="Times New Roman" w:eastAsia="Times New Roman" w:hAnsi="Times New Roman" w:cs="Times New Roman"/>
                <w:i/>
                <w:iCs/>
                <w:color w:val="000000"/>
                <w:sz w:val="24"/>
                <w:szCs w:val="24"/>
                <w:lang w:val="en-US" w:eastAsia="zh-CN"/>
              </w:rPr>
              <w:t>CashComp</w:t>
            </w:r>
            <w:proofErr w:type="spellEnd"/>
          </w:p>
        </w:tc>
        <w:tc>
          <w:tcPr>
            <w:tcW w:w="2468" w:type="dxa"/>
            <w:tcBorders>
              <w:top w:val="nil"/>
              <w:left w:val="nil"/>
              <w:bottom w:val="nil"/>
              <w:right w:val="nil"/>
            </w:tcBorders>
            <w:shd w:val="clear" w:color="auto" w:fill="auto"/>
            <w:noWrap/>
            <w:vAlign w:val="bottom"/>
            <w:hideMark/>
          </w:tcPr>
          <w:p w14:paraId="0C890298"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0.65</w:t>
            </w:r>
          </w:p>
        </w:tc>
        <w:tc>
          <w:tcPr>
            <w:tcW w:w="2282" w:type="dxa"/>
            <w:tcBorders>
              <w:top w:val="nil"/>
              <w:left w:val="nil"/>
              <w:bottom w:val="nil"/>
              <w:right w:val="nil"/>
            </w:tcBorders>
            <w:shd w:val="clear" w:color="auto" w:fill="auto"/>
            <w:noWrap/>
            <w:vAlign w:val="bottom"/>
            <w:hideMark/>
          </w:tcPr>
          <w:p w14:paraId="7F35260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20.16</w:t>
            </w:r>
          </w:p>
        </w:tc>
      </w:tr>
      <w:tr w:rsidR="00E57A11" w:rsidRPr="00F62082" w14:paraId="4F99DC89" w14:textId="77777777" w:rsidTr="006B635B">
        <w:trPr>
          <w:trHeight w:val="310"/>
        </w:trPr>
        <w:tc>
          <w:tcPr>
            <w:tcW w:w="4606" w:type="dxa"/>
            <w:tcBorders>
              <w:top w:val="nil"/>
              <w:left w:val="nil"/>
              <w:bottom w:val="nil"/>
              <w:right w:val="nil"/>
            </w:tcBorders>
            <w:shd w:val="clear" w:color="auto" w:fill="auto"/>
            <w:noWrap/>
            <w:hideMark/>
          </w:tcPr>
          <w:p w14:paraId="5B674436"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zh-CN"/>
              </w:rPr>
            </w:pPr>
            <w:r w:rsidRPr="00DA1D07">
              <w:rPr>
                <w:rFonts w:ascii="Times New Roman" w:eastAsia="Times New Roman" w:hAnsi="Times New Roman" w:cs="Times New Roman"/>
                <w:i/>
                <w:iCs/>
                <w:color w:val="000000"/>
                <w:sz w:val="24"/>
                <w:szCs w:val="24"/>
                <w:lang w:val="en-US" w:eastAsia="zh-CN"/>
              </w:rPr>
              <w:t>Leverage</w:t>
            </w:r>
          </w:p>
        </w:tc>
        <w:tc>
          <w:tcPr>
            <w:tcW w:w="2468" w:type="dxa"/>
            <w:tcBorders>
              <w:top w:val="nil"/>
              <w:left w:val="nil"/>
              <w:bottom w:val="nil"/>
              <w:right w:val="nil"/>
            </w:tcBorders>
            <w:shd w:val="clear" w:color="auto" w:fill="auto"/>
            <w:noWrap/>
            <w:vAlign w:val="bottom"/>
            <w:hideMark/>
          </w:tcPr>
          <w:p w14:paraId="23B0AB14"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0.15</w:t>
            </w:r>
          </w:p>
        </w:tc>
        <w:tc>
          <w:tcPr>
            <w:tcW w:w="2282" w:type="dxa"/>
            <w:tcBorders>
              <w:top w:val="nil"/>
              <w:left w:val="nil"/>
              <w:bottom w:val="nil"/>
              <w:right w:val="nil"/>
            </w:tcBorders>
            <w:shd w:val="clear" w:color="auto" w:fill="auto"/>
            <w:noWrap/>
            <w:vAlign w:val="bottom"/>
            <w:hideMark/>
          </w:tcPr>
          <w:p w14:paraId="4B9FE17A"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2.24</w:t>
            </w:r>
          </w:p>
        </w:tc>
      </w:tr>
      <w:tr w:rsidR="00E57A11" w:rsidRPr="00F62082" w14:paraId="6F5F8C41" w14:textId="77777777" w:rsidTr="006B635B">
        <w:trPr>
          <w:trHeight w:val="310"/>
        </w:trPr>
        <w:tc>
          <w:tcPr>
            <w:tcW w:w="4606" w:type="dxa"/>
            <w:tcBorders>
              <w:top w:val="nil"/>
              <w:left w:val="nil"/>
              <w:bottom w:val="nil"/>
              <w:right w:val="nil"/>
            </w:tcBorders>
            <w:shd w:val="clear" w:color="auto" w:fill="auto"/>
            <w:noWrap/>
            <w:hideMark/>
          </w:tcPr>
          <w:p w14:paraId="5CAE5E17"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zh-CN"/>
              </w:rPr>
            </w:pPr>
            <w:proofErr w:type="spellStart"/>
            <w:r w:rsidRPr="00DA1D07">
              <w:rPr>
                <w:rFonts w:ascii="Times New Roman" w:eastAsia="Times New Roman" w:hAnsi="Times New Roman" w:cs="Times New Roman"/>
                <w:i/>
                <w:iCs/>
                <w:color w:val="000000"/>
                <w:sz w:val="24"/>
                <w:szCs w:val="24"/>
                <w:lang w:val="en-US" w:eastAsia="zh-CN"/>
              </w:rPr>
              <w:t>CashFlow</w:t>
            </w:r>
            <w:proofErr w:type="spellEnd"/>
          </w:p>
        </w:tc>
        <w:tc>
          <w:tcPr>
            <w:tcW w:w="2468" w:type="dxa"/>
            <w:tcBorders>
              <w:top w:val="nil"/>
              <w:left w:val="nil"/>
              <w:bottom w:val="nil"/>
              <w:right w:val="nil"/>
            </w:tcBorders>
            <w:shd w:val="clear" w:color="auto" w:fill="auto"/>
            <w:noWrap/>
            <w:vAlign w:val="bottom"/>
            <w:hideMark/>
          </w:tcPr>
          <w:p w14:paraId="285C8EE5"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-0.36</w:t>
            </w:r>
          </w:p>
        </w:tc>
        <w:tc>
          <w:tcPr>
            <w:tcW w:w="2282" w:type="dxa"/>
            <w:tcBorders>
              <w:top w:val="nil"/>
              <w:left w:val="nil"/>
              <w:bottom w:val="nil"/>
              <w:right w:val="nil"/>
            </w:tcBorders>
            <w:shd w:val="clear" w:color="auto" w:fill="auto"/>
            <w:noWrap/>
            <w:vAlign w:val="bottom"/>
            <w:hideMark/>
          </w:tcPr>
          <w:p w14:paraId="01E2A84F"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-1.37</w:t>
            </w:r>
          </w:p>
        </w:tc>
      </w:tr>
      <w:tr w:rsidR="00E57A11" w:rsidRPr="00F62082" w14:paraId="481946B8" w14:textId="77777777" w:rsidTr="006B635B">
        <w:trPr>
          <w:trHeight w:val="310"/>
        </w:trPr>
        <w:tc>
          <w:tcPr>
            <w:tcW w:w="4606" w:type="dxa"/>
            <w:tcBorders>
              <w:top w:val="nil"/>
              <w:left w:val="nil"/>
              <w:bottom w:val="nil"/>
              <w:right w:val="nil"/>
            </w:tcBorders>
            <w:shd w:val="clear" w:color="auto" w:fill="auto"/>
            <w:noWrap/>
            <w:hideMark/>
          </w:tcPr>
          <w:p w14:paraId="3F94843D"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zh-CN"/>
              </w:rPr>
            </w:pPr>
            <w:proofErr w:type="spellStart"/>
            <w:r w:rsidRPr="00DA1D07">
              <w:rPr>
                <w:rFonts w:ascii="Times New Roman" w:eastAsia="Times New Roman" w:hAnsi="Times New Roman" w:cs="Times New Roman"/>
                <w:i/>
                <w:iCs/>
                <w:color w:val="000000"/>
                <w:sz w:val="24"/>
                <w:szCs w:val="24"/>
                <w:lang w:val="en-US" w:eastAsia="zh-CN"/>
              </w:rPr>
              <w:t>DividendPayout</w:t>
            </w:r>
            <w:proofErr w:type="spellEnd"/>
          </w:p>
        </w:tc>
        <w:tc>
          <w:tcPr>
            <w:tcW w:w="2468" w:type="dxa"/>
            <w:tcBorders>
              <w:top w:val="nil"/>
              <w:left w:val="nil"/>
              <w:bottom w:val="nil"/>
              <w:right w:val="nil"/>
            </w:tcBorders>
            <w:shd w:val="clear" w:color="auto" w:fill="auto"/>
            <w:noWrap/>
            <w:vAlign w:val="bottom"/>
            <w:hideMark/>
          </w:tcPr>
          <w:p w14:paraId="3FA1F4D9"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0.40</w:t>
            </w:r>
          </w:p>
        </w:tc>
        <w:tc>
          <w:tcPr>
            <w:tcW w:w="2282" w:type="dxa"/>
            <w:tcBorders>
              <w:top w:val="nil"/>
              <w:left w:val="nil"/>
              <w:bottom w:val="nil"/>
              <w:right w:val="nil"/>
            </w:tcBorders>
            <w:shd w:val="clear" w:color="auto" w:fill="auto"/>
            <w:noWrap/>
            <w:vAlign w:val="bottom"/>
            <w:hideMark/>
          </w:tcPr>
          <w:p w14:paraId="433AF6C2"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0.34</w:t>
            </w:r>
          </w:p>
        </w:tc>
      </w:tr>
      <w:tr w:rsidR="00E57A11" w:rsidRPr="00F62082" w14:paraId="7658301D" w14:textId="77777777" w:rsidTr="006B635B">
        <w:trPr>
          <w:trHeight w:val="310"/>
        </w:trPr>
        <w:tc>
          <w:tcPr>
            <w:tcW w:w="4606" w:type="dxa"/>
            <w:tcBorders>
              <w:top w:val="nil"/>
              <w:left w:val="nil"/>
              <w:bottom w:val="nil"/>
              <w:right w:val="nil"/>
            </w:tcBorders>
            <w:shd w:val="clear" w:color="auto" w:fill="auto"/>
            <w:noWrap/>
            <w:hideMark/>
          </w:tcPr>
          <w:p w14:paraId="0CBADD4F"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zh-CN"/>
              </w:rPr>
            </w:pPr>
            <w:proofErr w:type="spellStart"/>
            <w:r w:rsidRPr="00DA1D07">
              <w:rPr>
                <w:rFonts w:ascii="Times New Roman" w:eastAsia="Times New Roman" w:hAnsi="Times New Roman" w:cs="Times New Roman"/>
                <w:i/>
                <w:iCs/>
                <w:color w:val="000000"/>
                <w:sz w:val="24"/>
                <w:szCs w:val="24"/>
                <w:lang w:val="en-US" w:eastAsia="zh-CN"/>
              </w:rPr>
              <w:t>FirmSize</w:t>
            </w:r>
            <w:proofErr w:type="spellEnd"/>
            <w:r w:rsidRPr="00DA1D07">
              <w:rPr>
                <w:rFonts w:ascii="Times New Roman" w:eastAsia="Times New Roman" w:hAnsi="Times New Roman" w:cs="Times New Roman"/>
                <w:i/>
                <w:iCs/>
                <w:color w:val="000000"/>
                <w:sz w:val="24"/>
                <w:szCs w:val="24"/>
                <w:lang w:val="en-US" w:eastAsia="zh-CN"/>
              </w:rPr>
              <w:t xml:space="preserve"> </w:t>
            </w:r>
          </w:p>
        </w:tc>
        <w:tc>
          <w:tcPr>
            <w:tcW w:w="2468" w:type="dxa"/>
            <w:tcBorders>
              <w:top w:val="nil"/>
              <w:left w:val="nil"/>
              <w:bottom w:val="nil"/>
              <w:right w:val="nil"/>
            </w:tcBorders>
            <w:shd w:val="clear" w:color="auto" w:fill="auto"/>
            <w:noWrap/>
            <w:vAlign w:val="bottom"/>
            <w:hideMark/>
          </w:tcPr>
          <w:p w14:paraId="77C8D8B7"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0.52</w:t>
            </w:r>
          </w:p>
        </w:tc>
        <w:tc>
          <w:tcPr>
            <w:tcW w:w="2282" w:type="dxa"/>
            <w:tcBorders>
              <w:top w:val="nil"/>
              <w:left w:val="nil"/>
              <w:bottom w:val="nil"/>
              <w:right w:val="nil"/>
            </w:tcBorders>
            <w:shd w:val="clear" w:color="auto" w:fill="auto"/>
            <w:noWrap/>
            <w:vAlign w:val="bottom"/>
            <w:hideMark/>
          </w:tcPr>
          <w:p w14:paraId="6F2EED72"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23.87</w:t>
            </w:r>
          </w:p>
        </w:tc>
      </w:tr>
      <w:tr w:rsidR="00E57A11" w:rsidRPr="00F62082" w14:paraId="21F77D2A" w14:textId="77777777" w:rsidTr="006B635B">
        <w:trPr>
          <w:trHeight w:val="310"/>
        </w:trPr>
        <w:tc>
          <w:tcPr>
            <w:tcW w:w="4606" w:type="dxa"/>
            <w:tcBorders>
              <w:top w:val="nil"/>
              <w:left w:val="nil"/>
              <w:bottom w:val="nil"/>
              <w:right w:val="nil"/>
            </w:tcBorders>
            <w:shd w:val="clear" w:color="auto" w:fill="auto"/>
            <w:noWrap/>
            <w:hideMark/>
          </w:tcPr>
          <w:p w14:paraId="303AB28F"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zh-CN"/>
              </w:rPr>
            </w:pPr>
            <w:r w:rsidRPr="00DA1D07">
              <w:rPr>
                <w:rFonts w:ascii="Times New Roman" w:eastAsia="Times New Roman" w:hAnsi="Times New Roman" w:cs="Times New Roman"/>
                <w:i/>
                <w:iCs/>
                <w:color w:val="000000"/>
                <w:sz w:val="24"/>
                <w:szCs w:val="24"/>
                <w:lang w:val="en-US" w:eastAsia="zh-CN"/>
              </w:rPr>
              <w:t>Employees</w:t>
            </w:r>
          </w:p>
        </w:tc>
        <w:tc>
          <w:tcPr>
            <w:tcW w:w="2468" w:type="dxa"/>
            <w:tcBorders>
              <w:top w:val="nil"/>
              <w:left w:val="nil"/>
              <w:bottom w:val="nil"/>
              <w:right w:val="nil"/>
            </w:tcBorders>
            <w:shd w:val="clear" w:color="auto" w:fill="auto"/>
            <w:noWrap/>
            <w:vAlign w:val="bottom"/>
            <w:hideMark/>
          </w:tcPr>
          <w:p w14:paraId="56E0F2B0"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0.06</w:t>
            </w:r>
          </w:p>
        </w:tc>
        <w:tc>
          <w:tcPr>
            <w:tcW w:w="2282" w:type="dxa"/>
            <w:tcBorders>
              <w:top w:val="nil"/>
              <w:left w:val="nil"/>
              <w:bottom w:val="nil"/>
              <w:right w:val="nil"/>
            </w:tcBorders>
            <w:shd w:val="clear" w:color="auto" w:fill="auto"/>
            <w:noWrap/>
            <w:vAlign w:val="bottom"/>
            <w:hideMark/>
          </w:tcPr>
          <w:p w14:paraId="0ECB2282"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3.21</w:t>
            </w:r>
          </w:p>
        </w:tc>
      </w:tr>
      <w:tr w:rsidR="00E57A11" w:rsidRPr="00F62082" w14:paraId="4729C6FA" w14:textId="77777777" w:rsidTr="006B635B">
        <w:trPr>
          <w:trHeight w:val="310"/>
        </w:trPr>
        <w:tc>
          <w:tcPr>
            <w:tcW w:w="4606" w:type="dxa"/>
            <w:tcBorders>
              <w:top w:val="nil"/>
              <w:left w:val="nil"/>
              <w:bottom w:val="nil"/>
              <w:right w:val="nil"/>
            </w:tcBorders>
            <w:shd w:val="clear" w:color="auto" w:fill="auto"/>
            <w:noWrap/>
            <w:hideMark/>
          </w:tcPr>
          <w:p w14:paraId="2E8986FB"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zh-CN"/>
              </w:rPr>
            </w:pPr>
            <w:proofErr w:type="spellStart"/>
            <w:r w:rsidRPr="00DA1D07">
              <w:rPr>
                <w:rFonts w:ascii="Times New Roman" w:eastAsia="Times New Roman" w:hAnsi="Times New Roman" w:cs="Times New Roman"/>
                <w:i/>
                <w:iCs/>
                <w:color w:val="000000"/>
                <w:sz w:val="24"/>
                <w:szCs w:val="24"/>
                <w:lang w:val="en-US" w:eastAsia="zh-CN"/>
              </w:rPr>
              <w:t>AssetTurnover</w:t>
            </w:r>
            <w:proofErr w:type="spellEnd"/>
          </w:p>
        </w:tc>
        <w:tc>
          <w:tcPr>
            <w:tcW w:w="2468" w:type="dxa"/>
            <w:tcBorders>
              <w:top w:val="nil"/>
              <w:left w:val="nil"/>
              <w:bottom w:val="nil"/>
              <w:right w:val="nil"/>
            </w:tcBorders>
            <w:shd w:val="clear" w:color="auto" w:fill="auto"/>
            <w:noWrap/>
            <w:vAlign w:val="bottom"/>
            <w:hideMark/>
          </w:tcPr>
          <w:p w14:paraId="6D0C130A"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-0.26</w:t>
            </w:r>
          </w:p>
        </w:tc>
        <w:tc>
          <w:tcPr>
            <w:tcW w:w="2282" w:type="dxa"/>
            <w:tcBorders>
              <w:top w:val="nil"/>
              <w:left w:val="nil"/>
              <w:bottom w:val="nil"/>
              <w:right w:val="nil"/>
            </w:tcBorders>
            <w:shd w:val="clear" w:color="auto" w:fill="auto"/>
            <w:noWrap/>
            <w:vAlign w:val="bottom"/>
            <w:hideMark/>
          </w:tcPr>
          <w:p w14:paraId="034347E5"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-12.57</w:t>
            </w:r>
          </w:p>
        </w:tc>
      </w:tr>
      <w:tr w:rsidR="00E57A11" w:rsidRPr="00F62082" w14:paraId="1C740BF0" w14:textId="77777777" w:rsidTr="006B635B">
        <w:trPr>
          <w:trHeight w:val="310"/>
        </w:trPr>
        <w:tc>
          <w:tcPr>
            <w:tcW w:w="4606" w:type="dxa"/>
            <w:tcBorders>
              <w:top w:val="nil"/>
              <w:left w:val="nil"/>
              <w:bottom w:val="nil"/>
              <w:right w:val="nil"/>
            </w:tcBorders>
            <w:shd w:val="clear" w:color="auto" w:fill="auto"/>
            <w:noWrap/>
            <w:hideMark/>
          </w:tcPr>
          <w:p w14:paraId="28C333CC"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zh-CN"/>
              </w:rPr>
            </w:pPr>
            <w:r w:rsidRPr="00DA1D07">
              <w:rPr>
                <w:rFonts w:ascii="Times New Roman" w:eastAsia="Times New Roman" w:hAnsi="Times New Roman" w:cs="Times New Roman"/>
                <w:i/>
                <w:iCs/>
                <w:color w:val="000000"/>
                <w:sz w:val="24"/>
                <w:szCs w:val="24"/>
                <w:lang w:val="en-US" w:eastAsia="zh-CN"/>
              </w:rPr>
              <w:t>Market-to-book</w:t>
            </w:r>
          </w:p>
        </w:tc>
        <w:tc>
          <w:tcPr>
            <w:tcW w:w="2468" w:type="dxa"/>
            <w:tcBorders>
              <w:top w:val="nil"/>
              <w:left w:val="nil"/>
              <w:bottom w:val="nil"/>
              <w:right w:val="nil"/>
            </w:tcBorders>
            <w:shd w:val="clear" w:color="auto" w:fill="auto"/>
            <w:noWrap/>
            <w:vAlign w:val="bottom"/>
            <w:hideMark/>
          </w:tcPr>
          <w:p w14:paraId="63A6F4D2"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-0.05</w:t>
            </w:r>
          </w:p>
        </w:tc>
        <w:tc>
          <w:tcPr>
            <w:tcW w:w="2282" w:type="dxa"/>
            <w:tcBorders>
              <w:top w:val="nil"/>
              <w:left w:val="nil"/>
              <w:bottom w:val="nil"/>
              <w:right w:val="nil"/>
            </w:tcBorders>
            <w:shd w:val="clear" w:color="auto" w:fill="auto"/>
            <w:noWrap/>
            <w:vAlign w:val="bottom"/>
            <w:hideMark/>
          </w:tcPr>
          <w:p w14:paraId="170B02B8"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-4.56</w:t>
            </w:r>
          </w:p>
        </w:tc>
      </w:tr>
      <w:tr w:rsidR="00E57A11" w:rsidRPr="00F62082" w14:paraId="6DCBF5E9" w14:textId="77777777" w:rsidTr="006B635B">
        <w:trPr>
          <w:trHeight w:val="310"/>
        </w:trPr>
        <w:tc>
          <w:tcPr>
            <w:tcW w:w="4606" w:type="dxa"/>
            <w:tcBorders>
              <w:top w:val="nil"/>
              <w:left w:val="nil"/>
              <w:bottom w:val="nil"/>
              <w:right w:val="nil"/>
            </w:tcBorders>
            <w:shd w:val="clear" w:color="auto" w:fill="auto"/>
            <w:noWrap/>
            <w:hideMark/>
          </w:tcPr>
          <w:p w14:paraId="2AFAA76B"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zh-CN"/>
              </w:rPr>
            </w:pPr>
            <w:r w:rsidRPr="00DA1D07">
              <w:rPr>
                <w:rFonts w:ascii="Times New Roman" w:eastAsia="Times New Roman" w:hAnsi="Times New Roman" w:cs="Times New Roman"/>
                <w:i/>
                <w:iCs/>
                <w:color w:val="000000"/>
                <w:sz w:val="24"/>
                <w:szCs w:val="24"/>
                <w:lang w:val="en-US" w:eastAsia="zh-CN"/>
              </w:rPr>
              <w:t>Tangibility</w:t>
            </w:r>
          </w:p>
        </w:tc>
        <w:tc>
          <w:tcPr>
            <w:tcW w:w="2468" w:type="dxa"/>
            <w:tcBorders>
              <w:top w:val="nil"/>
              <w:left w:val="nil"/>
              <w:bottom w:val="nil"/>
              <w:right w:val="nil"/>
            </w:tcBorders>
            <w:shd w:val="clear" w:color="auto" w:fill="auto"/>
            <w:noWrap/>
            <w:vAlign w:val="bottom"/>
            <w:hideMark/>
          </w:tcPr>
          <w:p w14:paraId="6CF5744F"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-0.41</w:t>
            </w:r>
          </w:p>
        </w:tc>
        <w:tc>
          <w:tcPr>
            <w:tcW w:w="2282" w:type="dxa"/>
            <w:tcBorders>
              <w:top w:val="nil"/>
              <w:left w:val="nil"/>
              <w:bottom w:val="nil"/>
              <w:right w:val="nil"/>
            </w:tcBorders>
            <w:shd w:val="clear" w:color="auto" w:fill="auto"/>
            <w:noWrap/>
            <w:vAlign w:val="bottom"/>
            <w:hideMark/>
          </w:tcPr>
          <w:p w14:paraId="1F7BDCA2"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-4.50</w:t>
            </w:r>
          </w:p>
        </w:tc>
      </w:tr>
      <w:tr w:rsidR="00E57A11" w:rsidRPr="00F62082" w14:paraId="6132F5CF" w14:textId="77777777" w:rsidTr="006B635B">
        <w:trPr>
          <w:trHeight w:val="310"/>
        </w:trPr>
        <w:tc>
          <w:tcPr>
            <w:tcW w:w="4606" w:type="dxa"/>
            <w:tcBorders>
              <w:top w:val="nil"/>
              <w:left w:val="nil"/>
              <w:bottom w:val="nil"/>
              <w:right w:val="nil"/>
            </w:tcBorders>
            <w:shd w:val="clear" w:color="auto" w:fill="auto"/>
            <w:noWrap/>
            <w:hideMark/>
          </w:tcPr>
          <w:p w14:paraId="44A5DB4A"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zh-CN"/>
              </w:rPr>
            </w:pPr>
            <w:r w:rsidRPr="00DA1D07">
              <w:rPr>
                <w:rFonts w:ascii="Times New Roman" w:eastAsia="Times New Roman" w:hAnsi="Times New Roman" w:cs="Times New Roman"/>
                <w:i/>
                <w:iCs/>
                <w:color w:val="000000"/>
                <w:sz w:val="24"/>
                <w:szCs w:val="24"/>
                <w:lang w:val="en-US" w:eastAsia="zh-CN"/>
              </w:rPr>
              <w:t>Capex</w:t>
            </w:r>
          </w:p>
        </w:tc>
        <w:tc>
          <w:tcPr>
            <w:tcW w:w="2468" w:type="dxa"/>
            <w:tcBorders>
              <w:top w:val="nil"/>
              <w:left w:val="nil"/>
              <w:bottom w:val="nil"/>
              <w:right w:val="nil"/>
            </w:tcBorders>
            <w:shd w:val="clear" w:color="auto" w:fill="auto"/>
            <w:noWrap/>
            <w:vAlign w:val="bottom"/>
            <w:hideMark/>
          </w:tcPr>
          <w:p w14:paraId="29DA723D"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-2.70</w:t>
            </w:r>
          </w:p>
        </w:tc>
        <w:tc>
          <w:tcPr>
            <w:tcW w:w="2282" w:type="dxa"/>
            <w:tcBorders>
              <w:top w:val="nil"/>
              <w:left w:val="nil"/>
              <w:bottom w:val="nil"/>
              <w:right w:val="nil"/>
            </w:tcBorders>
            <w:shd w:val="clear" w:color="auto" w:fill="auto"/>
            <w:noWrap/>
            <w:vAlign w:val="bottom"/>
            <w:hideMark/>
          </w:tcPr>
          <w:p w14:paraId="3C5D4528"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-5.94</w:t>
            </w:r>
          </w:p>
        </w:tc>
      </w:tr>
      <w:tr w:rsidR="00E57A11" w:rsidRPr="00F62082" w14:paraId="06789562" w14:textId="77777777" w:rsidTr="006B635B">
        <w:trPr>
          <w:trHeight w:val="310"/>
        </w:trPr>
        <w:tc>
          <w:tcPr>
            <w:tcW w:w="4606" w:type="dxa"/>
            <w:tcBorders>
              <w:top w:val="nil"/>
              <w:left w:val="nil"/>
              <w:bottom w:val="nil"/>
              <w:right w:val="nil"/>
            </w:tcBorders>
            <w:shd w:val="clear" w:color="auto" w:fill="auto"/>
            <w:noWrap/>
            <w:hideMark/>
          </w:tcPr>
          <w:p w14:paraId="7B0CDDB6"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zh-CN"/>
              </w:rPr>
            </w:pPr>
            <w:r w:rsidRPr="00DA1D07">
              <w:rPr>
                <w:rFonts w:ascii="Times New Roman" w:eastAsia="Times New Roman" w:hAnsi="Times New Roman" w:cs="Times New Roman"/>
                <w:i/>
                <w:iCs/>
                <w:color w:val="000000"/>
                <w:sz w:val="24"/>
                <w:szCs w:val="24"/>
                <w:lang w:val="en-US" w:eastAsia="zh-CN"/>
              </w:rPr>
              <w:t>RET</w:t>
            </w:r>
          </w:p>
        </w:tc>
        <w:tc>
          <w:tcPr>
            <w:tcW w:w="2468" w:type="dxa"/>
            <w:tcBorders>
              <w:top w:val="nil"/>
              <w:left w:val="nil"/>
              <w:bottom w:val="nil"/>
              <w:right w:val="nil"/>
            </w:tcBorders>
            <w:shd w:val="clear" w:color="auto" w:fill="auto"/>
            <w:noWrap/>
            <w:vAlign w:val="bottom"/>
            <w:hideMark/>
          </w:tcPr>
          <w:p w14:paraId="37A2955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-0.34</w:t>
            </w:r>
          </w:p>
        </w:tc>
        <w:tc>
          <w:tcPr>
            <w:tcW w:w="2282" w:type="dxa"/>
            <w:tcBorders>
              <w:top w:val="nil"/>
              <w:left w:val="nil"/>
              <w:bottom w:val="nil"/>
              <w:right w:val="nil"/>
            </w:tcBorders>
            <w:shd w:val="clear" w:color="auto" w:fill="auto"/>
            <w:noWrap/>
            <w:vAlign w:val="bottom"/>
            <w:hideMark/>
          </w:tcPr>
          <w:p w14:paraId="73470430"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-8.10</w:t>
            </w:r>
          </w:p>
        </w:tc>
      </w:tr>
      <w:tr w:rsidR="00E57A11" w:rsidRPr="00F62082" w14:paraId="423A96EC" w14:textId="77777777" w:rsidTr="006B635B">
        <w:trPr>
          <w:trHeight w:val="310"/>
        </w:trPr>
        <w:tc>
          <w:tcPr>
            <w:tcW w:w="4606" w:type="dxa"/>
            <w:tcBorders>
              <w:top w:val="nil"/>
              <w:left w:val="nil"/>
              <w:bottom w:val="nil"/>
              <w:right w:val="nil"/>
            </w:tcBorders>
            <w:shd w:val="clear" w:color="auto" w:fill="auto"/>
            <w:noWrap/>
            <w:vAlign w:val="bottom"/>
            <w:hideMark/>
          </w:tcPr>
          <w:p w14:paraId="5B079276"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zh-CN"/>
              </w:rPr>
            </w:pPr>
            <w:proofErr w:type="spellStart"/>
            <w:r w:rsidRPr="00DA1D07">
              <w:rPr>
                <w:rFonts w:ascii="Times New Roman" w:eastAsia="Times New Roman" w:hAnsi="Times New Roman" w:cs="Times New Roman"/>
                <w:i/>
                <w:iCs/>
                <w:color w:val="000000"/>
                <w:sz w:val="24"/>
                <w:szCs w:val="24"/>
                <w:lang w:val="en-US" w:eastAsia="zh-CN"/>
              </w:rPr>
              <w:t>CEOage</w:t>
            </w:r>
            <w:proofErr w:type="spellEnd"/>
          </w:p>
        </w:tc>
        <w:tc>
          <w:tcPr>
            <w:tcW w:w="2468" w:type="dxa"/>
            <w:tcBorders>
              <w:top w:val="nil"/>
              <w:left w:val="nil"/>
              <w:bottom w:val="nil"/>
              <w:right w:val="nil"/>
            </w:tcBorders>
            <w:shd w:val="clear" w:color="auto" w:fill="auto"/>
            <w:noWrap/>
            <w:vAlign w:val="bottom"/>
            <w:hideMark/>
          </w:tcPr>
          <w:p w14:paraId="4C8AAC1B"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-0.02</w:t>
            </w:r>
          </w:p>
        </w:tc>
        <w:tc>
          <w:tcPr>
            <w:tcW w:w="2282" w:type="dxa"/>
            <w:tcBorders>
              <w:top w:val="nil"/>
              <w:left w:val="nil"/>
              <w:bottom w:val="nil"/>
              <w:right w:val="nil"/>
            </w:tcBorders>
            <w:shd w:val="clear" w:color="auto" w:fill="auto"/>
            <w:noWrap/>
            <w:vAlign w:val="bottom"/>
            <w:hideMark/>
          </w:tcPr>
          <w:p w14:paraId="7EF96F95"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-6.22</w:t>
            </w:r>
          </w:p>
        </w:tc>
      </w:tr>
      <w:tr w:rsidR="00E57A11" w:rsidRPr="00F62082" w14:paraId="2D11E049" w14:textId="77777777" w:rsidTr="006B635B">
        <w:trPr>
          <w:trHeight w:val="310"/>
        </w:trPr>
        <w:tc>
          <w:tcPr>
            <w:tcW w:w="4606" w:type="dxa"/>
            <w:tcBorders>
              <w:top w:val="nil"/>
              <w:left w:val="nil"/>
              <w:bottom w:val="nil"/>
              <w:right w:val="nil"/>
            </w:tcBorders>
            <w:shd w:val="clear" w:color="auto" w:fill="auto"/>
            <w:noWrap/>
            <w:vAlign w:val="bottom"/>
            <w:hideMark/>
          </w:tcPr>
          <w:p w14:paraId="5CBCB5DF"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zh-CN"/>
              </w:rPr>
            </w:pPr>
            <w:proofErr w:type="spellStart"/>
            <w:r w:rsidRPr="00DA1D07">
              <w:rPr>
                <w:rFonts w:ascii="Times New Roman" w:eastAsia="Times New Roman" w:hAnsi="Times New Roman" w:cs="Times New Roman"/>
                <w:i/>
                <w:iCs/>
                <w:color w:val="000000"/>
                <w:sz w:val="24"/>
                <w:szCs w:val="24"/>
                <w:lang w:val="en-US" w:eastAsia="zh-CN"/>
              </w:rPr>
              <w:t>CEOtenure</w:t>
            </w:r>
            <w:proofErr w:type="spellEnd"/>
          </w:p>
        </w:tc>
        <w:tc>
          <w:tcPr>
            <w:tcW w:w="2468" w:type="dxa"/>
            <w:tcBorders>
              <w:top w:val="nil"/>
              <w:left w:val="nil"/>
              <w:bottom w:val="nil"/>
              <w:right w:val="nil"/>
            </w:tcBorders>
            <w:shd w:val="clear" w:color="auto" w:fill="auto"/>
            <w:noWrap/>
            <w:vAlign w:val="bottom"/>
            <w:hideMark/>
          </w:tcPr>
          <w:p w14:paraId="4E9A198E"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-0.05</w:t>
            </w:r>
          </w:p>
        </w:tc>
        <w:tc>
          <w:tcPr>
            <w:tcW w:w="2282" w:type="dxa"/>
            <w:tcBorders>
              <w:top w:val="nil"/>
              <w:left w:val="nil"/>
              <w:bottom w:val="nil"/>
              <w:right w:val="nil"/>
            </w:tcBorders>
            <w:shd w:val="clear" w:color="auto" w:fill="auto"/>
            <w:noWrap/>
            <w:vAlign w:val="bottom"/>
            <w:hideMark/>
          </w:tcPr>
          <w:p w14:paraId="08D34BDC"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-18.33</w:t>
            </w:r>
          </w:p>
        </w:tc>
      </w:tr>
      <w:tr w:rsidR="00E57A11" w:rsidRPr="00F62082" w14:paraId="32322328" w14:textId="77777777" w:rsidTr="006B635B">
        <w:trPr>
          <w:trHeight w:val="310"/>
        </w:trPr>
        <w:tc>
          <w:tcPr>
            <w:tcW w:w="4606" w:type="dxa"/>
            <w:tcBorders>
              <w:top w:val="nil"/>
              <w:left w:val="nil"/>
              <w:bottom w:val="nil"/>
              <w:right w:val="nil"/>
            </w:tcBorders>
            <w:shd w:val="clear" w:color="auto" w:fill="auto"/>
            <w:noWrap/>
            <w:vAlign w:val="bottom"/>
            <w:hideMark/>
          </w:tcPr>
          <w:p w14:paraId="21D60E30"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zh-CN"/>
              </w:rPr>
            </w:pPr>
            <w:r w:rsidRPr="00DA1D07">
              <w:rPr>
                <w:rFonts w:ascii="Times New Roman" w:eastAsia="Times New Roman" w:hAnsi="Times New Roman" w:cs="Times New Roman"/>
                <w:i/>
                <w:iCs/>
                <w:color w:val="000000"/>
                <w:sz w:val="24"/>
                <w:szCs w:val="24"/>
                <w:lang w:val="en-US" w:eastAsia="zh-CN"/>
              </w:rPr>
              <w:t>Intercept Equity Incentive Quintile 1-2</w:t>
            </w:r>
          </w:p>
        </w:tc>
        <w:tc>
          <w:tcPr>
            <w:tcW w:w="2468" w:type="dxa"/>
            <w:tcBorders>
              <w:top w:val="nil"/>
              <w:left w:val="nil"/>
              <w:bottom w:val="nil"/>
              <w:right w:val="nil"/>
            </w:tcBorders>
            <w:shd w:val="clear" w:color="auto" w:fill="auto"/>
            <w:noWrap/>
            <w:vAlign w:val="bottom"/>
            <w:hideMark/>
          </w:tcPr>
          <w:p w14:paraId="2BEB0DB9"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9.66</w:t>
            </w:r>
          </w:p>
        </w:tc>
        <w:tc>
          <w:tcPr>
            <w:tcW w:w="2282" w:type="dxa"/>
            <w:tcBorders>
              <w:top w:val="nil"/>
              <w:left w:val="nil"/>
              <w:bottom w:val="nil"/>
              <w:right w:val="nil"/>
            </w:tcBorders>
            <w:shd w:val="clear" w:color="auto" w:fill="auto"/>
            <w:noWrap/>
            <w:vAlign w:val="bottom"/>
            <w:hideMark/>
          </w:tcPr>
          <w:p w14:paraId="737A3437"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39.67</w:t>
            </w:r>
          </w:p>
        </w:tc>
      </w:tr>
      <w:tr w:rsidR="00E57A11" w:rsidRPr="00F62082" w14:paraId="628E0FDD" w14:textId="77777777" w:rsidTr="006B635B">
        <w:trPr>
          <w:trHeight w:val="310"/>
        </w:trPr>
        <w:tc>
          <w:tcPr>
            <w:tcW w:w="4606" w:type="dxa"/>
            <w:tcBorders>
              <w:top w:val="nil"/>
              <w:left w:val="nil"/>
              <w:bottom w:val="nil"/>
              <w:right w:val="nil"/>
            </w:tcBorders>
            <w:shd w:val="clear" w:color="auto" w:fill="auto"/>
            <w:noWrap/>
            <w:vAlign w:val="bottom"/>
            <w:hideMark/>
          </w:tcPr>
          <w:p w14:paraId="487B9511"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zh-CN"/>
              </w:rPr>
            </w:pPr>
            <w:r w:rsidRPr="00DA1D07">
              <w:rPr>
                <w:rFonts w:ascii="Times New Roman" w:eastAsia="Times New Roman" w:hAnsi="Times New Roman" w:cs="Times New Roman"/>
                <w:i/>
                <w:iCs/>
                <w:color w:val="000000"/>
                <w:sz w:val="24"/>
                <w:szCs w:val="24"/>
                <w:lang w:val="en-US" w:eastAsia="zh-CN"/>
              </w:rPr>
              <w:t>Intercept Equity Incentive Quintile 2-3</w:t>
            </w:r>
          </w:p>
        </w:tc>
        <w:tc>
          <w:tcPr>
            <w:tcW w:w="2468" w:type="dxa"/>
            <w:tcBorders>
              <w:top w:val="nil"/>
              <w:left w:val="nil"/>
              <w:bottom w:val="nil"/>
              <w:right w:val="nil"/>
            </w:tcBorders>
            <w:shd w:val="clear" w:color="auto" w:fill="auto"/>
            <w:noWrap/>
            <w:vAlign w:val="bottom"/>
            <w:hideMark/>
          </w:tcPr>
          <w:p w14:paraId="4812775B"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11.32</w:t>
            </w:r>
          </w:p>
        </w:tc>
        <w:tc>
          <w:tcPr>
            <w:tcW w:w="2282" w:type="dxa"/>
            <w:tcBorders>
              <w:top w:val="nil"/>
              <w:left w:val="nil"/>
              <w:bottom w:val="nil"/>
              <w:right w:val="nil"/>
            </w:tcBorders>
            <w:shd w:val="clear" w:color="auto" w:fill="auto"/>
            <w:noWrap/>
            <w:vAlign w:val="bottom"/>
            <w:hideMark/>
          </w:tcPr>
          <w:p w14:paraId="0779B128"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45.77</w:t>
            </w:r>
          </w:p>
        </w:tc>
      </w:tr>
      <w:tr w:rsidR="00E57A11" w:rsidRPr="00F62082" w14:paraId="1C7E5719" w14:textId="77777777" w:rsidTr="006B635B">
        <w:trPr>
          <w:trHeight w:val="310"/>
        </w:trPr>
        <w:tc>
          <w:tcPr>
            <w:tcW w:w="4606" w:type="dxa"/>
            <w:tcBorders>
              <w:top w:val="nil"/>
              <w:left w:val="nil"/>
              <w:bottom w:val="nil"/>
              <w:right w:val="nil"/>
            </w:tcBorders>
            <w:shd w:val="clear" w:color="auto" w:fill="auto"/>
            <w:noWrap/>
            <w:vAlign w:val="bottom"/>
            <w:hideMark/>
          </w:tcPr>
          <w:p w14:paraId="7F03844C"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zh-CN"/>
              </w:rPr>
            </w:pPr>
            <w:r w:rsidRPr="00DA1D07">
              <w:rPr>
                <w:rFonts w:ascii="Times New Roman" w:eastAsia="Times New Roman" w:hAnsi="Times New Roman" w:cs="Times New Roman"/>
                <w:i/>
                <w:iCs/>
                <w:color w:val="000000"/>
                <w:sz w:val="24"/>
                <w:szCs w:val="24"/>
                <w:lang w:val="en-US" w:eastAsia="zh-CN"/>
              </w:rPr>
              <w:t>Intercept Equity Incentive Quintile 3-4</w:t>
            </w:r>
          </w:p>
        </w:tc>
        <w:tc>
          <w:tcPr>
            <w:tcW w:w="2468" w:type="dxa"/>
            <w:tcBorders>
              <w:top w:val="nil"/>
              <w:left w:val="nil"/>
              <w:bottom w:val="nil"/>
              <w:right w:val="nil"/>
            </w:tcBorders>
            <w:shd w:val="clear" w:color="auto" w:fill="auto"/>
            <w:noWrap/>
            <w:vAlign w:val="bottom"/>
            <w:hideMark/>
          </w:tcPr>
          <w:p w14:paraId="44F750D8"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12.91</w:t>
            </w:r>
          </w:p>
        </w:tc>
        <w:tc>
          <w:tcPr>
            <w:tcW w:w="2282" w:type="dxa"/>
            <w:tcBorders>
              <w:top w:val="nil"/>
              <w:left w:val="nil"/>
              <w:bottom w:val="nil"/>
              <w:right w:val="nil"/>
            </w:tcBorders>
            <w:shd w:val="clear" w:color="auto" w:fill="auto"/>
            <w:noWrap/>
            <w:vAlign w:val="bottom"/>
            <w:hideMark/>
          </w:tcPr>
          <w:p w14:paraId="5EE54469"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51.12</w:t>
            </w:r>
          </w:p>
        </w:tc>
      </w:tr>
      <w:tr w:rsidR="00E57A11" w:rsidRPr="00F62082" w14:paraId="18A65316" w14:textId="77777777" w:rsidTr="006B635B">
        <w:trPr>
          <w:trHeight w:val="310"/>
        </w:trPr>
        <w:tc>
          <w:tcPr>
            <w:tcW w:w="4606" w:type="dxa"/>
            <w:tcBorders>
              <w:top w:val="nil"/>
              <w:left w:val="nil"/>
              <w:right w:val="nil"/>
            </w:tcBorders>
            <w:shd w:val="clear" w:color="auto" w:fill="auto"/>
            <w:noWrap/>
            <w:vAlign w:val="bottom"/>
            <w:hideMark/>
          </w:tcPr>
          <w:p w14:paraId="35E02396"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zh-CN"/>
              </w:rPr>
            </w:pPr>
            <w:r w:rsidRPr="00DA1D07">
              <w:rPr>
                <w:rFonts w:ascii="Times New Roman" w:eastAsia="Times New Roman" w:hAnsi="Times New Roman" w:cs="Times New Roman"/>
                <w:i/>
                <w:iCs/>
                <w:color w:val="000000"/>
                <w:sz w:val="24"/>
                <w:szCs w:val="24"/>
                <w:lang w:val="en-US" w:eastAsia="zh-CN"/>
              </w:rPr>
              <w:t>Intercept Equity Incentive Quintile 4-5</w:t>
            </w:r>
          </w:p>
        </w:tc>
        <w:tc>
          <w:tcPr>
            <w:tcW w:w="2468" w:type="dxa"/>
            <w:tcBorders>
              <w:top w:val="nil"/>
              <w:left w:val="nil"/>
              <w:right w:val="nil"/>
            </w:tcBorders>
            <w:shd w:val="clear" w:color="auto" w:fill="auto"/>
            <w:noWrap/>
            <w:vAlign w:val="bottom"/>
            <w:hideMark/>
          </w:tcPr>
          <w:p w14:paraId="72C21299"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14.84</w:t>
            </w:r>
          </w:p>
        </w:tc>
        <w:tc>
          <w:tcPr>
            <w:tcW w:w="2282" w:type="dxa"/>
            <w:tcBorders>
              <w:top w:val="nil"/>
              <w:left w:val="nil"/>
              <w:right w:val="nil"/>
            </w:tcBorders>
            <w:shd w:val="clear" w:color="auto" w:fill="auto"/>
            <w:noWrap/>
            <w:vAlign w:val="bottom"/>
            <w:hideMark/>
          </w:tcPr>
          <w:p w14:paraId="1A506102"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57.13</w:t>
            </w:r>
          </w:p>
        </w:tc>
      </w:tr>
      <w:tr w:rsidR="00E57A11" w:rsidRPr="00F62082" w14:paraId="52A1D9E6" w14:textId="77777777" w:rsidTr="006B635B">
        <w:trPr>
          <w:trHeight w:val="370"/>
        </w:trPr>
        <w:tc>
          <w:tcPr>
            <w:tcW w:w="4606" w:type="dxa"/>
            <w:tcBorders>
              <w:top w:val="nil"/>
              <w:left w:val="nil"/>
              <w:right w:val="nil"/>
            </w:tcBorders>
            <w:shd w:val="clear" w:color="auto" w:fill="auto"/>
            <w:noWrap/>
            <w:vAlign w:val="bottom"/>
            <w:hideMark/>
          </w:tcPr>
          <w:p w14:paraId="3FCE1FCD" w14:textId="77777777" w:rsidR="00E57A11" w:rsidRPr="00DA1D07" w:rsidRDefault="00E57A11" w:rsidP="002753C1">
            <w:pPr>
              <w:spacing w:after="0" w:line="240" w:lineRule="auto"/>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Average Pseudo R</w:t>
            </w:r>
            <w:r w:rsidRPr="00DA1D07">
              <w:rPr>
                <w:rFonts w:ascii="Times New Roman" w:eastAsia="Times New Roman" w:hAnsi="Times New Roman" w:cs="Times New Roman"/>
                <w:color w:val="000000"/>
                <w:sz w:val="24"/>
                <w:szCs w:val="24"/>
                <w:vertAlign w:val="superscript"/>
                <w:lang w:val="en-US" w:eastAsia="zh-CN"/>
              </w:rPr>
              <w:t>2</w:t>
            </w:r>
          </w:p>
        </w:tc>
        <w:tc>
          <w:tcPr>
            <w:tcW w:w="2468" w:type="dxa"/>
            <w:tcBorders>
              <w:top w:val="nil"/>
              <w:left w:val="nil"/>
              <w:right w:val="nil"/>
            </w:tcBorders>
            <w:shd w:val="clear" w:color="auto" w:fill="auto"/>
            <w:noWrap/>
            <w:vAlign w:val="bottom"/>
            <w:hideMark/>
          </w:tcPr>
          <w:p w14:paraId="61A6C6C6"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0.28</w:t>
            </w:r>
          </w:p>
        </w:tc>
        <w:tc>
          <w:tcPr>
            <w:tcW w:w="2282" w:type="dxa"/>
            <w:tcBorders>
              <w:top w:val="nil"/>
              <w:left w:val="nil"/>
              <w:right w:val="nil"/>
            </w:tcBorders>
            <w:shd w:val="clear" w:color="auto" w:fill="auto"/>
            <w:noWrap/>
            <w:vAlign w:val="bottom"/>
            <w:hideMark/>
          </w:tcPr>
          <w:p w14:paraId="562488D3"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p>
        </w:tc>
      </w:tr>
      <w:tr w:rsidR="00E57A11" w:rsidRPr="00F62082" w14:paraId="0F453F19" w14:textId="77777777" w:rsidTr="006B635B">
        <w:trPr>
          <w:trHeight w:val="310"/>
        </w:trPr>
        <w:tc>
          <w:tcPr>
            <w:tcW w:w="4606" w:type="dxa"/>
            <w:tcBorders>
              <w:top w:val="nil"/>
              <w:left w:val="nil"/>
              <w:bottom w:val="single" w:sz="4" w:space="0" w:color="auto"/>
              <w:right w:val="nil"/>
            </w:tcBorders>
            <w:shd w:val="clear" w:color="auto" w:fill="auto"/>
            <w:noWrap/>
            <w:vAlign w:val="bottom"/>
            <w:hideMark/>
          </w:tcPr>
          <w:p w14:paraId="26311ED4" w14:textId="77777777" w:rsidR="00E57A11" w:rsidRPr="00DA1D07" w:rsidRDefault="00E57A11" w:rsidP="002753C1">
            <w:pPr>
              <w:spacing w:after="0" w:line="240" w:lineRule="auto"/>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N</w:t>
            </w:r>
          </w:p>
        </w:tc>
        <w:tc>
          <w:tcPr>
            <w:tcW w:w="2468" w:type="dxa"/>
            <w:tcBorders>
              <w:top w:val="nil"/>
              <w:left w:val="nil"/>
              <w:bottom w:val="single" w:sz="4" w:space="0" w:color="auto"/>
              <w:right w:val="nil"/>
            </w:tcBorders>
            <w:shd w:val="clear" w:color="auto" w:fill="auto"/>
            <w:noWrap/>
            <w:vAlign w:val="bottom"/>
            <w:hideMark/>
          </w:tcPr>
          <w:p w14:paraId="45786F6D"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r w:rsidRPr="00DA1D07">
              <w:rPr>
                <w:rFonts w:ascii="Times New Roman" w:eastAsia="Times New Roman" w:hAnsi="Times New Roman" w:cs="Times New Roman"/>
                <w:color w:val="000000"/>
                <w:sz w:val="24"/>
                <w:szCs w:val="24"/>
                <w:lang w:val="en-US" w:eastAsia="zh-CN"/>
              </w:rPr>
              <w:t>17</w:t>
            </w:r>
            <w:r>
              <w:rPr>
                <w:rFonts w:ascii="Times New Roman" w:eastAsia="Times New Roman" w:hAnsi="Times New Roman" w:cs="Times New Roman"/>
                <w:color w:val="000000"/>
                <w:sz w:val="24"/>
                <w:szCs w:val="24"/>
                <w:lang w:val="en-US" w:eastAsia="zh-CN"/>
              </w:rPr>
              <w:t>,</w:t>
            </w:r>
            <w:r w:rsidRPr="00DA1D07">
              <w:rPr>
                <w:rFonts w:ascii="Times New Roman" w:eastAsia="Times New Roman" w:hAnsi="Times New Roman" w:cs="Times New Roman"/>
                <w:color w:val="000000"/>
                <w:sz w:val="24"/>
                <w:szCs w:val="24"/>
                <w:lang w:val="en-US" w:eastAsia="zh-CN"/>
              </w:rPr>
              <w:t>831</w:t>
            </w:r>
          </w:p>
        </w:tc>
        <w:tc>
          <w:tcPr>
            <w:tcW w:w="2282" w:type="dxa"/>
            <w:tcBorders>
              <w:top w:val="nil"/>
              <w:left w:val="nil"/>
              <w:bottom w:val="single" w:sz="4" w:space="0" w:color="auto"/>
              <w:right w:val="nil"/>
            </w:tcBorders>
            <w:shd w:val="clear" w:color="auto" w:fill="auto"/>
            <w:noWrap/>
            <w:vAlign w:val="bottom"/>
            <w:hideMark/>
          </w:tcPr>
          <w:p w14:paraId="38577C38"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zh-CN"/>
              </w:rPr>
            </w:pPr>
          </w:p>
        </w:tc>
      </w:tr>
    </w:tbl>
    <w:p w14:paraId="6E9251E2" w14:textId="77777777" w:rsidR="00E57A11" w:rsidRDefault="00E57A11" w:rsidP="00E57A11">
      <w:pPr>
        <w:tabs>
          <w:tab w:val="left" w:pos="1425"/>
        </w:tabs>
        <w:jc w:val="center"/>
        <w:rPr>
          <w:rFonts w:ascii="Times New Roman" w:eastAsia="Times New Roman" w:hAnsi="Times New Roman" w:cs="Times New Roman"/>
          <w:b/>
          <w:bCs/>
          <w:color w:val="000000"/>
          <w:sz w:val="24"/>
          <w:szCs w:val="24"/>
          <w:lang w:val="en-US" w:eastAsia="en-GB"/>
        </w:rPr>
      </w:pPr>
    </w:p>
    <w:p w14:paraId="0F911A92" w14:textId="77777777" w:rsidR="00891D31" w:rsidRPr="00DA1D07" w:rsidRDefault="00891D31" w:rsidP="00E57A11">
      <w:pPr>
        <w:tabs>
          <w:tab w:val="left" w:pos="1425"/>
        </w:tabs>
        <w:jc w:val="center"/>
        <w:rPr>
          <w:rFonts w:ascii="Times New Roman" w:eastAsia="Times New Roman" w:hAnsi="Times New Roman" w:cs="Times New Roman"/>
          <w:b/>
          <w:bCs/>
          <w:color w:val="000000"/>
          <w:sz w:val="24"/>
          <w:szCs w:val="24"/>
          <w:lang w:val="en-US" w:eastAsia="en-GB"/>
        </w:rPr>
      </w:pPr>
    </w:p>
    <w:tbl>
      <w:tblPr>
        <w:tblW w:w="5259" w:type="pct"/>
        <w:tblLook w:val="04A0" w:firstRow="1" w:lastRow="0" w:firstColumn="1" w:lastColumn="0" w:noHBand="0" w:noVBand="1"/>
      </w:tblPr>
      <w:tblGrid>
        <w:gridCol w:w="1936"/>
        <w:gridCol w:w="464"/>
        <w:gridCol w:w="896"/>
        <w:gridCol w:w="551"/>
        <w:gridCol w:w="810"/>
        <w:gridCol w:w="1006"/>
        <w:gridCol w:w="731"/>
        <w:gridCol w:w="759"/>
        <w:gridCol w:w="482"/>
        <w:gridCol w:w="416"/>
        <w:gridCol w:w="342"/>
        <w:gridCol w:w="545"/>
        <w:gridCol w:w="556"/>
      </w:tblGrid>
      <w:tr w:rsidR="00E57A11" w:rsidRPr="00F62082" w14:paraId="69252567" w14:textId="77777777" w:rsidTr="006B635B">
        <w:trPr>
          <w:trHeight w:val="57"/>
        </w:trPr>
        <w:tc>
          <w:tcPr>
            <w:tcW w:w="5000" w:type="pct"/>
            <w:gridSpan w:val="13"/>
            <w:tcBorders>
              <w:top w:val="nil"/>
              <w:left w:val="nil"/>
              <w:right w:val="nil"/>
            </w:tcBorders>
            <w:shd w:val="clear" w:color="000000" w:fill="FFFFFF"/>
            <w:noWrap/>
            <w:vAlign w:val="bottom"/>
            <w:hideMark/>
          </w:tcPr>
          <w:p w14:paraId="351B0896" w14:textId="77777777" w:rsidR="00E57A11" w:rsidRPr="00DA1D07" w:rsidRDefault="00E57A11" w:rsidP="002753C1">
            <w:pPr>
              <w:rPr>
                <w:rFonts w:ascii="Times New Roman" w:eastAsia="Times New Roman" w:hAnsi="Times New Roman" w:cs="Times New Roman"/>
                <w:b/>
                <w:bCs/>
                <w:color w:val="000000"/>
                <w:sz w:val="24"/>
                <w:szCs w:val="24"/>
                <w:lang w:val="en-US" w:eastAsia="en-GB"/>
              </w:rPr>
            </w:pPr>
          </w:p>
        </w:tc>
      </w:tr>
      <w:tr w:rsidR="00E57A11" w:rsidRPr="00F62082" w14:paraId="71D3D78D" w14:textId="77777777" w:rsidTr="006B635B">
        <w:trPr>
          <w:trHeight w:val="366"/>
        </w:trPr>
        <w:tc>
          <w:tcPr>
            <w:tcW w:w="4708" w:type="pct"/>
            <w:gridSpan w:val="12"/>
            <w:tcBorders>
              <w:left w:val="nil"/>
              <w:bottom w:val="single" w:sz="4" w:space="0" w:color="auto"/>
              <w:right w:val="nil"/>
            </w:tcBorders>
            <w:shd w:val="clear" w:color="000000" w:fill="FFFFFF"/>
            <w:vAlign w:val="bottom"/>
            <w:hideMark/>
          </w:tcPr>
          <w:p w14:paraId="08CBD8B5" w14:textId="6A4C3DF3" w:rsidR="00E57A11" w:rsidRPr="00DA1D07" w:rsidRDefault="00E57A11" w:rsidP="002753C1">
            <w:pPr>
              <w:spacing w:after="0" w:line="240" w:lineRule="auto"/>
              <w:rPr>
                <w:rFonts w:ascii="Times New Roman" w:eastAsia="Times New Roman" w:hAnsi="Times New Roman" w:cs="Times New Roman"/>
                <w:b/>
                <w:bCs/>
                <w:color w:val="000000"/>
                <w:sz w:val="24"/>
                <w:szCs w:val="24"/>
                <w:lang w:val="en-US" w:eastAsia="en-GB"/>
              </w:rPr>
            </w:pPr>
            <w:r w:rsidRPr="00DA1D07">
              <w:rPr>
                <w:rFonts w:ascii="Times New Roman" w:eastAsia="Times New Roman" w:hAnsi="Times New Roman" w:cs="Times New Roman"/>
                <w:b/>
                <w:bCs/>
                <w:color w:val="000000"/>
                <w:sz w:val="24"/>
                <w:szCs w:val="24"/>
                <w:lang w:val="en-US" w:eastAsia="en-GB"/>
              </w:rPr>
              <w:lastRenderedPageBreak/>
              <w:t>Panel B</w:t>
            </w:r>
            <w:r w:rsidR="00872AE2">
              <w:rPr>
                <w:rFonts w:ascii="Times New Roman" w:eastAsia="Times New Roman" w:hAnsi="Times New Roman" w:cs="Times New Roman"/>
                <w:b/>
                <w:bCs/>
                <w:color w:val="000000"/>
                <w:sz w:val="24"/>
                <w:szCs w:val="24"/>
                <w:lang w:val="en-US" w:eastAsia="en-GB"/>
              </w:rPr>
              <w:t>:</w:t>
            </w:r>
            <w:r w:rsidR="00872AE2" w:rsidRPr="00DA1D07">
              <w:rPr>
                <w:rFonts w:ascii="Times New Roman" w:eastAsia="Times New Roman" w:hAnsi="Times New Roman" w:cs="Times New Roman"/>
                <w:b/>
                <w:bCs/>
                <w:color w:val="000000"/>
                <w:sz w:val="24"/>
                <w:szCs w:val="24"/>
                <w:lang w:val="en-US" w:eastAsia="en-GB"/>
              </w:rPr>
              <w:t xml:space="preserve"> </w:t>
            </w:r>
            <w:r w:rsidRPr="00DA1D07">
              <w:rPr>
                <w:rFonts w:ascii="Times New Roman" w:eastAsia="Times New Roman" w:hAnsi="Times New Roman" w:cs="Times New Roman"/>
                <w:b/>
                <w:bCs/>
                <w:color w:val="000000"/>
                <w:sz w:val="24"/>
                <w:szCs w:val="24"/>
                <w:lang w:val="en-US" w:eastAsia="en-GB"/>
              </w:rPr>
              <w:t>Covariate Balance for Treatment (N=5,953) and Control (N=5,953) Groups</w:t>
            </w:r>
          </w:p>
        </w:tc>
        <w:tc>
          <w:tcPr>
            <w:tcW w:w="292" w:type="pct"/>
            <w:tcBorders>
              <w:left w:val="nil"/>
              <w:bottom w:val="single" w:sz="4" w:space="0" w:color="auto"/>
              <w:right w:val="nil"/>
            </w:tcBorders>
            <w:shd w:val="clear" w:color="000000" w:fill="FFFFFF"/>
            <w:noWrap/>
            <w:vAlign w:val="bottom"/>
            <w:hideMark/>
          </w:tcPr>
          <w:p w14:paraId="0F4554D3"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 </w:t>
            </w:r>
          </w:p>
        </w:tc>
      </w:tr>
      <w:tr w:rsidR="00E57A11" w:rsidRPr="00F62082" w14:paraId="1BCDDBC6" w14:textId="77777777" w:rsidTr="006B635B">
        <w:trPr>
          <w:trHeight w:val="57"/>
        </w:trPr>
        <w:tc>
          <w:tcPr>
            <w:tcW w:w="1265" w:type="pct"/>
            <w:gridSpan w:val="2"/>
            <w:tcBorders>
              <w:top w:val="single" w:sz="4" w:space="0" w:color="auto"/>
              <w:left w:val="nil"/>
              <w:bottom w:val="single" w:sz="4" w:space="0" w:color="auto"/>
              <w:right w:val="nil"/>
            </w:tcBorders>
            <w:shd w:val="clear" w:color="000000" w:fill="FFFFFF"/>
            <w:noWrap/>
            <w:vAlign w:val="bottom"/>
            <w:hideMark/>
          </w:tcPr>
          <w:p w14:paraId="67011F33" w14:textId="77777777" w:rsidR="00E57A11" w:rsidRPr="00DA1D07" w:rsidRDefault="00E57A11" w:rsidP="002753C1">
            <w:pPr>
              <w:spacing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 </w:t>
            </w:r>
          </w:p>
        </w:tc>
        <w:tc>
          <w:tcPr>
            <w:tcW w:w="1188" w:type="pct"/>
            <w:gridSpan w:val="3"/>
            <w:tcBorders>
              <w:top w:val="single" w:sz="4" w:space="0" w:color="auto"/>
              <w:left w:val="nil"/>
              <w:bottom w:val="single" w:sz="4" w:space="0" w:color="auto"/>
              <w:right w:val="nil"/>
            </w:tcBorders>
            <w:shd w:val="clear" w:color="000000" w:fill="FFFFFF"/>
            <w:noWrap/>
            <w:vAlign w:val="bottom"/>
            <w:hideMark/>
          </w:tcPr>
          <w:p w14:paraId="3116E5C8" w14:textId="77777777" w:rsidR="00E57A11" w:rsidRPr="009D768D" w:rsidRDefault="00E57A11" w:rsidP="002753C1">
            <w:pPr>
              <w:spacing w:line="240" w:lineRule="auto"/>
              <w:jc w:val="center"/>
              <w:rPr>
                <w:rFonts w:ascii="Times New Roman" w:eastAsia="Times New Roman" w:hAnsi="Times New Roman" w:cs="Times New Roman"/>
                <w:i/>
                <w:color w:val="000000"/>
                <w:sz w:val="24"/>
                <w:szCs w:val="24"/>
                <w:lang w:val="en-US" w:eastAsia="en-GB"/>
              </w:rPr>
            </w:pPr>
            <w:r w:rsidRPr="009D768D">
              <w:rPr>
                <w:rFonts w:ascii="Times New Roman" w:eastAsia="Times New Roman" w:hAnsi="Times New Roman" w:cs="Times New Roman"/>
                <w:i/>
                <w:color w:val="000000"/>
                <w:sz w:val="24"/>
                <w:szCs w:val="24"/>
                <w:lang w:val="en-US" w:eastAsia="en-GB"/>
              </w:rPr>
              <w:t xml:space="preserve">Control Group Mean </w:t>
            </w:r>
          </w:p>
        </w:tc>
        <w:tc>
          <w:tcPr>
            <w:tcW w:w="1315" w:type="pct"/>
            <w:gridSpan w:val="3"/>
            <w:tcBorders>
              <w:top w:val="single" w:sz="4" w:space="0" w:color="auto"/>
              <w:left w:val="nil"/>
              <w:bottom w:val="single" w:sz="4" w:space="0" w:color="auto"/>
              <w:right w:val="nil"/>
            </w:tcBorders>
            <w:shd w:val="clear" w:color="000000" w:fill="FFFFFF"/>
            <w:noWrap/>
            <w:vAlign w:val="bottom"/>
            <w:hideMark/>
          </w:tcPr>
          <w:p w14:paraId="567A05F8" w14:textId="77777777" w:rsidR="00E57A11" w:rsidRPr="009D768D" w:rsidRDefault="00E57A11" w:rsidP="002753C1">
            <w:pPr>
              <w:spacing w:line="240" w:lineRule="auto"/>
              <w:jc w:val="center"/>
              <w:rPr>
                <w:rFonts w:ascii="Times New Roman" w:eastAsia="Times New Roman" w:hAnsi="Times New Roman" w:cs="Times New Roman"/>
                <w:i/>
                <w:color w:val="000000"/>
                <w:sz w:val="24"/>
                <w:szCs w:val="24"/>
                <w:lang w:val="en-US" w:eastAsia="en-GB"/>
              </w:rPr>
            </w:pPr>
            <w:r w:rsidRPr="009D768D">
              <w:rPr>
                <w:rFonts w:ascii="Times New Roman" w:eastAsia="Times New Roman" w:hAnsi="Times New Roman" w:cs="Times New Roman"/>
                <w:i/>
                <w:color w:val="000000"/>
                <w:sz w:val="24"/>
                <w:szCs w:val="24"/>
                <w:lang w:val="en-US" w:eastAsia="en-GB"/>
              </w:rPr>
              <w:t xml:space="preserve">Treatment Group Mean  </w:t>
            </w:r>
          </w:p>
        </w:tc>
        <w:tc>
          <w:tcPr>
            <w:tcW w:w="653" w:type="pct"/>
            <w:gridSpan w:val="3"/>
            <w:tcBorders>
              <w:top w:val="single" w:sz="4" w:space="0" w:color="auto"/>
              <w:left w:val="nil"/>
              <w:bottom w:val="single" w:sz="4" w:space="0" w:color="auto"/>
              <w:right w:val="nil"/>
            </w:tcBorders>
            <w:shd w:val="clear" w:color="000000" w:fill="FFFFFF"/>
            <w:vAlign w:val="bottom"/>
            <w:hideMark/>
          </w:tcPr>
          <w:p w14:paraId="2243CC8B" w14:textId="77777777" w:rsidR="00E57A11" w:rsidRPr="009D768D" w:rsidRDefault="00E57A11" w:rsidP="002753C1">
            <w:pPr>
              <w:spacing w:line="240" w:lineRule="auto"/>
              <w:jc w:val="center"/>
              <w:rPr>
                <w:rFonts w:ascii="Times New Roman" w:eastAsia="Times New Roman" w:hAnsi="Times New Roman" w:cs="Times New Roman"/>
                <w:i/>
                <w:color w:val="000000"/>
                <w:sz w:val="24"/>
                <w:szCs w:val="24"/>
                <w:lang w:val="en-US" w:eastAsia="en-GB"/>
              </w:rPr>
            </w:pPr>
            <w:r w:rsidRPr="009D768D">
              <w:rPr>
                <w:rFonts w:ascii="Times New Roman" w:eastAsia="Times New Roman" w:hAnsi="Times New Roman" w:cs="Times New Roman"/>
                <w:i/>
                <w:color w:val="000000"/>
                <w:sz w:val="24"/>
                <w:szCs w:val="24"/>
                <w:lang w:val="en-US" w:eastAsia="en-GB"/>
              </w:rPr>
              <w:t>Difference in Means</w:t>
            </w:r>
          </w:p>
        </w:tc>
        <w:tc>
          <w:tcPr>
            <w:tcW w:w="579" w:type="pct"/>
            <w:gridSpan w:val="2"/>
            <w:tcBorders>
              <w:top w:val="single" w:sz="4" w:space="0" w:color="auto"/>
              <w:left w:val="nil"/>
              <w:bottom w:val="single" w:sz="4" w:space="0" w:color="auto"/>
              <w:right w:val="nil"/>
            </w:tcBorders>
            <w:shd w:val="clear" w:color="000000" w:fill="FFFFFF"/>
            <w:noWrap/>
            <w:vAlign w:val="bottom"/>
            <w:hideMark/>
          </w:tcPr>
          <w:p w14:paraId="1E0AB4FC" w14:textId="77777777" w:rsidR="00E57A11" w:rsidRPr="009D768D" w:rsidRDefault="00E57A11" w:rsidP="002753C1">
            <w:pPr>
              <w:spacing w:line="240" w:lineRule="auto"/>
              <w:jc w:val="center"/>
              <w:rPr>
                <w:rFonts w:ascii="Times New Roman" w:eastAsia="Times New Roman" w:hAnsi="Times New Roman" w:cs="Times New Roman"/>
                <w:i/>
                <w:color w:val="000000"/>
                <w:sz w:val="24"/>
                <w:szCs w:val="24"/>
                <w:lang w:val="en-US" w:eastAsia="en-GB"/>
              </w:rPr>
            </w:pPr>
            <w:r w:rsidRPr="009D768D">
              <w:rPr>
                <w:rFonts w:ascii="Times New Roman" w:eastAsia="Times New Roman" w:hAnsi="Times New Roman" w:cs="Times New Roman"/>
                <w:i/>
                <w:color w:val="000000"/>
                <w:sz w:val="24"/>
                <w:szCs w:val="24"/>
                <w:lang w:val="en-US" w:eastAsia="en-GB"/>
              </w:rPr>
              <w:t>t-stat</w:t>
            </w:r>
          </w:p>
        </w:tc>
      </w:tr>
      <w:tr w:rsidR="00E57A11" w:rsidRPr="00F62082" w14:paraId="625CA128" w14:textId="77777777" w:rsidTr="006B635B">
        <w:trPr>
          <w:trHeight w:val="57"/>
        </w:trPr>
        <w:tc>
          <w:tcPr>
            <w:tcW w:w="1265" w:type="pct"/>
            <w:gridSpan w:val="2"/>
            <w:tcBorders>
              <w:top w:val="single" w:sz="4" w:space="0" w:color="auto"/>
              <w:left w:val="nil"/>
              <w:right w:val="nil"/>
            </w:tcBorders>
            <w:shd w:val="clear" w:color="000000" w:fill="FFFFFF"/>
            <w:noWrap/>
            <w:vAlign w:val="bottom"/>
          </w:tcPr>
          <w:p w14:paraId="4375058F"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Delta</w:t>
            </w:r>
          </w:p>
        </w:tc>
        <w:tc>
          <w:tcPr>
            <w:tcW w:w="1188" w:type="pct"/>
            <w:gridSpan w:val="3"/>
            <w:tcBorders>
              <w:top w:val="single" w:sz="4" w:space="0" w:color="auto"/>
              <w:left w:val="nil"/>
              <w:right w:val="nil"/>
            </w:tcBorders>
            <w:shd w:val="clear" w:color="000000" w:fill="FFFFFF"/>
            <w:noWrap/>
            <w:vAlign w:val="bottom"/>
          </w:tcPr>
          <w:p w14:paraId="7B63157D"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5.660</w:t>
            </w:r>
          </w:p>
        </w:tc>
        <w:tc>
          <w:tcPr>
            <w:tcW w:w="1315" w:type="pct"/>
            <w:gridSpan w:val="3"/>
            <w:tcBorders>
              <w:top w:val="single" w:sz="4" w:space="0" w:color="auto"/>
              <w:left w:val="nil"/>
              <w:right w:val="nil"/>
            </w:tcBorders>
            <w:shd w:val="clear" w:color="000000" w:fill="FFFFFF"/>
            <w:noWrap/>
            <w:vAlign w:val="bottom"/>
          </w:tcPr>
          <w:p w14:paraId="233C54BF"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5.648</w:t>
            </w:r>
          </w:p>
        </w:tc>
        <w:tc>
          <w:tcPr>
            <w:tcW w:w="653" w:type="pct"/>
            <w:gridSpan w:val="3"/>
            <w:tcBorders>
              <w:top w:val="single" w:sz="4" w:space="0" w:color="auto"/>
              <w:left w:val="nil"/>
              <w:right w:val="nil"/>
            </w:tcBorders>
            <w:shd w:val="clear" w:color="000000" w:fill="FFFFFF"/>
            <w:noWrap/>
            <w:vAlign w:val="bottom"/>
          </w:tcPr>
          <w:p w14:paraId="5C8BF26F"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-0.012</w:t>
            </w:r>
          </w:p>
        </w:tc>
        <w:tc>
          <w:tcPr>
            <w:tcW w:w="579" w:type="pct"/>
            <w:gridSpan w:val="2"/>
            <w:tcBorders>
              <w:top w:val="single" w:sz="4" w:space="0" w:color="auto"/>
              <w:left w:val="nil"/>
              <w:right w:val="nil"/>
            </w:tcBorders>
            <w:shd w:val="clear" w:color="000000" w:fill="FFFFFF"/>
            <w:noWrap/>
            <w:vAlign w:val="bottom"/>
          </w:tcPr>
          <w:p w14:paraId="7FE07E5D"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-0.57</w:t>
            </w:r>
          </w:p>
        </w:tc>
      </w:tr>
      <w:tr w:rsidR="00E57A11" w:rsidRPr="00F62082" w14:paraId="51535FD0" w14:textId="77777777" w:rsidTr="006B635B">
        <w:trPr>
          <w:trHeight w:val="57"/>
        </w:trPr>
        <w:tc>
          <w:tcPr>
            <w:tcW w:w="1265" w:type="pct"/>
            <w:gridSpan w:val="2"/>
            <w:tcBorders>
              <w:left w:val="nil"/>
              <w:right w:val="nil"/>
            </w:tcBorders>
            <w:shd w:val="clear" w:color="000000" w:fill="FFFFFF"/>
            <w:noWrap/>
            <w:vAlign w:val="bottom"/>
          </w:tcPr>
          <w:p w14:paraId="169F609D"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CashComp</w:t>
            </w:r>
            <w:proofErr w:type="spellEnd"/>
          </w:p>
        </w:tc>
        <w:tc>
          <w:tcPr>
            <w:tcW w:w="1188" w:type="pct"/>
            <w:gridSpan w:val="3"/>
            <w:tcBorders>
              <w:left w:val="nil"/>
              <w:right w:val="nil"/>
            </w:tcBorders>
            <w:shd w:val="clear" w:color="000000" w:fill="FFFFFF"/>
            <w:noWrap/>
            <w:vAlign w:val="bottom"/>
          </w:tcPr>
          <w:p w14:paraId="7B4A1BC8"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6.815</w:t>
            </w:r>
          </w:p>
        </w:tc>
        <w:tc>
          <w:tcPr>
            <w:tcW w:w="1315" w:type="pct"/>
            <w:gridSpan w:val="3"/>
            <w:tcBorders>
              <w:left w:val="nil"/>
              <w:right w:val="nil"/>
            </w:tcBorders>
            <w:shd w:val="clear" w:color="000000" w:fill="FFFFFF"/>
            <w:noWrap/>
            <w:vAlign w:val="bottom"/>
          </w:tcPr>
          <w:p w14:paraId="6518C310"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6.813</w:t>
            </w:r>
          </w:p>
        </w:tc>
        <w:tc>
          <w:tcPr>
            <w:tcW w:w="653" w:type="pct"/>
            <w:gridSpan w:val="3"/>
            <w:tcBorders>
              <w:left w:val="nil"/>
              <w:right w:val="nil"/>
            </w:tcBorders>
            <w:shd w:val="clear" w:color="000000" w:fill="FFFFFF"/>
            <w:noWrap/>
            <w:vAlign w:val="bottom"/>
          </w:tcPr>
          <w:p w14:paraId="02001CF3"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-0.002</w:t>
            </w:r>
          </w:p>
        </w:tc>
        <w:tc>
          <w:tcPr>
            <w:tcW w:w="579" w:type="pct"/>
            <w:gridSpan w:val="2"/>
            <w:tcBorders>
              <w:left w:val="nil"/>
              <w:right w:val="nil"/>
            </w:tcBorders>
            <w:shd w:val="clear" w:color="000000" w:fill="FFFFFF"/>
            <w:noWrap/>
            <w:vAlign w:val="bottom"/>
          </w:tcPr>
          <w:p w14:paraId="59634B7A"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-0.20</w:t>
            </w:r>
          </w:p>
        </w:tc>
      </w:tr>
      <w:tr w:rsidR="00E57A11" w:rsidRPr="00F62082" w14:paraId="2D628EBF" w14:textId="77777777" w:rsidTr="006B635B">
        <w:trPr>
          <w:trHeight w:val="57"/>
        </w:trPr>
        <w:tc>
          <w:tcPr>
            <w:tcW w:w="1265" w:type="pct"/>
            <w:gridSpan w:val="2"/>
            <w:tcBorders>
              <w:left w:val="nil"/>
              <w:right w:val="nil"/>
            </w:tcBorders>
            <w:shd w:val="clear" w:color="000000" w:fill="FFFFFF"/>
            <w:noWrap/>
            <w:vAlign w:val="bottom"/>
            <w:hideMark/>
          </w:tcPr>
          <w:p w14:paraId="068F8CE7"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Leverage</w:t>
            </w:r>
          </w:p>
        </w:tc>
        <w:tc>
          <w:tcPr>
            <w:tcW w:w="1188" w:type="pct"/>
            <w:gridSpan w:val="3"/>
            <w:tcBorders>
              <w:left w:val="nil"/>
              <w:right w:val="nil"/>
            </w:tcBorders>
            <w:shd w:val="clear" w:color="000000" w:fill="FFFFFF"/>
            <w:noWrap/>
            <w:vAlign w:val="bottom"/>
            <w:hideMark/>
          </w:tcPr>
          <w:p w14:paraId="4C1D2154"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0.227</w:t>
            </w:r>
          </w:p>
        </w:tc>
        <w:tc>
          <w:tcPr>
            <w:tcW w:w="1315" w:type="pct"/>
            <w:gridSpan w:val="3"/>
            <w:tcBorders>
              <w:left w:val="nil"/>
              <w:right w:val="nil"/>
            </w:tcBorders>
            <w:shd w:val="clear" w:color="000000" w:fill="FFFFFF"/>
            <w:noWrap/>
            <w:vAlign w:val="bottom"/>
            <w:hideMark/>
          </w:tcPr>
          <w:p w14:paraId="14948230"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0.224</w:t>
            </w:r>
          </w:p>
        </w:tc>
        <w:tc>
          <w:tcPr>
            <w:tcW w:w="653" w:type="pct"/>
            <w:gridSpan w:val="3"/>
            <w:tcBorders>
              <w:left w:val="nil"/>
              <w:right w:val="nil"/>
            </w:tcBorders>
            <w:shd w:val="clear" w:color="000000" w:fill="FFFFFF"/>
            <w:noWrap/>
            <w:vAlign w:val="bottom"/>
            <w:hideMark/>
          </w:tcPr>
          <w:p w14:paraId="205329C8"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-0.004</w:t>
            </w:r>
          </w:p>
        </w:tc>
        <w:tc>
          <w:tcPr>
            <w:tcW w:w="579" w:type="pct"/>
            <w:gridSpan w:val="2"/>
            <w:tcBorders>
              <w:left w:val="nil"/>
              <w:right w:val="nil"/>
            </w:tcBorders>
            <w:shd w:val="clear" w:color="000000" w:fill="FFFFFF"/>
            <w:noWrap/>
            <w:vAlign w:val="bottom"/>
            <w:hideMark/>
          </w:tcPr>
          <w:p w14:paraId="317695EE"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-0.90</w:t>
            </w:r>
          </w:p>
        </w:tc>
      </w:tr>
      <w:tr w:rsidR="00E57A11" w:rsidRPr="00F62082" w14:paraId="34A5382A" w14:textId="77777777" w:rsidTr="006B635B">
        <w:trPr>
          <w:trHeight w:val="57"/>
        </w:trPr>
        <w:tc>
          <w:tcPr>
            <w:tcW w:w="1265" w:type="pct"/>
            <w:gridSpan w:val="2"/>
            <w:tcBorders>
              <w:top w:val="nil"/>
              <w:left w:val="nil"/>
              <w:right w:val="nil"/>
            </w:tcBorders>
            <w:shd w:val="clear" w:color="000000" w:fill="FFFFFF"/>
            <w:noWrap/>
            <w:vAlign w:val="bottom"/>
            <w:hideMark/>
          </w:tcPr>
          <w:p w14:paraId="390B1393"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CashFlow</w:t>
            </w:r>
            <w:proofErr w:type="spellEnd"/>
          </w:p>
        </w:tc>
        <w:tc>
          <w:tcPr>
            <w:tcW w:w="1188" w:type="pct"/>
            <w:gridSpan w:val="3"/>
            <w:tcBorders>
              <w:top w:val="nil"/>
              <w:left w:val="nil"/>
              <w:right w:val="nil"/>
            </w:tcBorders>
            <w:shd w:val="clear" w:color="000000" w:fill="FFFFFF"/>
            <w:noWrap/>
            <w:vAlign w:val="bottom"/>
            <w:hideMark/>
          </w:tcPr>
          <w:p w14:paraId="78FAAE3D"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0.085</w:t>
            </w:r>
          </w:p>
        </w:tc>
        <w:tc>
          <w:tcPr>
            <w:tcW w:w="1315" w:type="pct"/>
            <w:gridSpan w:val="3"/>
            <w:tcBorders>
              <w:top w:val="nil"/>
              <w:left w:val="nil"/>
              <w:right w:val="nil"/>
            </w:tcBorders>
            <w:shd w:val="clear" w:color="000000" w:fill="FFFFFF"/>
            <w:noWrap/>
            <w:vAlign w:val="bottom"/>
            <w:hideMark/>
          </w:tcPr>
          <w:p w14:paraId="43FB5112"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0.088</w:t>
            </w:r>
          </w:p>
        </w:tc>
        <w:tc>
          <w:tcPr>
            <w:tcW w:w="653" w:type="pct"/>
            <w:gridSpan w:val="3"/>
            <w:tcBorders>
              <w:top w:val="nil"/>
              <w:left w:val="nil"/>
              <w:right w:val="nil"/>
            </w:tcBorders>
            <w:shd w:val="clear" w:color="000000" w:fill="FFFFFF"/>
            <w:noWrap/>
            <w:vAlign w:val="bottom"/>
            <w:hideMark/>
          </w:tcPr>
          <w:p w14:paraId="1B620392"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0.003</w:t>
            </w:r>
          </w:p>
        </w:tc>
        <w:tc>
          <w:tcPr>
            <w:tcW w:w="579" w:type="pct"/>
            <w:gridSpan w:val="2"/>
            <w:tcBorders>
              <w:top w:val="nil"/>
              <w:left w:val="nil"/>
              <w:right w:val="nil"/>
            </w:tcBorders>
            <w:shd w:val="clear" w:color="000000" w:fill="FFFFFF"/>
            <w:noWrap/>
            <w:vAlign w:val="bottom"/>
            <w:hideMark/>
          </w:tcPr>
          <w:p w14:paraId="1A2FBE53"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1.32</w:t>
            </w:r>
          </w:p>
        </w:tc>
      </w:tr>
      <w:tr w:rsidR="00E57A11" w:rsidRPr="00F62082" w14:paraId="342586EF" w14:textId="77777777" w:rsidTr="006B635B">
        <w:trPr>
          <w:trHeight w:val="57"/>
        </w:trPr>
        <w:tc>
          <w:tcPr>
            <w:tcW w:w="1265" w:type="pct"/>
            <w:gridSpan w:val="2"/>
            <w:tcBorders>
              <w:top w:val="nil"/>
              <w:left w:val="nil"/>
              <w:right w:val="nil"/>
            </w:tcBorders>
            <w:shd w:val="clear" w:color="000000" w:fill="FFFFFF"/>
            <w:noWrap/>
            <w:vAlign w:val="bottom"/>
            <w:hideMark/>
          </w:tcPr>
          <w:p w14:paraId="41687E12"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DividendPayout</w:t>
            </w:r>
            <w:proofErr w:type="spellEnd"/>
          </w:p>
        </w:tc>
        <w:tc>
          <w:tcPr>
            <w:tcW w:w="1188" w:type="pct"/>
            <w:gridSpan w:val="3"/>
            <w:tcBorders>
              <w:top w:val="nil"/>
              <w:left w:val="nil"/>
              <w:right w:val="nil"/>
            </w:tcBorders>
            <w:shd w:val="clear" w:color="000000" w:fill="FFFFFF"/>
            <w:noWrap/>
            <w:vAlign w:val="bottom"/>
            <w:hideMark/>
          </w:tcPr>
          <w:p w14:paraId="60B95812"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0.013</w:t>
            </w:r>
          </w:p>
        </w:tc>
        <w:tc>
          <w:tcPr>
            <w:tcW w:w="1315" w:type="pct"/>
            <w:gridSpan w:val="3"/>
            <w:tcBorders>
              <w:top w:val="nil"/>
              <w:left w:val="nil"/>
              <w:right w:val="nil"/>
            </w:tcBorders>
            <w:shd w:val="clear" w:color="000000" w:fill="FFFFFF"/>
            <w:noWrap/>
            <w:vAlign w:val="bottom"/>
            <w:hideMark/>
          </w:tcPr>
          <w:p w14:paraId="41749B15"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0.013</w:t>
            </w:r>
          </w:p>
        </w:tc>
        <w:tc>
          <w:tcPr>
            <w:tcW w:w="653" w:type="pct"/>
            <w:gridSpan w:val="3"/>
            <w:tcBorders>
              <w:top w:val="nil"/>
              <w:left w:val="nil"/>
              <w:right w:val="nil"/>
            </w:tcBorders>
            <w:shd w:val="clear" w:color="000000" w:fill="FFFFFF"/>
            <w:noWrap/>
            <w:vAlign w:val="bottom"/>
            <w:hideMark/>
          </w:tcPr>
          <w:p w14:paraId="316E47BA"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0.000</w:t>
            </w:r>
          </w:p>
        </w:tc>
        <w:tc>
          <w:tcPr>
            <w:tcW w:w="579" w:type="pct"/>
            <w:gridSpan w:val="2"/>
            <w:tcBorders>
              <w:top w:val="nil"/>
              <w:left w:val="nil"/>
              <w:right w:val="nil"/>
            </w:tcBorders>
            <w:shd w:val="clear" w:color="000000" w:fill="FFFFFF"/>
            <w:noWrap/>
            <w:vAlign w:val="bottom"/>
            <w:hideMark/>
          </w:tcPr>
          <w:p w14:paraId="6EC26EE7"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0.22</w:t>
            </w:r>
          </w:p>
        </w:tc>
      </w:tr>
      <w:tr w:rsidR="00E57A11" w:rsidRPr="00F62082" w14:paraId="1E14D6FF" w14:textId="77777777" w:rsidTr="006B635B">
        <w:trPr>
          <w:trHeight w:val="57"/>
        </w:trPr>
        <w:tc>
          <w:tcPr>
            <w:tcW w:w="1265" w:type="pct"/>
            <w:gridSpan w:val="2"/>
            <w:tcBorders>
              <w:top w:val="nil"/>
              <w:left w:val="nil"/>
              <w:right w:val="nil"/>
            </w:tcBorders>
            <w:shd w:val="clear" w:color="000000" w:fill="FFFFFF"/>
            <w:noWrap/>
            <w:vAlign w:val="bottom"/>
            <w:hideMark/>
          </w:tcPr>
          <w:p w14:paraId="1EB651C6"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FirmSize</w:t>
            </w:r>
            <w:proofErr w:type="spellEnd"/>
          </w:p>
        </w:tc>
        <w:tc>
          <w:tcPr>
            <w:tcW w:w="1188" w:type="pct"/>
            <w:gridSpan w:val="3"/>
            <w:tcBorders>
              <w:top w:val="nil"/>
              <w:left w:val="nil"/>
              <w:right w:val="nil"/>
            </w:tcBorders>
            <w:shd w:val="clear" w:color="000000" w:fill="FFFFFF"/>
            <w:noWrap/>
            <w:vAlign w:val="bottom"/>
            <w:hideMark/>
          </w:tcPr>
          <w:p w14:paraId="536BCF54"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7.618</w:t>
            </w:r>
          </w:p>
        </w:tc>
        <w:tc>
          <w:tcPr>
            <w:tcW w:w="1315" w:type="pct"/>
            <w:gridSpan w:val="3"/>
            <w:tcBorders>
              <w:top w:val="nil"/>
              <w:left w:val="nil"/>
              <w:right w:val="nil"/>
            </w:tcBorders>
            <w:shd w:val="clear" w:color="000000" w:fill="FFFFFF"/>
            <w:noWrap/>
            <w:vAlign w:val="bottom"/>
            <w:hideMark/>
          </w:tcPr>
          <w:p w14:paraId="69FD9E68"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7.594</w:t>
            </w:r>
          </w:p>
        </w:tc>
        <w:tc>
          <w:tcPr>
            <w:tcW w:w="653" w:type="pct"/>
            <w:gridSpan w:val="3"/>
            <w:tcBorders>
              <w:top w:val="nil"/>
              <w:left w:val="nil"/>
              <w:right w:val="nil"/>
            </w:tcBorders>
            <w:shd w:val="clear" w:color="000000" w:fill="FFFFFF"/>
            <w:noWrap/>
            <w:vAlign w:val="bottom"/>
            <w:hideMark/>
          </w:tcPr>
          <w:p w14:paraId="41B2F444"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-0.024</w:t>
            </w:r>
          </w:p>
        </w:tc>
        <w:tc>
          <w:tcPr>
            <w:tcW w:w="579" w:type="pct"/>
            <w:gridSpan w:val="2"/>
            <w:tcBorders>
              <w:top w:val="nil"/>
              <w:left w:val="nil"/>
              <w:right w:val="nil"/>
            </w:tcBorders>
            <w:shd w:val="clear" w:color="000000" w:fill="FFFFFF"/>
            <w:noWrap/>
            <w:vAlign w:val="bottom"/>
            <w:hideMark/>
          </w:tcPr>
          <w:p w14:paraId="0951B18B"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-0.96</w:t>
            </w:r>
          </w:p>
        </w:tc>
      </w:tr>
      <w:tr w:rsidR="00E57A11" w:rsidRPr="00F62082" w14:paraId="157368BC" w14:textId="77777777" w:rsidTr="006B635B">
        <w:trPr>
          <w:trHeight w:val="57"/>
        </w:trPr>
        <w:tc>
          <w:tcPr>
            <w:tcW w:w="1265" w:type="pct"/>
            <w:gridSpan w:val="2"/>
            <w:tcBorders>
              <w:top w:val="nil"/>
              <w:left w:val="nil"/>
              <w:right w:val="nil"/>
            </w:tcBorders>
            <w:shd w:val="clear" w:color="000000" w:fill="FFFFFF"/>
            <w:noWrap/>
            <w:vAlign w:val="bottom"/>
            <w:hideMark/>
          </w:tcPr>
          <w:p w14:paraId="2088C2A4"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Employees</w:t>
            </w:r>
          </w:p>
        </w:tc>
        <w:tc>
          <w:tcPr>
            <w:tcW w:w="1188" w:type="pct"/>
            <w:gridSpan w:val="3"/>
            <w:tcBorders>
              <w:top w:val="nil"/>
              <w:left w:val="nil"/>
              <w:right w:val="nil"/>
            </w:tcBorders>
            <w:shd w:val="clear" w:color="000000" w:fill="FFFFFF"/>
            <w:noWrap/>
            <w:vAlign w:val="bottom"/>
            <w:hideMark/>
          </w:tcPr>
          <w:p w14:paraId="399FC46D"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1.822</w:t>
            </w:r>
          </w:p>
        </w:tc>
        <w:tc>
          <w:tcPr>
            <w:tcW w:w="1315" w:type="pct"/>
            <w:gridSpan w:val="3"/>
            <w:tcBorders>
              <w:top w:val="nil"/>
              <w:left w:val="nil"/>
              <w:right w:val="nil"/>
            </w:tcBorders>
            <w:shd w:val="clear" w:color="000000" w:fill="FFFFFF"/>
            <w:noWrap/>
            <w:vAlign w:val="bottom"/>
            <w:hideMark/>
          </w:tcPr>
          <w:p w14:paraId="413F61F0"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1.796</w:t>
            </w:r>
          </w:p>
        </w:tc>
        <w:tc>
          <w:tcPr>
            <w:tcW w:w="653" w:type="pct"/>
            <w:gridSpan w:val="3"/>
            <w:tcBorders>
              <w:top w:val="nil"/>
              <w:left w:val="nil"/>
              <w:right w:val="nil"/>
            </w:tcBorders>
            <w:shd w:val="clear" w:color="000000" w:fill="FFFFFF"/>
            <w:noWrap/>
            <w:vAlign w:val="bottom"/>
            <w:hideMark/>
          </w:tcPr>
          <w:p w14:paraId="379D13F2"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-0.025</w:t>
            </w:r>
          </w:p>
        </w:tc>
        <w:tc>
          <w:tcPr>
            <w:tcW w:w="579" w:type="pct"/>
            <w:gridSpan w:val="2"/>
            <w:tcBorders>
              <w:top w:val="nil"/>
              <w:left w:val="nil"/>
              <w:right w:val="nil"/>
            </w:tcBorders>
            <w:shd w:val="clear" w:color="000000" w:fill="FFFFFF"/>
            <w:noWrap/>
            <w:vAlign w:val="bottom"/>
            <w:hideMark/>
          </w:tcPr>
          <w:p w14:paraId="20130A00"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-0.88</w:t>
            </w:r>
          </w:p>
        </w:tc>
      </w:tr>
      <w:tr w:rsidR="00E57A11" w:rsidRPr="00F62082" w14:paraId="29C068DB" w14:textId="77777777" w:rsidTr="006B635B">
        <w:trPr>
          <w:trHeight w:val="57"/>
        </w:trPr>
        <w:tc>
          <w:tcPr>
            <w:tcW w:w="1265" w:type="pct"/>
            <w:gridSpan w:val="2"/>
            <w:tcBorders>
              <w:top w:val="nil"/>
              <w:left w:val="nil"/>
              <w:right w:val="nil"/>
            </w:tcBorders>
            <w:shd w:val="clear" w:color="000000" w:fill="FFFFFF"/>
            <w:noWrap/>
            <w:vAlign w:val="bottom"/>
            <w:hideMark/>
          </w:tcPr>
          <w:p w14:paraId="0785B9C2"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AssetTurnover</w:t>
            </w:r>
            <w:proofErr w:type="spellEnd"/>
          </w:p>
        </w:tc>
        <w:tc>
          <w:tcPr>
            <w:tcW w:w="1188" w:type="pct"/>
            <w:gridSpan w:val="3"/>
            <w:tcBorders>
              <w:top w:val="nil"/>
              <w:left w:val="nil"/>
              <w:right w:val="nil"/>
            </w:tcBorders>
            <w:shd w:val="clear" w:color="000000" w:fill="FFFFFF"/>
            <w:noWrap/>
            <w:vAlign w:val="bottom"/>
            <w:hideMark/>
          </w:tcPr>
          <w:p w14:paraId="3034099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1.208</w:t>
            </w:r>
          </w:p>
        </w:tc>
        <w:tc>
          <w:tcPr>
            <w:tcW w:w="1315" w:type="pct"/>
            <w:gridSpan w:val="3"/>
            <w:tcBorders>
              <w:top w:val="nil"/>
              <w:left w:val="nil"/>
              <w:right w:val="nil"/>
            </w:tcBorders>
            <w:shd w:val="clear" w:color="000000" w:fill="FFFFFF"/>
            <w:noWrap/>
            <w:vAlign w:val="bottom"/>
            <w:hideMark/>
          </w:tcPr>
          <w:p w14:paraId="575FBB18"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1.211</w:t>
            </w:r>
          </w:p>
        </w:tc>
        <w:tc>
          <w:tcPr>
            <w:tcW w:w="653" w:type="pct"/>
            <w:gridSpan w:val="3"/>
            <w:tcBorders>
              <w:top w:val="nil"/>
              <w:left w:val="nil"/>
              <w:right w:val="nil"/>
            </w:tcBorders>
            <w:shd w:val="clear" w:color="000000" w:fill="FFFFFF"/>
            <w:noWrap/>
            <w:vAlign w:val="bottom"/>
            <w:hideMark/>
          </w:tcPr>
          <w:p w14:paraId="0E996322"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0.002</w:t>
            </w:r>
          </w:p>
        </w:tc>
        <w:tc>
          <w:tcPr>
            <w:tcW w:w="579" w:type="pct"/>
            <w:gridSpan w:val="2"/>
            <w:tcBorders>
              <w:top w:val="nil"/>
              <w:left w:val="nil"/>
              <w:right w:val="nil"/>
            </w:tcBorders>
            <w:shd w:val="clear" w:color="000000" w:fill="FFFFFF"/>
            <w:noWrap/>
            <w:vAlign w:val="bottom"/>
            <w:hideMark/>
          </w:tcPr>
          <w:p w14:paraId="2D7CD9E8"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0.17</w:t>
            </w:r>
          </w:p>
        </w:tc>
      </w:tr>
      <w:tr w:rsidR="00E57A11" w:rsidRPr="00F62082" w14:paraId="4227A130" w14:textId="77777777" w:rsidTr="006B635B">
        <w:trPr>
          <w:trHeight w:val="57"/>
        </w:trPr>
        <w:tc>
          <w:tcPr>
            <w:tcW w:w="1265" w:type="pct"/>
            <w:gridSpan w:val="2"/>
            <w:tcBorders>
              <w:top w:val="nil"/>
              <w:left w:val="nil"/>
              <w:right w:val="nil"/>
            </w:tcBorders>
            <w:shd w:val="clear" w:color="000000" w:fill="FFFFFF"/>
            <w:noWrap/>
            <w:vAlign w:val="bottom"/>
            <w:hideMark/>
          </w:tcPr>
          <w:p w14:paraId="55836FA6"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Market-to-book</w:t>
            </w:r>
          </w:p>
        </w:tc>
        <w:tc>
          <w:tcPr>
            <w:tcW w:w="1188" w:type="pct"/>
            <w:gridSpan w:val="3"/>
            <w:tcBorders>
              <w:top w:val="nil"/>
              <w:left w:val="nil"/>
              <w:right w:val="nil"/>
            </w:tcBorders>
            <w:shd w:val="clear" w:color="000000" w:fill="FFFFFF"/>
            <w:noWrap/>
            <w:vAlign w:val="bottom"/>
            <w:hideMark/>
          </w:tcPr>
          <w:p w14:paraId="2E5F2832"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1.883</w:t>
            </w:r>
          </w:p>
        </w:tc>
        <w:tc>
          <w:tcPr>
            <w:tcW w:w="1315" w:type="pct"/>
            <w:gridSpan w:val="3"/>
            <w:tcBorders>
              <w:top w:val="nil"/>
              <w:left w:val="nil"/>
              <w:right w:val="nil"/>
            </w:tcBorders>
            <w:shd w:val="clear" w:color="000000" w:fill="FFFFFF"/>
            <w:noWrap/>
            <w:vAlign w:val="bottom"/>
            <w:hideMark/>
          </w:tcPr>
          <w:p w14:paraId="1395C76E"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1.899</w:t>
            </w:r>
          </w:p>
        </w:tc>
        <w:tc>
          <w:tcPr>
            <w:tcW w:w="653" w:type="pct"/>
            <w:gridSpan w:val="3"/>
            <w:tcBorders>
              <w:top w:val="nil"/>
              <w:left w:val="nil"/>
              <w:right w:val="nil"/>
            </w:tcBorders>
            <w:shd w:val="clear" w:color="000000" w:fill="FFFFFF"/>
            <w:noWrap/>
            <w:vAlign w:val="bottom"/>
            <w:hideMark/>
          </w:tcPr>
          <w:p w14:paraId="74108273"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0.016</w:t>
            </w:r>
          </w:p>
        </w:tc>
        <w:tc>
          <w:tcPr>
            <w:tcW w:w="579" w:type="pct"/>
            <w:gridSpan w:val="2"/>
            <w:tcBorders>
              <w:top w:val="nil"/>
              <w:left w:val="nil"/>
              <w:right w:val="nil"/>
            </w:tcBorders>
            <w:shd w:val="clear" w:color="000000" w:fill="FFFFFF"/>
            <w:noWrap/>
            <w:vAlign w:val="bottom"/>
            <w:hideMark/>
          </w:tcPr>
          <w:p w14:paraId="38697E86"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0.48</w:t>
            </w:r>
          </w:p>
        </w:tc>
      </w:tr>
      <w:tr w:rsidR="00E57A11" w:rsidRPr="00F62082" w14:paraId="1E8F1163" w14:textId="77777777" w:rsidTr="006B635B">
        <w:trPr>
          <w:trHeight w:val="57"/>
        </w:trPr>
        <w:tc>
          <w:tcPr>
            <w:tcW w:w="1265" w:type="pct"/>
            <w:gridSpan w:val="2"/>
            <w:tcBorders>
              <w:top w:val="nil"/>
              <w:left w:val="nil"/>
              <w:right w:val="nil"/>
            </w:tcBorders>
            <w:shd w:val="clear" w:color="000000" w:fill="FFFFFF"/>
            <w:noWrap/>
            <w:vAlign w:val="bottom"/>
            <w:hideMark/>
          </w:tcPr>
          <w:p w14:paraId="055F855C"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Tangibility</w:t>
            </w:r>
          </w:p>
        </w:tc>
        <w:tc>
          <w:tcPr>
            <w:tcW w:w="1188" w:type="pct"/>
            <w:gridSpan w:val="3"/>
            <w:tcBorders>
              <w:top w:val="nil"/>
              <w:left w:val="nil"/>
              <w:right w:val="nil"/>
            </w:tcBorders>
            <w:shd w:val="clear" w:color="000000" w:fill="FFFFFF"/>
            <w:noWrap/>
            <w:vAlign w:val="bottom"/>
            <w:hideMark/>
          </w:tcPr>
          <w:p w14:paraId="3C8BC282"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0.236</w:t>
            </w:r>
          </w:p>
        </w:tc>
        <w:tc>
          <w:tcPr>
            <w:tcW w:w="1315" w:type="pct"/>
            <w:gridSpan w:val="3"/>
            <w:tcBorders>
              <w:top w:val="nil"/>
              <w:left w:val="nil"/>
              <w:right w:val="nil"/>
            </w:tcBorders>
            <w:shd w:val="clear" w:color="000000" w:fill="FFFFFF"/>
            <w:noWrap/>
            <w:vAlign w:val="bottom"/>
            <w:hideMark/>
          </w:tcPr>
          <w:p w14:paraId="58B1D5E2"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0.233</w:t>
            </w:r>
          </w:p>
        </w:tc>
        <w:tc>
          <w:tcPr>
            <w:tcW w:w="653" w:type="pct"/>
            <w:gridSpan w:val="3"/>
            <w:tcBorders>
              <w:top w:val="nil"/>
              <w:left w:val="nil"/>
              <w:right w:val="nil"/>
            </w:tcBorders>
            <w:shd w:val="clear" w:color="000000" w:fill="FFFFFF"/>
            <w:noWrap/>
            <w:vAlign w:val="bottom"/>
            <w:hideMark/>
          </w:tcPr>
          <w:p w14:paraId="39672514"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-0.002</w:t>
            </w:r>
          </w:p>
        </w:tc>
        <w:tc>
          <w:tcPr>
            <w:tcW w:w="579" w:type="pct"/>
            <w:gridSpan w:val="2"/>
            <w:tcBorders>
              <w:top w:val="nil"/>
              <w:left w:val="nil"/>
              <w:right w:val="nil"/>
            </w:tcBorders>
            <w:shd w:val="clear" w:color="000000" w:fill="FFFFFF"/>
            <w:noWrap/>
            <w:vAlign w:val="bottom"/>
            <w:hideMark/>
          </w:tcPr>
          <w:p w14:paraId="45065246"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-0.64</w:t>
            </w:r>
          </w:p>
        </w:tc>
      </w:tr>
      <w:tr w:rsidR="00E57A11" w:rsidRPr="00F62082" w14:paraId="4DCB8784" w14:textId="77777777" w:rsidTr="006B635B">
        <w:trPr>
          <w:trHeight w:val="57"/>
        </w:trPr>
        <w:tc>
          <w:tcPr>
            <w:tcW w:w="1265" w:type="pct"/>
            <w:gridSpan w:val="2"/>
            <w:tcBorders>
              <w:top w:val="nil"/>
              <w:left w:val="nil"/>
              <w:right w:val="nil"/>
            </w:tcBorders>
            <w:shd w:val="clear" w:color="000000" w:fill="FFFFFF"/>
            <w:noWrap/>
            <w:vAlign w:val="bottom"/>
            <w:hideMark/>
          </w:tcPr>
          <w:p w14:paraId="719AC127"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Capex</w:t>
            </w:r>
          </w:p>
        </w:tc>
        <w:tc>
          <w:tcPr>
            <w:tcW w:w="1188" w:type="pct"/>
            <w:gridSpan w:val="3"/>
            <w:tcBorders>
              <w:top w:val="nil"/>
              <w:left w:val="nil"/>
              <w:right w:val="nil"/>
            </w:tcBorders>
            <w:shd w:val="clear" w:color="000000" w:fill="FFFFFF"/>
            <w:noWrap/>
            <w:vAlign w:val="bottom"/>
            <w:hideMark/>
          </w:tcPr>
          <w:p w14:paraId="58F0EC3A"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0.049</w:t>
            </w:r>
          </w:p>
        </w:tc>
        <w:tc>
          <w:tcPr>
            <w:tcW w:w="1315" w:type="pct"/>
            <w:gridSpan w:val="3"/>
            <w:tcBorders>
              <w:top w:val="nil"/>
              <w:left w:val="nil"/>
              <w:right w:val="nil"/>
            </w:tcBorders>
            <w:shd w:val="clear" w:color="000000" w:fill="FFFFFF"/>
            <w:noWrap/>
            <w:vAlign w:val="bottom"/>
            <w:hideMark/>
          </w:tcPr>
          <w:p w14:paraId="2DA35F0A"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0.050</w:t>
            </w:r>
          </w:p>
        </w:tc>
        <w:tc>
          <w:tcPr>
            <w:tcW w:w="653" w:type="pct"/>
            <w:gridSpan w:val="3"/>
            <w:tcBorders>
              <w:top w:val="nil"/>
              <w:left w:val="nil"/>
              <w:right w:val="nil"/>
            </w:tcBorders>
            <w:shd w:val="clear" w:color="000000" w:fill="FFFFFF"/>
            <w:noWrap/>
            <w:vAlign w:val="bottom"/>
            <w:hideMark/>
          </w:tcPr>
          <w:p w14:paraId="6F81C0AC"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0.001</w:t>
            </w:r>
          </w:p>
        </w:tc>
        <w:tc>
          <w:tcPr>
            <w:tcW w:w="579" w:type="pct"/>
            <w:gridSpan w:val="2"/>
            <w:tcBorders>
              <w:top w:val="nil"/>
              <w:left w:val="nil"/>
              <w:right w:val="nil"/>
            </w:tcBorders>
            <w:shd w:val="clear" w:color="000000" w:fill="FFFFFF"/>
            <w:noWrap/>
            <w:vAlign w:val="bottom"/>
            <w:hideMark/>
          </w:tcPr>
          <w:p w14:paraId="5FC96F9B"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0.99</w:t>
            </w:r>
          </w:p>
        </w:tc>
      </w:tr>
      <w:tr w:rsidR="00E57A11" w:rsidRPr="00F62082" w14:paraId="1A413DAF" w14:textId="77777777" w:rsidTr="006B635B">
        <w:trPr>
          <w:trHeight w:val="57"/>
        </w:trPr>
        <w:tc>
          <w:tcPr>
            <w:tcW w:w="1265" w:type="pct"/>
            <w:gridSpan w:val="2"/>
            <w:tcBorders>
              <w:top w:val="nil"/>
              <w:left w:val="nil"/>
              <w:right w:val="nil"/>
            </w:tcBorders>
            <w:shd w:val="clear" w:color="000000" w:fill="FFFFFF"/>
            <w:noWrap/>
            <w:vAlign w:val="bottom"/>
            <w:hideMark/>
          </w:tcPr>
          <w:p w14:paraId="141AB69C"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RET</w:t>
            </w:r>
          </w:p>
        </w:tc>
        <w:tc>
          <w:tcPr>
            <w:tcW w:w="1188" w:type="pct"/>
            <w:gridSpan w:val="3"/>
            <w:tcBorders>
              <w:top w:val="nil"/>
              <w:left w:val="nil"/>
              <w:right w:val="nil"/>
            </w:tcBorders>
            <w:shd w:val="clear" w:color="000000" w:fill="FFFFFF"/>
            <w:noWrap/>
            <w:vAlign w:val="bottom"/>
            <w:hideMark/>
          </w:tcPr>
          <w:p w14:paraId="5FDC487A"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0.145</w:t>
            </w:r>
          </w:p>
        </w:tc>
        <w:tc>
          <w:tcPr>
            <w:tcW w:w="1315" w:type="pct"/>
            <w:gridSpan w:val="3"/>
            <w:tcBorders>
              <w:top w:val="nil"/>
              <w:left w:val="nil"/>
              <w:right w:val="nil"/>
            </w:tcBorders>
            <w:shd w:val="clear" w:color="000000" w:fill="FFFFFF"/>
            <w:noWrap/>
            <w:vAlign w:val="bottom"/>
            <w:hideMark/>
          </w:tcPr>
          <w:p w14:paraId="20D546F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0.159</w:t>
            </w:r>
          </w:p>
        </w:tc>
        <w:tc>
          <w:tcPr>
            <w:tcW w:w="653" w:type="pct"/>
            <w:gridSpan w:val="3"/>
            <w:tcBorders>
              <w:top w:val="nil"/>
              <w:left w:val="nil"/>
              <w:right w:val="nil"/>
            </w:tcBorders>
            <w:shd w:val="clear" w:color="000000" w:fill="FFFFFF"/>
            <w:noWrap/>
            <w:vAlign w:val="bottom"/>
            <w:hideMark/>
          </w:tcPr>
          <w:p w14:paraId="310F3E2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0.014</w:t>
            </w:r>
          </w:p>
        </w:tc>
        <w:tc>
          <w:tcPr>
            <w:tcW w:w="579" w:type="pct"/>
            <w:gridSpan w:val="2"/>
            <w:tcBorders>
              <w:top w:val="nil"/>
              <w:left w:val="nil"/>
              <w:right w:val="nil"/>
            </w:tcBorders>
            <w:shd w:val="clear" w:color="000000" w:fill="FFFFFF"/>
            <w:noWrap/>
            <w:vAlign w:val="bottom"/>
            <w:hideMark/>
          </w:tcPr>
          <w:p w14:paraId="30CF42C5"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1.53</w:t>
            </w:r>
          </w:p>
        </w:tc>
      </w:tr>
      <w:tr w:rsidR="00E57A11" w:rsidRPr="00F62082" w14:paraId="43E38A41" w14:textId="77777777" w:rsidTr="006B635B">
        <w:trPr>
          <w:trHeight w:val="57"/>
        </w:trPr>
        <w:tc>
          <w:tcPr>
            <w:tcW w:w="1265" w:type="pct"/>
            <w:gridSpan w:val="2"/>
            <w:tcBorders>
              <w:top w:val="nil"/>
              <w:left w:val="nil"/>
              <w:right w:val="nil"/>
            </w:tcBorders>
            <w:shd w:val="clear" w:color="000000" w:fill="FFFFFF"/>
            <w:noWrap/>
            <w:vAlign w:val="bottom"/>
            <w:hideMark/>
          </w:tcPr>
          <w:p w14:paraId="53E82C4E"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CEOage</w:t>
            </w:r>
            <w:proofErr w:type="spellEnd"/>
          </w:p>
        </w:tc>
        <w:tc>
          <w:tcPr>
            <w:tcW w:w="1188" w:type="pct"/>
            <w:gridSpan w:val="3"/>
            <w:tcBorders>
              <w:top w:val="nil"/>
              <w:left w:val="nil"/>
              <w:right w:val="nil"/>
            </w:tcBorders>
            <w:shd w:val="clear" w:color="000000" w:fill="FFFFFF"/>
            <w:noWrap/>
            <w:vAlign w:val="bottom"/>
            <w:hideMark/>
          </w:tcPr>
          <w:p w14:paraId="0CF87BFD"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55.534</w:t>
            </w:r>
          </w:p>
        </w:tc>
        <w:tc>
          <w:tcPr>
            <w:tcW w:w="1315" w:type="pct"/>
            <w:gridSpan w:val="3"/>
            <w:tcBorders>
              <w:top w:val="nil"/>
              <w:left w:val="nil"/>
              <w:right w:val="nil"/>
            </w:tcBorders>
            <w:shd w:val="clear" w:color="000000" w:fill="FFFFFF"/>
            <w:noWrap/>
            <w:vAlign w:val="bottom"/>
            <w:hideMark/>
          </w:tcPr>
          <w:p w14:paraId="33B94F9C"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55.290</w:t>
            </w:r>
          </w:p>
        </w:tc>
        <w:tc>
          <w:tcPr>
            <w:tcW w:w="653" w:type="pct"/>
            <w:gridSpan w:val="3"/>
            <w:tcBorders>
              <w:top w:val="nil"/>
              <w:left w:val="nil"/>
              <w:right w:val="nil"/>
            </w:tcBorders>
            <w:shd w:val="clear" w:color="000000" w:fill="FFFFFF"/>
            <w:noWrap/>
            <w:vAlign w:val="bottom"/>
            <w:hideMark/>
          </w:tcPr>
          <w:p w14:paraId="672FDE13"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-0.244</w:t>
            </w:r>
          </w:p>
        </w:tc>
        <w:tc>
          <w:tcPr>
            <w:tcW w:w="579" w:type="pct"/>
            <w:gridSpan w:val="2"/>
            <w:tcBorders>
              <w:top w:val="nil"/>
              <w:left w:val="nil"/>
              <w:right w:val="nil"/>
            </w:tcBorders>
            <w:shd w:val="clear" w:color="000000" w:fill="FFFFFF"/>
            <w:noWrap/>
            <w:vAlign w:val="bottom"/>
            <w:hideMark/>
          </w:tcPr>
          <w:p w14:paraId="326766E7"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-1.89</w:t>
            </w:r>
          </w:p>
        </w:tc>
      </w:tr>
      <w:tr w:rsidR="00E57A11" w:rsidRPr="00F62082" w14:paraId="185FC19C" w14:textId="77777777" w:rsidTr="006B635B">
        <w:trPr>
          <w:trHeight w:val="57"/>
        </w:trPr>
        <w:tc>
          <w:tcPr>
            <w:tcW w:w="1265" w:type="pct"/>
            <w:gridSpan w:val="2"/>
            <w:tcBorders>
              <w:top w:val="nil"/>
              <w:left w:val="nil"/>
              <w:bottom w:val="single" w:sz="4" w:space="0" w:color="auto"/>
              <w:right w:val="nil"/>
            </w:tcBorders>
            <w:shd w:val="clear" w:color="000000" w:fill="FFFFFF"/>
            <w:noWrap/>
            <w:vAlign w:val="bottom"/>
            <w:hideMark/>
          </w:tcPr>
          <w:p w14:paraId="0B3BAD64"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CEOtenure</w:t>
            </w:r>
            <w:proofErr w:type="spellEnd"/>
          </w:p>
        </w:tc>
        <w:tc>
          <w:tcPr>
            <w:tcW w:w="1188" w:type="pct"/>
            <w:gridSpan w:val="3"/>
            <w:tcBorders>
              <w:top w:val="nil"/>
              <w:left w:val="nil"/>
              <w:bottom w:val="single" w:sz="4" w:space="0" w:color="auto"/>
              <w:right w:val="nil"/>
            </w:tcBorders>
            <w:shd w:val="clear" w:color="000000" w:fill="FFFFFF"/>
            <w:noWrap/>
            <w:vAlign w:val="bottom"/>
            <w:hideMark/>
          </w:tcPr>
          <w:p w14:paraId="0B779DA3"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8.343</w:t>
            </w:r>
          </w:p>
        </w:tc>
        <w:tc>
          <w:tcPr>
            <w:tcW w:w="1315" w:type="pct"/>
            <w:gridSpan w:val="3"/>
            <w:tcBorders>
              <w:top w:val="nil"/>
              <w:left w:val="nil"/>
              <w:bottom w:val="single" w:sz="4" w:space="0" w:color="auto"/>
              <w:right w:val="nil"/>
            </w:tcBorders>
            <w:shd w:val="clear" w:color="000000" w:fill="FFFFFF"/>
            <w:noWrap/>
            <w:vAlign w:val="bottom"/>
            <w:hideMark/>
          </w:tcPr>
          <w:p w14:paraId="06E7348F"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8.093</w:t>
            </w:r>
          </w:p>
        </w:tc>
        <w:tc>
          <w:tcPr>
            <w:tcW w:w="653" w:type="pct"/>
            <w:gridSpan w:val="3"/>
            <w:tcBorders>
              <w:top w:val="nil"/>
              <w:left w:val="nil"/>
              <w:bottom w:val="single" w:sz="4" w:space="0" w:color="auto"/>
              <w:right w:val="nil"/>
            </w:tcBorders>
            <w:shd w:val="clear" w:color="000000" w:fill="FFFFFF"/>
            <w:noWrap/>
            <w:vAlign w:val="bottom"/>
            <w:hideMark/>
          </w:tcPr>
          <w:p w14:paraId="6ED80A38"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-0.251</w:t>
            </w:r>
          </w:p>
        </w:tc>
        <w:tc>
          <w:tcPr>
            <w:tcW w:w="579" w:type="pct"/>
            <w:gridSpan w:val="2"/>
            <w:tcBorders>
              <w:top w:val="nil"/>
              <w:left w:val="nil"/>
              <w:bottom w:val="single" w:sz="4" w:space="0" w:color="auto"/>
              <w:right w:val="nil"/>
            </w:tcBorders>
            <w:shd w:val="clear" w:color="000000" w:fill="FFFFFF"/>
            <w:noWrap/>
            <w:vAlign w:val="bottom"/>
            <w:hideMark/>
          </w:tcPr>
          <w:p w14:paraId="710CEFFD"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-2.00</w:t>
            </w:r>
          </w:p>
        </w:tc>
      </w:tr>
      <w:tr w:rsidR="00E57A11" w:rsidRPr="00F62082" w14:paraId="54285C40" w14:textId="77777777" w:rsidTr="006B635B">
        <w:trPr>
          <w:trHeight w:val="57"/>
        </w:trPr>
        <w:tc>
          <w:tcPr>
            <w:tcW w:w="1020" w:type="pct"/>
            <w:tcBorders>
              <w:top w:val="single" w:sz="4" w:space="0" w:color="auto"/>
              <w:left w:val="nil"/>
              <w:right w:val="nil"/>
            </w:tcBorders>
            <w:shd w:val="clear" w:color="000000" w:fill="FFFFFF"/>
            <w:noWrap/>
            <w:vAlign w:val="bottom"/>
            <w:hideMark/>
          </w:tcPr>
          <w:p w14:paraId="2C934B86"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716" w:type="pct"/>
            <w:gridSpan w:val="2"/>
            <w:tcBorders>
              <w:top w:val="single" w:sz="4" w:space="0" w:color="auto"/>
              <w:left w:val="nil"/>
              <w:right w:val="nil"/>
            </w:tcBorders>
            <w:shd w:val="clear" w:color="000000" w:fill="FFFFFF"/>
            <w:noWrap/>
            <w:vAlign w:val="bottom"/>
            <w:hideMark/>
          </w:tcPr>
          <w:p w14:paraId="29C522F5" w14:textId="77777777" w:rsidR="00E57A11" w:rsidRPr="00DA1D07" w:rsidRDefault="00E57A11" w:rsidP="002753C1">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 </w:t>
            </w:r>
          </w:p>
        </w:tc>
        <w:tc>
          <w:tcPr>
            <w:tcW w:w="1247" w:type="pct"/>
            <w:gridSpan w:val="3"/>
            <w:tcBorders>
              <w:top w:val="single" w:sz="4" w:space="0" w:color="auto"/>
              <w:left w:val="nil"/>
              <w:right w:val="nil"/>
            </w:tcBorders>
            <w:shd w:val="clear" w:color="000000" w:fill="FFFFFF"/>
            <w:noWrap/>
            <w:vAlign w:val="bottom"/>
            <w:hideMark/>
          </w:tcPr>
          <w:p w14:paraId="0ADACB3A" w14:textId="77777777" w:rsidR="00E57A11" w:rsidRPr="00DA1D07" w:rsidRDefault="00E57A11" w:rsidP="002753C1">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 </w:t>
            </w:r>
          </w:p>
        </w:tc>
        <w:tc>
          <w:tcPr>
            <w:tcW w:w="1039" w:type="pct"/>
            <w:gridSpan w:val="3"/>
            <w:tcBorders>
              <w:top w:val="single" w:sz="4" w:space="0" w:color="auto"/>
              <w:left w:val="nil"/>
              <w:right w:val="nil"/>
            </w:tcBorders>
            <w:shd w:val="clear" w:color="000000" w:fill="FFFFFF"/>
            <w:noWrap/>
            <w:vAlign w:val="bottom"/>
            <w:hideMark/>
          </w:tcPr>
          <w:p w14:paraId="06B328B8" w14:textId="77777777" w:rsidR="00E57A11" w:rsidRPr="00DA1D07" w:rsidRDefault="00E57A11" w:rsidP="002753C1">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 </w:t>
            </w:r>
          </w:p>
        </w:tc>
        <w:tc>
          <w:tcPr>
            <w:tcW w:w="978" w:type="pct"/>
            <w:gridSpan w:val="4"/>
            <w:tcBorders>
              <w:top w:val="single" w:sz="4" w:space="0" w:color="auto"/>
              <w:left w:val="nil"/>
              <w:right w:val="nil"/>
            </w:tcBorders>
            <w:shd w:val="clear" w:color="000000" w:fill="FFFFFF"/>
            <w:noWrap/>
            <w:vAlign w:val="bottom"/>
            <w:hideMark/>
          </w:tcPr>
          <w:p w14:paraId="222DDA9C" w14:textId="77777777" w:rsidR="00E57A11" w:rsidRPr="00DA1D07" w:rsidRDefault="00E57A11" w:rsidP="002753C1">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 </w:t>
            </w:r>
          </w:p>
        </w:tc>
      </w:tr>
      <w:tr w:rsidR="00E57A11" w:rsidRPr="00F62082" w14:paraId="5806B628" w14:textId="77777777" w:rsidTr="006B635B">
        <w:trPr>
          <w:trHeight w:val="57"/>
        </w:trPr>
        <w:tc>
          <w:tcPr>
            <w:tcW w:w="5000" w:type="pct"/>
            <w:gridSpan w:val="13"/>
            <w:tcBorders>
              <w:top w:val="nil"/>
              <w:left w:val="nil"/>
              <w:bottom w:val="single" w:sz="4" w:space="0" w:color="auto"/>
              <w:right w:val="nil"/>
            </w:tcBorders>
            <w:shd w:val="clear" w:color="000000" w:fill="FFFFFF"/>
            <w:vAlign w:val="bottom"/>
            <w:hideMark/>
          </w:tcPr>
          <w:p w14:paraId="2B67EB54" w14:textId="10F0872C" w:rsidR="00E57A11" w:rsidRPr="00DA1D07" w:rsidRDefault="00E57A11" w:rsidP="002753C1">
            <w:pPr>
              <w:spacing w:after="0" w:line="240" w:lineRule="auto"/>
              <w:rPr>
                <w:rFonts w:ascii="Times New Roman" w:eastAsia="Times New Roman" w:hAnsi="Times New Roman" w:cs="Times New Roman"/>
                <w:b/>
                <w:bCs/>
                <w:color w:val="000000"/>
                <w:sz w:val="24"/>
                <w:szCs w:val="24"/>
                <w:lang w:val="en-US" w:eastAsia="en-GB"/>
              </w:rPr>
            </w:pPr>
            <w:r w:rsidRPr="00DA1D07">
              <w:rPr>
                <w:rFonts w:ascii="Times New Roman" w:eastAsia="Times New Roman" w:hAnsi="Times New Roman" w:cs="Times New Roman"/>
                <w:b/>
                <w:bCs/>
                <w:color w:val="000000"/>
                <w:sz w:val="24"/>
                <w:szCs w:val="24"/>
                <w:lang w:val="en-US" w:eastAsia="en-GB"/>
              </w:rPr>
              <w:t>Panel C</w:t>
            </w:r>
            <w:r w:rsidR="00872AE2">
              <w:rPr>
                <w:rFonts w:ascii="Times New Roman" w:eastAsia="Times New Roman" w:hAnsi="Times New Roman" w:cs="Times New Roman"/>
                <w:b/>
                <w:bCs/>
                <w:color w:val="000000"/>
                <w:sz w:val="24"/>
                <w:szCs w:val="24"/>
                <w:lang w:val="en-US" w:eastAsia="en-GB"/>
              </w:rPr>
              <w:t>:</w:t>
            </w:r>
            <w:r w:rsidR="00872AE2" w:rsidRPr="00DA1D07">
              <w:rPr>
                <w:rFonts w:ascii="Times New Roman" w:eastAsia="Times New Roman" w:hAnsi="Times New Roman" w:cs="Times New Roman"/>
                <w:b/>
                <w:bCs/>
                <w:color w:val="000000"/>
                <w:sz w:val="24"/>
                <w:szCs w:val="24"/>
                <w:lang w:val="en-US" w:eastAsia="en-GB"/>
              </w:rPr>
              <w:t xml:space="preserve"> </w:t>
            </w:r>
            <w:r w:rsidRPr="00DA1D07">
              <w:rPr>
                <w:rFonts w:ascii="Times New Roman" w:eastAsia="Times New Roman" w:hAnsi="Times New Roman" w:cs="Times New Roman"/>
                <w:b/>
                <w:bCs/>
                <w:color w:val="000000"/>
                <w:sz w:val="24"/>
                <w:szCs w:val="24"/>
                <w:lang w:val="en-US" w:eastAsia="en-GB"/>
              </w:rPr>
              <w:t xml:space="preserve">Regression </w:t>
            </w:r>
            <w:r w:rsidR="00872AE2">
              <w:rPr>
                <w:rFonts w:ascii="Times New Roman" w:eastAsia="Times New Roman" w:hAnsi="Times New Roman" w:cs="Times New Roman"/>
                <w:b/>
                <w:bCs/>
                <w:color w:val="000000"/>
                <w:sz w:val="24"/>
                <w:szCs w:val="24"/>
                <w:lang w:val="en-US" w:eastAsia="en-GB"/>
              </w:rPr>
              <w:t>A</w:t>
            </w:r>
            <w:r w:rsidR="00872AE2" w:rsidRPr="00DA1D07">
              <w:rPr>
                <w:rFonts w:ascii="Times New Roman" w:eastAsia="Times New Roman" w:hAnsi="Times New Roman" w:cs="Times New Roman"/>
                <w:b/>
                <w:bCs/>
                <w:color w:val="000000"/>
                <w:sz w:val="24"/>
                <w:szCs w:val="24"/>
                <w:lang w:val="en-US" w:eastAsia="en-GB"/>
              </w:rPr>
              <w:t xml:space="preserve">nalysis </w:t>
            </w:r>
            <w:r w:rsidRPr="00DA1D07">
              <w:rPr>
                <w:rFonts w:ascii="Times New Roman" w:eastAsia="Times New Roman" w:hAnsi="Times New Roman" w:cs="Times New Roman"/>
                <w:b/>
                <w:bCs/>
                <w:color w:val="000000"/>
                <w:sz w:val="24"/>
                <w:szCs w:val="24"/>
                <w:lang w:val="en-US" w:eastAsia="en-GB"/>
              </w:rPr>
              <w:t>for the Non-Bipartite Matched Sample</w:t>
            </w:r>
          </w:p>
          <w:p w14:paraId="4CBBB474" w14:textId="77777777" w:rsidR="00E57A11" w:rsidRPr="00DA1D07" w:rsidRDefault="00E57A11" w:rsidP="002753C1">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 </w:t>
            </w:r>
          </w:p>
        </w:tc>
      </w:tr>
      <w:tr w:rsidR="00E57A11" w:rsidRPr="00F62082" w14:paraId="17D9C57B" w14:textId="77777777" w:rsidTr="006B635B">
        <w:trPr>
          <w:trHeight w:val="57"/>
        </w:trPr>
        <w:tc>
          <w:tcPr>
            <w:tcW w:w="1020" w:type="pct"/>
            <w:tcBorders>
              <w:top w:val="single" w:sz="4" w:space="0" w:color="auto"/>
              <w:left w:val="nil"/>
              <w:bottom w:val="nil"/>
              <w:right w:val="nil"/>
            </w:tcBorders>
            <w:shd w:val="clear" w:color="000000" w:fill="FFFFFF"/>
            <w:noWrap/>
            <w:vAlign w:val="bottom"/>
            <w:hideMark/>
          </w:tcPr>
          <w:p w14:paraId="14870B94"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p>
        </w:tc>
        <w:tc>
          <w:tcPr>
            <w:tcW w:w="1006" w:type="pct"/>
            <w:gridSpan w:val="3"/>
            <w:tcBorders>
              <w:top w:val="single" w:sz="4" w:space="0" w:color="auto"/>
              <w:left w:val="nil"/>
              <w:bottom w:val="nil"/>
              <w:right w:val="nil"/>
            </w:tcBorders>
            <w:shd w:val="clear" w:color="000000" w:fill="FFFFFF"/>
            <w:noWrap/>
            <w:vAlign w:val="bottom"/>
            <w:hideMark/>
          </w:tcPr>
          <w:p w14:paraId="1BD3E796"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w:t>
            </w:r>
          </w:p>
        </w:tc>
        <w:tc>
          <w:tcPr>
            <w:tcW w:w="1342" w:type="pct"/>
            <w:gridSpan w:val="3"/>
            <w:tcBorders>
              <w:top w:val="single" w:sz="4" w:space="0" w:color="auto"/>
              <w:left w:val="nil"/>
              <w:bottom w:val="nil"/>
              <w:right w:val="nil"/>
            </w:tcBorders>
            <w:shd w:val="clear" w:color="000000" w:fill="FFFFFF"/>
            <w:noWrap/>
            <w:vAlign w:val="bottom"/>
            <w:hideMark/>
          </w:tcPr>
          <w:p w14:paraId="2B682F86"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(2)</w:t>
            </w:r>
          </w:p>
        </w:tc>
        <w:tc>
          <w:tcPr>
            <w:tcW w:w="873" w:type="pct"/>
            <w:gridSpan w:val="3"/>
            <w:tcBorders>
              <w:top w:val="single" w:sz="4" w:space="0" w:color="auto"/>
              <w:left w:val="nil"/>
              <w:bottom w:val="nil"/>
              <w:right w:val="nil"/>
            </w:tcBorders>
            <w:shd w:val="clear" w:color="000000" w:fill="FFFFFF"/>
            <w:noWrap/>
            <w:vAlign w:val="bottom"/>
            <w:hideMark/>
          </w:tcPr>
          <w:p w14:paraId="56F3ECD6"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(3)</w:t>
            </w:r>
          </w:p>
        </w:tc>
        <w:tc>
          <w:tcPr>
            <w:tcW w:w="760" w:type="pct"/>
            <w:gridSpan w:val="3"/>
            <w:tcBorders>
              <w:top w:val="single" w:sz="4" w:space="0" w:color="auto"/>
              <w:left w:val="nil"/>
              <w:bottom w:val="nil"/>
              <w:right w:val="nil"/>
            </w:tcBorders>
            <w:shd w:val="clear" w:color="000000" w:fill="FFFFFF"/>
            <w:noWrap/>
            <w:vAlign w:val="bottom"/>
            <w:hideMark/>
          </w:tcPr>
          <w:p w14:paraId="66D1C0AE"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(4)</w:t>
            </w:r>
          </w:p>
        </w:tc>
      </w:tr>
      <w:tr w:rsidR="00E57A11" w:rsidRPr="00F62082" w14:paraId="5CDD30DE" w14:textId="77777777" w:rsidTr="006B635B">
        <w:trPr>
          <w:trHeight w:val="57"/>
        </w:trPr>
        <w:tc>
          <w:tcPr>
            <w:tcW w:w="1020" w:type="pct"/>
            <w:tcBorders>
              <w:top w:val="nil"/>
              <w:left w:val="nil"/>
              <w:bottom w:val="single" w:sz="4" w:space="0" w:color="auto"/>
              <w:right w:val="nil"/>
            </w:tcBorders>
            <w:shd w:val="clear" w:color="000000" w:fill="FFFFFF"/>
            <w:vAlign w:val="bottom"/>
            <w:hideMark/>
          </w:tcPr>
          <w:p w14:paraId="1879B33D" w14:textId="77777777" w:rsidR="00E57A11" w:rsidRPr="009D768D" w:rsidRDefault="00E57A11" w:rsidP="002753C1">
            <w:pPr>
              <w:spacing w:line="240" w:lineRule="auto"/>
              <w:rPr>
                <w:rFonts w:ascii="Times New Roman" w:eastAsia="Times New Roman" w:hAnsi="Times New Roman" w:cs="Times New Roman"/>
                <w:iCs/>
                <w:color w:val="000000"/>
                <w:sz w:val="24"/>
                <w:szCs w:val="24"/>
                <w:lang w:val="en-US" w:eastAsia="en-GB"/>
              </w:rPr>
            </w:pPr>
          </w:p>
        </w:tc>
        <w:tc>
          <w:tcPr>
            <w:tcW w:w="1006" w:type="pct"/>
            <w:gridSpan w:val="3"/>
            <w:tcBorders>
              <w:top w:val="nil"/>
              <w:left w:val="nil"/>
              <w:bottom w:val="single" w:sz="4" w:space="0" w:color="auto"/>
              <w:right w:val="nil"/>
            </w:tcBorders>
            <w:shd w:val="clear" w:color="000000" w:fill="FFFFFF"/>
            <w:noWrap/>
            <w:hideMark/>
          </w:tcPr>
          <w:p w14:paraId="0FDDDD71" w14:textId="77777777" w:rsidR="00E57A11" w:rsidRPr="00DA1D07" w:rsidRDefault="00E57A11" w:rsidP="002753C1">
            <w:pPr>
              <w:spacing w:line="240" w:lineRule="auto"/>
              <w:jc w:val="center"/>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ln(Violations)</w:t>
            </w:r>
          </w:p>
        </w:tc>
        <w:tc>
          <w:tcPr>
            <w:tcW w:w="1342" w:type="pct"/>
            <w:gridSpan w:val="3"/>
            <w:tcBorders>
              <w:top w:val="nil"/>
              <w:left w:val="nil"/>
              <w:bottom w:val="single" w:sz="4" w:space="0" w:color="auto"/>
              <w:right w:val="nil"/>
            </w:tcBorders>
            <w:shd w:val="clear" w:color="000000" w:fill="FFFFFF"/>
            <w:noWrap/>
            <w:hideMark/>
          </w:tcPr>
          <w:p w14:paraId="4D84E6F5" w14:textId="77777777" w:rsidR="00E57A11" w:rsidRPr="00DA1D07" w:rsidRDefault="00E57A11" w:rsidP="002753C1">
            <w:pPr>
              <w:spacing w:line="240" w:lineRule="auto"/>
              <w:jc w:val="center"/>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Violations</w:t>
            </w:r>
          </w:p>
        </w:tc>
        <w:tc>
          <w:tcPr>
            <w:tcW w:w="873" w:type="pct"/>
            <w:gridSpan w:val="3"/>
            <w:tcBorders>
              <w:top w:val="nil"/>
              <w:left w:val="nil"/>
              <w:bottom w:val="single" w:sz="4" w:space="0" w:color="auto"/>
              <w:right w:val="nil"/>
            </w:tcBorders>
            <w:shd w:val="clear" w:color="000000" w:fill="FFFFFF"/>
            <w:hideMark/>
          </w:tcPr>
          <w:p w14:paraId="7E9D139A" w14:textId="77777777" w:rsidR="00E57A11" w:rsidRPr="00DA1D07" w:rsidRDefault="00E57A11" w:rsidP="002753C1">
            <w:pPr>
              <w:spacing w:line="240" w:lineRule="auto"/>
              <w:jc w:val="center"/>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ln(Penalties)</w:t>
            </w:r>
          </w:p>
        </w:tc>
        <w:tc>
          <w:tcPr>
            <w:tcW w:w="760" w:type="pct"/>
            <w:gridSpan w:val="3"/>
            <w:tcBorders>
              <w:top w:val="nil"/>
              <w:left w:val="nil"/>
              <w:bottom w:val="single" w:sz="4" w:space="0" w:color="auto"/>
              <w:right w:val="nil"/>
            </w:tcBorders>
            <w:shd w:val="clear" w:color="000000" w:fill="FFFFFF"/>
            <w:noWrap/>
            <w:hideMark/>
          </w:tcPr>
          <w:p w14:paraId="6B05E98A" w14:textId="77777777" w:rsidR="00E57A11" w:rsidRPr="00DA1D07" w:rsidRDefault="00E57A11" w:rsidP="002753C1">
            <w:pPr>
              <w:spacing w:line="240" w:lineRule="auto"/>
              <w:jc w:val="center"/>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Q(Penalties)</w:t>
            </w:r>
          </w:p>
        </w:tc>
      </w:tr>
      <w:tr w:rsidR="00E57A11" w:rsidRPr="00F62082" w14:paraId="03F10781" w14:textId="77777777" w:rsidTr="006B635B">
        <w:trPr>
          <w:trHeight w:val="57"/>
        </w:trPr>
        <w:tc>
          <w:tcPr>
            <w:tcW w:w="1020" w:type="pct"/>
            <w:tcBorders>
              <w:top w:val="single" w:sz="4" w:space="0" w:color="auto"/>
              <w:left w:val="nil"/>
              <w:bottom w:val="nil"/>
              <w:right w:val="nil"/>
            </w:tcBorders>
            <w:shd w:val="clear" w:color="auto" w:fill="D9D9D9" w:themeFill="background1" w:themeFillShade="D9"/>
            <w:noWrap/>
            <w:vAlign w:val="center"/>
            <w:hideMark/>
          </w:tcPr>
          <w:p w14:paraId="2CA8977B"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Vega</w:t>
            </w:r>
          </w:p>
        </w:tc>
        <w:tc>
          <w:tcPr>
            <w:tcW w:w="1006" w:type="pct"/>
            <w:gridSpan w:val="3"/>
            <w:tcBorders>
              <w:top w:val="single" w:sz="4" w:space="0" w:color="auto"/>
              <w:left w:val="nil"/>
              <w:bottom w:val="nil"/>
              <w:right w:val="nil"/>
            </w:tcBorders>
            <w:shd w:val="clear" w:color="auto" w:fill="D9D9D9" w:themeFill="background1" w:themeFillShade="D9"/>
            <w:noWrap/>
            <w:vAlign w:val="bottom"/>
            <w:hideMark/>
          </w:tcPr>
          <w:p w14:paraId="5AC81390"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0.012**</w:t>
            </w:r>
          </w:p>
        </w:tc>
        <w:tc>
          <w:tcPr>
            <w:tcW w:w="1342" w:type="pct"/>
            <w:gridSpan w:val="3"/>
            <w:tcBorders>
              <w:top w:val="single" w:sz="4" w:space="0" w:color="auto"/>
              <w:left w:val="nil"/>
              <w:bottom w:val="nil"/>
              <w:right w:val="nil"/>
            </w:tcBorders>
            <w:shd w:val="clear" w:color="auto" w:fill="D9D9D9" w:themeFill="background1" w:themeFillShade="D9"/>
            <w:noWrap/>
            <w:vAlign w:val="bottom"/>
            <w:hideMark/>
          </w:tcPr>
          <w:p w14:paraId="48A358E6"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0.068***</w:t>
            </w:r>
          </w:p>
        </w:tc>
        <w:tc>
          <w:tcPr>
            <w:tcW w:w="873" w:type="pct"/>
            <w:gridSpan w:val="3"/>
            <w:tcBorders>
              <w:top w:val="single" w:sz="4" w:space="0" w:color="auto"/>
              <w:left w:val="nil"/>
              <w:bottom w:val="nil"/>
              <w:right w:val="nil"/>
            </w:tcBorders>
            <w:shd w:val="clear" w:color="auto" w:fill="D9D9D9" w:themeFill="background1" w:themeFillShade="D9"/>
            <w:noWrap/>
            <w:vAlign w:val="bottom"/>
            <w:hideMark/>
          </w:tcPr>
          <w:p w14:paraId="3D964460"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0.098*</w:t>
            </w:r>
          </w:p>
        </w:tc>
        <w:tc>
          <w:tcPr>
            <w:tcW w:w="760" w:type="pct"/>
            <w:gridSpan w:val="3"/>
            <w:tcBorders>
              <w:top w:val="single" w:sz="4" w:space="0" w:color="auto"/>
              <w:left w:val="nil"/>
              <w:bottom w:val="nil"/>
              <w:right w:val="nil"/>
            </w:tcBorders>
            <w:shd w:val="clear" w:color="auto" w:fill="D9D9D9" w:themeFill="background1" w:themeFillShade="D9"/>
            <w:noWrap/>
            <w:vAlign w:val="bottom"/>
            <w:hideMark/>
          </w:tcPr>
          <w:p w14:paraId="48C9E207"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0.031**</w:t>
            </w:r>
          </w:p>
        </w:tc>
      </w:tr>
      <w:tr w:rsidR="00E57A11" w:rsidRPr="00F62082" w14:paraId="448F6A61" w14:textId="77777777" w:rsidTr="006B635B">
        <w:trPr>
          <w:trHeight w:val="57"/>
        </w:trPr>
        <w:tc>
          <w:tcPr>
            <w:tcW w:w="1020" w:type="pct"/>
            <w:tcBorders>
              <w:top w:val="nil"/>
              <w:left w:val="nil"/>
              <w:bottom w:val="nil"/>
              <w:right w:val="nil"/>
            </w:tcBorders>
            <w:shd w:val="clear" w:color="auto" w:fill="D9D9D9" w:themeFill="background1" w:themeFillShade="D9"/>
            <w:noWrap/>
            <w:vAlign w:val="bottom"/>
            <w:hideMark/>
          </w:tcPr>
          <w:p w14:paraId="50B994FD"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006" w:type="pct"/>
            <w:gridSpan w:val="3"/>
            <w:tcBorders>
              <w:top w:val="nil"/>
              <w:left w:val="nil"/>
              <w:bottom w:val="nil"/>
              <w:right w:val="nil"/>
            </w:tcBorders>
            <w:shd w:val="clear" w:color="auto" w:fill="D9D9D9" w:themeFill="background1" w:themeFillShade="D9"/>
            <w:noWrap/>
            <w:vAlign w:val="bottom"/>
            <w:hideMark/>
          </w:tcPr>
          <w:p w14:paraId="7A957F6E"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(2.28)</w:t>
            </w:r>
          </w:p>
        </w:tc>
        <w:tc>
          <w:tcPr>
            <w:tcW w:w="1342" w:type="pct"/>
            <w:gridSpan w:val="3"/>
            <w:tcBorders>
              <w:top w:val="nil"/>
              <w:left w:val="nil"/>
              <w:bottom w:val="nil"/>
              <w:right w:val="nil"/>
            </w:tcBorders>
            <w:shd w:val="clear" w:color="auto" w:fill="D9D9D9" w:themeFill="background1" w:themeFillShade="D9"/>
            <w:noWrap/>
            <w:vAlign w:val="bottom"/>
            <w:hideMark/>
          </w:tcPr>
          <w:p w14:paraId="544690C7"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(2.92)</w:t>
            </w:r>
          </w:p>
        </w:tc>
        <w:tc>
          <w:tcPr>
            <w:tcW w:w="873" w:type="pct"/>
            <w:gridSpan w:val="3"/>
            <w:tcBorders>
              <w:top w:val="nil"/>
              <w:left w:val="nil"/>
              <w:bottom w:val="nil"/>
              <w:right w:val="nil"/>
            </w:tcBorders>
            <w:shd w:val="clear" w:color="auto" w:fill="D9D9D9" w:themeFill="background1" w:themeFillShade="D9"/>
            <w:noWrap/>
            <w:vAlign w:val="bottom"/>
            <w:hideMark/>
          </w:tcPr>
          <w:p w14:paraId="322CF8D6"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(1.84)</w:t>
            </w:r>
          </w:p>
        </w:tc>
        <w:tc>
          <w:tcPr>
            <w:tcW w:w="760" w:type="pct"/>
            <w:gridSpan w:val="3"/>
            <w:tcBorders>
              <w:top w:val="nil"/>
              <w:left w:val="nil"/>
              <w:bottom w:val="nil"/>
              <w:right w:val="nil"/>
            </w:tcBorders>
            <w:shd w:val="clear" w:color="auto" w:fill="D9D9D9" w:themeFill="background1" w:themeFillShade="D9"/>
            <w:noWrap/>
            <w:vAlign w:val="bottom"/>
            <w:hideMark/>
          </w:tcPr>
          <w:p w14:paraId="0252FBB8"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(2.52)</w:t>
            </w:r>
          </w:p>
        </w:tc>
      </w:tr>
      <w:tr w:rsidR="00E57A11" w:rsidRPr="00F62082" w14:paraId="79CECCFB" w14:textId="77777777" w:rsidTr="006B635B">
        <w:trPr>
          <w:trHeight w:val="57"/>
        </w:trPr>
        <w:tc>
          <w:tcPr>
            <w:tcW w:w="1020" w:type="pct"/>
            <w:tcBorders>
              <w:top w:val="nil"/>
              <w:left w:val="nil"/>
              <w:bottom w:val="nil"/>
              <w:right w:val="nil"/>
            </w:tcBorders>
            <w:shd w:val="clear" w:color="000000" w:fill="FFFFFF"/>
            <w:noWrap/>
            <w:vAlign w:val="center"/>
            <w:hideMark/>
          </w:tcPr>
          <w:p w14:paraId="4CF0EF58"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Delta</w:t>
            </w:r>
          </w:p>
        </w:tc>
        <w:tc>
          <w:tcPr>
            <w:tcW w:w="1006" w:type="pct"/>
            <w:gridSpan w:val="3"/>
            <w:tcBorders>
              <w:top w:val="nil"/>
              <w:left w:val="nil"/>
              <w:bottom w:val="nil"/>
              <w:right w:val="nil"/>
            </w:tcBorders>
            <w:shd w:val="clear" w:color="000000" w:fill="FFFFFF"/>
            <w:noWrap/>
            <w:vAlign w:val="bottom"/>
            <w:hideMark/>
          </w:tcPr>
          <w:p w14:paraId="521AE739"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-0.007</w:t>
            </w:r>
          </w:p>
        </w:tc>
        <w:tc>
          <w:tcPr>
            <w:tcW w:w="1342" w:type="pct"/>
            <w:gridSpan w:val="3"/>
            <w:tcBorders>
              <w:top w:val="nil"/>
              <w:left w:val="nil"/>
              <w:bottom w:val="nil"/>
              <w:right w:val="nil"/>
            </w:tcBorders>
            <w:shd w:val="clear" w:color="000000" w:fill="FFFFFF"/>
            <w:noWrap/>
            <w:vAlign w:val="bottom"/>
            <w:hideMark/>
          </w:tcPr>
          <w:p w14:paraId="6D2550E4"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-0.048</w:t>
            </w:r>
          </w:p>
        </w:tc>
        <w:tc>
          <w:tcPr>
            <w:tcW w:w="873" w:type="pct"/>
            <w:gridSpan w:val="3"/>
            <w:tcBorders>
              <w:top w:val="nil"/>
              <w:left w:val="nil"/>
              <w:bottom w:val="nil"/>
              <w:right w:val="nil"/>
            </w:tcBorders>
            <w:shd w:val="clear" w:color="000000" w:fill="FFFFFF"/>
            <w:noWrap/>
            <w:vAlign w:val="bottom"/>
            <w:hideMark/>
          </w:tcPr>
          <w:p w14:paraId="4B9D3D34"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-0.036</w:t>
            </w:r>
          </w:p>
        </w:tc>
        <w:tc>
          <w:tcPr>
            <w:tcW w:w="760" w:type="pct"/>
            <w:gridSpan w:val="3"/>
            <w:tcBorders>
              <w:top w:val="nil"/>
              <w:left w:val="nil"/>
              <w:bottom w:val="nil"/>
              <w:right w:val="nil"/>
            </w:tcBorders>
            <w:shd w:val="clear" w:color="000000" w:fill="FFFFFF"/>
            <w:noWrap/>
            <w:vAlign w:val="bottom"/>
            <w:hideMark/>
          </w:tcPr>
          <w:p w14:paraId="6A41CFD3"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-0.030*</w:t>
            </w:r>
          </w:p>
        </w:tc>
      </w:tr>
      <w:tr w:rsidR="00E57A11" w:rsidRPr="00F62082" w14:paraId="6CAA83F6" w14:textId="77777777" w:rsidTr="006B635B">
        <w:trPr>
          <w:trHeight w:val="57"/>
        </w:trPr>
        <w:tc>
          <w:tcPr>
            <w:tcW w:w="1020" w:type="pct"/>
            <w:tcBorders>
              <w:top w:val="nil"/>
              <w:left w:val="nil"/>
              <w:bottom w:val="nil"/>
              <w:right w:val="nil"/>
            </w:tcBorders>
            <w:shd w:val="clear" w:color="000000" w:fill="FFFFFF"/>
            <w:noWrap/>
            <w:vAlign w:val="bottom"/>
            <w:hideMark/>
          </w:tcPr>
          <w:p w14:paraId="0D9AB8A4"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006" w:type="pct"/>
            <w:gridSpan w:val="3"/>
            <w:tcBorders>
              <w:top w:val="nil"/>
              <w:left w:val="nil"/>
              <w:bottom w:val="nil"/>
              <w:right w:val="nil"/>
            </w:tcBorders>
            <w:shd w:val="clear" w:color="000000" w:fill="FFFFFF"/>
            <w:noWrap/>
            <w:vAlign w:val="bottom"/>
            <w:hideMark/>
          </w:tcPr>
          <w:p w14:paraId="03AA1E02"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(-1.07)</w:t>
            </w:r>
          </w:p>
        </w:tc>
        <w:tc>
          <w:tcPr>
            <w:tcW w:w="1342" w:type="pct"/>
            <w:gridSpan w:val="3"/>
            <w:tcBorders>
              <w:top w:val="nil"/>
              <w:left w:val="nil"/>
              <w:bottom w:val="nil"/>
              <w:right w:val="nil"/>
            </w:tcBorders>
            <w:shd w:val="clear" w:color="000000" w:fill="FFFFFF"/>
            <w:noWrap/>
            <w:vAlign w:val="bottom"/>
            <w:hideMark/>
          </w:tcPr>
          <w:p w14:paraId="304DEF92"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(-1.63)</w:t>
            </w:r>
          </w:p>
        </w:tc>
        <w:tc>
          <w:tcPr>
            <w:tcW w:w="873" w:type="pct"/>
            <w:gridSpan w:val="3"/>
            <w:tcBorders>
              <w:top w:val="nil"/>
              <w:left w:val="nil"/>
              <w:bottom w:val="nil"/>
              <w:right w:val="nil"/>
            </w:tcBorders>
            <w:shd w:val="clear" w:color="000000" w:fill="FFFFFF"/>
            <w:noWrap/>
            <w:vAlign w:val="bottom"/>
            <w:hideMark/>
          </w:tcPr>
          <w:p w14:paraId="38EC7A66"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(-0.53)</w:t>
            </w:r>
          </w:p>
        </w:tc>
        <w:tc>
          <w:tcPr>
            <w:tcW w:w="760" w:type="pct"/>
            <w:gridSpan w:val="3"/>
            <w:tcBorders>
              <w:top w:val="nil"/>
              <w:left w:val="nil"/>
              <w:bottom w:val="nil"/>
              <w:right w:val="nil"/>
            </w:tcBorders>
            <w:shd w:val="clear" w:color="000000" w:fill="FFFFFF"/>
            <w:noWrap/>
            <w:vAlign w:val="bottom"/>
            <w:hideMark/>
          </w:tcPr>
          <w:p w14:paraId="63206408"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(-1.71)</w:t>
            </w:r>
          </w:p>
        </w:tc>
      </w:tr>
      <w:tr w:rsidR="00E57A11" w:rsidRPr="00F62082" w14:paraId="2665737F" w14:textId="77777777" w:rsidTr="006B635B">
        <w:trPr>
          <w:trHeight w:val="57"/>
        </w:trPr>
        <w:tc>
          <w:tcPr>
            <w:tcW w:w="1020" w:type="pct"/>
            <w:tcBorders>
              <w:top w:val="nil"/>
              <w:left w:val="nil"/>
              <w:bottom w:val="nil"/>
              <w:right w:val="nil"/>
            </w:tcBorders>
            <w:shd w:val="clear" w:color="000000" w:fill="FFFFFF"/>
            <w:noWrap/>
            <w:vAlign w:val="center"/>
            <w:hideMark/>
          </w:tcPr>
          <w:p w14:paraId="64955446"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CashComp</w:t>
            </w:r>
            <w:proofErr w:type="spellEnd"/>
          </w:p>
        </w:tc>
        <w:tc>
          <w:tcPr>
            <w:tcW w:w="1006" w:type="pct"/>
            <w:gridSpan w:val="3"/>
            <w:tcBorders>
              <w:top w:val="nil"/>
              <w:left w:val="nil"/>
              <w:bottom w:val="nil"/>
              <w:right w:val="nil"/>
            </w:tcBorders>
            <w:shd w:val="clear" w:color="000000" w:fill="FFFFFF"/>
            <w:noWrap/>
            <w:vAlign w:val="bottom"/>
            <w:hideMark/>
          </w:tcPr>
          <w:p w14:paraId="4FCEEE73"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-0.005</w:t>
            </w:r>
          </w:p>
        </w:tc>
        <w:tc>
          <w:tcPr>
            <w:tcW w:w="1342" w:type="pct"/>
            <w:gridSpan w:val="3"/>
            <w:tcBorders>
              <w:top w:val="nil"/>
              <w:left w:val="nil"/>
              <w:bottom w:val="nil"/>
              <w:right w:val="nil"/>
            </w:tcBorders>
            <w:shd w:val="clear" w:color="000000" w:fill="FFFFFF"/>
            <w:noWrap/>
            <w:vAlign w:val="bottom"/>
            <w:hideMark/>
          </w:tcPr>
          <w:p w14:paraId="509E96A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-0.019</w:t>
            </w:r>
          </w:p>
        </w:tc>
        <w:tc>
          <w:tcPr>
            <w:tcW w:w="873" w:type="pct"/>
            <w:gridSpan w:val="3"/>
            <w:tcBorders>
              <w:top w:val="nil"/>
              <w:left w:val="nil"/>
              <w:bottom w:val="nil"/>
              <w:right w:val="nil"/>
            </w:tcBorders>
            <w:shd w:val="clear" w:color="000000" w:fill="FFFFFF"/>
            <w:noWrap/>
            <w:vAlign w:val="bottom"/>
            <w:hideMark/>
          </w:tcPr>
          <w:p w14:paraId="6F058B0F"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0.006</w:t>
            </w:r>
          </w:p>
        </w:tc>
        <w:tc>
          <w:tcPr>
            <w:tcW w:w="760" w:type="pct"/>
            <w:gridSpan w:val="3"/>
            <w:tcBorders>
              <w:top w:val="nil"/>
              <w:left w:val="nil"/>
              <w:bottom w:val="nil"/>
              <w:right w:val="nil"/>
            </w:tcBorders>
            <w:shd w:val="clear" w:color="000000" w:fill="FFFFFF"/>
            <w:noWrap/>
            <w:vAlign w:val="bottom"/>
            <w:hideMark/>
          </w:tcPr>
          <w:p w14:paraId="42B49FDB"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0.026</w:t>
            </w:r>
          </w:p>
        </w:tc>
      </w:tr>
      <w:tr w:rsidR="00E57A11" w:rsidRPr="00F62082" w14:paraId="29F19A95" w14:textId="77777777" w:rsidTr="006B635B">
        <w:trPr>
          <w:trHeight w:val="57"/>
        </w:trPr>
        <w:tc>
          <w:tcPr>
            <w:tcW w:w="1020" w:type="pct"/>
            <w:tcBorders>
              <w:top w:val="nil"/>
              <w:left w:val="nil"/>
              <w:bottom w:val="nil"/>
              <w:right w:val="nil"/>
            </w:tcBorders>
            <w:shd w:val="clear" w:color="000000" w:fill="FFFFFF"/>
            <w:noWrap/>
            <w:vAlign w:val="bottom"/>
            <w:hideMark/>
          </w:tcPr>
          <w:p w14:paraId="1D0C87EF"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006" w:type="pct"/>
            <w:gridSpan w:val="3"/>
            <w:tcBorders>
              <w:top w:val="nil"/>
              <w:left w:val="nil"/>
              <w:bottom w:val="nil"/>
              <w:right w:val="nil"/>
            </w:tcBorders>
            <w:shd w:val="clear" w:color="000000" w:fill="FFFFFF"/>
            <w:noWrap/>
            <w:vAlign w:val="bottom"/>
            <w:hideMark/>
          </w:tcPr>
          <w:p w14:paraId="04C7A987"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(-0.46)</w:t>
            </w:r>
          </w:p>
        </w:tc>
        <w:tc>
          <w:tcPr>
            <w:tcW w:w="1342" w:type="pct"/>
            <w:gridSpan w:val="3"/>
            <w:tcBorders>
              <w:top w:val="nil"/>
              <w:left w:val="nil"/>
              <w:bottom w:val="nil"/>
              <w:right w:val="nil"/>
            </w:tcBorders>
            <w:shd w:val="clear" w:color="000000" w:fill="FFFFFF"/>
            <w:noWrap/>
            <w:vAlign w:val="bottom"/>
            <w:hideMark/>
          </w:tcPr>
          <w:p w14:paraId="7ABF616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(-0.27)</w:t>
            </w:r>
          </w:p>
        </w:tc>
        <w:tc>
          <w:tcPr>
            <w:tcW w:w="873" w:type="pct"/>
            <w:gridSpan w:val="3"/>
            <w:tcBorders>
              <w:top w:val="nil"/>
              <w:left w:val="nil"/>
              <w:bottom w:val="nil"/>
              <w:right w:val="nil"/>
            </w:tcBorders>
            <w:shd w:val="clear" w:color="000000" w:fill="FFFFFF"/>
            <w:noWrap/>
            <w:vAlign w:val="bottom"/>
            <w:hideMark/>
          </w:tcPr>
          <w:p w14:paraId="1B07AF1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(0.06)</w:t>
            </w:r>
          </w:p>
        </w:tc>
        <w:tc>
          <w:tcPr>
            <w:tcW w:w="760" w:type="pct"/>
            <w:gridSpan w:val="3"/>
            <w:tcBorders>
              <w:top w:val="nil"/>
              <w:left w:val="nil"/>
              <w:bottom w:val="nil"/>
              <w:right w:val="nil"/>
            </w:tcBorders>
            <w:shd w:val="clear" w:color="000000" w:fill="FFFFFF"/>
            <w:noWrap/>
            <w:vAlign w:val="bottom"/>
            <w:hideMark/>
          </w:tcPr>
          <w:p w14:paraId="10D3D727"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(0.89)</w:t>
            </w:r>
          </w:p>
        </w:tc>
      </w:tr>
      <w:tr w:rsidR="00E57A11" w:rsidRPr="00F62082" w14:paraId="4384453C" w14:textId="77777777" w:rsidTr="006B635B">
        <w:trPr>
          <w:trHeight w:val="57"/>
        </w:trPr>
        <w:tc>
          <w:tcPr>
            <w:tcW w:w="1020" w:type="pct"/>
            <w:tcBorders>
              <w:top w:val="nil"/>
              <w:left w:val="nil"/>
              <w:bottom w:val="nil"/>
              <w:right w:val="nil"/>
            </w:tcBorders>
            <w:shd w:val="clear" w:color="000000" w:fill="FFFFFF"/>
            <w:noWrap/>
            <w:hideMark/>
          </w:tcPr>
          <w:p w14:paraId="34C40E70"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Leverage</w:t>
            </w:r>
          </w:p>
        </w:tc>
        <w:tc>
          <w:tcPr>
            <w:tcW w:w="1006" w:type="pct"/>
            <w:gridSpan w:val="3"/>
            <w:tcBorders>
              <w:top w:val="nil"/>
              <w:left w:val="nil"/>
              <w:bottom w:val="nil"/>
              <w:right w:val="nil"/>
            </w:tcBorders>
            <w:shd w:val="clear" w:color="000000" w:fill="FFFFFF"/>
            <w:noWrap/>
            <w:vAlign w:val="bottom"/>
            <w:hideMark/>
          </w:tcPr>
          <w:p w14:paraId="606A9D07"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0.022</w:t>
            </w:r>
          </w:p>
        </w:tc>
        <w:tc>
          <w:tcPr>
            <w:tcW w:w="1342" w:type="pct"/>
            <w:gridSpan w:val="3"/>
            <w:tcBorders>
              <w:top w:val="nil"/>
              <w:left w:val="nil"/>
              <w:bottom w:val="nil"/>
              <w:right w:val="nil"/>
            </w:tcBorders>
            <w:shd w:val="clear" w:color="000000" w:fill="FFFFFF"/>
            <w:noWrap/>
            <w:vAlign w:val="bottom"/>
            <w:hideMark/>
          </w:tcPr>
          <w:p w14:paraId="7516F42D"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0.366</w:t>
            </w:r>
          </w:p>
        </w:tc>
        <w:tc>
          <w:tcPr>
            <w:tcW w:w="873" w:type="pct"/>
            <w:gridSpan w:val="3"/>
            <w:tcBorders>
              <w:top w:val="nil"/>
              <w:left w:val="nil"/>
              <w:bottom w:val="nil"/>
              <w:right w:val="nil"/>
            </w:tcBorders>
            <w:shd w:val="clear" w:color="000000" w:fill="FFFFFF"/>
            <w:noWrap/>
            <w:vAlign w:val="bottom"/>
            <w:hideMark/>
          </w:tcPr>
          <w:p w14:paraId="0CA24C00"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0.004</w:t>
            </w:r>
          </w:p>
        </w:tc>
        <w:tc>
          <w:tcPr>
            <w:tcW w:w="760" w:type="pct"/>
            <w:gridSpan w:val="3"/>
            <w:tcBorders>
              <w:top w:val="nil"/>
              <w:left w:val="nil"/>
              <w:bottom w:val="nil"/>
              <w:right w:val="nil"/>
            </w:tcBorders>
            <w:shd w:val="clear" w:color="000000" w:fill="FFFFFF"/>
            <w:noWrap/>
            <w:vAlign w:val="bottom"/>
            <w:hideMark/>
          </w:tcPr>
          <w:p w14:paraId="494A53F9"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0.002</w:t>
            </w:r>
          </w:p>
        </w:tc>
      </w:tr>
      <w:tr w:rsidR="00E57A11" w:rsidRPr="00F62082" w14:paraId="2A3BDFCD" w14:textId="77777777" w:rsidTr="006B635B">
        <w:trPr>
          <w:trHeight w:val="57"/>
        </w:trPr>
        <w:tc>
          <w:tcPr>
            <w:tcW w:w="1020" w:type="pct"/>
            <w:tcBorders>
              <w:top w:val="nil"/>
              <w:left w:val="nil"/>
              <w:bottom w:val="nil"/>
              <w:right w:val="nil"/>
            </w:tcBorders>
            <w:shd w:val="clear" w:color="000000" w:fill="FFFFFF"/>
            <w:noWrap/>
            <w:vAlign w:val="bottom"/>
            <w:hideMark/>
          </w:tcPr>
          <w:p w14:paraId="4460D71A"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006" w:type="pct"/>
            <w:gridSpan w:val="3"/>
            <w:tcBorders>
              <w:top w:val="nil"/>
              <w:left w:val="nil"/>
              <w:bottom w:val="nil"/>
              <w:right w:val="nil"/>
            </w:tcBorders>
            <w:shd w:val="clear" w:color="000000" w:fill="FFFFFF"/>
            <w:noWrap/>
            <w:vAlign w:val="bottom"/>
            <w:hideMark/>
          </w:tcPr>
          <w:p w14:paraId="5228E526"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(0.84)</w:t>
            </w:r>
          </w:p>
        </w:tc>
        <w:tc>
          <w:tcPr>
            <w:tcW w:w="1342" w:type="pct"/>
            <w:gridSpan w:val="3"/>
            <w:tcBorders>
              <w:top w:val="nil"/>
              <w:left w:val="nil"/>
              <w:bottom w:val="nil"/>
              <w:right w:val="nil"/>
            </w:tcBorders>
            <w:shd w:val="clear" w:color="000000" w:fill="FFFFFF"/>
            <w:noWrap/>
            <w:vAlign w:val="bottom"/>
            <w:hideMark/>
          </w:tcPr>
          <w:p w14:paraId="05EBC17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(1.33)</w:t>
            </w:r>
          </w:p>
        </w:tc>
        <w:tc>
          <w:tcPr>
            <w:tcW w:w="873" w:type="pct"/>
            <w:gridSpan w:val="3"/>
            <w:tcBorders>
              <w:top w:val="nil"/>
              <w:left w:val="nil"/>
              <w:bottom w:val="nil"/>
              <w:right w:val="nil"/>
            </w:tcBorders>
            <w:shd w:val="clear" w:color="000000" w:fill="FFFFFF"/>
            <w:noWrap/>
            <w:vAlign w:val="bottom"/>
            <w:hideMark/>
          </w:tcPr>
          <w:p w14:paraId="4068CF56"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(0.01)</w:t>
            </w:r>
          </w:p>
        </w:tc>
        <w:tc>
          <w:tcPr>
            <w:tcW w:w="760" w:type="pct"/>
            <w:gridSpan w:val="3"/>
            <w:tcBorders>
              <w:top w:val="nil"/>
              <w:left w:val="nil"/>
              <w:bottom w:val="nil"/>
              <w:right w:val="nil"/>
            </w:tcBorders>
            <w:shd w:val="clear" w:color="000000" w:fill="FFFFFF"/>
            <w:noWrap/>
            <w:vAlign w:val="bottom"/>
            <w:hideMark/>
          </w:tcPr>
          <w:p w14:paraId="0FE6F46E"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(0.02)</w:t>
            </w:r>
          </w:p>
        </w:tc>
      </w:tr>
      <w:tr w:rsidR="00E57A11" w:rsidRPr="00F62082" w14:paraId="550587AB" w14:textId="77777777" w:rsidTr="006B635B">
        <w:trPr>
          <w:trHeight w:val="57"/>
        </w:trPr>
        <w:tc>
          <w:tcPr>
            <w:tcW w:w="1020" w:type="pct"/>
            <w:tcBorders>
              <w:top w:val="nil"/>
              <w:left w:val="nil"/>
              <w:bottom w:val="nil"/>
              <w:right w:val="nil"/>
            </w:tcBorders>
            <w:shd w:val="clear" w:color="000000" w:fill="FFFFFF"/>
            <w:noWrap/>
            <w:hideMark/>
          </w:tcPr>
          <w:p w14:paraId="56058C05"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CashFlow</w:t>
            </w:r>
            <w:proofErr w:type="spellEnd"/>
          </w:p>
        </w:tc>
        <w:tc>
          <w:tcPr>
            <w:tcW w:w="1006" w:type="pct"/>
            <w:gridSpan w:val="3"/>
            <w:tcBorders>
              <w:top w:val="nil"/>
              <w:left w:val="nil"/>
              <w:bottom w:val="nil"/>
              <w:right w:val="nil"/>
            </w:tcBorders>
            <w:shd w:val="clear" w:color="000000" w:fill="FFFFFF"/>
            <w:noWrap/>
            <w:vAlign w:val="bottom"/>
            <w:hideMark/>
          </w:tcPr>
          <w:p w14:paraId="2DD97FC6"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-0.014</w:t>
            </w:r>
          </w:p>
        </w:tc>
        <w:tc>
          <w:tcPr>
            <w:tcW w:w="1342" w:type="pct"/>
            <w:gridSpan w:val="3"/>
            <w:tcBorders>
              <w:top w:val="nil"/>
              <w:left w:val="nil"/>
              <w:bottom w:val="nil"/>
              <w:right w:val="nil"/>
            </w:tcBorders>
            <w:shd w:val="clear" w:color="000000" w:fill="FFFFFF"/>
            <w:noWrap/>
            <w:vAlign w:val="bottom"/>
            <w:hideMark/>
          </w:tcPr>
          <w:p w14:paraId="0C078E3F"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-0.136</w:t>
            </w:r>
          </w:p>
        </w:tc>
        <w:tc>
          <w:tcPr>
            <w:tcW w:w="873" w:type="pct"/>
            <w:gridSpan w:val="3"/>
            <w:tcBorders>
              <w:top w:val="nil"/>
              <w:left w:val="nil"/>
              <w:bottom w:val="nil"/>
              <w:right w:val="nil"/>
            </w:tcBorders>
            <w:shd w:val="clear" w:color="000000" w:fill="FFFFFF"/>
            <w:noWrap/>
            <w:vAlign w:val="bottom"/>
            <w:hideMark/>
          </w:tcPr>
          <w:p w14:paraId="18E8CD06"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-0.202</w:t>
            </w:r>
          </w:p>
        </w:tc>
        <w:tc>
          <w:tcPr>
            <w:tcW w:w="760" w:type="pct"/>
            <w:gridSpan w:val="3"/>
            <w:tcBorders>
              <w:top w:val="nil"/>
              <w:left w:val="nil"/>
              <w:bottom w:val="nil"/>
              <w:right w:val="nil"/>
            </w:tcBorders>
            <w:shd w:val="clear" w:color="000000" w:fill="FFFFFF"/>
            <w:noWrap/>
            <w:vAlign w:val="bottom"/>
            <w:hideMark/>
          </w:tcPr>
          <w:p w14:paraId="360E134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-0.013</w:t>
            </w:r>
          </w:p>
        </w:tc>
      </w:tr>
      <w:tr w:rsidR="00E57A11" w:rsidRPr="00F62082" w14:paraId="3556F493" w14:textId="77777777" w:rsidTr="006B635B">
        <w:trPr>
          <w:trHeight w:val="57"/>
        </w:trPr>
        <w:tc>
          <w:tcPr>
            <w:tcW w:w="1020" w:type="pct"/>
            <w:tcBorders>
              <w:top w:val="nil"/>
              <w:left w:val="nil"/>
              <w:bottom w:val="nil"/>
              <w:right w:val="nil"/>
            </w:tcBorders>
            <w:shd w:val="clear" w:color="000000" w:fill="FFFFFF"/>
            <w:noWrap/>
            <w:vAlign w:val="bottom"/>
            <w:hideMark/>
          </w:tcPr>
          <w:p w14:paraId="503289E8"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006" w:type="pct"/>
            <w:gridSpan w:val="3"/>
            <w:tcBorders>
              <w:top w:val="nil"/>
              <w:left w:val="nil"/>
              <w:bottom w:val="nil"/>
              <w:right w:val="nil"/>
            </w:tcBorders>
            <w:shd w:val="clear" w:color="000000" w:fill="FFFFFF"/>
            <w:noWrap/>
            <w:vAlign w:val="bottom"/>
            <w:hideMark/>
          </w:tcPr>
          <w:p w14:paraId="3DE15A8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(-0.64)</w:t>
            </w:r>
          </w:p>
        </w:tc>
        <w:tc>
          <w:tcPr>
            <w:tcW w:w="1342" w:type="pct"/>
            <w:gridSpan w:val="3"/>
            <w:tcBorders>
              <w:top w:val="nil"/>
              <w:left w:val="nil"/>
              <w:bottom w:val="nil"/>
              <w:right w:val="nil"/>
            </w:tcBorders>
            <w:shd w:val="clear" w:color="000000" w:fill="FFFFFF"/>
            <w:noWrap/>
            <w:vAlign w:val="bottom"/>
            <w:hideMark/>
          </w:tcPr>
          <w:p w14:paraId="0959DCCF"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(-0.38)</w:t>
            </w:r>
          </w:p>
        </w:tc>
        <w:tc>
          <w:tcPr>
            <w:tcW w:w="873" w:type="pct"/>
            <w:gridSpan w:val="3"/>
            <w:tcBorders>
              <w:top w:val="nil"/>
              <w:left w:val="nil"/>
              <w:bottom w:val="nil"/>
              <w:right w:val="nil"/>
            </w:tcBorders>
            <w:shd w:val="clear" w:color="000000" w:fill="FFFFFF"/>
            <w:noWrap/>
            <w:vAlign w:val="bottom"/>
            <w:hideMark/>
          </w:tcPr>
          <w:p w14:paraId="5778B1C9"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(-0.65)</w:t>
            </w:r>
          </w:p>
        </w:tc>
        <w:tc>
          <w:tcPr>
            <w:tcW w:w="760" w:type="pct"/>
            <w:gridSpan w:val="3"/>
            <w:tcBorders>
              <w:top w:val="nil"/>
              <w:left w:val="nil"/>
              <w:bottom w:val="nil"/>
              <w:right w:val="nil"/>
            </w:tcBorders>
            <w:shd w:val="clear" w:color="000000" w:fill="FFFFFF"/>
            <w:noWrap/>
            <w:vAlign w:val="bottom"/>
            <w:hideMark/>
          </w:tcPr>
          <w:p w14:paraId="4C495BE3"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(-0.10)</w:t>
            </w:r>
          </w:p>
        </w:tc>
      </w:tr>
      <w:tr w:rsidR="00E57A11" w:rsidRPr="00F62082" w14:paraId="168263D9" w14:textId="77777777" w:rsidTr="006B635B">
        <w:trPr>
          <w:trHeight w:val="57"/>
        </w:trPr>
        <w:tc>
          <w:tcPr>
            <w:tcW w:w="1020" w:type="pct"/>
            <w:tcBorders>
              <w:top w:val="nil"/>
              <w:left w:val="nil"/>
              <w:bottom w:val="nil"/>
              <w:right w:val="nil"/>
            </w:tcBorders>
            <w:shd w:val="clear" w:color="000000" w:fill="FFFFFF"/>
            <w:noWrap/>
            <w:hideMark/>
          </w:tcPr>
          <w:p w14:paraId="63F16E76"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DividendPayout</w:t>
            </w:r>
            <w:proofErr w:type="spellEnd"/>
          </w:p>
        </w:tc>
        <w:tc>
          <w:tcPr>
            <w:tcW w:w="1006" w:type="pct"/>
            <w:gridSpan w:val="3"/>
            <w:tcBorders>
              <w:top w:val="nil"/>
              <w:left w:val="nil"/>
              <w:bottom w:val="nil"/>
              <w:right w:val="nil"/>
            </w:tcBorders>
            <w:shd w:val="clear" w:color="000000" w:fill="FFFFFF"/>
            <w:noWrap/>
            <w:vAlign w:val="bottom"/>
            <w:hideMark/>
          </w:tcPr>
          <w:p w14:paraId="40279483"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0.022</w:t>
            </w:r>
          </w:p>
        </w:tc>
        <w:tc>
          <w:tcPr>
            <w:tcW w:w="1342" w:type="pct"/>
            <w:gridSpan w:val="3"/>
            <w:tcBorders>
              <w:top w:val="nil"/>
              <w:left w:val="nil"/>
              <w:bottom w:val="nil"/>
              <w:right w:val="nil"/>
            </w:tcBorders>
            <w:shd w:val="clear" w:color="000000" w:fill="FFFFFF"/>
            <w:noWrap/>
            <w:vAlign w:val="bottom"/>
            <w:hideMark/>
          </w:tcPr>
          <w:p w14:paraId="497931CB"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-0.843</w:t>
            </w:r>
          </w:p>
        </w:tc>
        <w:tc>
          <w:tcPr>
            <w:tcW w:w="873" w:type="pct"/>
            <w:gridSpan w:val="3"/>
            <w:tcBorders>
              <w:top w:val="nil"/>
              <w:left w:val="nil"/>
              <w:bottom w:val="nil"/>
              <w:right w:val="nil"/>
            </w:tcBorders>
            <w:shd w:val="clear" w:color="000000" w:fill="FFFFFF"/>
            <w:noWrap/>
            <w:vAlign w:val="bottom"/>
            <w:hideMark/>
          </w:tcPr>
          <w:p w14:paraId="4978082B"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2.402</w:t>
            </w:r>
          </w:p>
        </w:tc>
        <w:tc>
          <w:tcPr>
            <w:tcW w:w="760" w:type="pct"/>
            <w:gridSpan w:val="3"/>
            <w:tcBorders>
              <w:top w:val="nil"/>
              <w:left w:val="nil"/>
              <w:bottom w:val="nil"/>
              <w:right w:val="nil"/>
            </w:tcBorders>
            <w:shd w:val="clear" w:color="000000" w:fill="FFFFFF"/>
            <w:noWrap/>
            <w:vAlign w:val="bottom"/>
            <w:hideMark/>
          </w:tcPr>
          <w:p w14:paraId="1CDE4825"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0.583</w:t>
            </w:r>
          </w:p>
        </w:tc>
      </w:tr>
      <w:tr w:rsidR="00E57A11" w:rsidRPr="00F62082" w14:paraId="463B88A0" w14:textId="77777777" w:rsidTr="006B635B">
        <w:trPr>
          <w:trHeight w:val="57"/>
        </w:trPr>
        <w:tc>
          <w:tcPr>
            <w:tcW w:w="1020" w:type="pct"/>
            <w:tcBorders>
              <w:top w:val="nil"/>
              <w:left w:val="nil"/>
              <w:bottom w:val="nil"/>
              <w:right w:val="nil"/>
            </w:tcBorders>
            <w:shd w:val="clear" w:color="000000" w:fill="FFFFFF"/>
            <w:noWrap/>
            <w:vAlign w:val="bottom"/>
            <w:hideMark/>
          </w:tcPr>
          <w:p w14:paraId="233D3C59"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006" w:type="pct"/>
            <w:gridSpan w:val="3"/>
            <w:tcBorders>
              <w:top w:val="nil"/>
              <w:left w:val="nil"/>
              <w:bottom w:val="nil"/>
              <w:right w:val="nil"/>
            </w:tcBorders>
            <w:shd w:val="clear" w:color="000000" w:fill="FFFFFF"/>
            <w:noWrap/>
            <w:vAlign w:val="bottom"/>
            <w:hideMark/>
          </w:tcPr>
          <w:p w14:paraId="7F40E4DD"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(0.09)</w:t>
            </w:r>
          </w:p>
        </w:tc>
        <w:tc>
          <w:tcPr>
            <w:tcW w:w="1342" w:type="pct"/>
            <w:gridSpan w:val="3"/>
            <w:tcBorders>
              <w:top w:val="nil"/>
              <w:left w:val="nil"/>
              <w:bottom w:val="nil"/>
              <w:right w:val="nil"/>
            </w:tcBorders>
            <w:shd w:val="clear" w:color="000000" w:fill="FFFFFF"/>
            <w:noWrap/>
            <w:vAlign w:val="bottom"/>
            <w:hideMark/>
          </w:tcPr>
          <w:p w14:paraId="7798FDE0"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(-0.47)</w:t>
            </w:r>
          </w:p>
        </w:tc>
        <w:tc>
          <w:tcPr>
            <w:tcW w:w="873" w:type="pct"/>
            <w:gridSpan w:val="3"/>
            <w:tcBorders>
              <w:top w:val="nil"/>
              <w:left w:val="nil"/>
              <w:bottom w:val="nil"/>
              <w:right w:val="nil"/>
            </w:tcBorders>
            <w:shd w:val="clear" w:color="000000" w:fill="FFFFFF"/>
            <w:noWrap/>
            <w:vAlign w:val="bottom"/>
            <w:hideMark/>
          </w:tcPr>
          <w:p w14:paraId="43506380"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(0.88)</w:t>
            </w:r>
          </w:p>
        </w:tc>
        <w:tc>
          <w:tcPr>
            <w:tcW w:w="760" w:type="pct"/>
            <w:gridSpan w:val="3"/>
            <w:tcBorders>
              <w:top w:val="nil"/>
              <w:left w:val="nil"/>
              <w:bottom w:val="nil"/>
              <w:right w:val="nil"/>
            </w:tcBorders>
            <w:shd w:val="clear" w:color="000000" w:fill="FFFFFF"/>
            <w:noWrap/>
            <w:vAlign w:val="bottom"/>
            <w:hideMark/>
          </w:tcPr>
          <w:p w14:paraId="7E05F957"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(0.74)</w:t>
            </w:r>
          </w:p>
        </w:tc>
      </w:tr>
      <w:tr w:rsidR="00E57A11" w:rsidRPr="00F62082" w14:paraId="35825EC0" w14:textId="77777777" w:rsidTr="006B635B">
        <w:trPr>
          <w:trHeight w:val="57"/>
        </w:trPr>
        <w:tc>
          <w:tcPr>
            <w:tcW w:w="1020" w:type="pct"/>
            <w:tcBorders>
              <w:top w:val="nil"/>
              <w:left w:val="nil"/>
              <w:bottom w:val="nil"/>
              <w:right w:val="nil"/>
            </w:tcBorders>
            <w:shd w:val="clear" w:color="000000" w:fill="FFFFFF"/>
            <w:noWrap/>
            <w:hideMark/>
          </w:tcPr>
          <w:p w14:paraId="74F52C14"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FirmSize</w:t>
            </w:r>
            <w:proofErr w:type="spellEnd"/>
          </w:p>
        </w:tc>
        <w:tc>
          <w:tcPr>
            <w:tcW w:w="1006" w:type="pct"/>
            <w:gridSpan w:val="3"/>
            <w:tcBorders>
              <w:top w:val="nil"/>
              <w:left w:val="nil"/>
              <w:bottom w:val="nil"/>
              <w:right w:val="nil"/>
            </w:tcBorders>
            <w:shd w:val="clear" w:color="000000" w:fill="FFFFFF"/>
            <w:noWrap/>
            <w:vAlign w:val="bottom"/>
            <w:hideMark/>
          </w:tcPr>
          <w:p w14:paraId="7CA8DFD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0.020**</w:t>
            </w:r>
          </w:p>
        </w:tc>
        <w:tc>
          <w:tcPr>
            <w:tcW w:w="1342" w:type="pct"/>
            <w:gridSpan w:val="3"/>
            <w:tcBorders>
              <w:top w:val="nil"/>
              <w:left w:val="nil"/>
              <w:bottom w:val="nil"/>
              <w:right w:val="nil"/>
            </w:tcBorders>
            <w:shd w:val="clear" w:color="000000" w:fill="FFFFFF"/>
            <w:noWrap/>
            <w:vAlign w:val="bottom"/>
            <w:hideMark/>
          </w:tcPr>
          <w:p w14:paraId="759F4C22"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0.117</w:t>
            </w:r>
          </w:p>
        </w:tc>
        <w:tc>
          <w:tcPr>
            <w:tcW w:w="873" w:type="pct"/>
            <w:gridSpan w:val="3"/>
            <w:tcBorders>
              <w:top w:val="nil"/>
              <w:left w:val="nil"/>
              <w:bottom w:val="nil"/>
              <w:right w:val="nil"/>
            </w:tcBorders>
            <w:shd w:val="clear" w:color="000000" w:fill="FFFFFF"/>
            <w:noWrap/>
            <w:vAlign w:val="bottom"/>
            <w:hideMark/>
          </w:tcPr>
          <w:p w14:paraId="7B38B440"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0.150</w:t>
            </w:r>
          </w:p>
        </w:tc>
        <w:tc>
          <w:tcPr>
            <w:tcW w:w="760" w:type="pct"/>
            <w:gridSpan w:val="3"/>
            <w:tcBorders>
              <w:top w:val="nil"/>
              <w:left w:val="nil"/>
              <w:bottom w:val="nil"/>
              <w:right w:val="nil"/>
            </w:tcBorders>
            <w:shd w:val="clear" w:color="000000" w:fill="FFFFFF"/>
            <w:noWrap/>
            <w:vAlign w:val="bottom"/>
            <w:hideMark/>
          </w:tcPr>
          <w:p w14:paraId="4967FDDA"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0.034</w:t>
            </w:r>
          </w:p>
        </w:tc>
      </w:tr>
      <w:tr w:rsidR="00E57A11" w:rsidRPr="00F62082" w14:paraId="211AF79E" w14:textId="77777777" w:rsidTr="006B635B">
        <w:trPr>
          <w:trHeight w:val="57"/>
        </w:trPr>
        <w:tc>
          <w:tcPr>
            <w:tcW w:w="1020" w:type="pct"/>
            <w:tcBorders>
              <w:top w:val="nil"/>
              <w:left w:val="nil"/>
              <w:bottom w:val="nil"/>
              <w:right w:val="nil"/>
            </w:tcBorders>
            <w:shd w:val="clear" w:color="000000" w:fill="FFFFFF"/>
            <w:noWrap/>
            <w:vAlign w:val="bottom"/>
            <w:hideMark/>
          </w:tcPr>
          <w:p w14:paraId="6579BB52"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006" w:type="pct"/>
            <w:gridSpan w:val="3"/>
            <w:tcBorders>
              <w:top w:val="nil"/>
              <w:left w:val="nil"/>
              <w:bottom w:val="nil"/>
              <w:right w:val="nil"/>
            </w:tcBorders>
            <w:shd w:val="clear" w:color="000000" w:fill="FFFFFF"/>
            <w:noWrap/>
            <w:vAlign w:val="bottom"/>
            <w:hideMark/>
          </w:tcPr>
          <w:p w14:paraId="0A143540"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(2.04)</w:t>
            </w:r>
          </w:p>
        </w:tc>
        <w:tc>
          <w:tcPr>
            <w:tcW w:w="1342" w:type="pct"/>
            <w:gridSpan w:val="3"/>
            <w:tcBorders>
              <w:top w:val="nil"/>
              <w:left w:val="nil"/>
              <w:bottom w:val="nil"/>
              <w:right w:val="nil"/>
            </w:tcBorders>
            <w:shd w:val="clear" w:color="000000" w:fill="FFFFFF"/>
            <w:noWrap/>
            <w:vAlign w:val="bottom"/>
            <w:hideMark/>
          </w:tcPr>
          <w:p w14:paraId="444B8069"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(1.53)</w:t>
            </w:r>
          </w:p>
        </w:tc>
        <w:tc>
          <w:tcPr>
            <w:tcW w:w="873" w:type="pct"/>
            <w:gridSpan w:val="3"/>
            <w:tcBorders>
              <w:top w:val="nil"/>
              <w:left w:val="nil"/>
              <w:bottom w:val="nil"/>
              <w:right w:val="nil"/>
            </w:tcBorders>
            <w:shd w:val="clear" w:color="000000" w:fill="FFFFFF"/>
            <w:noWrap/>
            <w:vAlign w:val="bottom"/>
            <w:hideMark/>
          </w:tcPr>
          <w:p w14:paraId="1F8A23C6"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(1.48)</w:t>
            </w:r>
          </w:p>
        </w:tc>
        <w:tc>
          <w:tcPr>
            <w:tcW w:w="760" w:type="pct"/>
            <w:gridSpan w:val="3"/>
            <w:tcBorders>
              <w:top w:val="nil"/>
              <w:left w:val="nil"/>
              <w:bottom w:val="nil"/>
              <w:right w:val="nil"/>
            </w:tcBorders>
            <w:shd w:val="clear" w:color="000000" w:fill="FFFFFF"/>
            <w:noWrap/>
            <w:vAlign w:val="bottom"/>
            <w:hideMark/>
          </w:tcPr>
          <w:p w14:paraId="118B1E6D"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(1.11)</w:t>
            </w:r>
          </w:p>
        </w:tc>
      </w:tr>
      <w:tr w:rsidR="00E57A11" w:rsidRPr="00F62082" w14:paraId="71D34294" w14:textId="77777777" w:rsidTr="006B635B">
        <w:trPr>
          <w:trHeight w:val="57"/>
        </w:trPr>
        <w:tc>
          <w:tcPr>
            <w:tcW w:w="1020" w:type="pct"/>
            <w:tcBorders>
              <w:top w:val="nil"/>
              <w:left w:val="nil"/>
              <w:bottom w:val="nil"/>
              <w:right w:val="nil"/>
            </w:tcBorders>
            <w:shd w:val="clear" w:color="000000" w:fill="FFFFFF"/>
            <w:noWrap/>
            <w:hideMark/>
          </w:tcPr>
          <w:p w14:paraId="229A2ED5"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Employees</w:t>
            </w:r>
          </w:p>
        </w:tc>
        <w:tc>
          <w:tcPr>
            <w:tcW w:w="1006" w:type="pct"/>
            <w:gridSpan w:val="3"/>
            <w:tcBorders>
              <w:top w:val="nil"/>
              <w:left w:val="nil"/>
              <w:bottom w:val="nil"/>
              <w:right w:val="nil"/>
            </w:tcBorders>
            <w:shd w:val="clear" w:color="000000" w:fill="FFFFFF"/>
            <w:noWrap/>
            <w:vAlign w:val="bottom"/>
            <w:hideMark/>
          </w:tcPr>
          <w:p w14:paraId="10037155"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0.015</w:t>
            </w:r>
          </w:p>
        </w:tc>
        <w:tc>
          <w:tcPr>
            <w:tcW w:w="1342" w:type="pct"/>
            <w:gridSpan w:val="3"/>
            <w:tcBorders>
              <w:top w:val="nil"/>
              <w:left w:val="nil"/>
              <w:bottom w:val="nil"/>
              <w:right w:val="nil"/>
            </w:tcBorders>
            <w:shd w:val="clear" w:color="000000" w:fill="FFFFFF"/>
            <w:noWrap/>
            <w:vAlign w:val="bottom"/>
            <w:hideMark/>
          </w:tcPr>
          <w:p w14:paraId="6F1F7616"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0.252**</w:t>
            </w:r>
          </w:p>
        </w:tc>
        <w:tc>
          <w:tcPr>
            <w:tcW w:w="873" w:type="pct"/>
            <w:gridSpan w:val="3"/>
            <w:tcBorders>
              <w:top w:val="nil"/>
              <w:left w:val="nil"/>
              <w:bottom w:val="nil"/>
              <w:right w:val="nil"/>
            </w:tcBorders>
            <w:shd w:val="clear" w:color="000000" w:fill="FFFFFF"/>
            <w:noWrap/>
            <w:vAlign w:val="bottom"/>
            <w:hideMark/>
          </w:tcPr>
          <w:p w14:paraId="25020A47"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0.056</w:t>
            </w:r>
          </w:p>
        </w:tc>
        <w:tc>
          <w:tcPr>
            <w:tcW w:w="760" w:type="pct"/>
            <w:gridSpan w:val="3"/>
            <w:tcBorders>
              <w:top w:val="nil"/>
              <w:left w:val="nil"/>
              <w:bottom w:val="nil"/>
              <w:right w:val="nil"/>
            </w:tcBorders>
            <w:shd w:val="clear" w:color="000000" w:fill="FFFFFF"/>
            <w:noWrap/>
            <w:vAlign w:val="bottom"/>
            <w:hideMark/>
          </w:tcPr>
          <w:p w14:paraId="5A51090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0.021</w:t>
            </w:r>
          </w:p>
        </w:tc>
      </w:tr>
      <w:tr w:rsidR="00E57A11" w:rsidRPr="00F62082" w14:paraId="087D9C4A" w14:textId="77777777" w:rsidTr="006B635B">
        <w:trPr>
          <w:trHeight w:val="57"/>
        </w:trPr>
        <w:tc>
          <w:tcPr>
            <w:tcW w:w="1020" w:type="pct"/>
            <w:tcBorders>
              <w:top w:val="nil"/>
              <w:left w:val="nil"/>
              <w:bottom w:val="nil"/>
              <w:right w:val="nil"/>
            </w:tcBorders>
            <w:shd w:val="clear" w:color="000000" w:fill="FFFFFF"/>
            <w:noWrap/>
            <w:vAlign w:val="bottom"/>
            <w:hideMark/>
          </w:tcPr>
          <w:p w14:paraId="50AE1217"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006" w:type="pct"/>
            <w:gridSpan w:val="3"/>
            <w:tcBorders>
              <w:top w:val="nil"/>
              <w:left w:val="nil"/>
              <w:bottom w:val="nil"/>
              <w:right w:val="nil"/>
            </w:tcBorders>
            <w:shd w:val="clear" w:color="000000" w:fill="FFFFFF"/>
            <w:noWrap/>
            <w:vAlign w:val="bottom"/>
            <w:hideMark/>
          </w:tcPr>
          <w:p w14:paraId="40F8CC9B"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(1.19)</w:t>
            </w:r>
          </w:p>
        </w:tc>
        <w:tc>
          <w:tcPr>
            <w:tcW w:w="1342" w:type="pct"/>
            <w:gridSpan w:val="3"/>
            <w:tcBorders>
              <w:top w:val="nil"/>
              <w:left w:val="nil"/>
              <w:bottom w:val="nil"/>
              <w:right w:val="nil"/>
            </w:tcBorders>
            <w:shd w:val="clear" w:color="000000" w:fill="FFFFFF"/>
            <w:noWrap/>
            <w:vAlign w:val="bottom"/>
            <w:hideMark/>
          </w:tcPr>
          <w:p w14:paraId="23CE1E64"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(2.54)</w:t>
            </w:r>
          </w:p>
        </w:tc>
        <w:tc>
          <w:tcPr>
            <w:tcW w:w="873" w:type="pct"/>
            <w:gridSpan w:val="3"/>
            <w:tcBorders>
              <w:top w:val="nil"/>
              <w:left w:val="nil"/>
              <w:bottom w:val="nil"/>
              <w:right w:val="nil"/>
            </w:tcBorders>
            <w:shd w:val="clear" w:color="000000" w:fill="FFFFFF"/>
            <w:noWrap/>
            <w:vAlign w:val="bottom"/>
            <w:hideMark/>
          </w:tcPr>
          <w:p w14:paraId="3570B22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(0.48)</w:t>
            </w:r>
          </w:p>
        </w:tc>
        <w:tc>
          <w:tcPr>
            <w:tcW w:w="760" w:type="pct"/>
            <w:gridSpan w:val="3"/>
            <w:tcBorders>
              <w:top w:val="nil"/>
              <w:left w:val="nil"/>
              <w:bottom w:val="nil"/>
              <w:right w:val="nil"/>
            </w:tcBorders>
            <w:shd w:val="clear" w:color="000000" w:fill="FFFFFF"/>
            <w:noWrap/>
            <w:vAlign w:val="bottom"/>
            <w:hideMark/>
          </w:tcPr>
          <w:p w14:paraId="3F6E609F"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(0.62)</w:t>
            </w:r>
          </w:p>
        </w:tc>
      </w:tr>
      <w:tr w:rsidR="00E57A11" w:rsidRPr="00F62082" w14:paraId="08081A90" w14:textId="77777777" w:rsidTr="006B635B">
        <w:trPr>
          <w:trHeight w:val="57"/>
        </w:trPr>
        <w:tc>
          <w:tcPr>
            <w:tcW w:w="1020" w:type="pct"/>
            <w:tcBorders>
              <w:top w:val="nil"/>
              <w:left w:val="nil"/>
              <w:bottom w:val="nil"/>
              <w:right w:val="nil"/>
            </w:tcBorders>
            <w:shd w:val="clear" w:color="000000" w:fill="FFFFFF"/>
            <w:noWrap/>
            <w:hideMark/>
          </w:tcPr>
          <w:p w14:paraId="55E18545"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AssetTurnover</w:t>
            </w:r>
            <w:proofErr w:type="spellEnd"/>
          </w:p>
        </w:tc>
        <w:tc>
          <w:tcPr>
            <w:tcW w:w="1006" w:type="pct"/>
            <w:gridSpan w:val="3"/>
            <w:tcBorders>
              <w:top w:val="nil"/>
              <w:left w:val="nil"/>
              <w:bottom w:val="nil"/>
              <w:right w:val="nil"/>
            </w:tcBorders>
            <w:shd w:val="clear" w:color="000000" w:fill="FFFFFF"/>
            <w:noWrap/>
            <w:vAlign w:val="bottom"/>
            <w:hideMark/>
          </w:tcPr>
          <w:p w14:paraId="47C27F5C"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0.003</w:t>
            </w:r>
          </w:p>
        </w:tc>
        <w:tc>
          <w:tcPr>
            <w:tcW w:w="1342" w:type="pct"/>
            <w:gridSpan w:val="3"/>
            <w:tcBorders>
              <w:top w:val="nil"/>
              <w:left w:val="nil"/>
              <w:bottom w:val="nil"/>
              <w:right w:val="nil"/>
            </w:tcBorders>
            <w:shd w:val="clear" w:color="000000" w:fill="FFFFFF"/>
            <w:noWrap/>
            <w:vAlign w:val="bottom"/>
            <w:hideMark/>
          </w:tcPr>
          <w:p w14:paraId="0B9CB75B"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0.050</w:t>
            </w:r>
          </w:p>
        </w:tc>
        <w:tc>
          <w:tcPr>
            <w:tcW w:w="873" w:type="pct"/>
            <w:gridSpan w:val="3"/>
            <w:tcBorders>
              <w:top w:val="nil"/>
              <w:left w:val="nil"/>
              <w:bottom w:val="nil"/>
              <w:right w:val="nil"/>
            </w:tcBorders>
            <w:shd w:val="clear" w:color="000000" w:fill="FFFFFF"/>
            <w:noWrap/>
            <w:vAlign w:val="bottom"/>
            <w:hideMark/>
          </w:tcPr>
          <w:p w14:paraId="1632C3C0"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-0.008</w:t>
            </w:r>
          </w:p>
        </w:tc>
        <w:tc>
          <w:tcPr>
            <w:tcW w:w="760" w:type="pct"/>
            <w:gridSpan w:val="3"/>
            <w:tcBorders>
              <w:top w:val="nil"/>
              <w:left w:val="nil"/>
              <w:bottom w:val="nil"/>
              <w:right w:val="nil"/>
            </w:tcBorders>
            <w:shd w:val="clear" w:color="000000" w:fill="FFFFFF"/>
            <w:noWrap/>
            <w:vAlign w:val="bottom"/>
            <w:hideMark/>
          </w:tcPr>
          <w:p w14:paraId="348C5E3D"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0.012</w:t>
            </w:r>
          </w:p>
        </w:tc>
      </w:tr>
      <w:tr w:rsidR="00E57A11" w:rsidRPr="00F62082" w14:paraId="31A7F8C9" w14:textId="77777777" w:rsidTr="006B635B">
        <w:trPr>
          <w:trHeight w:val="57"/>
        </w:trPr>
        <w:tc>
          <w:tcPr>
            <w:tcW w:w="1020" w:type="pct"/>
            <w:tcBorders>
              <w:top w:val="nil"/>
              <w:left w:val="nil"/>
              <w:bottom w:val="nil"/>
              <w:right w:val="nil"/>
            </w:tcBorders>
            <w:shd w:val="clear" w:color="000000" w:fill="FFFFFF"/>
            <w:noWrap/>
            <w:vAlign w:val="bottom"/>
            <w:hideMark/>
          </w:tcPr>
          <w:p w14:paraId="39EFB5F8"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006" w:type="pct"/>
            <w:gridSpan w:val="3"/>
            <w:tcBorders>
              <w:top w:val="nil"/>
              <w:left w:val="nil"/>
              <w:bottom w:val="nil"/>
              <w:right w:val="nil"/>
            </w:tcBorders>
            <w:shd w:val="clear" w:color="000000" w:fill="FFFFFF"/>
            <w:noWrap/>
            <w:vAlign w:val="bottom"/>
            <w:hideMark/>
          </w:tcPr>
          <w:p w14:paraId="3C24B2A7"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(0.15)</w:t>
            </w:r>
          </w:p>
        </w:tc>
        <w:tc>
          <w:tcPr>
            <w:tcW w:w="1342" w:type="pct"/>
            <w:gridSpan w:val="3"/>
            <w:tcBorders>
              <w:top w:val="nil"/>
              <w:left w:val="nil"/>
              <w:bottom w:val="nil"/>
              <w:right w:val="nil"/>
            </w:tcBorders>
            <w:shd w:val="clear" w:color="000000" w:fill="FFFFFF"/>
            <w:noWrap/>
            <w:vAlign w:val="bottom"/>
            <w:hideMark/>
          </w:tcPr>
          <w:p w14:paraId="66E6760D"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(0.55)</w:t>
            </w:r>
          </w:p>
        </w:tc>
        <w:tc>
          <w:tcPr>
            <w:tcW w:w="873" w:type="pct"/>
            <w:gridSpan w:val="3"/>
            <w:tcBorders>
              <w:top w:val="nil"/>
              <w:left w:val="nil"/>
              <w:bottom w:val="nil"/>
              <w:right w:val="nil"/>
            </w:tcBorders>
            <w:shd w:val="clear" w:color="000000" w:fill="FFFFFF"/>
            <w:noWrap/>
            <w:vAlign w:val="bottom"/>
            <w:hideMark/>
          </w:tcPr>
          <w:p w14:paraId="324BB235"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(-0.05)</w:t>
            </w:r>
          </w:p>
        </w:tc>
        <w:tc>
          <w:tcPr>
            <w:tcW w:w="760" w:type="pct"/>
            <w:gridSpan w:val="3"/>
            <w:tcBorders>
              <w:top w:val="nil"/>
              <w:left w:val="nil"/>
              <w:bottom w:val="nil"/>
              <w:right w:val="nil"/>
            </w:tcBorders>
            <w:shd w:val="clear" w:color="000000" w:fill="FFFFFF"/>
            <w:noWrap/>
            <w:vAlign w:val="bottom"/>
            <w:hideMark/>
          </w:tcPr>
          <w:p w14:paraId="1D005ACC"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(0.30)</w:t>
            </w:r>
          </w:p>
        </w:tc>
      </w:tr>
      <w:tr w:rsidR="00E57A11" w:rsidRPr="00F62082" w14:paraId="589E1884" w14:textId="77777777" w:rsidTr="006B635B">
        <w:trPr>
          <w:trHeight w:val="57"/>
        </w:trPr>
        <w:tc>
          <w:tcPr>
            <w:tcW w:w="1020" w:type="pct"/>
            <w:tcBorders>
              <w:top w:val="nil"/>
              <w:left w:val="nil"/>
              <w:bottom w:val="nil"/>
              <w:right w:val="nil"/>
            </w:tcBorders>
            <w:shd w:val="clear" w:color="000000" w:fill="FFFFFF"/>
            <w:noWrap/>
            <w:hideMark/>
          </w:tcPr>
          <w:p w14:paraId="14000519"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Market-to-book</w:t>
            </w:r>
          </w:p>
        </w:tc>
        <w:tc>
          <w:tcPr>
            <w:tcW w:w="1006" w:type="pct"/>
            <w:gridSpan w:val="3"/>
            <w:tcBorders>
              <w:top w:val="nil"/>
              <w:left w:val="nil"/>
              <w:bottom w:val="nil"/>
              <w:right w:val="nil"/>
            </w:tcBorders>
            <w:shd w:val="clear" w:color="000000" w:fill="FFFFFF"/>
            <w:noWrap/>
            <w:vAlign w:val="bottom"/>
            <w:hideMark/>
          </w:tcPr>
          <w:p w14:paraId="5FD04DE5"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0.003*</w:t>
            </w:r>
          </w:p>
        </w:tc>
        <w:tc>
          <w:tcPr>
            <w:tcW w:w="1342" w:type="pct"/>
            <w:gridSpan w:val="3"/>
            <w:tcBorders>
              <w:top w:val="nil"/>
              <w:left w:val="nil"/>
              <w:bottom w:val="nil"/>
              <w:right w:val="nil"/>
            </w:tcBorders>
            <w:shd w:val="clear" w:color="000000" w:fill="FFFFFF"/>
            <w:noWrap/>
            <w:vAlign w:val="bottom"/>
            <w:hideMark/>
          </w:tcPr>
          <w:p w14:paraId="554944C6"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0.039</w:t>
            </w:r>
          </w:p>
        </w:tc>
        <w:tc>
          <w:tcPr>
            <w:tcW w:w="873" w:type="pct"/>
            <w:gridSpan w:val="3"/>
            <w:tcBorders>
              <w:top w:val="nil"/>
              <w:left w:val="nil"/>
              <w:bottom w:val="nil"/>
              <w:right w:val="nil"/>
            </w:tcBorders>
            <w:shd w:val="clear" w:color="000000" w:fill="FFFFFF"/>
            <w:noWrap/>
            <w:vAlign w:val="bottom"/>
            <w:hideMark/>
          </w:tcPr>
          <w:p w14:paraId="76E0400F"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0.034</w:t>
            </w:r>
          </w:p>
        </w:tc>
        <w:tc>
          <w:tcPr>
            <w:tcW w:w="760" w:type="pct"/>
            <w:gridSpan w:val="3"/>
            <w:tcBorders>
              <w:top w:val="nil"/>
              <w:left w:val="nil"/>
              <w:bottom w:val="nil"/>
              <w:right w:val="nil"/>
            </w:tcBorders>
            <w:shd w:val="clear" w:color="000000" w:fill="FFFFFF"/>
            <w:noWrap/>
            <w:vAlign w:val="bottom"/>
            <w:hideMark/>
          </w:tcPr>
          <w:p w14:paraId="1406816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0.014*</w:t>
            </w:r>
          </w:p>
        </w:tc>
      </w:tr>
      <w:tr w:rsidR="00E57A11" w:rsidRPr="00F62082" w14:paraId="48A874C2" w14:textId="77777777" w:rsidTr="006B635B">
        <w:trPr>
          <w:trHeight w:val="57"/>
        </w:trPr>
        <w:tc>
          <w:tcPr>
            <w:tcW w:w="1020" w:type="pct"/>
            <w:tcBorders>
              <w:top w:val="nil"/>
              <w:left w:val="nil"/>
              <w:bottom w:val="nil"/>
              <w:right w:val="nil"/>
            </w:tcBorders>
            <w:shd w:val="clear" w:color="000000" w:fill="FFFFFF"/>
            <w:noWrap/>
            <w:vAlign w:val="bottom"/>
            <w:hideMark/>
          </w:tcPr>
          <w:p w14:paraId="441F5539"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006" w:type="pct"/>
            <w:gridSpan w:val="3"/>
            <w:tcBorders>
              <w:top w:val="nil"/>
              <w:left w:val="nil"/>
              <w:bottom w:val="nil"/>
              <w:right w:val="nil"/>
            </w:tcBorders>
            <w:shd w:val="clear" w:color="000000" w:fill="FFFFFF"/>
            <w:noWrap/>
            <w:vAlign w:val="bottom"/>
            <w:hideMark/>
          </w:tcPr>
          <w:p w14:paraId="01153A50"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(1.66)</w:t>
            </w:r>
          </w:p>
        </w:tc>
        <w:tc>
          <w:tcPr>
            <w:tcW w:w="1342" w:type="pct"/>
            <w:gridSpan w:val="3"/>
            <w:tcBorders>
              <w:top w:val="nil"/>
              <w:left w:val="nil"/>
              <w:bottom w:val="nil"/>
              <w:right w:val="nil"/>
            </w:tcBorders>
            <w:shd w:val="clear" w:color="000000" w:fill="FFFFFF"/>
            <w:noWrap/>
            <w:vAlign w:val="bottom"/>
            <w:hideMark/>
          </w:tcPr>
          <w:p w14:paraId="266AB0EF"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(0.96)</w:t>
            </w:r>
          </w:p>
        </w:tc>
        <w:tc>
          <w:tcPr>
            <w:tcW w:w="873" w:type="pct"/>
            <w:gridSpan w:val="3"/>
            <w:tcBorders>
              <w:top w:val="nil"/>
              <w:left w:val="nil"/>
              <w:bottom w:val="nil"/>
              <w:right w:val="nil"/>
            </w:tcBorders>
            <w:shd w:val="clear" w:color="000000" w:fill="FFFFFF"/>
            <w:noWrap/>
            <w:vAlign w:val="bottom"/>
            <w:hideMark/>
          </w:tcPr>
          <w:p w14:paraId="66127832"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(1.56)</w:t>
            </w:r>
          </w:p>
        </w:tc>
        <w:tc>
          <w:tcPr>
            <w:tcW w:w="760" w:type="pct"/>
            <w:gridSpan w:val="3"/>
            <w:tcBorders>
              <w:top w:val="nil"/>
              <w:left w:val="nil"/>
              <w:bottom w:val="nil"/>
              <w:right w:val="nil"/>
            </w:tcBorders>
            <w:shd w:val="clear" w:color="000000" w:fill="FFFFFF"/>
            <w:noWrap/>
            <w:vAlign w:val="bottom"/>
            <w:hideMark/>
          </w:tcPr>
          <w:p w14:paraId="6D9A046B"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(1.66)</w:t>
            </w:r>
          </w:p>
        </w:tc>
      </w:tr>
      <w:tr w:rsidR="00E57A11" w:rsidRPr="00F62082" w14:paraId="0A004C1D" w14:textId="77777777" w:rsidTr="006B635B">
        <w:trPr>
          <w:trHeight w:val="57"/>
        </w:trPr>
        <w:tc>
          <w:tcPr>
            <w:tcW w:w="1020" w:type="pct"/>
            <w:tcBorders>
              <w:top w:val="nil"/>
              <w:left w:val="nil"/>
              <w:bottom w:val="nil"/>
              <w:right w:val="nil"/>
            </w:tcBorders>
            <w:shd w:val="clear" w:color="000000" w:fill="FFFFFF"/>
            <w:noWrap/>
            <w:hideMark/>
          </w:tcPr>
          <w:p w14:paraId="019401EF"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Tangibility</w:t>
            </w:r>
          </w:p>
        </w:tc>
        <w:tc>
          <w:tcPr>
            <w:tcW w:w="1006" w:type="pct"/>
            <w:gridSpan w:val="3"/>
            <w:tcBorders>
              <w:top w:val="nil"/>
              <w:left w:val="nil"/>
              <w:bottom w:val="nil"/>
              <w:right w:val="nil"/>
            </w:tcBorders>
            <w:shd w:val="clear" w:color="000000" w:fill="FFFFFF"/>
            <w:noWrap/>
            <w:vAlign w:val="bottom"/>
            <w:hideMark/>
          </w:tcPr>
          <w:p w14:paraId="261ADDEE"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-0.038</w:t>
            </w:r>
          </w:p>
        </w:tc>
        <w:tc>
          <w:tcPr>
            <w:tcW w:w="1342" w:type="pct"/>
            <w:gridSpan w:val="3"/>
            <w:tcBorders>
              <w:top w:val="nil"/>
              <w:left w:val="nil"/>
              <w:bottom w:val="nil"/>
              <w:right w:val="nil"/>
            </w:tcBorders>
            <w:shd w:val="clear" w:color="000000" w:fill="FFFFFF"/>
            <w:noWrap/>
            <w:vAlign w:val="bottom"/>
            <w:hideMark/>
          </w:tcPr>
          <w:p w14:paraId="6FC0BE76"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0.147</w:t>
            </w:r>
          </w:p>
        </w:tc>
        <w:tc>
          <w:tcPr>
            <w:tcW w:w="873" w:type="pct"/>
            <w:gridSpan w:val="3"/>
            <w:tcBorders>
              <w:top w:val="nil"/>
              <w:left w:val="nil"/>
              <w:bottom w:val="nil"/>
              <w:right w:val="nil"/>
            </w:tcBorders>
            <w:shd w:val="clear" w:color="000000" w:fill="FFFFFF"/>
            <w:noWrap/>
            <w:vAlign w:val="bottom"/>
            <w:hideMark/>
          </w:tcPr>
          <w:p w14:paraId="5057B9C0"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-0.143</w:t>
            </w:r>
          </w:p>
        </w:tc>
        <w:tc>
          <w:tcPr>
            <w:tcW w:w="760" w:type="pct"/>
            <w:gridSpan w:val="3"/>
            <w:tcBorders>
              <w:top w:val="nil"/>
              <w:left w:val="nil"/>
              <w:bottom w:val="nil"/>
              <w:right w:val="nil"/>
            </w:tcBorders>
            <w:shd w:val="clear" w:color="000000" w:fill="FFFFFF"/>
            <w:noWrap/>
            <w:vAlign w:val="bottom"/>
            <w:hideMark/>
          </w:tcPr>
          <w:p w14:paraId="507DED2A"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-0.035</w:t>
            </w:r>
          </w:p>
        </w:tc>
      </w:tr>
      <w:tr w:rsidR="00E57A11" w:rsidRPr="00F62082" w14:paraId="6F78854F" w14:textId="77777777" w:rsidTr="006B635B">
        <w:trPr>
          <w:trHeight w:val="57"/>
        </w:trPr>
        <w:tc>
          <w:tcPr>
            <w:tcW w:w="1020" w:type="pct"/>
            <w:tcBorders>
              <w:top w:val="nil"/>
              <w:left w:val="nil"/>
              <w:bottom w:val="nil"/>
              <w:right w:val="nil"/>
            </w:tcBorders>
            <w:shd w:val="clear" w:color="000000" w:fill="FFFFFF"/>
            <w:noWrap/>
            <w:vAlign w:val="bottom"/>
            <w:hideMark/>
          </w:tcPr>
          <w:p w14:paraId="48749E92"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006" w:type="pct"/>
            <w:gridSpan w:val="3"/>
            <w:tcBorders>
              <w:top w:val="nil"/>
              <w:left w:val="nil"/>
              <w:bottom w:val="nil"/>
              <w:right w:val="nil"/>
            </w:tcBorders>
            <w:shd w:val="clear" w:color="000000" w:fill="FFFFFF"/>
            <w:noWrap/>
            <w:vAlign w:val="bottom"/>
            <w:hideMark/>
          </w:tcPr>
          <w:p w14:paraId="3CF41D0F"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(-0.46)</w:t>
            </w:r>
          </w:p>
        </w:tc>
        <w:tc>
          <w:tcPr>
            <w:tcW w:w="1342" w:type="pct"/>
            <w:gridSpan w:val="3"/>
            <w:tcBorders>
              <w:top w:val="nil"/>
              <w:left w:val="nil"/>
              <w:bottom w:val="nil"/>
              <w:right w:val="nil"/>
            </w:tcBorders>
            <w:shd w:val="clear" w:color="000000" w:fill="FFFFFF"/>
            <w:noWrap/>
            <w:vAlign w:val="bottom"/>
            <w:hideMark/>
          </w:tcPr>
          <w:p w14:paraId="7C0B900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(0.31)</w:t>
            </w:r>
          </w:p>
        </w:tc>
        <w:tc>
          <w:tcPr>
            <w:tcW w:w="873" w:type="pct"/>
            <w:gridSpan w:val="3"/>
            <w:tcBorders>
              <w:top w:val="nil"/>
              <w:left w:val="nil"/>
              <w:bottom w:val="nil"/>
              <w:right w:val="nil"/>
            </w:tcBorders>
            <w:shd w:val="clear" w:color="000000" w:fill="FFFFFF"/>
            <w:noWrap/>
            <w:vAlign w:val="bottom"/>
            <w:hideMark/>
          </w:tcPr>
          <w:p w14:paraId="62A0621C"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(-0.19)</w:t>
            </w:r>
          </w:p>
        </w:tc>
        <w:tc>
          <w:tcPr>
            <w:tcW w:w="760" w:type="pct"/>
            <w:gridSpan w:val="3"/>
            <w:tcBorders>
              <w:top w:val="nil"/>
              <w:left w:val="nil"/>
              <w:bottom w:val="nil"/>
              <w:right w:val="nil"/>
            </w:tcBorders>
            <w:shd w:val="clear" w:color="000000" w:fill="FFFFFF"/>
            <w:noWrap/>
            <w:vAlign w:val="bottom"/>
            <w:hideMark/>
          </w:tcPr>
          <w:p w14:paraId="3DE0ADCE"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(-0.17)</w:t>
            </w:r>
          </w:p>
        </w:tc>
      </w:tr>
      <w:tr w:rsidR="00E57A11" w:rsidRPr="00F62082" w14:paraId="4564203A" w14:textId="77777777" w:rsidTr="006B635B">
        <w:trPr>
          <w:trHeight w:val="57"/>
        </w:trPr>
        <w:tc>
          <w:tcPr>
            <w:tcW w:w="1020" w:type="pct"/>
            <w:tcBorders>
              <w:top w:val="nil"/>
              <w:left w:val="nil"/>
              <w:bottom w:val="nil"/>
              <w:right w:val="nil"/>
            </w:tcBorders>
            <w:shd w:val="clear" w:color="000000" w:fill="FFFFFF"/>
            <w:noWrap/>
            <w:hideMark/>
          </w:tcPr>
          <w:p w14:paraId="7D9F20DB"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Capex</w:t>
            </w:r>
          </w:p>
        </w:tc>
        <w:tc>
          <w:tcPr>
            <w:tcW w:w="1006" w:type="pct"/>
            <w:gridSpan w:val="3"/>
            <w:tcBorders>
              <w:top w:val="nil"/>
              <w:left w:val="nil"/>
              <w:bottom w:val="nil"/>
              <w:right w:val="nil"/>
            </w:tcBorders>
            <w:shd w:val="clear" w:color="000000" w:fill="FFFFFF"/>
            <w:noWrap/>
            <w:vAlign w:val="bottom"/>
            <w:hideMark/>
          </w:tcPr>
          <w:p w14:paraId="5CBC66D2"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-0.093</w:t>
            </w:r>
          </w:p>
        </w:tc>
        <w:tc>
          <w:tcPr>
            <w:tcW w:w="1342" w:type="pct"/>
            <w:gridSpan w:val="3"/>
            <w:tcBorders>
              <w:top w:val="nil"/>
              <w:left w:val="nil"/>
              <w:bottom w:val="nil"/>
              <w:right w:val="nil"/>
            </w:tcBorders>
            <w:shd w:val="clear" w:color="000000" w:fill="FFFFFF"/>
            <w:noWrap/>
            <w:vAlign w:val="bottom"/>
            <w:hideMark/>
          </w:tcPr>
          <w:p w14:paraId="42C16A78"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-0.698</w:t>
            </w:r>
          </w:p>
        </w:tc>
        <w:tc>
          <w:tcPr>
            <w:tcW w:w="873" w:type="pct"/>
            <w:gridSpan w:val="3"/>
            <w:tcBorders>
              <w:top w:val="nil"/>
              <w:left w:val="nil"/>
              <w:bottom w:val="nil"/>
              <w:right w:val="nil"/>
            </w:tcBorders>
            <w:shd w:val="clear" w:color="000000" w:fill="FFFFFF"/>
            <w:noWrap/>
            <w:vAlign w:val="bottom"/>
            <w:hideMark/>
          </w:tcPr>
          <w:p w14:paraId="111E51D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-1.205</w:t>
            </w:r>
          </w:p>
        </w:tc>
        <w:tc>
          <w:tcPr>
            <w:tcW w:w="760" w:type="pct"/>
            <w:gridSpan w:val="3"/>
            <w:tcBorders>
              <w:top w:val="nil"/>
              <w:left w:val="nil"/>
              <w:bottom w:val="nil"/>
              <w:right w:val="nil"/>
            </w:tcBorders>
            <w:shd w:val="clear" w:color="000000" w:fill="FFFFFF"/>
            <w:noWrap/>
            <w:vAlign w:val="bottom"/>
            <w:hideMark/>
          </w:tcPr>
          <w:p w14:paraId="533578B2"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-0.478</w:t>
            </w:r>
          </w:p>
        </w:tc>
      </w:tr>
      <w:tr w:rsidR="00E57A11" w:rsidRPr="00F62082" w14:paraId="6D8B8049" w14:textId="77777777" w:rsidTr="006B635B">
        <w:trPr>
          <w:trHeight w:val="57"/>
        </w:trPr>
        <w:tc>
          <w:tcPr>
            <w:tcW w:w="1020" w:type="pct"/>
            <w:tcBorders>
              <w:top w:val="nil"/>
              <w:left w:val="nil"/>
              <w:bottom w:val="nil"/>
              <w:right w:val="nil"/>
            </w:tcBorders>
            <w:shd w:val="clear" w:color="000000" w:fill="FFFFFF"/>
            <w:noWrap/>
            <w:vAlign w:val="bottom"/>
            <w:hideMark/>
          </w:tcPr>
          <w:p w14:paraId="2D352990" w14:textId="77777777" w:rsidR="00E57A11" w:rsidRPr="00DA1D07" w:rsidRDefault="00E57A11" w:rsidP="002753C1">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 </w:t>
            </w:r>
          </w:p>
        </w:tc>
        <w:tc>
          <w:tcPr>
            <w:tcW w:w="1006" w:type="pct"/>
            <w:gridSpan w:val="3"/>
            <w:tcBorders>
              <w:top w:val="nil"/>
              <w:left w:val="nil"/>
              <w:bottom w:val="nil"/>
              <w:right w:val="nil"/>
            </w:tcBorders>
            <w:shd w:val="clear" w:color="000000" w:fill="FFFFFF"/>
            <w:noWrap/>
            <w:vAlign w:val="bottom"/>
            <w:hideMark/>
          </w:tcPr>
          <w:p w14:paraId="6B8840A4"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(-0.81)</w:t>
            </w:r>
          </w:p>
        </w:tc>
        <w:tc>
          <w:tcPr>
            <w:tcW w:w="1342" w:type="pct"/>
            <w:gridSpan w:val="3"/>
            <w:tcBorders>
              <w:top w:val="nil"/>
              <w:left w:val="nil"/>
              <w:bottom w:val="nil"/>
              <w:right w:val="nil"/>
            </w:tcBorders>
            <w:shd w:val="clear" w:color="000000" w:fill="FFFFFF"/>
            <w:noWrap/>
            <w:vAlign w:val="bottom"/>
            <w:hideMark/>
          </w:tcPr>
          <w:p w14:paraId="6524D0C8"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(-0.76)</w:t>
            </w:r>
          </w:p>
        </w:tc>
        <w:tc>
          <w:tcPr>
            <w:tcW w:w="873" w:type="pct"/>
            <w:gridSpan w:val="3"/>
            <w:tcBorders>
              <w:top w:val="nil"/>
              <w:left w:val="nil"/>
              <w:bottom w:val="nil"/>
              <w:right w:val="nil"/>
            </w:tcBorders>
            <w:shd w:val="clear" w:color="000000" w:fill="FFFFFF"/>
            <w:noWrap/>
            <w:vAlign w:val="bottom"/>
            <w:hideMark/>
          </w:tcPr>
          <w:p w14:paraId="506A7693"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(-1.02)</w:t>
            </w:r>
          </w:p>
        </w:tc>
        <w:tc>
          <w:tcPr>
            <w:tcW w:w="760" w:type="pct"/>
            <w:gridSpan w:val="3"/>
            <w:tcBorders>
              <w:top w:val="nil"/>
              <w:left w:val="nil"/>
              <w:bottom w:val="nil"/>
              <w:right w:val="nil"/>
            </w:tcBorders>
            <w:shd w:val="clear" w:color="000000" w:fill="FFFFFF"/>
            <w:noWrap/>
            <w:vAlign w:val="bottom"/>
            <w:hideMark/>
          </w:tcPr>
          <w:p w14:paraId="1F53D127"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(-1.22)</w:t>
            </w:r>
          </w:p>
        </w:tc>
      </w:tr>
      <w:tr w:rsidR="00E57A11" w:rsidRPr="00F62082" w14:paraId="410523C4" w14:textId="77777777" w:rsidTr="006B635B">
        <w:trPr>
          <w:trHeight w:val="57"/>
        </w:trPr>
        <w:tc>
          <w:tcPr>
            <w:tcW w:w="1020" w:type="pct"/>
            <w:tcBorders>
              <w:top w:val="nil"/>
              <w:left w:val="nil"/>
              <w:bottom w:val="nil"/>
              <w:right w:val="nil"/>
            </w:tcBorders>
            <w:shd w:val="clear" w:color="000000" w:fill="FFFFFF"/>
            <w:noWrap/>
            <w:hideMark/>
          </w:tcPr>
          <w:p w14:paraId="1BC5566D"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RET</w:t>
            </w:r>
          </w:p>
        </w:tc>
        <w:tc>
          <w:tcPr>
            <w:tcW w:w="1006" w:type="pct"/>
            <w:gridSpan w:val="3"/>
            <w:tcBorders>
              <w:top w:val="nil"/>
              <w:left w:val="nil"/>
              <w:bottom w:val="nil"/>
              <w:right w:val="nil"/>
            </w:tcBorders>
            <w:shd w:val="clear" w:color="000000" w:fill="FFFFFF"/>
            <w:noWrap/>
            <w:vAlign w:val="bottom"/>
            <w:hideMark/>
          </w:tcPr>
          <w:p w14:paraId="7C914845"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0.011</w:t>
            </w:r>
          </w:p>
        </w:tc>
        <w:tc>
          <w:tcPr>
            <w:tcW w:w="1342" w:type="pct"/>
            <w:gridSpan w:val="3"/>
            <w:tcBorders>
              <w:top w:val="nil"/>
              <w:left w:val="nil"/>
              <w:bottom w:val="nil"/>
              <w:right w:val="nil"/>
            </w:tcBorders>
            <w:shd w:val="clear" w:color="000000" w:fill="FFFFFF"/>
            <w:noWrap/>
            <w:vAlign w:val="bottom"/>
            <w:hideMark/>
          </w:tcPr>
          <w:p w14:paraId="6C8E738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0.028</w:t>
            </w:r>
          </w:p>
        </w:tc>
        <w:tc>
          <w:tcPr>
            <w:tcW w:w="873" w:type="pct"/>
            <w:gridSpan w:val="3"/>
            <w:tcBorders>
              <w:top w:val="nil"/>
              <w:left w:val="nil"/>
              <w:bottom w:val="nil"/>
              <w:right w:val="nil"/>
            </w:tcBorders>
            <w:shd w:val="clear" w:color="000000" w:fill="FFFFFF"/>
            <w:noWrap/>
            <w:vAlign w:val="bottom"/>
            <w:hideMark/>
          </w:tcPr>
          <w:p w14:paraId="2FF20032"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0.063</w:t>
            </w:r>
          </w:p>
        </w:tc>
        <w:tc>
          <w:tcPr>
            <w:tcW w:w="760" w:type="pct"/>
            <w:gridSpan w:val="3"/>
            <w:tcBorders>
              <w:top w:val="nil"/>
              <w:left w:val="nil"/>
              <w:bottom w:val="nil"/>
              <w:right w:val="nil"/>
            </w:tcBorders>
            <w:shd w:val="clear" w:color="000000" w:fill="FFFFFF"/>
            <w:noWrap/>
            <w:vAlign w:val="bottom"/>
            <w:hideMark/>
          </w:tcPr>
          <w:p w14:paraId="71FE3A07"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0.007</w:t>
            </w:r>
          </w:p>
        </w:tc>
      </w:tr>
      <w:tr w:rsidR="00E57A11" w:rsidRPr="00F62082" w14:paraId="295CA977" w14:textId="77777777" w:rsidTr="006B635B">
        <w:trPr>
          <w:trHeight w:val="57"/>
        </w:trPr>
        <w:tc>
          <w:tcPr>
            <w:tcW w:w="1020" w:type="pct"/>
            <w:tcBorders>
              <w:top w:val="nil"/>
              <w:left w:val="nil"/>
              <w:bottom w:val="nil"/>
              <w:right w:val="nil"/>
            </w:tcBorders>
            <w:shd w:val="clear" w:color="000000" w:fill="FFFFFF"/>
            <w:noWrap/>
            <w:vAlign w:val="bottom"/>
            <w:hideMark/>
          </w:tcPr>
          <w:p w14:paraId="7D39EE8A"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006" w:type="pct"/>
            <w:gridSpan w:val="3"/>
            <w:tcBorders>
              <w:top w:val="nil"/>
              <w:left w:val="nil"/>
              <w:bottom w:val="nil"/>
              <w:right w:val="nil"/>
            </w:tcBorders>
            <w:shd w:val="clear" w:color="000000" w:fill="FFFFFF"/>
            <w:noWrap/>
            <w:vAlign w:val="bottom"/>
            <w:hideMark/>
          </w:tcPr>
          <w:p w14:paraId="32812A4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(1.21)</w:t>
            </w:r>
          </w:p>
        </w:tc>
        <w:tc>
          <w:tcPr>
            <w:tcW w:w="1342" w:type="pct"/>
            <w:gridSpan w:val="3"/>
            <w:tcBorders>
              <w:top w:val="nil"/>
              <w:left w:val="nil"/>
              <w:bottom w:val="nil"/>
              <w:right w:val="nil"/>
            </w:tcBorders>
            <w:shd w:val="clear" w:color="000000" w:fill="FFFFFF"/>
            <w:noWrap/>
            <w:vAlign w:val="bottom"/>
            <w:hideMark/>
          </w:tcPr>
          <w:p w14:paraId="203EDED9"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(0.45)</w:t>
            </w:r>
          </w:p>
        </w:tc>
        <w:tc>
          <w:tcPr>
            <w:tcW w:w="873" w:type="pct"/>
            <w:gridSpan w:val="3"/>
            <w:tcBorders>
              <w:top w:val="nil"/>
              <w:left w:val="nil"/>
              <w:bottom w:val="nil"/>
              <w:right w:val="nil"/>
            </w:tcBorders>
            <w:shd w:val="clear" w:color="000000" w:fill="FFFFFF"/>
            <w:noWrap/>
            <w:vAlign w:val="bottom"/>
            <w:hideMark/>
          </w:tcPr>
          <w:p w14:paraId="26F7FF8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(0.67)</w:t>
            </w:r>
          </w:p>
        </w:tc>
        <w:tc>
          <w:tcPr>
            <w:tcW w:w="760" w:type="pct"/>
            <w:gridSpan w:val="3"/>
            <w:tcBorders>
              <w:top w:val="nil"/>
              <w:left w:val="nil"/>
              <w:bottom w:val="nil"/>
              <w:right w:val="nil"/>
            </w:tcBorders>
            <w:shd w:val="clear" w:color="000000" w:fill="FFFFFF"/>
            <w:noWrap/>
            <w:vAlign w:val="bottom"/>
            <w:hideMark/>
          </w:tcPr>
          <w:p w14:paraId="1311B515"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(0.25)</w:t>
            </w:r>
          </w:p>
        </w:tc>
      </w:tr>
      <w:tr w:rsidR="00E57A11" w:rsidRPr="00F62082" w14:paraId="04FF4E71" w14:textId="77777777" w:rsidTr="006B635B">
        <w:trPr>
          <w:trHeight w:val="57"/>
        </w:trPr>
        <w:tc>
          <w:tcPr>
            <w:tcW w:w="1020" w:type="pct"/>
            <w:tcBorders>
              <w:top w:val="nil"/>
              <w:left w:val="nil"/>
              <w:bottom w:val="nil"/>
              <w:right w:val="nil"/>
            </w:tcBorders>
            <w:shd w:val="clear" w:color="000000" w:fill="FFFFFF"/>
            <w:noWrap/>
            <w:vAlign w:val="bottom"/>
            <w:hideMark/>
          </w:tcPr>
          <w:p w14:paraId="62DE14F8"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lastRenderedPageBreak/>
              <w:t>CEOage</w:t>
            </w:r>
            <w:proofErr w:type="spellEnd"/>
          </w:p>
        </w:tc>
        <w:tc>
          <w:tcPr>
            <w:tcW w:w="1006" w:type="pct"/>
            <w:gridSpan w:val="3"/>
            <w:tcBorders>
              <w:top w:val="nil"/>
              <w:left w:val="nil"/>
              <w:bottom w:val="nil"/>
              <w:right w:val="nil"/>
            </w:tcBorders>
            <w:shd w:val="clear" w:color="000000" w:fill="FFFFFF"/>
            <w:noWrap/>
            <w:vAlign w:val="bottom"/>
            <w:hideMark/>
          </w:tcPr>
          <w:p w14:paraId="7CD746A8"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0.000</w:t>
            </w:r>
          </w:p>
        </w:tc>
        <w:tc>
          <w:tcPr>
            <w:tcW w:w="1342" w:type="pct"/>
            <w:gridSpan w:val="3"/>
            <w:tcBorders>
              <w:top w:val="nil"/>
              <w:left w:val="nil"/>
              <w:bottom w:val="nil"/>
              <w:right w:val="nil"/>
            </w:tcBorders>
            <w:shd w:val="clear" w:color="000000" w:fill="FFFFFF"/>
            <w:noWrap/>
            <w:vAlign w:val="bottom"/>
            <w:hideMark/>
          </w:tcPr>
          <w:p w14:paraId="69BE8FB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0.006</w:t>
            </w:r>
          </w:p>
        </w:tc>
        <w:tc>
          <w:tcPr>
            <w:tcW w:w="873" w:type="pct"/>
            <w:gridSpan w:val="3"/>
            <w:tcBorders>
              <w:top w:val="nil"/>
              <w:left w:val="nil"/>
              <w:bottom w:val="nil"/>
              <w:right w:val="nil"/>
            </w:tcBorders>
            <w:shd w:val="clear" w:color="000000" w:fill="FFFFFF"/>
            <w:noWrap/>
            <w:vAlign w:val="bottom"/>
            <w:hideMark/>
          </w:tcPr>
          <w:p w14:paraId="4E9B7276"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0.002</w:t>
            </w:r>
          </w:p>
        </w:tc>
        <w:tc>
          <w:tcPr>
            <w:tcW w:w="760" w:type="pct"/>
            <w:gridSpan w:val="3"/>
            <w:tcBorders>
              <w:top w:val="nil"/>
              <w:left w:val="nil"/>
              <w:bottom w:val="nil"/>
              <w:right w:val="nil"/>
            </w:tcBorders>
            <w:shd w:val="clear" w:color="000000" w:fill="FFFFFF"/>
            <w:noWrap/>
            <w:vAlign w:val="bottom"/>
            <w:hideMark/>
          </w:tcPr>
          <w:p w14:paraId="3C82E7B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0.002</w:t>
            </w:r>
          </w:p>
        </w:tc>
      </w:tr>
      <w:tr w:rsidR="00E57A11" w:rsidRPr="00F62082" w14:paraId="7713A58E" w14:textId="77777777" w:rsidTr="006B635B">
        <w:trPr>
          <w:trHeight w:val="57"/>
        </w:trPr>
        <w:tc>
          <w:tcPr>
            <w:tcW w:w="1020" w:type="pct"/>
            <w:tcBorders>
              <w:top w:val="nil"/>
              <w:left w:val="nil"/>
              <w:bottom w:val="nil"/>
              <w:right w:val="nil"/>
            </w:tcBorders>
            <w:shd w:val="clear" w:color="000000" w:fill="FFFFFF"/>
            <w:noWrap/>
            <w:vAlign w:val="bottom"/>
            <w:hideMark/>
          </w:tcPr>
          <w:p w14:paraId="5170F00F"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006" w:type="pct"/>
            <w:gridSpan w:val="3"/>
            <w:tcBorders>
              <w:top w:val="nil"/>
              <w:left w:val="nil"/>
              <w:bottom w:val="nil"/>
              <w:right w:val="nil"/>
            </w:tcBorders>
            <w:shd w:val="clear" w:color="000000" w:fill="FFFFFF"/>
            <w:noWrap/>
            <w:vAlign w:val="bottom"/>
            <w:hideMark/>
          </w:tcPr>
          <w:p w14:paraId="74B65353"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(0.36)</w:t>
            </w:r>
          </w:p>
        </w:tc>
        <w:tc>
          <w:tcPr>
            <w:tcW w:w="1342" w:type="pct"/>
            <w:gridSpan w:val="3"/>
            <w:tcBorders>
              <w:top w:val="nil"/>
              <w:left w:val="nil"/>
              <w:bottom w:val="nil"/>
              <w:right w:val="nil"/>
            </w:tcBorders>
            <w:shd w:val="clear" w:color="000000" w:fill="FFFFFF"/>
            <w:noWrap/>
            <w:vAlign w:val="bottom"/>
            <w:hideMark/>
          </w:tcPr>
          <w:p w14:paraId="11A79C3A"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(0.87)</w:t>
            </w:r>
          </w:p>
        </w:tc>
        <w:tc>
          <w:tcPr>
            <w:tcW w:w="873" w:type="pct"/>
            <w:gridSpan w:val="3"/>
            <w:tcBorders>
              <w:top w:val="nil"/>
              <w:left w:val="nil"/>
              <w:bottom w:val="nil"/>
              <w:right w:val="nil"/>
            </w:tcBorders>
            <w:shd w:val="clear" w:color="000000" w:fill="FFFFFF"/>
            <w:noWrap/>
            <w:vAlign w:val="bottom"/>
            <w:hideMark/>
          </w:tcPr>
          <w:p w14:paraId="66212752"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(0.21)</w:t>
            </w:r>
          </w:p>
        </w:tc>
        <w:tc>
          <w:tcPr>
            <w:tcW w:w="760" w:type="pct"/>
            <w:gridSpan w:val="3"/>
            <w:tcBorders>
              <w:top w:val="nil"/>
              <w:left w:val="nil"/>
              <w:bottom w:val="nil"/>
              <w:right w:val="nil"/>
            </w:tcBorders>
            <w:shd w:val="clear" w:color="000000" w:fill="FFFFFF"/>
            <w:noWrap/>
            <w:vAlign w:val="bottom"/>
            <w:hideMark/>
          </w:tcPr>
          <w:p w14:paraId="20EE7538"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(0.69)</w:t>
            </w:r>
          </w:p>
        </w:tc>
      </w:tr>
      <w:tr w:rsidR="00E57A11" w:rsidRPr="00F62082" w14:paraId="31CC0EE2" w14:textId="77777777" w:rsidTr="006B635B">
        <w:trPr>
          <w:trHeight w:val="57"/>
        </w:trPr>
        <w:tc>
          <w:tcPr>
            <w:tcW w:w="1020" w:type="pct"/>
            <w:tcBorders>
              <w:top w:val="nil"/>
              <w:left w:val="nil"/>
              <w:bottom w:val="nil"/>
              <w:right w:val="nil"/>
            </w:tcBorders>
            <w:shd w:val="clear" w:color="000000" w:fill="FFFFFF"/>
            <w:noWrap/>
            <w:vAlign w:val="bottom"/>
            <w:hideMark/>
          </w:tcPr>
          <w:p w14:paraId="47C32BFA"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CEOtenure</w:t>
            </w:r>
            <w:proofErr w:type="spellEnd"/>
          </w:p>
        </w:tc>
        <w:tc>
          <w:tcPr>
            <w:tcW w:w="1006" w:type="pct"/>
            <w:gridSpan w:val="3"/>
            <w:tcBorders>
              <w:top w:val="nil"/>
              <w:left w:val="nil"/>
              <w:bottom w:val="nil"/>
              <w:right w:val="nil"/>
            </w:tcBorders>
            <w:shd w:val="clear" w:color="000000" w:fill="FFFFFF"/>
            <w:noWrap/>
            <w:vAlign w:val="bottom"/>
            <w:hideMark/>
          </w:tcPr>
          <w:p w14:paraId="257AE52C"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-0.000</w:t>
            </w:r>
          </w:p>
        </w:tc>
        <w:tc>
          <w:tcPr>
            <w:tcW w:w="1342" w:type="pct"/>
            <w:gridSpan w:val="3"/>
            <w:tcBorders>
              <w:top w:val="nil"/>
              <w:left w:val="nil"/>
              <w:bottom w:val="nil"/>
              <w:right w:val="nil"/>
            </w:tcBorders>
            <w:shd w:val="clear" w:color="000000" w:fill="FFFFFF"/>
            <w:noWrap/>
            <w:vAlign w:val="bottom"/>
            <w:hideMark/>
          </w:tcPr>
          <w:p w14:paraId="76B68A2B"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-0.004</w:t>
            </w:r>
          </w:p>
        </w:tc>
        <w:tc>
          <w:tcPr>
            <w:tcW w:w="873" w:type="pct"/>
            <w:gridSpan w:val="3"/>
            <w:tcBorders>
              <w:top w:val="nil"/>
              <w:left w:val="nil"/>
              <w:bottom w:val="nil"/>
              <w:right w:val="nil"/>
            </w:tcBorders>
            <w:shd w:val="clear" w:color="000000" w:fill="FFFFFF"/>
            <w:noWrap/>
            <w:vAlign w:val="bottom"/>
            <w:hideMark/>
          </w:tcPr>
          <w:p w14:paraId="53DF94DF"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-0.000</w:t>
            </w:r>
          </w:p>
        </w:tc>
        <w:tc>
          <w:tcPr>
            <w:tcW w:w="760" w:type="pct"/>
            <w:gridSpan w:val="3"/>
            <w:tcBorders>
              <w:top w:val="nil"/>
              <w:left w:val="nil"/>
              <w:bottom w:val="nil"/>
              <w:right w:val="nil"/>
            </w:tcBorders>
            <w:shd w:val="clear" w:color="000000" w:fill="FFFFFF"/>
            <w:noWrap/>
            <w:vAlign w:val="bottom"/>
            <w:hideMark/>
          </w:tcPr>
          <w:p w14:paraId="435F1597"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0.000</w:t>
            </w:r>
          </w:p>
        </w:tc>
      </w:tr>
      <w:tr w:rsidR="00E57A11" w:rsidRPr="00F62082" w14:paraId="6A78A2B2" w14:textId="77777777" w:rsidTr="006B635B">
        <w:trPr>
          <w:trHeight w:val="57"/>
        </w:trPr>
        <w:tc>
          <w:tcPr>
            <w:tcW w:w="1020" w:type="pct"/>
            <w:tcBorders>
              <w:top w:val="nil"/>
              <w:left w:val="nil"/>
              <w:bottom w:val="nil"/>
              <w:right w:val="nil"/>
            </w:tcBorders>
            <w:shd w:val="clear" w:color="000000" w:fill="FFFFFF"/>
            <w:noWrap/>
            <w:vAlign w:val="bottom"/>
            <w:hideMark/>
          </w:tcPr>
          <w:p w14:paraId="7C63C372" w14:textId="77777777" w:rsidR="00E57A11" w:rsidRPr="00DA1D07" w:rsidRDefault="00E57A11" w:rsidP="002753C1">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 </w:t>
            </w:r>
          </w:p>
        </w:tc>
        <w:tc>
          <w:tcPr>
            <w:tcW w:w="1006" w:type="pct"/>
            <w:gridSpan w:val="3"/>
            <w:tcBorders>
              <w:top w:val="nil"/>
              <w:left w:val="nil"/>
              <w:bottom w:val="nil"/>
              <w:right w:val="nil"/>
            </w:tcBorders>
            <w:shd w:val="clear" w:color="000000" w:fill="FFFFFF"/>
            <w:noWrap/>
            <w:vAlign w:val="bottom"/>
            <w:hideMark/>
          </w:tcPr>
          <w:p w14:paraId="1A4DFA55"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(-0.11)</w:t>
            </w:r>
          </w:p>
        </w:tc>
        <w:tc>
          <w:tcPr>
            <w:tcW w:w="1342" w:type="pct"/>
            <w:gridSpan w:val="3"/>
            <w:tcBorders>
              <w:top w:val="nil"/>
              <w:left w:val="nil"/>
              <w:bottom w:val="nil"/>
              <w:right w:val="nil"/>
            </w:tcBorders>
            <w:shd w:val="clear" w:color="000000" w:fill="FFFFFF"/>
            <w:noWrap/>
            <w:vAlign w:val="bottom"/>
            <w:hideMark/>
          </w:tcPr>
          <w:p w14:paraId="3C89438E"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(-0.55)</w:t>
            </w:r>
          </w:p>
        </w:tc>
        <w:tc>
          <w:tcPr>
            <w:tcW w:w="873" w:type="pct"/>
            <w:gridSpan w:val="3"/>
            <w:tcBorders>
              <w:top w:val="nil"/>
              <w:left w:val="nil"/>
              <w:bottom w:val="nil"/>
              <w:right w:val="nil"/>
            </w:tcBorders>
            <w:shd w:val="clear" w:color="000000" w:fill="FFFFFF"/>
            <w:noWrap/>
            <w:vAlign w:val="bottom"/>
            <w:hideMark/>
          </w:tcPr>
          <w:p w14:paraId="78F16CA8"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(-0.04)</w:t>
            </w:r>
          </w:p>
        </w:tc>
        <w:tc>
          <w:tcPr>
            <w:tcW w:w="760" w:type="pct"/>
            <w:gridSpan w:val="3"/>
            <w:tcBorders>
              <w:top w:val="nil"/>
              <w:left w:val="nil"/>
              <w:bottom w:val="nil"/>
              <w:right w:val="nil"/>
            </w:tcBorders>
            <w:shd w:val="clear" w:color="000000" w:fill="FFFFFF"/>
            <w:noWrap/>
            <w:vAlign w:val="bottom"/>
            <w:hideMark/>
          </w:tcPr>
          <w:p w14:paraId="60E27392"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(0.02)</w:t>
            </w:r>
          </w:p>
        </w:tc>
      </w:tr>
      <w:tr w:rsidR="00E57A11" w:rsidRPr="00F62082" w14:paraId="56844ADF" w14:textId="77777777" w:rsidTr="006B635B">
        <w:trPr>
          <w:trHeight w:val="57"/>
        </w:trPr>
        <w:tc>
          <w:tcPr>
            <w:tcW w:w="1020" w:type="pct"/>
            <w:tcBorders>
              <w:top w:val="nil"/>
              <w:left w:val="nil"/>
              <w:bottom w:val="nil"/>
              <w:right w:val="nil"/>
            </w:tcBorders>
            <w:shd w:val="clear" w:color="000000" w:fill="FFFFFF"/>
            <w:noWrap/>
            <w:vAlign w:val="bottom"/>
            <w:hideMark/>
          </w:tcPr>
          <w:p w14:paraId="31066DC4"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Constant</w:t>
            </w:r>
          </w:p>
        </w:tc>
        <w:tc>
          <w:tcPr>
            <w:tcW w:w="1006" w:type="pct"/>
            <w:gridSpan w:val="3"/>
            <w:tcBorders>
              <w:top w:val="nil"/>
              <w:left w:val="nil"/>
              <w:bottom w:val="nil"/>
              <w:right w:val="nil"/>
            </w:tcBorders>
            <w:shd w:val="clear" w:color="000000" w:fill="FFFFFF"/>
            <w:noWrap/>
            <w:vAlign w:val="bottom"/>
            <w:hideMark/>
          </w:tcPr>
          <w:p w14:paraId="5EADCFA5"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-0.027</w:t>
            </w:r>
          </w:p>
        </w:tc>
        <w:tc>
          <w:tcPr>
            <w:tcW w:w="1342" w:type="pct"/>
            <w:gridSpan w:val="3"/>
            <w:tcBorders>
              <w:top w:val="nil"/>
              <w:left w:val="nil"/>
              <w:bottom w:val="nil"/>
              <w:right w:val="nil"/>
            </w:tcBorders>
            <w:shd w:val="clear" w:color="000000" w:fill="FFFFFF"/>
            <w:noWrap/>
            <w:vAlign w:val="bottom"/>
            <w:hideMark/>
          </w:tcPr>
          <w:p w14:paraId="4D03C5CE"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-3.171***</w:t>
            </w:r>
          </w:p>
        </w:tc>
        <w:tc>
          <w:tcPr>
            <w:tcW w:w="873" w:type="pct"/>
            <w:gridSpan w:val="3"/>
            <w:tcBorders>
              <w:top w:val="nil"/>
              <w:left w:val="nil"/>
              <w:bottom w:val="nil"/>
              <w:right w:val="nil"/>
            </w:tcBorders>
            <w:shd w:val="clear" w:color="000000" w:fill="FFFFFF"/>
            <w:noWrap/>
            <w:vAlign w:val="bottom"/>
            <w:hideMark/>
          </w:tcPr>
          <w:p w14:paraId="24C85A03"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0.121</w:t>
            </w:r>
          </w:p>
        </w:tc>
        <w:tc>
          <w:tcPr>
            <w:tcW w:w="760" w:type="pct"/>
            <w:gridSpan w:val="3"/>
            <w:tcBorders>
              <w:top w:val="nil"/>
              <w:left w:val="nil"/>
              <w:bottom w:val="nil"/>
              <w:right w:val="nil"/>
            </w:tcBorders>
            <w:shd w:val="clear" w:color="000000" w:fill="FFFFFF"/>
            <w:noWrap/>
            <w:vAlign w:val="bottom"/>
            <w:hideMark/>
          </w:tcPr>
          <w:p w14:paraId="3531E754"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0.866**</w:t>
            </w:r>
          </w:p>
        </w:tc>
      </w:tr>
      <w:tr w:rsidR="00E57A11" w:rsidRPr="00F62082" w14:paraId="5D6BC24D" w14:textId="77777777" w:rsidTr="006B635B">
        <w:trPr>
          <w:trHeight w:val="57"/>
        </w:trPr>
        <w:tc>
          <w:tcPr>
            <w:tcW w:w="1020" w:type="pct"/>
            <w:tcBorders>
              <w:top w:val="nil"/>
              <w:left w:val="nil"/>
              <w:bottom w:val="nil"/>
              <w:right w:val="nil"/>
            </w:tcBorders>
            <w:shd w:val="clear" w:color="000000" w:fill="FFFFFF"/>
            <w:noWrap/>
            <w:vAlign w:val="bottom"/>
            <w:hideMark/>
          </w:tcPr>
          <w:p w14:paraId="2C39202F" w14:textId="77777777" w:rsidR="00E57A11" w:rsidRPr="00DA1D07" w:rsidRDefault="00E57A11" w:rsidP="002753C1">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 </w:t>
            </w:r>
          </w:p>
        </w:tc>
        <w:tc>
          <w:tcPr>
            <w:tcW w:w="1006" w:type="pct"/>
            <w:gridSpan w:val="3"/>
            <w:tcBorders>
              <w:top w:val="nil"/>
              <w:left w:val="nil"/>
              <w:bottom w:val="nil"/>
              <w:right w:val="nil"/>
            </w:tcBorders>
            <w:shd w:val="clear" w:color="000000" w:fill="FFFFFF"/>
            <w:noWrap/>
            <w:vAlign w:val="bottom"/>
            <w:hideMark/>
          </w:tcPr>
          <w:p w14:paraId="2694766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(-0.24)</w:t>
            </w:r>
          </w:p>
        </w:tc>
        <w:tc>
          <w:tcPr>
            <w:tcW w:w="1342" w:type="pct"/>
            <w:gridSpan w:val="3"/>
            <w:tcBorders>
              <w:top w:val="nil"/>
              <w:left w:val="nil"/>
              <w:bottom w:val="nil"/>
              <w:right w:val="nil"/>
            </w:tcBorders>
            <w:shd w:val="clear" w:color="000000" w:fill="FFFFFF"/>
            <w:noWrap/>
            <w:vAlign w:val="bottom"/>
            <w:hideMark/>
          </w:tcPr>
          <w:p w14:paraId="288E2FC5"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(-3.66)</w:t>
            </w:r>
          </w:p>
        </w:tc>
        <w:tc>
          <w:tcPr>
            <w:tcW w:w="873" w:type="pct"/>
            <w:gridSpan w:val="3"/>
            <w:tcBorders>
              <w:top w:val="nil"/>
              <w:left w:val="nil"/>
              <w:bottom w:val="nil"/>
              <w:right w:val="nil"/>
            </w:tcBorders>
            <w:shd w:val="clear" w:color="000000" w:fill="FFFFFF"/>
            <w:noWrap/>
            <w:vAlign w:val="bottom"/>
            <w:hideMark/>
          </w:tcPr>
          <w:p w14:paraId="71CB6BCF"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(0.11)</w:t>
            </w:r>
          </w:p>
        </w:tc>
        <w:tc>
          <w:tcPr>
            <w:tcW w:w="760" w:type="pct"/>
            <w:gridSpan w:val="3"/>
            <w:tcBorders>
              <w:top w:val="nil"/>
              <w:left w:val="nil"/>
              <w:bottom w:val="nil"/>
              <w:right w:val="nil"/>
            </w:tcBorders>
            <w:shd w:val="clear" w:color="000000" w:fill="FFFFFF"/>
            <w:noWrap/>
            <w:vAlign w:val="bottom"/>
            <w:hideMark/>
          </w:tcPr>
          <w:p w14:paraId="23F3DCD6"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(2.50)</w:t>
            </w:r>
          </w:p>
        </w:tc>
      </w:tr>
      <w:tr w:rsidR="00E57A11" w:rsidRPr="00F62082" w14:paraId="1BEAD9CE" w14:textId="77777777" w:rsidTr="006B635B">
        <w:trPr>
          <w:trHeight w:val="57"/>
        </w:trPr>
        <w:tc>
          <w:tcPr>
            <w:tcW w:w="1020" w:type="pct"/>
            <w:tcBorders>
              <w:top w:val="nil"/>
              <w:left w:val="nil"/>
              <w:bottom w:val="nil"/>
              <w:right w:val="nil"/>
            </w:tcBorders>
            <w:shd w:val="clear" w:color="000000" w:fill="FFFFFF"/>
            <w:noWrap/>
            <w:vAlign w:val="bottom"/>
            <w:hideMark/>
          </w:tcPr>
          <w:p w14:paraId="0A09E588" w14:textId="77777777" w:rsidR="00E57A11" w:rsidRPr="00DA1D07" w:rsidRDefault="00E57A11" w:rsidP="002753C1">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R-squared</w:t>
            </w:r>
          </w:p>
        </w:tc>
        <w:tc>
          <w:tcPr>
            <w:tcW w:w="1006" w:type="pct"/>
            <w:gridSpan w:val="3"/>
            <w:tcBorders>
              <w:top w:val="nil"/>
              <w:left w:val="nil"/>
              <w:bottom w:val="nil"/>
              <w:right w:val="nil"/>
            </w:tcBorders>
            <w:shd w:val="clear" w:color="000000" w:fill="FFFFFF"/>
            <w:noWrap/>
            <w:vAlign w:val="bottom"/>
            <w:hideMark/>
          </w:tcPr>
          <w:p w14:paraId="38B758EA"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0.645</w:t>
            </w:r>
          </w:p>
        </w:tc>
        <w:tc>
          <w:tcPr>
            <w:tcW w:w="1342" w:type="pct"/>
            <w:gridSpan w:val="3"/>
            <w:tcBorders>
              <w:top w:val="nil"/>
              <w:left w:val="nil"/>
              <w:bottom w:val="nil"/>
              <w:right w:val="nil"/>
            </w:tcBorders>
            <w:shd w:val="clear" w:color="000000" w:fill="FFFFFF"/>
            <w:noWrap/>
            <w:vAlign w:val="bottom"/>
            <w:hideMark/>
          </w:tcPr>
          <w:p w14:paraId="6CDADFEC"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 </w:t>
            </w:r>
          </w:p>
        </w:tc>
        <w:tc>
          <w:tcPr>
            <w:tcW w:w="873" w:type="pct"/>
            <w:gridSpan w:val="3"/>
            <w:tcBorders>
              <w:top w:val="nil"/>
              <w:left w:val="nil"/>
              <w:bottom w:val="nil"/>
              <w:right w:val="nil"/>
            </w:tcBorders>
            <w:shd w:val="clear" w:color="000000" w:fill="FFFFFF"/>
            <w:noWrap/>
            <w:vAlign w:val="bottom"/>
            <w:hideMark/>
          </w:tcPr>
          <w:p w14:paraId="23CD558D"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0.544</w:t>
            </w:r>
          </w:p>
        </w:tc>
        <w:tc>
          <w:tcPr>
            <w:tcW w:w="760" w:type="pct"/>
            <w:gridSpan w:val="3"/>
            <w:tcBorders>
              <w:top w:val="nil"/>
              <w:left w:val="nil"/>
              <w:bottom w:val="nil"/>
              <w:right w:val="nil"/>
            </w:tcBorders>
            <w:shd w:val="clear" w:color="000000" w:fill="FFFFFF"/>
            <w:noWrap/>
            <w:vAlign w:val="bottom"/>
            <w:hideMark/>
          </w:tcPr>
          <w:p w14:paraId="1757BC98"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 </w:t>
            </w:r>
          </w:p>
        </w:tc>
      </w:tr>
      <w:tr w:rsidR="00E57A11" w:rsidRPr="00F62082" w14:paraId="53567704" w14:textId="77777777" w:rsidTr="006B635B">
        <w:trPr>
          <w:trHeight w:val="57"/>
        </w:trPr>
        <w:tc>
          <w:tcPr>
            <w:tcW w:w="1020" w:type="pct"/>
            <w:tcBorders>
              <w:top w:val="nil"/>
              <w:left w:val="nil"/>
              <w:bottom w:val="nil"/>
              <w:right w:val="nil"/>
            </w:tcBorders>
            <w:shd w:val="clear" w:color="000000" w:fill="FFFFFF"/>
            <w:noWrap/>
            <w:vAlign w:val="bottom"/>
            <w:hideMark/>
          </w:tcPr>
          <w:p w14:paraId="1BB26B5C" w14:textId="77777777" w:rsidR="00E57A11" w:rsidRPr="00DA1D07" w:rsidRDefault="00E57A11" w:rsidP="002753C1">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Log-likelihood</w:t>
            </w:r>
          </w:p>
        </w:tc>
        <w:tc>
          <w:tcPr>
            <w:tcW w:w="1006" w:type="pct"/>
            <w:gridSpan w:val="3"/>
            <w:tcBorders>
              <w:top w:val="nil"/>
              <w:left w:val="nil"/>
              <w:bottom w:val="nil"/>
              <w:right w:val="nil"/>
            </w:tcBorders>
            <w:shd w:val="clear" w:color="000000" w:fill="FFFFFF"/>
            <w:noWrap/>
            <w:vAlign w:val="bottom"/>
            <w:hideMark/>
          </w:tcPr>
          <w:p w14:paraId="26CD72C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 </w:t>
            </w:r>
          </w:p>
        </w:tc>
        <w:tc>
          <w:tcPr>
            <w:tcW w:w="1342" w:type="pct"/>
            <w:gridSpan w:val="3"/>
            <w:tcBorders>
              <w:top w:val="nil"/>
              <w:left w:val="nil"/>
              <w:bottom w:val="nil"/>
              <w:right w:val="nil"/>
            </w:tcBorders>
            <w:shd w:val="clear" w:color="000000" w:fill="FFFFFF"/>
            <w:noWrap/>
            <w:vAlign w:val="bottom"/>
            <w:hideMark/>
          </w:tcPr>
          <w:p w14:paraId="32B810C9" w14:textId="72732544"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-5</w:t>
            </w:r>
            <w:r w:rsidR="00280DFC">
              <w:rPr>
                <w:rFonts w:ascii="Times New Roman" w:eastAsia="Times New Roman" w:hAnsi="Times New Roman" w:cs="Times New Roman"/>
                <w:color w:val="000000"/>
                <w:sz w:val="24"/>
                <w:szCs w:val="24"/>
                <w:lang w:val="en-US" w:eastAsia="en-GB"/>
              </w:rPr>
              <w:t>,</w:t>
            </w:r>
            <w:r w:rsidRPr="00DA1D07">
              <w:rPr>
                <w:rFonts w:ascii="Times New Roman" w:eastAsia="Times New Roman" w:hAnsi="Times New Roman" w:cs="Times New Roman"/>
                <w:color w:val="000000"/>
                <w:sz w:val="24"/>
                <w:szCs w:val="24"/>
                <w:lang w:val="en-US" w:eastAsia="en-GB"/>
              </w:rPr>
              <w:t>068.667</w:t>
            </w:r>
          </w:p>
        </w:tc>
        <w:tc>
          <w:tcPr>
            <w:tcW w:w="873" w:type="pct"/>
            <w:gridSpan w:val="3"/>
            <w:tcBorders>
              <w:top w:val="nil"/>
              <w:left w:val="nil"/>
              <w:bottom w:val="nil"/>
              <w:right w:val="nil"/>
            </w:tcBorders>
            <w:shd w:val="clear" w:color="000000" w:fill="FFFFFF"/>
            <w:noWrap/>
            <w:vAlign w:val="bottom"/>
            <w:hideMark/>
          </w:tcPr>
          <w:p w14:paraId="5A68AB1C"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p>
        </w:tc>
        <w:tc>
          <w:tcPr>
            <w:tcW w:w="760" w:type="pct"/>
            <w:gridSpan w:val="3"/>
            <w:tcBorders>
              <w:top w:val="nil"/>
              <w:left w:val="nil"/>
              <w:bottom w:val="nil"/>
              <w:right w:val="nil"/>
            </w:tcBorders>
            <w:shd w:val="clear" w:color="000000" w:fill="FFFFFF"/>
            <w:noWrap/>
            <w:vAlign w:val="bottom"/>
            <w:hideMark/>
          </w:tcPr>
          <w:p w14:paraId="7C7944EF" w14:textId="466995C4"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-21</w:t>
            </w:r>
            <w:r w:rsidR="00280DFC">
              <w:rPr>
                <w:rFonts w:ascii="Times New Roman" w:eastAsia="Times New Roman" w:hAnsi="Times New Roman" w:cs="Times New Roman"/>
                <w:color w:val="000000"/>
                <w:sz w:val="24"/>
                <w:szCs w:val="24"/>
                <w:lang w:val="en-US" w:eastAsia="en-GB"/>
              </w:rPr>
              <w:t>,</w:t>
            </w:r>
            <w:r w:rsidRPr="00DA1D07">
              <w:rPr>
                <w:rFonts w:ascii="Times New Roman" w:eastAsia="Times New Roman" w:hAnsi="Times New Roman" w:cs="Times New Roman"/>
                <w:color w:val="000000"/>
                <w:sz w:val="24"/>
                <w:szCs w:val="24"/>
                <w:lang w:val="en-US" w:eastAsia="en-GB"/>
              </w:rPr>
              <w:t>435.968</w:t>
            </w:r>
          </w:p>
        </w:tc>
      </w:tr>
      <w:tr w:rsidR="00E57A11" w:rsidRPr="00F62082" w14:paraId="521CC2F0" w14:textId="77777777" w:rsidTr="006B635B">
        <w:trPr>
          <w:trHeight w:val="57"/>
        </w:trPr>
        <w:tc>
          <w:tcPr>
            <w:tcW w:w="1020" w:type="pct"/>
            <w:tcBorders>
              <w:top w:val="nil"/>
              <w:left w:val="nil"/>
              <w:bottom w:val="nil"/>
              <w:right w:val="nil"/>
            </w:tcBorders>
            <w:shd w:val="clear" w:color="000000" w:fill="FFFFFF"/>
            <w:noWrap/>
            <w:vAlign w:val="bottom"/>
            <w:hideMark/>
          </w:tcPr>
          <w:p w14:paraId="3720A766" w14:textId="77777777" w:rsidR="00E57A11" w:rsidRPr="00DA1D07" w:rsidRDefault="00E57A11" w:rsidP="002753C1">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Observations</w:t>
            </w:r>
          </w:p>
        </w:tc>
        <w:tc>
          <w:tcPr>
            <w:tcW w:w="1006" w:type="pct"/>
            <w:gridSpan w:val="3"/>
            <w:tcBorders>
              <w:top w:val="nil"/>
              <w:left w:val="nil"/>
              <w:bottom w:val="nil"/>
              <w:right w:val="nil"/>
            </w:tcBorders>
            <w:shd w:val="clear" w:color="000000" w:fill="FFFFFF"/>
            <w:noWrap/>
            <w:vAlign w:val="bottom"/>
            <w:hideMark/>
          </w:tcPr>
          <w:p w14:paraId="7AC2D0D0"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11,906</w:t>
            </w:r>
          </w:p>
        </w:tc>
        <w:tc>
          <w:tcPr>
            <w:tcW w:w="1342" w:type="pct"/>
            <w:gridSpan w:val="3"/>
            <w:tcBorders>
              <w:top w:val="nil"/>
              <w:left w:val="nil"/>
              <w:bottom w:val="nil"/>
              <w:right w:val="nil"/>
            </w:tcBorders>
            <w:shd w:val="clear" w:color="000000" w:fill="FFFFFF"/>
            <w:noWrap/>
            <w:vAlign w:val="bottom"/>
            <w:hideMark/>
          </w:tcPr>
          <w:p w14:paraId="1ED1B6D2"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11,906</w:t>
            </w:r>
          </w:p>
        </w:tc>
        <w:tc>
          <w:tcPr>
            <w:tcW w:w="873" w:type="pct"/>
            <w:gridSpan w:val="3"/>
            <w:tcBorders>
              <w:top w:val="nil"/>
              <w:left w:val="nil"/>
              <w:bottom w:val="nil"/>
              <w:right w:val="nil"/>
            </w:tcBorders>
            <w:shd w:val="clear" w:color="000000" w:fill="FFFFFF"/>
            <w:noWrap/>
            <w:vAlign w:val="bottom"/>
            <w:hideMark/>
          </w:tcPr>
          <w:p w14:paraId="6E5F687C"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11,906</w:t>
            </w:r>
          </w:p>
        </w:tc>
        <w:tc>
          <w:tcPr>
            <w:tcW w:w="760" w:type="pct"/>
            <w:gridSpan w:val="3"/>
            <w:tcBorders>
              <w:top w:val="nil"/>
              <w:left w:val="nil"/>
              <w:bottom w:val="nil"/>
              <w:right w:val="nil"/>
            </w:tcBorders>
            <w:shd w:val="clear" w:color="000000" w:fill="FFFFFF"/>
            <w:noWrap/>
            <w:vAlign w:val="bottom"/>
            <w:hideMark/>
          </w:tcPr>
          <w:p w14:paraId="5D3840DA"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11,906</w:t>
            </w:r>
          </w:p>
        </w:tc>
      </w:tr>
      <w:tr w:rsidR="00E57A11" w:rsidRPr="00F62082" w14:paraId="242191CE" w14:textId="77777777" w:rsidTr="006B635B">
        <w:trPr>
          <w:trHeight w:val="57"/>
        </w:trPr>
        <w:tc>
          <w:tcPr>
            <w:tcW w:w="1020" w:type="pct"/>
            <w:tcBorders>
              <w:top w:val="nil"/>
              <w:left w:val="nil"/>
              <w:bottom w:val="nil"/>
              <w:right w:val="nil"/>
            </w:tcBorders>
            <w:shd w:val="clear" w:color="000000" w:fill="FFFFFF"/>
            <w:noWrap/>
            <w:vAlign w:val="bottom"/>
            <w:hideMark/>
          </w:tcPr>
          <w:p w14:paraId="346F3F90" w14:textId="77777777" w:rsidR="00E57A11" w:rsidRPr="00DA1D07" w:rsidRDefault="00E57A11" w:rsidP="002753C1">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Firm fixed effects</w:t>
            </w:r>
          </w:p>
        </w:tc>
        <w:tc>
          <w:tcPr>
            <w:tcW w:w="1006" w:type="pct"/>
            <w:gridSpan w:val="3"/>
            <w:tcBorders>
              <w:top w:val="nil"/>
              <w:left w:val="nil"/>
              <w:bottom w:val="nil"/>
              <w:right w:val="nil"/>
            </w:tcBorders>
            <w:shd w:val="clear" w:color="000000" w:fill="FFFFFF"/>
            <w:noWrap/>
            <w:vAlign w:val="bottom"/>
            <w:hideMark/>
          </w:tcPr>
          <w:p w14:paraId="2AE6510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Yes</w:t>
            </w:r>
          </w:p>
        </w:tc>
        <w:tc>
          <w:tcPr>
            <w:tcW w:w="1342" w:type="pct"/>
            <w:gridSpan w:val="3"/>
            <w:tcBorders>
              <w:top w:val="nil"/>
              <w:left w:val="nil"/>
              <w:bottom w:val="nil"/>
              <w:right w:val="nil"/>
            </w:tcBorders>
            <w:shd w:val="clear" w:color="000000" w:fill="FFFFFF"/>
            <w:noWrap/>
            <w:vAlign w:val="bottom"/>
            <w:hideMark/>
          </w:tcPr>
          <w:p w14:paraId="60BE5719"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Yes</w:t>
            </w:r>
          </w:p>
        </w:tc>
        <w:tc>
          <w:tcPr>
            <w:tcW w:w="873" w:type="pct"/>
            <w:gridSpan w:val="3"/>
            <w:tcBorders>
              <w:top w:val="nil"/>
              <w:left w:val="nil"/>
              <w:bottom w:val="nil"/>
              <w:right w:val="nil"/>
            </w:tcBorders>
            <w:shd w:val="clear" w:color="000000" w:fill="FFFFFF"/>
            <w:noWrap/>
            <w:vAlign w:val="bottom"/>
            <w:hideMark/>
          </w:tcPr>
          <w:p w14:paraId="01203BB8"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Yes</w:t>
            </w:r>
          </w:p>
        </w:tc>
        <w:tc>
          <w:tcPr>
            <w:tcW w:w="760" w:type="pct"/>
            <w:gridSpan w:val="3"/>
            <w:tcBorders>
              <w:top w:val="nil"/>
              <w:left w:val="nil"/>
              <w:bottom w:val="nil"/>
              <w:right w:val="nil"/>
            </w:tcBorders>
            <w:shd w:val="clear" w:color="000000" w:fill="FFFFFF"/>
            <w:noWrap/>
            <w:vAlign w:val="bottom"/>
            <w:hideMark/>
          </w:tcPr>
          <w:p w14:paraId="4C9FA8F5"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Yes</w:t>
            </w:r>
          </w:p>
        </w:tc>
      </w:tr>
      <w:tr w:rsidR="00E57A11" w:rsidRPr="00F62082" w14:paraId="1B01E395" w14:textId="77777777" w:rsidTr="006B635B">
        <w:trPr>
          <w:trHeight w:val="57"/>
        </w:trPr>
        <w:tc>
          <w:tcPr>
            <w:tcW w:w="1020" w:type="pct"/>
            <w:tcBorders>
              <w:top w:val="nil"/>
              <w:left w:val="nil"/>
              <w:right w:val="nil"/>
            </w:tcBorders>
            <w:shd w:val="clear" w:color="000000" w:fill="FFFFFF"/>
            <w:noWrap/>
            <w:vAlign w:val="bottom"/>
            <w:hideMark/>
          </w:tcPr>
          <w:p w14:paraId="36E33FC3" w14:textId="77777777" w:rsidR="00E57A11" w:rsidRPr="00DA1D07" w:rsidRDefault="00E57A11" w:rsidP="002753C1">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Year fixed effects</w:t>
            </w:r>
          </w:p>
        </w:tc>
        <w:tc>
          <w:tcPr>
            <w:tcW w:w="1006" w:type="pct"/>
            <w:gridSpan w:val="3"/>
            <w:tcBorders>
              <w:top w:val="nil"/>
              <w:left w:val="nil"/>
              <w:right w:val="nil"/>
            </w:tcBorders>
            <w:shd w:val="clear" w:color="000000" w:fill="FFFFFF"/>
            <w:noWrap/>
            <w:vAlign w:val="bottom"/>
            <w:hideMark/>
          </w:tcPr>
          <w:p w14:paraId="4711F0F5"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Yes</w:t>
            </w:r>
          </w:p>
        </w:tc>
        <w:tc>
          <w:tcPr>
            <w:tcW w:w="1342" w:type="pct"/>
            <w:gridSpan w:val="3"/>
            <w:tcBorders>
              <w:top w:val="nil"/>
              <w:left w:val="nil"/>
              <w:right w:val="nil"/>
            </w:tcBorders>
            <w:shd w:val="clear" w:color="000000" w:fill="FFFFFF"/>
            <w:noWrap/>
            <w:vAlign w:val="bottom"/>
            <w:hideMark/>
          </w:tcPr>
          <w:p w14:paraId="1655CE08"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Yes</w:t>
            </w:r>
          </w:p>
        </w:tc>
        <w:tc>
          <w:tcPr>
            <w:tcW w:w="873" w:type="pct"/>
            <w:gridSpan w:val="3"/>
            <w:tcBorders>
              <w:top w:val="nil"/>
              <w:left w:val="nil"/>
              <w:right w:val="nil"/>
            </w:tcBorders>
            <w:shd w:val="clear" w:color="000000" w:fill="FFFFFF"/>
            <w:noWrap/>
            <w:vAlign w:val="bottom"/>
            <w:hideMark/>
          </w:tcPr>
          <w:p w14:paraId="74CDD960"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Yes</w:t>
            </w:r>
          </w:p>
        </w:tc>
        <w:tc>
          <w:tcPr>
            <w:tcW w:w="760" w:type="pct"/>
            <w:gridSpan w:val="3"/>
            <w:tcBorders>
              <w:top w:val="nil"/>
              <w:left w:val="nil"/>
              <w:right w:val="nil"/>
            </w:tcBorders>
            <w:shd w:val="clear" w:color="000000" w:fill="FFFFFF"/>
            <w:noWrap/>
            <w:vAlign w:val="bottom"/>
            <w:hideMark/>
          </w:tcPr>
          <w:p w14:paraId="18193B3A"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Yes</w:t>
            </w:r>
          </w:p>
        </w:tc>
      </w:tr>
      <w:tr w:rsidR="00E57A11" w:rsidRPr="00F62082" w14:paraId="25F9F1D8" w14:textId="77777777" w:rsidTr="006B635B">
        <w:trPr>
          <w:trHeight w:val="57"/>
        </w:trPr>
        <w:tc>
          <w:tcPr>
            <w:tcW w:w="1020" w:type="pct"/>
            <w:tcBorders>
              <w:top w:val="nil"/>
              <w:left w:val="nil"/>
              <w:bottom w:val="single" w:sz="4" w:space="0" w:color="auto"/>
              <w:right w:val="nil"/>
            </w:tcBorders>
            <w:shd w:val="clear" w:color="000000" w:fill="FFFFFF"/>
            <w:noWrap/>
            <w:vAlign w:val="bottom"/>
            <w:hideMark/>
          </w:tcPr>
          <w:p w14:paraId="328497DB" w14:textId="77777777" w:rsidR="00E57A11" w:rsidRPr="00DA1D07" w:rsidRDefault="00E57A11" w:rsidP="002753C1">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Model</w:t>
            </w:r>
          </w:p>
        </w:tc>
        <w:tc>
          <w:tcPr>
            <w:tcW w:w="1006" w:type="pct"/>
            <w:gridSpan w:val="3"/>
            <w:tcBorders>
              <w:top w:val="nil"/>
              <w:left w:val="nil"/>
              <w:bottom w:val="single" w:sz="4" w:space="0" w:color="auto"/>
              <w:right w:val="nil"/>
            </w:tcBorders>
            <w:shd w:val="clear" w:color="000000" w:fill="FFFFFF"/>
            <w:noWrap/>
            <w:vAlign w:val="bottom"/>
            <w:hideMark/>
          </w:tcPr>
          <w:p w14:paraId="23C28666"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OLS</w:t>
            </w:r>
          </w:p>
        </w:tc>
        <w:tc>
          <w:tcPr>
            <w:tcW w:w="1342" w:type="pct"/>
            <w:gridSpan w:val="3"/>
            <w:tcBorders>
              <w:top w:val="nil"/>
              <w:left w:val="nil"/>
              <w:bottom w:val="single" w:sz="4" w:space="0" w:color="auto"/>
              <w:right w:val="nil"/>
            </w:tcBorders>
            <w:shd w:val="clear" w:color="000000" w:fill="FFFFFF"/>
            <w:noWrap/>
            <w:vAlign w:val="bottom"/>
            <w:hideMark/>
          </w:tcPr>
          <w:p w14:paraId="78AAC8B9"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Poisson</w:t>
            </w:r>
          </w:p>
        </w:tc>
        <w:tc>
          <w:tcPr>
            <w:tcW w:w="873" w:type="pct"/>
            <w:gridSpan w:val="3"/>
            <w:tcBorders>
              <w:top w:val="nil"/>
              <w:left w:val="nil"/>
              <w:bottom w:val="single" w:sz="4" w:space="0" w:color="auto"/>
              <w:right w:val="nil"/>
            </w:tcBorders>
            <w:shd w:val="clear" w:color="000000" w:fill="FFFFFF"/>
            <w:noWrap/>
            <w:vAlign w:val="bottom"/>
            <w:hideMark/>
          </w:tcPr>
          <w:p w14:paraId="4AE360F6"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OLS</w:t>
            </w:r>
          </w:p>
        </w:tc>
        <w:tc>
          <w:tcPr>
            <w:tcW w:w="760" w:type="pct"/>
            <w:gridSpan w:val="3"/>
            <w:tcBorders>
              <w:top w:val="nil"/>
              <w:left w:val="nil"/>
              <w:bottom w:val="single" w:sz="4" w:space="0" w:color="auto"/>
              <w:right w:val="nil"/>
            </w:tcBorders>
            <w:shd w:val="clear" w:color="000000" w:fill="FFFFFF"/>
            <w:noWrap/>
            <w:vAlign w:val="bottom"/>
            <w:hideMark/>
          </w:tcPr>
          <w:p w14:paraId="100B8BAC"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Poisson</w:t>
            </w:r>
          </w:p>
        </w:tc>
      </w:tr>
    </w:tbl>
    <w:p w14:paraId="00BFB354" w14:textId="77777777" w:rsidR="00E57A11" w:rsidRPr="00DA1D07" w:rsidRDefault="00E57A11" w:rsidP="00E57A11">
      <w:pPr>
        <w:tabs>
          <w:tab w:val="left" w:pos="1425"/>
        </w:tabs>
        <w:rPr>
          <w:lang w:val="en-US"/>
        </w:rPr>
      </w:pPr>
    </w:p>
    <w:p w14:paraId="554F5869" w14:textId="77777777" w:rsidR="00E57A11" w:rsidRPr="00DA1D07" w:rsidRDefault="00E57A11" w:rsidP="00E57A11">
      <w:pPr>
        <w:rPr>
          <w:lang w:val="en-US"/>
        </w:rPr>
      </w:pPr>
    </w:p>
    <w:p w14:paraId="5FFF8524" w14:textId="77777777" w:rsidR="00E57A11" w:rsidRPr="00DA1D07" w:rsidRDefault="00E57A11" w:rsidP="00E57A11">
      <w:pPr>
        <w:rPr>
          <w:lang w:val="en-US"/>
        </w:rPr>
        <w:sectPr w:rsidR="00E57A11" w:rsidRPr="00DA1D07" w:rsidSect="00B437C7">
          <w:pgSz w:w="11906" w:h="16838"/>
          <w:pgMar w:top="1276" w:right="1440" w:bottom="1440" w:left="1440" w:header="708" w:footer="708" w:gutter="0"/>
          <w:cols w:space="708"/>
          <w:docGrid w:linePitch="360"/>
        </w:sectPr>
      </w:pPr>
    </w:p>
    <w:tbl>
      <w:tblPr>
        <w:tblW w:w="0" w:type="auto"/>
        <w:tblLayout w:type="fixed"/>
        <w:tblCellMar>
          <w:left w:w="29" w:type="dxa"/>
          <w:right w:w="0" w:type="dxa"/>
        </w:tblCellMar>
        <w:tblLook w:val="04A0" w:firstRow="1" w:lastRow="0" w:firstColumn="1" w:lastColumn="0" w:noHBand="0" w:noVBand="1"/>
      </w:tblPr>
      <w:tblGrid>
        <w:gridCol w:w="1923"/>
        <w:gridCol w:w="393"/>
        <w:gridCol w:w="1342"/>
        <w:gridCol w:w="1342"/>
        <w:gridCol w:w="1210"/>
        <w:gridCol w:w="1474"/>
        <w:gridCol w:w="1342"/>
      </w:tblGrid>
      <w:tr w:rsidR="001B7ED4" w:rsidRPr="001B7ED4" w14:paraId="5BF53553" w14:textId="77777777" w:rsidTr="001B7ED4">
        <w:trPr>
          <w:trHeight w:val="315"/>
        </w:trPr>
        <w:tc>
          <w:tcPr>
            <w:tcW w:w="9026" w:type="dxa"/>
            <w:gridSpan w:val="7"/>
            <w:tcBorders>
              <w:top w:val="nil"/>
              <w:left w:val="nil"/>
              <w:bottom w:val="nil"/>
              <w:right w:val="nil"/>
            </w:tcBorders>
            <w:shd w:val="clear" w:color="auto" w:fill="auto"/>
            <w:noWrap/>
            <w:vAlign w:val="center"/>
            <w:hideMark/>
          </w:tcPr>
          <w:p w14:paraId="26EFE371" w14:textId="725D002F" w:rsidR="001B7ED4" w:rsidRPr="001B7ED4" w:rsidRDefault="001B7ED4" w:rsidP="001B7ED4">
            <w:pPr>
              <w:spacing w:after="0" w:line="240" w:lineRule="auto"/>
              <w:jc w:val="center"/>
              <w:rPr>
                <w:rFonts w:ascii="Times New Roman" w:eastAsia="Times New Roman" w:hAnsi="Times New Roman" w:cs="Times New Roman"/>
                <w:b/>
                <w:bCs/>
                <w:color w:val="000000"/>
                <w:sz w:val="24"/>
                <w:szCs w:val="24"/>
                <w:lang w:eastAsia="en-GB"/>
              </w:rPr>
            </w:pPr>
            <w:r w:rsidRPr="001B7ED4">
              <w:rPr>
                <w:rFonts w:ascii="Times New Roman" w:eastAsia="Times New Roman" w:hAnsi="Times New Roman" w:cs="Times New Roman"/>
                <w:b/>
                <w:bCs/>
                <w:color w:val="000000"/>
                <w:sz w:val="24"/>
                <w:szCs w:val="24"/>
                <w:lang w:val="en-US" w:eastAsia="en-GB"/>
              </w:rPr>
              <w:lastRenderedPageBreak/>
              <w:t xml:space="preserve">TABLE </w:t>
            </w:r>
            <w:r w:rsidR="00A85564">
              <w:rPr>
                <w:rFonts w:ascii="Times New Roman" w:eastAsia="Times New Roman" w:hAnsi="Times New Roman" w:cs="Times New Roman"/>
                <w:b/>
                <w:bCs/>
                <w:color w:val="000000"/>
                <w:sz w:val="24"/>
                <w:szCs w:val="24"/>
                <w:lang w:val="en-US" w:eastAsia="en-GB"/>
              </w:rPr>
              <w:t>7</w:t>
            </w:r>
          </w:p>
        </w:tc>
      </w:tr>
      <w:tr w:rsidR="001B7ED4" w:rsidRPr="001B7ED4" w14:paraId="7BE2B84D" w14:textId="77777777" w:rsidTr="001B7ED4">
        <w:trPr>
          <w:trHeight w:val="315"/>
        </w:trPr>
        <w:tc>
          <w:tcPr>
            <w:tcW w:w="9026" w:type="dxa"/>
            <w:gridSpan w:val="7"/>
            <w:tcBorders>
              <w:top w:val="nil"/>
              <w:left w:val="nil"/>
              <w:bottom w:val="nil"/>
              <w:right w:val="nil"/>
            </w:tcBorders>
            <w:shd w:val="clear" w:color="auto" w:fill="auto"/>
            <w:noWrap/>
            <w:vAlign w:val="center"/>
            <w:hideMark/>
          </w:tcPr>
          <w:p w14:paraId="690B91BC" w14:textId="77777777" w:rsidR="001B7ED4" w:rsidRPr="001B7ED4" w:rsidRDefault="001B7ED4" w:rsidP="001B7ED4">
            <w:pPr>
              <w:spacing w:after="0" w:line="240" w:lineRule="auto"/>
              <w:jc w:val="center"/>
              <w:rPr>
                <w:rFonts w:ascii="Times New Roman" w:eastAsia="Times New Roman" w:hAnsi="Times New Roman" w:cs="Times New Roman"/>
                <w:b/>
                <w:bCs/>
                <w:color w:val="000000"/>
                <w:sz w:val="24"/>
                <w:szCs w:val="24"/>
                <w:lang w:eastAsia="en-GB"/>
              </w:rPr>
            </w:pPr>
            <w:r w:rsidRPr="001B7ED4">
              <w:rPr>
                <w:rFonts w:ascii="Times New Roman" w:eastAsia="Times New Roman" w:hAnsi="Times New Roman" w:cs="Times New Roman"/>
                <w:b/>
                <w:bCs/>
                <w:color w:val="000000"/>
                <w:sz w:val="24"/>
                <w:szCs w:val="24"/>
                <w:lang w:val="en-US" w:eastAsia="en-GB"/>
              </w:rPr>
              <w:t>The Effect of FAS123R on Violations and Penalties</w:t>
            </w:r>
          </w:p>
        </w:tc>
      </w:tr>
      <w:tr w:rsidR="001B7ED4" w:rsidRPr="001B7ED4" w14:paraId="082B94E4" w14:textId="77777777" w:rsidTr="001B7ED4">
        <w:trPr>
          <w:trHeight w:val="3480"/>
        </w:trPr>
        <w:tc>
          <w:tcPr>
            <w:tcW w:w="9026" w:type="dxa"/>
            <w:gridSpan w:val="7"/>
            <w:tcBorders>
              <w:top w:val="nil"/>
              <w:left w:val="nil"/>
              <w:bottom w:val="nil"/>
              <w:right w:val="nil"/>
            </w:tcBorders>
            <w:shd w:val="clear" w:color="auto" w:fill="auto"/>
            <w:vAlign w:val="center"/>
            <w:hideMark/>
          </w:tcPr>
          <w:p w14:paraId="43C56E77" w14:textId="651FBB05" w:rsidR="001B7ED4" w:rsidRPr="001B7ED4" w:rsidRDefault="001B7ED4" w:rsidP="001B7ED4">
            <w:pPr>
              <w:spacing w:after="0" w:line="240" w:lineRule="auto"/>
              <w:jc w:val="both"/>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 xml:space="preserve">This table reports in Panel A the descriptive statistics for treatment and control samples employed in difference-in-difference analysis and in Panel B the results for the difference-in-difference analysis. The estimation results are from OLS </w:t>
            </w:r>
            <w:r w:rsidRPr="000A50EF">
              <w:rPr>
                <w:rFonts w:ascii="Times New Roman" w:eastAsia="Times New Roman" w:hAnsi="Times New Roman" w:cs="Times New Roman"/>
                <w:color w:val="000000"/>
                <w:sz w:val="24"/>
                <w:szCs w:val="24"/>
                <w:lang w:val="en-US" w:eastAsia="en-GB"/>
              </w:rPr>
              <w:t xml:space="preserve">regression. </w:t>
            </w:r>
            <w:r w:rsidR="000A50EF" w:rsidRPr="00A705CD">
              <w:rPr>
                <w:rFonts w:ascii="Times New Roman" w:eastAsia="Times New Roman" w:hAnsi="Times New Roman" w:cs="Times New Roman"/>
                <w:i/>
                <w:iCs/>
                <w:color w:val="000000"/>
                <w:sz w:val="24"/>
                <w:szCs w:val="24"/>
                <w:lang w:val="en-US" w:eastAsia="en-GB"/>
              </w:rPr>
              <w:t>Treatment</w:t>
            </w:r>
            <w:r w:rsidR="000A50EF" w:rsidRPr="000A50EF">
              <w:rPr>
                <w:rFonts w:ascii="Times New Roman" w:eastAsia="Times New Roman" w:hAnsi="Times New Roman" w:cs="Times New Roman"/>
                <w:color w:val="000000"/>
                <w:sz w:val="24"/>
                <w:szCs w:val="24"/>
                <w:lang w:val="en-US" w:eastAsia="en-GB"/>
              </w:rPr>
              <w:t xml:space="preserve"> </w:t>
            </w:r>
            <w:r w:rsidRPr="000A50EF">
              <w:rPr>
                <w:rFonts w:ascii="Times New Roman" w:eastAsia="Times New Roman" w:hAnsi="Times New Roman" w:cs="Times New Roman"/>
                <w:color w:val="000000"/>
                <w:sz w:val="24"/>
                <w:szCs w:val="24"/>
                <w:lang w:val="en-US" w:eastAsia="en-GB"/>
              </w:rPr>
              <w:t xml:space="preserve">firms </w:t>
            </w:r>
            <w:r w:rsidR="000A50EF">
              <w:rPr>
                <w:rFonts w:ascii="Times New Roman" w:eastAsia="Times New Roman" w:hAnsi="Times New Roman" w:cs="Times New Roman"/>
                <w:color w:val="000000"/>
                <w:sz w:val="24"/>
                <w:szCs w:val="24"/>
                <w:lang w:val="en-US" w:eastAsia="en-GB"/>
              </w:rPr>
              <w:t>are defined as</w:t>
            </w:r>
            <w:r w:rsidR="000A50EF" w:rsidRPr="000A50EF">
              <w:rPr>
                <w:rFonts w:ascii="Times New Roman" w:eastAsia="Times New Roman" w:hAnsi="Times New Roman" w:cs="Times New Roman"/>
                <w:color w:val="000000"/>
                <w:sz w:val="24"/>
                <w:szCs w:val="24"/>
                <w:lang w:val="en-US" w:eastAsia="en-GB"/>
              </w:rPr>
              <w:t xml:space="preserve"> </w:t>
            </w:r>
            <w:r w:rsidRPr="000A50EF">
              <w:rPr>
                <w:rFonts w:ascii="Times New Roman" w:eastAsia="Times New Roman" w:hAnsi="Times New Roman" w:cs="Times New Roman"/>
                <w:color w:val="000000"/>
                <w:sz w:val="24"/>
                <w:szCs w:val="24"/>
                <w:lang w:val="en-US" w:eastAsia="en-GB"/>
              </w:rPr>
              <w:t>those with pro forma option expenses in the top tercile in the pre-SFAS 123R period</w:t>
            </w:r>
            <w:r w:rsidR="008225A8" w:rsidRPr="000A50EF">
              <w:rPr>
                <w:rFonts w:ascii="Times New Roman" w:eastAsia="Times New Roman" w:hAnsi="Times New Roman" w:cs="Times New Roman"/>
                <w:color w:val="000000"/>
                <w:sz w:val="24"/>
                <w:szCs w:val="24"/>
                <w:lang w:val="en-US" w:eastAsia="en-GB"/>
              </w:rPr>
              <w:t xml:space="preserve">, </w:t>
            </w:r>
            <w:r w:rsidRPr="000A50EF">
              <w:rPr>
                <w:rFonts w:ascii="Times New Roman" w:eastAsia="Times New Roman" w:hAnsi="Times New Roman" w:cs="Times New Roman"/>
                <w:color w:val="000000"/>
                <w:sz w:val="24"/>
                <w:szCs w:val="24"/>
                <w:lang w:val="en-US" w:eastAsia="en-GB"/>
              </w:rPr>
              <w:t xml:space="preserve">and the </w:t>
            </w:r>
            <w:r w:rsidR="000A50EF">
              <w:rPr>
                <w:rFonts w:ascii="Times New Roman" w:eastAsia="Times New Roman" w:hAnsi="Times New Roman" w:cs="Times New Roman"/>
                <w:color w:val="000000"/>
                <w:sz w:val="24"/>
                <w:szCs w:val="24"/>
                <w:lang w:val="en-US" w:eastAsia="en-GB"/>
              </w:rPr>
              <w:t>c</w:t>
            </w:r>
            <w:r w:rsidRPr="000A50EF">
              <w:rPr>
                <w:rFonts w:ascii="Times New Roman" w:eastAsia="Times New Roman" w:hAnsi="Times New Roman" w:cs="Times New Roman"/>
                <w:color w:val="000000"/>
                <w:sz w:val="24"/>
                <w:szCs w:val="24"/>
                <w:lang w:val="en-US" w:eastAsia="en-GB"/>
              </w:rPr>
              <w:t>ontrol firms as those with pro forma option expenses in the bottom tercile in the pre-SFAS 123R period</w:t>
            </w:r>
            <w:r w:rsidR="008225A8" w:rsidRPr="000A50EF">
              <w:rPr>
                <w:rFonts w:ascii="Times New Roman" w:eastAsia="Times New Roman" w:hAnsi="Times New Roman" w:cs="Times New Roman"/>
                <w:color w:val="000000"/>
                <w:sz w:val="24"/>
                <w:szCs w:val="24"/>
                <w:lang w:val="en-US" w:eastAsia="en-GB"/>
              </w:rPr>
              <w:t xml:space="preserve">. </w:t>
            </w:r>
            <w:r w:rsidRPr="000A50EF">
              <w:rPr>
                <w:rFonts w:ascii="Times New Roman" w:eastAsia="Times New Roman" w:hAnsi="Times New Roman" w:cs="Times New Roman"/>
                <w:i/>
                <w:iCs/>
                <w:color w:val="000000"/>
                <w:sz w:val="24"/>
                <w:szCs w:val="24"/>
                <w:lang w:val="en-US" w:eastAsia="en-GB"/>
              </w:rPr>
              <w:t>Po</w:t>
            </w:r>
            <w:r w:rsidRPr="00130B9A">
              <w:rPr>
                <w:rFonts w:ascii="Times New Roman" w:eastAsia="Times New Roman" w:hAnsi="Times New Roman" w:cs="Times New Roman"/>
                <w:i/>
                <w:iCs/>
                <w:color w:val="000000"/>
                <w:sz w:val="24"/>
                <w:szCs w:val="24"/>
                <w:lang w:val="en-US" w:eastAsia="en-GB"/>
              </w:rPr>
              <w:t>s</w:t>
            </w:r>
            <w:r w:rsidR="00130B9A" w:rsidRPr="00044213">
              <w:rPr>
                <w:rFonts w:ascii="Times New Roman" w:eastAsia="Times New Roman" w:hAnsi="Times New Roman" w:cs="Times New Roman"/>
                <w:i/>
                <w:iCs/>
                <w:color w:val="000000"/>
                <w:sz w:val="24"/>
                <w:szCs w:val="24"/>
                <w:lang w:val="en-US" w:eastAsia="en-GB"/>
              </w:rPr>
              <w:t>t</w:t>
            </w:r>
            <w:r w:rsidR="00130B9A">
              <w:rPr>
                <w:rFonts w:ascii="Times New Roman" w:eastAsia="Times New Roman" w:hAnsi="Times New Roman" w:cs="Times New Roman"/>
                <w:color w:val="000000"/>
                <w:sz w:val="24"/>
                <w:szCs w:val="24"/>
                <w:lang w:val="en-US" w:eastAsia="en-GB"/>
              </w:rPr>
              <w:t xml:space="preserve"> </w:t>
            </w:r>
            <w:r w:rsidRPr="000A50EF">
              <w:rPr>
                <w:rFonts w:ascii="Times New Roman" w:eastAsia="Times New Roman" w:hAnsi="Times New Roman" w:cs="Times New Roman"/>
                <w:color w:val="000000"/>
                <w:sz w:val="24"/>
                <w:szCs w:val="24"/>
                <w:lang w:val="en-US" w:eastAsia="en-GB"/>
              </w:rPr>
              <w:t xml:space="preserve">is an indicator variable that takes the value of one in the post-period defined as 2006-2008, i.e. after SFAS </w:t>
            </w:r>
            <w:r w:rsidRPr="00130B9A">
              <w:rPr>
                <w:rFonts w:ascii="Times New Roman" w:eastAsia="Times New Roman" w:hAnsi="Times New Roman" w:cs="Times New Roman"/>
                <w:color w:val="000000"/>
                <w:sz w:val="24"/>
                <w:szCs w:val="24"/>
                <w:lang w:val="en-US" w:eastAsia="en-GB"/>
              </w:rPr>
              <w:t>123R was implemented, and zero otherwise. Pre-period is defined as year</w:t>
            </w:r>
            <w:r w:rsidR="00155940" w:rsidRPr="00130B9A">
              <w:rPr>
                <w:rFonts w:ascii="Times New Roman" w:eastAsia="Times New Roman" w:hAnsi="Times New Roman" w:cs="Times New Roman"/>
                <w:color w:val="000000"/>
                <w:sz w:val="24"/>
                <w:szCs w:val="24"/>
                <w:lang w:val="en-US" w:eastAsia="en-GB"/>
              </w:rPr>
              <w:t>s</w:t>
            </w:r>
            <w:r w:rsidRPr="00130B9A">
              <w:rPr>
                <w:rFonts w:ascii="Times New Roman" w:eastAsia="Times New Roman" w:hAnsi="Times New Roman" w:cs="Times New Roman"/>
                <w:color w:val="000000"/>
                <w:sz w:val="24"/>
                <w:szCs w:val="24"/>
                <w:lang w:val="en-US" w:eastAsia="en-GB"/>
              </w:rPr>
              <w:t xml:space="preserve"> 2002-2004. </w:t>
            </w:r>
            <w:r w:rsidR="000948A1" w:rsidRPr="00130B9A">
              <w:rPr>
                <w:rFonts w:ascii="Times New Roman" w:eastAsia="Times New Roman" w:hAnsi="Times New Roman" w:cs="Times New Roman"/>
                <w:i/>
                <w:iCs/>
                <w:color w:val="000000"/>
                <w:sz w:val="24"/>
                <w:szCs w:val="24"/>
                <w:lang w:val="en-US" w:eastAsia="en-GB"/>
              </w:rPr>
              <w:t>Treatment*Post</w:t>
            </w:r>
            <w:r w:rsidR="000948A1" w:rsidRPr="00130B9A">
              <w:rPr>
                <w:rFonts w:ascii="Times New Roman" w:eastAsia="Times New Roman" w:hAnsi="Times New Roman" w:cs="Times New Roman"/>
                <w:color w:val="000000"/>
                <w:sz w:val="24"/>
                <w:szCs w:val="24"/>
                <w:lang w:val="en-US" w:eastAsia="en-GB"/>
              </w:rPr>
              <w:t xml:space="preserve"> </w:t>
            </w:r>
            <w:r w:rsidR="000948A1" w:rsidRPr="00044213">
              <w:rPr>
                <w:rFonts w:asciiTheme="majorBidi" w:eastAsia="Times New Roman" w:hAnsiTheme="majorBidi" w:cstheme="majorBidi"/>
                <w:iCs/>
                <w:sz w:val="24"/>
                <w:szCs w:val="24"/>
                <w:lang w:val="en-US"/>
              </w:rPr>
              <w:t>captures the average incremental effect of the introduction of SFAS 123R for treatment firms</w:t>
            </w:r>
            <w:r w:rsidR="000948A1" w:rsidRPr="00130B9A">
              <w:rPr>
                <w:rFonts w:ascii="Times New Roman" w:eastAsia="Times New Roman" w:hAnsi="Times New Roman" w:cs="Times New Roman"/>
                <w:i/>
                <w:iCs/>
                <w:color w:val="000000"/>
                <w:sz w:val="24"/>
                <w:szCs w:val="24"/>
                <w:lang w:val="en-US" w:eastAsia="en-GB"/>
              </w:rPr>
              <w:t>.</w:t>
            </w:r>
            <w:r w:rsidR="000948A1">
              <w:rPr>
                <w:rFonts w:ascii="Times New Roman" w:eastAsia="Times New Roman" w:hAnsi="Times New Roman" w:cs="Times New Roman"/>
                <w:i/>
                <w:iCs/>
                <w:color w:val="000000"/>
                <w:sz w:val="24"/>
                <w:szCs w:val="24"/>
                <w:lang w:val="en-US" w:eastAsia="en-GB"/>
              </w:rPr>
              <w:t xml:space="preserve"> </w:t>
            </w:r>
            <w:r w:rsidRPr="000A50EF">
              <w:rPr>
                <w:rFonts w:ascii="Times New Roman" w:eastAsia="Times New Roman" w:hAnsi="Times New Roman" w:cs="Times New Roman"/>
                <w:i/>
                <w:iCs/>
                <w:color w:val="000000"/>
                <w:sz w:val="24"/>
                <w:szCs w:val="24"/>
                <w:lang w:val="en-US" w:eastAsia="en-GB"/>
              </w:rPr>
              <w:t xml:space="preserve">Leverage, </w:t>
            </w:r>
            <w:proofErr w:type="spellStart"/>
            <w:r w:rsidRPr="000A50EF">
              <w:rPr>
                <w:rFonts w:ascii="Times New Roman" w:eastAsia="Times New Roman" w:hAnsi="Times New Roman" w:cs="Times New Roman"/>
                <w:i/>
                <w:iCs/>
                <w:color w:val="000000"/>
                <w:sz w:val="24"/>
                <w:szCs w:val="24"/>
                <w:lang w:val="en-US" w:eastAsia="en-GB"/>
              </w:rPr>
              <w:t>FirmSize</w:t>
            </w:r>
            <w:proofErr w:type="spellEnd"/>
            <w:r w:rsidRPr="000A50EF">
              <w:rPr>
                <w:rFonts w:ascii="Times New Roman" w:eastAsia="Times New Roman" w:hAnsi="Times New Roman" w:cs="Times New Roman"/>
                <w:i/>
                <w:iCs/>
                <w:color w:val="000000"/>
                <w:sz w:val="24"/>
                <w:szCs w:val="24"/>
                <w:lang w:val="en-US" w:eastAsia="en-GB"/>
              </w:rPr>
              <w:t>, Employees, Market-to-Book</w:t>
            </w:r>
            <w:r w:rsidRPr="000A50EF">
              <w:rPr>
                <w:rFonts w:ascii="Times New Roman" w:eastAsia="Times New Roman" w:hAnsi="Times New Roman" w:cs="Times New Roman"/>
                <w:color w:val="000000"/>
                <w:sz w:val="24"/>
                <w:szCs w:val="24"/>
                <w:lang w:val="en-US" w:eastAsia="en-GB"/>
              </w:rPr>
              <w:t xml:space="preserve">, and </w:t>
            </w:r>
            <w:r w:rsidRPr="000A50EF">
              <w:rPr>
                <w:rFonts w:ascii="Times New Roman" w:eastAsia="Times New Roman" w:hAnsi="Times New Roman" w:cs="Times New Roman"/>
                <w:i/>
                <w:iCs/>
                <w:color w:val="000000"/>
                <w:sz w:val="24"/>
                <w:szCs w:val="24"/>
                <w:lang w:val="en-US" w:eastAsia="en-GB"/>
              </w:rPr>
              <w:t>Tangibility</w:t>
            </w:r>
            <w:r w:rsidRPr="000A50EF">
              <w:rPr>
                <w:rFonts w:ascii="Times New Roman" w:eastAsia="Times New Roman" w:hAnsi="Times New Roman" w:cs="Times New Roman"/>
                <w:color w:val="000000"/>
                <w:sz w:val="24"/>
                <w:szCs w:val="24"/>
                <w:lang w:val="en-US" w:eastAsia="en-GB"/>
              </w:rPr>
              <w:t xml:space="preserve"> are lagged one year, while </w:t>
            </w:r>
            <w:proofErr w:type="spellStart"/>
            <w:r w:rsidRPr="000A50EF">
              <w:rPr>
                <w:rFonts w:ascii="Times New Roman" w:eastAsia="Times New Roman" w:hAnsi="Times New Roman" w:cs="Times New Roman"/>
                <w:i/>
                <w:iCs/>
                <w:color w:val="000000"/>
                <w:sz w:val="24"/>
                <w:szCs w:val="24"/>
                <w:lang w:val="en-US" w:eastAsia="en-GB"/>
              </w:rPr>
              <w:t>CashFlow</w:t>
            </w:r>
            <w:proofErr w:type="spellEnd"/>
            <w:r w:rsidRPr="000A50EF">
              <w:rPr>
                <w:rFonts w:ascii="Times New Roman" w:eastAsia="Times New Roman" w:hAnsi="Times New Roman" w:cs="Times New Roman"/>
                <w:i/>
                <w:iCs/>
                <w:color w:val="000000"/>
                <w:sz w:val="24"/>
                <w:szCs w:val="24"/>
                <w:lang w:val="en-US" w:eastAsia="en-GB"/>
              </w:rPr>
              <w:t xml:space="preserve">, </w:t>
            </w:r>
            <w:proofErr w:type="spellStart"/>
            <w:r w:rsidRPr="000A50EF">
              <w:rPr>
                <w:rFonts w:ascii="Times New Roman" w:eastAsia="Times New Roman" w:hAnsi="Times New Roman" w:cs="Times New Roman"/>
                <w:i/>
                <w:iCs/>
                <w:color w:val="000000"/>
                <w:sz w:val="24"/>
                <w:szCs w:val="24"/>
                <w:lang w:val="en-US" w:eastAsia="en-GB"/>
              </w:rPr>
              <w:t>DividendsPayout</w:t>
            </w:r>
            <w:proofErr w:type="spellEnd"/>
            <w:r w:rsidRPr="000A50EF">
              <w:rPr>
                <w:rFonts w:ascii="Times New Roman" w:eastAsia="Times New Roman" w:hAnsi="Times New Roman" w:cs="Times New Roman"/>
                <w:i/>
                <w:iCs/>
                <w:color w:val="000000"/>
                <w:sz w:val="24"/>
                <w:szCs w:val="24"/>
                <w:lang w:val="en-US" w:eastAsia="en-GB"/>
              </w:rPr>
              <w:t xml:space="preserve">, </w:t>
            </w:r>
            <w:proofErr w:type="spellStart"/>
            <w:r w:rsidRPr="000A50EF">
              <w:rPr>
                <w:rFonts w:ascii="Times New Roman" w:eastAsia="Times New Roman" w:hAnsi="Times New Roman" w:cs="Times New Roman"/>
                <w:i/>
                <w:iCs/>
                <w:color w:val="000000"/>
                <w:sz w:val="24"/>
                <w:szCs w:val="24"/>
                <w:lang w:val="en-US" w:eastAsia="en-GB"/>
              </w:rPr>
              <w:t>AssetTurnover</w:t>
            </w:r>
            <w:proofErr w:type="spellEnd"/>
            <w:r w:rsidRPr="000A50EF">
              <w:rPr>
                <w:rFonts w:ascii="Times New Roman" w:eastAsia="Times New Roman" w:hAnsi="Times New Roman" w:cs="Times New Roman"/>
                <w:i/>
                <w:iCs/>
                <w:color w:val="000000"/>
                <w:sz w:val="24"/>
                <w:szCs w:val="24"/>
                <w:lang w:val="en-US" w:eastAsia="en-GB"/>
              </w:rPr>
              <w:t>, Capex</w:t>
            </w:r>
            <w:r w:rsidRPr="001B7ED4">
              <w:rPr>
                <w:rFonts w:ascii="Times New Roman" w:eastAsia="Times New Roman" w:hAnsi="Times New Roman" w:cs="Times New Roman"/>
                <w:i/>
                <w:iCs/>
                <w:color w:val="000000"/>
                <w:sz w:val="24"/>
                <w:szCs w:val="24"/>
                <w:lang w:val="en-US" w:eastAsia="en-GB"/>
              </w:rPr>
              <w:t xml:space="preserve">, RET, </w:t>
            </w:r>
            <w:proofErr w:type="spellStart"/>
            <w:r w:rsidRPr="001B7ED4">
              <w:rPr>
                <w:rFonts w:ascii="Times New Roman" w:eastAsia="Times New Roman" w:hAnsi="Times New Roman" w:cs="Times New Roman"/>
                <w:i/>
                <w:iCs/>
                <w:color w:val="000000"/>
                <w:sz w:val="24"/>
                <w:szCs w:val="24"/>
                <w:lang w:val="en-US" w:eastAsia="en-GB"/>
              </w:rPr>
              <w:t>CEOage</w:t>
            </w:r>
            <w:proofErr w:type="spellEnd"/>
            <w:r w:rsidR="00155940">
              <w:rPr>
                <w:rFonts w:ascii="Times New Roman" w:eastAsia="Times New Roman" w:hAnsi="Times New Roman" w:cs="Times New Roman"/>
                <w:i/>
                <w:iCs/>
                <w:color w:val="000000"/>
                <w:sz w:val="24"/>
                <w:szCs w:val="24"/>
                <w:lang w:val="en-US" w:eastAsia="en-GB"/>
              </w:rPr>
              <w:t>,</w:t>
            </w:r>
            <w:r w:rsidRPr="001B7ED4">
              <w:rPr>
                <w:rFonts w:ascii="Times New Roman" w:eastAsia="Times New Roman" w:hAnsi="Times New Roman" w:cs="Times New Roman"/>
                <w:color w:val="000000"/>
                <w:sz w:val="24"/>
                <w:szCs w:val="24"/>
                <w:lang w:val="en-US" w:eastAsia="en-GB"/>
              </w:rPr>
              <w:t xml:space="preserve"> and </w:t>
            </w:r>
            <w:proofErr w:type="spellStart"/>
            <w:r w:rsidRPr="001B7ED4">
              <w:rPr>
                <w:rFonts w:ascii="Times New Roman" w:eastAsia="Times New Roman" w:hAnsi="Times New Roman" w:cs="Times New Roman"/>
                <w:i/>
                <w:iCs/>
                <w:color w:val="000000"/>
                <w:sz w:val="24"/>
                <w:szCs w:val="24"/>
                <w:lang w:val="en-US" w:eastAsia="en-GB"/>
              </w:rPr>
              <w:t>CEOtenure</w:t>
            </w:r>
            <w:proofErr w:type="spellEnd"/>
            <w:r w:rsidRPr="001B7ED4">
              <w:rPr>
                <w:rFonts w:ascii="Times New Roman" w:eastAsia="Times New Roman" w:hAnsi="Times New Roman" w:cs="Times New Roman"/>
                <w:color w:val="000000"/>
                <w:sz w:val="24"/>
                <w:szCs w:val="24"/>
                <w:lang w:val="en-US" w:eastAsia="en-GB"/>
              </w:rPr>
              <w:t xml:space="preserve"> are measured contemporaneously.</w:t>
            </w:r>
            <w:r w:rsidR="00155940">
              <w:rPr>
                <w:rFonts w:ascii="Times New Roman" w:eastAsia="Times New Roman" w:hAnsi="Times New Roman" w:cs="Times New Roman"/>
                <w:color w:val="000000"/>
                <w:sz w:val="24"/>
                <w:szCs w:val="24"/>
                <w:lang w:val="en-US" w:eastAsia="en-GB"/>
              </w:rPr>
              <w:t xml:space="preserve"> </w:t>
            </w:r>
            <w:r w:rsidRPr="001B7ED4">
              <w:rPr>
                <w:rFonts w:ascii="Times New Roman" w:eastAsia="Times New Roman" w:hAnsi="Times New Roman" w:cs="Times New Roman"/>
                <w:color w:val="000000"/>
                <w:sz w:val="24"/>
                <w:szCs w:val="24"/>
                <w:lang w:val="en-US" w:eastAsia="en-GB"/>
              </w:rPr>
              <w:t xml:space="preserve">All models include firm and year fixed effects. </w:t>
            </w:r>
            <w:r w:rsidR="00130B9A">
              <w:rPr>
                <w:rFonts w:ascii="Times New Roman" w:eastAsia="Times New Roman" w:hAnsi="Times New Roman" w:cs="Times New Roman"/>
                <w:color w:val="000000"/>
                <w:sz w:val="24"/>
                <w:szCs w:val="24"/>
                <w:lang w:val="en-US" w:eastAsia="en-GB"/>
              </w:rPr>
              <w:t>D</w:t>
            </w:r>
            <w:r w:rsidRPr="001B7ED4">
              <w:rPr>
                <w:rFonts w:ascii="Times New Roman" w:eastAsia="Times New Roman" w:hAnsi="Times New Roman" w:cs="Times New Roman"/>
                <w:color w:val="000000"/>
                <w:sz w:val="24"/>
                <w:szCs w:val="24"/>
                <w:lang w:val="en-US" w:eastAsia="en-GB"/>
              </w:rPr>
              <w:t xml:space="preserve">efinitions of all variables are provided in Appendix </w:t>
            </w:r>
            <w:r w:rsidR="006B635B">
              <w:rPr>
                <w:rFonts w:ascii="Times New Roman" w:eastAsia="Times New Roman" w:hAnsi="Times New Roman" w:cs="Times New Roman"/>
                <w:color w:val="000000"/>
                <w:sz w:val="24"/>
                <w:szCs w:val="24"/>
                <w:lang w:val="en-US" w:eastAsia="en-GB"/>
              </w:rPr>
              <w:t>1</w:t>
            </w:r>
            <w:r w:rsidRPr="001B7ED4">
              <w:rPr>
                <w:rFonts w:ascii="Times New Roman" w:eastAsia="Times New Roman" w:hAnsi="Times New Roman" w:cs="Times New Roman"/>
                <w:color w:val="000000"/>
                <w:sz w:val="24"/>
                <w:szCs w:val="24"/>
                <w:lang w:val="en-US" w:eastAsia="en-GB"/>
              </w:rPr>
              <w:t xml:space="preserve">. The values reported in parentheses below coefficients represent t-statistics. Standard errors are clustered at </w:t>
            </w:r>
            <w:r w:rsidR="00130B9A">
              <w:rPr>
                <w:rFonts w:ascii="Times New Roman" w:eastAsia="Times New Roman" w:hAnsi="Times New Roman" w:cs="Times New Roman"/>
                <w:color w:val="000000"/>
                <w:sz w:val="24"/>
                <w:szCs w:val="24"/>
                <w:lang w:val="en-US" w:eastAsia="en-GB"/>
              </w:rPr>
              <w:t xml:space="preserve">the </w:t>
            </w:r>
            <w:r w:rsidRPr="001B7ED4">
              <w:rPr>
                <w:rFonts w:ascii="Times New Roman" w:eastAsia="Times New Roman" w:hAnsi="Times New Roman" w:cs="Times New Roman"/>
                <w:color w:val="000000"/>
                <w:sz w:val="24"/>
                <w:szCs w:val="24"/>
                <w:lang w:val="en-US" w:eastAsia="en-GB"/>
              </w:rPr>
              <w:t>firm level.  *, **, *** represent significance at 1</w:t>
            </w:r>
            <w:r w:rsidR="00130B9A">
              <w:rPr>
                <w:rFonts w:ascii="Times New Roman" w:eastAsia="Times New Roman" w:hAnsi="Times New Roman" w:cs="Times New Roman"/>
                <w:color w:val="000000"/>
                <w:sz w:val="24"/>
                <w:szCs w:val="24"/>
                <w:lang w:val="en-US" w:eastAsia="en-GB"/>
              </w:rPr>
              <w:t>0</w:t>
            </w:r>
            <w:r w:rsidRPr="001B7ED4">
              <w:rPr>
                <w:rFonts w:ascii="Times New Roman" w:eastAsia="Times New Roman" w:hAnsi="Times New Roman" w:cs="Times New Roman"/>
                <w:color w:val="000000"/>
                <w:sz w:val="24"/>
                <w:szCs w:val="24"/>
                <w:lang w:val="en-US" w:eastAsia="en-GB"/>
              </w:rPr>
              <w:t>%, 5%, and 1%</w:t>
            </w:r>
            <w:r w:rsidR="007F3929">
              <w:rPr>
                <w:rFonts w:ascii="Times New Roman" w:eastAsia="Times New Roman" w:hAnsi="Times New Roman" w:cs="Times New Roman"/>
                <w:color w:val="000000"/>
                <w:sz w:val="24"/>
                <w:szCs w:val="24"/>
                <w:lang w:val="en-US" w:eastAsia="en-GB"/>
              </w:rPr>
              <w:t xml:space="preserve"> levels,</w:t>
            </w:r>
            <w:r w:rsidRPr="001B7ED4">
              <w:rPr>
                <w:rFonts w:ascii="Times New Roman" w:eastAsia="Times New Roman" w:hAnsi="Times New Roman" w:cs="Times New Roman"/>
                <w:color w:val="000000"/>
                <w:sz w:val="24"/>
                <w:szCs w:val="24"/>
                <w:lang w:val="en-US" w:eastAsia="en-GB"/>
              </w:rPr>
              <w:t xml:space="preserve"> respectively.  </w:t>
            </w:r>
          </w:p>
        </w:tc>
      </w:tr>
      <w:tr w:rsidR="001B7ED4" w:rsidRPr="001B7ED4" w14:paraId="6FFC199F" w14:textId="77777777" w:rsidTr="001B7ED4">
        <w:trPr>
          <w:trHeight w:val="330"/>
        </w:trPr>
        <w:tc>
          <w:tcPr>
            <w:tcW w:w="9026" w:type="dxa"/>
            <w:gridSpan w:val="7"/>
            <w:tcBorders>
              <w:top w:val="nil"/>
              <w:left w:val="nil"/>
              <w:bottom w:val="single" w:sz="8" w:space="0" w:color="auto"/>
              <w:right w:val="nil"/>
            </w:tcBorders>
            <w:shd w:val="clear" w:color="auto" w:fill="auto"/>
            <w:vAlign w:val="center"/>
            <w:hideMark/>
          </w:tcPr>
          <w:p w14:paraId="0AFB9126" w14:textId="767E6658" w:rsidR="001B7ED4" w:rsidRPr="001B7ED4" w:rsidRDefault="001B7ED4" w:rsidP="001B7ED4">
            <w:pPr>
              <w:spacing w:after="0" w:line="240" w:lineRule="auto"/>
              <w:rPr>
                <w:rFonts w:ascii="Times New Roman" w:eastAsia="Times New Roman" w:hAnsi="Times New Roman" w:cs="Times New Roman"/>
                <w:b/>
                <w:bCs/>
                <w:color w:val="000000"/>
                <w:sz w:val="24"/>
                <w:szCs w:val="24"/>
                <w:lang w:eastAsia="en-GB"/>
              </w:rPr>
            </w:pPr>
            <w:r w:rsidRPr="001B7ED4">
              <w:rPr>
                <w:rFonts w:ascii="Times New Roman" w:eastAsia="Times New Roman" w:hAnsi="Times New Roman" w:cs="Times New Roman"/>
                <w:b/>
                <w:bCs/>
                <w:color w:val="000000"/>
                <w:sz w:val="24"/>
                <w:szCs w:val="24"/>
                <w:lang w:val="en-US" w:eastAsia="en-GB"/>
              </w:rPr>
              <w:t>Panel A</w:t>
            </w:r>
            <w:r w:rsidR="00872AE2">
              <w:rPr>
                <w:rFonts w:ascii="Times New Roman" w:eastAsia="Times New Roman" w:hAnsi="Times New Roman" w:cs="Times New Roman"/>
                <w:b/>
                <w:bCs/>
                <w:color w:val="000000"/>
                <w:sz w:val="24"/>
                <w:szCs w:val="24"/>
                <w:lang w:val="en-US" w:eastAsia="en-GB"/>
              </w:rPr>
              <w:t>:</w:t>
            </w:r>
            <w:r w:rsidR="00872AE2" w:rsidRPr="001B7ED4">
              <w:rPr>
                <w:rFonts w:ascii="Times New Roman" w:eastAsia="Times New Roman" w:hAnsi="Times New Roman" w:cs="Times New Roman"/>
                <w:b/>
                <w:bCs/>
                <w:color w:val="000000"/>
                <w:sz w:val="24"/>
                <w:szCs w:val="24"/>
                <w:lang w:val="en-US" w:eastAsia="en-GB"/>
              </w:rPr>
              <w:t xml:space="preserve"> </w:t>
            </w:r>
            <w:r w:rsidRPr="001B7ED4">
              <w:rPr>
                <w:rFonts w:ascii="Times New Roman" w:eastAsia="Times New Roman" w:hAnsi="Times New Roman" w:cs="Times New Roman"/>
                <w:b/>
                <w:bCs/>
                <w:color w:val="000000"/>
                <w:sz w:val="24"/>
                <w:szCs w:val="24"/>
                <w:lang w:val="en-US" w:eastAsia="en-GB"/>
              </w:rPr>
              <w:t>Descriptive Statistics</w:t>
            </w:r>
          </w:p>
        </w:tc>
      </w:tr>
      <w:tr w:rsidR="001B7ED4" w:rsidRPr="001B7ED4" w14:paraId="7196FBE4" w14:textId="77777777" w:rsidTr="001B7ED4">
        <w:trPr>
          <w:trHeight w:val="330"/>
        </w:trPr>
        <w:tc>
          <w:tcPr>
            <w:tcW w:w="1923" w:type="dxa"/>
            <w:tcBorders>
              <w:top w:val="nil"/>
              <w:left w:val="nil"/>
              <w:bottom w:val="single" w:sz="8" w:space="0" w:color="auto"/>
              <w:right w:val="nil"/>
            </w:tcBorders>
            <w:shd w:val="clear" w:color="000000" w:fill="FFFFFF"/>
            <w:noWrap/>
            <w:vAlign w:val="center"/>
            <w:hideMark/>
          </w:tcPr>
          <w:p w14:paraId="356FD928"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 </w:t>
            </w:r>
          </w:p>
        </w:tc>
        <w:tc>
          <w:tcPr>
            <w:tcW w:w="393" w:type="dxa"/>
            <w:tcBorders>
              <w:top w:val="nil"/>
              <w:left w:val="nil"/>
              <w:bottom w:val="single" w:sz="8" w:space="0" w:color="auto"/>
              <w:right w:val="nil"/>
            </w:tcBorders>
            <w:shd w:val="clear" w:color="000000" w:fill="FFFFFF"/>
            <w:noWrap/>
            <w:vAlign w:val="center"/>
            <w:hideMark/>
          </w:tcPr>
          <w:p w14:paraId="1EEA98B1" w14:textId="77777777" w:rsidR="001B7ED4" w:rsidRPr="001B7ED4" w:rsidRDefault="001B7ED4" w:rsidP="001B7ED4">
            <w:pPr>
              <w:spacing w:after="0" w:line="240" w:lineRule="auto"/>
              <w:jc w:val="right"/>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N</w:t>
            </w:r>
          </w:p>
        </w:tc>
        <w:tc>
          <w:tcPr>
            <w:tcW w:w="1342" w:type="dxa"/>
            <w:tcBorders>
              <w:top w:val="nil"/>
              <w:left w:val="nil"/>
              <w:bottom w:val="single" w:sz="8" w:space="0" w:color="auto"/>
              <w:right w:val="nil"/>
            </w:tcBorders>
            <w:shd w:val="clear" w:color="000000" w:fill="FFFFFF"/>
            <w:noWrap/>
            <w:vAlign w:val="center"/>
            <w:hideMark/>
          </w:tcPr>
          <w:p w14:paraId="28F08AE1" w14:textId="77777777" w:rsidR="001B7ED4" w:rsidRPr="001B7ED4" w:rsidRDefault="001B7ED4" w:rsidP="001B7ED4">
            <w:pPr>
              <w:spacing w:after="0" w:line="240" w:lineRule="auto"/>
              <w:jc w:val="right"/>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Min</w:t>
            </w:r>
          </w:p>
        </w:tc>
        <w:tc>
          <w:tcPr>
            <w:tcW w:w="1342" w:type="dxa"/>
            <w:tcBorders>
              <w:top w:val="nil"/>
              <w:left w:val="nil"/>
              <w:bottom w:val="single" w:sz="8" w:space="0" w:color="auto"/>
              <w:right w:val="nil"/>
            </w:tcBorders>
            <w:shd w:val="clear" w:color="000000" w:fill="FFFFFF"/>
            <w:noWrap/>
            <w:vAlign w:val="center"/>
            <w:hideMark/>
          </w:tcPr>
          <w:p w14:paraId="2F0CA5A4" w14:textId="77777777" w:rsidR="001B7ED4" w:rsidRPr="001B7ED4" w:rsidRDefault="001B7ED4" w:rsidP="001B7ED4">
            <w:pPr>
              <w:spacing w:after="0" w:line="240" w:lineRule="auto"/>
              <w:jc w:val="right"/>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Mean</w:t>
            </w:r>
          </w:p>
        </w:tc>
        <w:tc>
          <w:tcPr>
            <w:tcW w:w="1210" w:type="dxa"/>
            <w:tcBorders>
              <w:top w:val="nil"/>
              <w:left w:val="nil"/>
              <w:bottom w:val="single" w:sz="8" w:space="0" w:color="auto"/>
              <w:right w:val="nil"/>
            </w:tcBorders>
            <w:shd w:val="clear" w:color="000000" w:fill="FFFFFF"/>
            <w:noWrap/>
            <w:vAlign w:val="center"/>
            <w:hideMark/>
          </w:tcPr>
          <w:p w14:paraId="133B5E7F" w14:textId="77777777" w:rsidR="001B7ED4" w:rsidRPr="001B7ED4" w:rsidRDefault="001B7ED4" w:rsidP="001B7ED4">
            <w:pPr>
              <w:spacing w:after="0" w:line="240" w:lineRule="auto"/>
              <w:jc w:val="right"/>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Median</w:t>
            </w:r>
          </w:p>
        </w:tc>
        <w:tc>
          <w:tcPr>
            <w:tcW w:w="1474" w:type="dxa"/>
            <w:tcBorders>
              <w:top w:val="nil"/>
              <w:left w:val="nil"/>
              <w:bottom w:val="single" w:sz="8" w:space="0" w:color="auto"/>
              <w:right w:val="nil"/>
            </w:tcBorders>
            <w:shd w:val="clear" w:color="000000" w:fill="FFFFFF"/>
            <w:noWrap/>
            <w:vAlign w:val="center"/>
            <w:hideMark/>
          </w:tcPr>
          <w:p w14:paraId="67A4E069" w14:textId="77777777" w:rsidR="001B7ED4" w:rsidRPr="001B7ED4" w:rsidRDefault="001B7ED4" w:rsidP="001B7ED4">
            <w:pPr>
              <w:spacing w:after="0" w:line="240" w:lineRule="auto"/>
              <w:jc w:val="right"/>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Max</w:t>
            </w:r>
          </w:p>
        </w:tc>
        <w:tc>
          <w:tcPr>
            <w:tcW w:w="1342" w:type="dxa"/>
            <w:tcBorders>
              <w:top w:val="nil"/>
              <w:left w:val="nil"/>
              <w:bottom w:val="single" w:sz="8" w:space="0" w:color="auto"/>
              <w:right w:val="nil"/>
            </w:tcBorders>
            <w:shd w:val="clear" w:color="000000" w:fill="FFFFFF"/>
            <w:noWrap/>
            <w:vAlign w:val="center"/>
            <w:hideMark/>
          </w:tcPr>
          <w:p w14:paraId="3B4217C7" w14:textId="77777777" w:rsidR="001B7ED4" w:rsidRPr="001B7ED4" w:rsidRDefault="001B7ED4" w:rsidP="001B7ED4">
            <w:pPr>
              <w:spacing w:after="0" w:line="240" w:lineRule="auto"/>
              <w:jc w:val="right"/>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SD</w:t>
            </w:r>
          </w:p>
        </w:tc>
      </w:tr>
      <w:tr w:rsidR="001B7ED4" w:rsidRPr="001B7ED4" w14:paraId="1E712B01" w14:textId="77777777" w:rsidTr="001B7ED4">
        <w:trPr>
          <w:trHeight w:val="315"/>
        </w:trPr>
        <w:tc>
          <w:tcPr>
            <w:tcW w:w="1923" w:type="dxa"/>
            <w:tcBorders>
              <w:top w:val="nil"/>
              <w:left w:val="nil"/>
              <w:bottom w:val="nil"/>
              <w:right w:val="nil"/>
            </w:tcBorders>
            <w:shd w:val="clear" w:color="000000" w:fill="FFFFFF"/>
            <w:noWrap/>
            <w:vAlign w:val="center"/>
            <w:hideMark/>
          </w:tcPr>
          <w:p w14:paraId="484A486C" w14:textId="77777777" w:rsidR="001B7ED4" w:rsidRPr="001B7ED4" w:rsidRDefault="001B7ED4" w:rsidP="001B7ED4">
            <w:pPr>
              <w:spacing w:after="0" w:line="240" w:lineRule="auto"/>
              <w:rPr>
                <w:rFonts w:ascii="Times New Roman" w:eastAsia="Times New Roman" w:hAnsi="Times New Roman" w:cs="Times New Roman"/>
                <w:b/>
                <w:bCs/>
                <w:color w:val="000000"/>
                <w:sz w:val="24"/>
                <w:szCs w:val="24"/>
                <w:lang w:eastAsia="en-GB"/>
              </w:rPr>
            </w:pPr>
            <w:r w:rsidRPr="001B7ED4">
              <w:rPr>
                <w:rFonts w:ascii="Times New Roman" w:eastAsia="Times New Roman" w:hAnsi="Times New Roman" w:cs="Times New Roman"/>
                <w:b/>
                <w:bCs/>
                <w:color w:val="000000"/>
                <w:sz w:val="24"/>
                <w:szCs w:val="24"/>
                <w:lang w:val="en-US" w:eastAsia="en-GB"/>
              </w:rPr>
              <w:t xml:space="preserve">Treatment sample </w:t>
            </w:r>
          </w:p>
        </w:tc>
        <w:tc>
          <w:tcPr>
            <w:tcW w:w="393" w:type="dxa"/>
            <w:tcBorders>
              <w:top w:val="nil"/>
              <w:left w:val="nil"/>
              <w:bottom w:val="nil"/>
              <w:right w:val="nil"/>
            </w:tcBorders>
            <w:shd w:val="clear" w:color="000000" w:fill="FFFFFF"/>
            <w:noWrap/>
            <w:vAlign w:val="center"/>
            <w:hideMark/>
          </w:tcPr>
          <w:p w14:paraId="64C934F8"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 </w:t>
            </w:r>
          </w:p>
        </w:tc>
        <w:tc>
          <w:tcPr>
            <w:tcW w:w="1342" w:type="dxa"/>
            <w:tcBorders>
              <w:top w:val="nil"/>
              <w:left w:val="nil"/>
              <w:bottom w:val="nil"/>
              <w:right w:val="nil"/>
            </w:tcBorders>
            <w:shd w:val="clear" w:color="000000" w:fill="FFFFFF"/>
            <w:noWrap/>
            <w:vAlign w:val="center"/>
            <w:hideMark/>
          </w:tcPr>
          <w:p w14:paraId="1601F0DA"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 </w:t>
            </w:r>
          </w:p>
        </w:tc>
        <w:tc>
          <w:tcPr>
            <w:tcW w:w="1342" w:type="dxa"/>
            <w:tcBorders>
              <w:top w:val="nil"/>
              <w:left w:val="nil"/>
              <w:bottom w:val="nil"/>
              <w:right w:val="nil"/>
            </w:tcBorders>
            <w:shd w:val="clear" w:color="000000" w:fill="FFFFFF"/>
            <w:noWrap/>
            <w:vAlign w:val="center"/>
            <w:hideMark/>
          </w:tcPr>
          <w:p w14:paraId="63819E1B"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 </w:t>
            </w:r>
          </w:p>
        </w:tc>
        <w:tc>
          <w:tcPr>
            <w:tcW w:w="1210" w:type="dxa"/>
            <w:tcBorders>
              <w:top w:val="nil"/>
              <w:left w:val="nil"/>
              <w:bottom w:val="nil"/>
              <w:right w:val="nil"/>
            </w:tcBorders>
            <w:shd w:val="clear" w:color="000000" w:fill="FFFFFF"/>
            <w:noWrap/>
            <w:vAlign w:val="center"/>
            <w:hideMark/>
          </w:tcPr>
          <w:p w14:paraId="7E9B5383"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 </w:t>
            </w:r>
          </w:p>
        </w:tc>
        <w:tc>
          <w:tcPr>
            <w:tcW w:w="1474" w:type="dxa"/>
            <w:tcBorders>
              <w:top w:val="nil"/>
              <w:left w:val="nil"/>
              <w:bottom w:val="nil"/>
              <w:right w:val="nil"/>
            </w:tcBorders>
            <w:shd w:val="clear" w:color="000000" w:fill="FFFFFF"/>
            <w:noWrap/>
            <w:vAlign w:val="center"/>
            <w:hideMark/>
          </w:tcPr>
          <w:p w14:paraId="27DFC366"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 </w:t>
            </w:r>
          </w:p>
        </w:tc>
        <w:tc>
          <w:tcPr>
            <w:tcW w:w="1342" w:type="dxa"/>
            <w:tcBorders>
              <w:top w:val="nil"/>
              <w:left w:val="nil"/>
              <w:bottom w:val="nil"/>
              <w:right w:val="nil"/>
            </w:tcBorders>
            <w:shd w:val="clear" w:color="000000" w:fill="FFFFFF"/>
            <w:noWrap/>
            <w:vAlign w:val="center"/>
            <w:hideMark/>
          </w:tcPr>
          <w:p w14:paraId="4E57EECE"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 </w:t>
            </w:r>
          </w:p>
        </w:tc>
      </w:tr>
      <w:tr w:rsidR="001B7ED4" w:rsidRPr="001B7ED4" w14:paraId="15F81B22" w14:textId="77777777" w:rsidTr="001B7ED4">
        <w:trPr>
          <w:trHeight w:val="315"/>
        </w:trPr>
        <w:tc>
          <w:tcPr>
            <w:tcW w:w="1923" w:type="dxa"/>
            <w:tcBorders>
              <w:top w:val="nil"/>
              <w:left w:val="nil"/>
              <w:right w:val="nil"/>
            </w:tcBorders>
            <w:shd w:val="clear" w:color="000000" w:fill="FFFFFF"/>
            <w:noWrap/>
            <w:vAlign w:val="center"/>
            <w:hideMark/>
          </w:tcPr>
          <w:p w14:paraId="768B9ADA"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Violations</w:t>
            </w:r>
          </w:p>
        </w:tc>
        <w:tc>
          <w:tcPr>
            <w:tcW w:w="393" w:type="dxa"/>
            <w:tcBorders>
              <w:top w:val="nil"/>
              <w:left w:val="nil"/>
              <w:right w:val="nil"/>
            </w:tcBorders>
            <w:shd w:val="clear" w:color="000000" w:fill="FFFFFF"/>
            <w:noWrap/>
            <w:vAlign w:val="center"/>
            <w:hideMark/>
          </w:tcPr>
          <w:p w14:paraId="64C0A710"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right w:val="nil"/>
            </w:tcBorders>
            <w:shd w:val="clear" w:color="000000" w:fill="FFFFFF"/>
            <w:noWrap/>
            <w:vAlign w:val="center"/>
            <w:hideMark/>
          </w:tcPr>
          <w:p w14:paraId="4DD5F30B"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0.000</w:t>
            </w:r>
          </w:p>
        </w:tc>
        <w:tc>
          <w:tcPr>
            <w:tcW w:w="1342" w:type="dxa"/>
            <w:tcBorders>
              <w:top w:val="nil"/>
              <w:left w:val="nil"/>
              <w:right w:val="nil"/>
            </w:tcBorders>
            <w:shd w:val="clear" w:color="000000" w:fill="FFFFFF"/>
            <w:noWrap/>
            <w:vAlign w:val="center"/>
            <w:hideMark/>
          </w:tcPr>
          <w:p w14:paraId="23D9CBDB"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0.200</w:t>
            </w:r>
          </w:p>
        </w:tc>
        <w:tc>
          <w:tcPr>
            <w:tcW w:w="1210" w:type="dxa"/>
            <w:tcBorders>
              <w:top w:val="nil"/>
              <w:left w:val="nil"/>
              <w:right w:val="nil"/>
            </w:tcBorders>
            <w:shd w:val="clear" w:color="000000" w:fill="FFFFFF"/>
            <w:noWrap/>
            <w:vAlign w:val="center"/>
            <w:hideMark/>
          </w:tcPr>
          <w:p w14:paraId="756E68BF"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0.000</w:t>
            </w:r>
          </w:p>
        </w:tc>
        <w:tc>
          <w:tcPr>
            <w:tcW w:w="1474" w:type="dxa"/>
            <w:tcBorders>
              <w:top w:val="nil"/>
              <w:left w:val="nil"/>
              <w:right w:val="nil"/>
            </w:tcBorders>
            <w:shd w:val="clear" w:color="000000" w:fill="FFFFFF"/>
            <w:noWrap/>
            <w:vAlign w:val="center"/>
            <w:hideMark/>
          </w:tcPr>
          <w:p w14:paraId="27B55F93"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8.000</w:t>
            </w:r>
          </w:p>
        </w:tc>
        <w:tc>
          <w:tcPr>
            <w:tcW w:w="1342" w:type="dxa"/>
            <w:tcBorders>
              <w:top w:val="nil"/>
              <w:left w:val="nil"/>
              <w:right w:val="nil"/>
            </w:tcBorders>
            <w:shd w:val="clear" w:color="000000" w:fill="FFFFFF"/>
            <w:noWrap/>
            <w:vAlign w:val="center"/>
            <w:hideMark/>
          </w:tcPr>
          <w:p w14:paraId="74204B5D"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0.740</w:t>
            </w:r>
          </w:p>
        </w:tc>
      </w:tr>
      <w:tr w:rsidR="001B7ED4" w:rsidRPr="001B7ED4" w14:paraId="7DB042F5" w14:textId="77777777" w:rsidTr="001B7ED4">
        <w:trPr>
          <w:trHeight w:val="315"/>
        </w:trPr>
        <w:tc>
          <w:tcPr>
            <w:tcW w:w="1923" w:type="dxa"/>
            <w:tcBorders>
              <w:top w:val="nil"/>
              <w:left w:val="nil"/>
              <w:right w:val="nil"/>
            </w:tcBorders>
            <w:shd w:val="clear" w:color="000000" w:fill="FFFFFF"/>
            <w:noWrap/>
            <w:vAlign w:val="center"/>
            <w:hideMark/>
          </w:tcPr>
          <w:p w14:paraId="6A35B400"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ln(Violations)</w:t>
            </w:r>
          </w:p>
        </w:tc>
        <w:tc>
          <w:tcPr>
            <w:tcW w:w="393" w:type="dxa"/>
            <w:tcBorders>
              <w:top w:val="nil"/>
              <w:left w:val="nil"/>
              <w:right w:val="nil"/>
            </w:tcBorders>
            <w:shd w:val="clear" w:color="000000" w:fill="FFFFFF"/>
            <w:noWrap/>
            <w:vAlign w:val="center"/>
            <w:hideMark/>
          </w:tcPr>
          <w:p w14:paraId="29475D3C"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right w:val="nil"/>
            </w:tcBorders>
            <w:shd w:val="clear" w:color="000000" w:fill="FFFFFF"/>
            <w:noWrap/>
            <w:vAlign w:val="center"/>
            <w:hideMark/>
          </w:tcPr>
          <w:p w14:paraId="31D09C97"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0.000</w:t>
            </w:r>
          </w:p>
        </w:tc>
        <w:tc>
          <w:tcPr>
            <w:tcW w:w="1342" w:type="dxa"/>
            <w:tcBorders>
              <w:top w:val="nil"/>
              <w:left w:val="nil"/>
              <w:right w:val="nil"/>
            </w:tcBorders>
            <w:shd w:val="clear" w:color="000000" w:fill="FFFFFF"/>
            <w:noWrap/>
            <w:vAlign w:val="center"/>
            <w:hideMark/>
          </w:tcPr>
          <w:p w14:paraId="2B1425DF"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0.100</w:t>
            </w:r>
          </w:p>
        </w:tc>
        <w:tc>
          <w:tcPr>
            <w:tcW w:w="1210" w:type="dxa"/>
            <w:tcBorders>
              <w:top w:val="nil"/>
              <w:left w:val="nil"/>
              <w:right w:val="nil"/>
            </w:tcBorders>
            <w:shd w:val="clear" w:color="000000" w:fill="FFFFFF"/>
            <w:noWrap/>
            <w:vAlign w:val="center"/>
            <w:hideMark/>
          </w:tcPr>
          <w:p w14:paraId="3EFDADC2"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0.000</w:t>
            </w:r>
          </w:p>
        </w:tc>
        <w:tc>
          <w:tcPr>
            <w:tcW w:w="1474" w:type="dxa"/>
            <w:tcBorders>
              <w:top w:val="nil"/>
              <w:left w:val="nil"/>
              <w:right w:val="nil"/>
            </w:tcBorders>
            <w:shd w:val="clear" w:color="000000" w:fill="FFFFFF"/>
            <w:noWrap/>
            <w:vAlign w:val="center"/>
            <w:hideMark/>
          </w:tcPr>
          <w:p w14:paraId="24FFCBD6"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2.200</w:t>
            </w:r>
          </w:p>
        </w:tc>
        <w:tc>
          <w:tcPr>
            <w:tcW w:w="1342" w:type="dxa"/>
            <w:tcBorders>
              <w:top w:val="nil"/>
              <w:left w:val="nil"/>
              <w:right w:val="nil"/>
            </w:tcBorders>
            <w:shd w:val="clear" w:color="000000" w:fill="FFFFFF"/>
            <w:noWrap/>
            <w:vAlign w:val="center"/>
            <w:hideMark/>
          </w:tcPr>
          <w:p w14:paraId="043B9ADA"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0.330</w:t>
            </w:r>
          </w:p>
        </w:tc>
      </w:tr>
      <w:tr w:rsidR="001B7ED4" w:rsidRPr="001B7ED4" w14:paraId="76DD5EA7" w14:textId="77777777" w:rsidTr="001B7ED4">
        <w:trPr>
          <w:trHeight w:val="253"/>
        </w:trPr>
        <w:tc>
          <w:tcPr>
            <w:tcW w:w="1923" w:type="dxa"/>
            <w:shd w:val="clear" w:color="000000" w:fill="FFFFFF"/>
            <w:noWrap/>
            <w:vAlign w:val="bottom"/>
            <w:hideMark/>
          </w:tcPr>
          <w:p w14:paraId="6E059FD2"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Penalties</w:t>
            </w:r>
          </w:p>
        </w:tc>
        <w:tc>
          <w:tcPr>
            <w:tcW w:w="393" w:type="dxa"/>
            <w:shd w:val="clear" w:color="000000" w:fill="FFFFFF"/>
            <w:noWrap/>
            <w:vAlign w:val="bottom"/>
            <w:hideMark/>
          </w:tcPr>
          <w:p w14:paraId="68D12E01" w14:textId="77777777" w:rsidR="001B7ED4" w:rsidRPr="001B7ED4" w:rsidRDefault="001B7ED4" w:rsidP="001B7ED4">
            <w:pPr>
              <w:spacing w:after="0" w:line="240" w:lineRule="auto"/>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shd w:val="clear" w:color="000000" w:fill="FFFFFF"/>
            <w:noWrap/>
            <w:vAlign w:val="bottom"/>
            <w:hideMark/>
          </w:tcPr>
          <w:p w14:paraId="3BDEB9CD"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0.000</w:t>
            </w:r>
          </w:p>
        </w:tc>
        <w:tc>
          <w:tcPr>
            <w:tcW w:w="1342" w:type="dxa"/>
            <w:shd w:val="clear" w:color="000000" w:fill="FFFFFF"/>
            <w:noWrap/>
            <w:vAlign w:val="bottom"/>
            <w:hideMark/>
          </w:tcPr>
          <w:p w14:paraId="6A8AB45A" w14:textId="5EC1150D"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 xml:space="preserve">73,744.00 </w:t>
            </w:r>
          </w:p>
        </w:tc>
        <w:tc>
          <w:tcPr>
            <w:tcW w:w="1210" w:type="dxa"/>
            <w:shd w:val="clear" w:color="000000" w:fill="FFFFFF"/>
            <w:noWrap/>
            <w:vAlign w:val="bottom"/>
            <w:hideMark/>
          </w:tcPr>
          <w:p w14:paraId="6635DA74"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0.000</w:t>
            </w:r>
          </w:p>
        </w:tc>
        <w:tc>
          <w:tcPr>
            <w:tcW w:w="1474" w:type="dxa"/>
            <w:shd w:val="clear" w:color="000000" w:fill="FFFFFF"/>
            <w:noWrap/>
            <w:vAlign w:val="bottom"/>
            <w:hideMark/>
          </w:tcPr>
          <w:p w14:paraId="3B0A7459" w14:textId="39E8CB5F"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 xml:space="preserve">12,508,047.00 </w:t>
            </w:r>
          </w:p>
        </w:tc>
        <w:tc>
          <w:tcPr>
            <w:tcW w:w="1342" w:type="dxa"/>
            <w:shd w:val="clear" w:color="000000" w:fill="FFFFFF"/>
            <w:noWrap/>
            <w:vAlign w:val="bottom"/>
            <w:hideMark/>
          </w:tcPr>
          <w:p w14:paraId="1B1E5CDE" w14:textId="4CAE3C5A"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 xml:space="preserve">680,294.00 </w:t>
            </w:r>
          </w:p>
        </w:tc>
      </w:tr>
      <w:tr w:rsidR="001B7ED4" w:rsidRPr="001B7ED4" w14:paraId="3378F577" w14:textId="77777777" w:rsidTr="001B7ED4">
        <w:trPr>
          <w:trHeight w:val="315"/>
        </w:trPr>
        <w:tc>
          <w:tcPr>
            <w:tcW w:w="1923" w:type="dxa"/>
            <w:tcBorders>
              <w:left w:val="nil"/>
              <w:bottom w:val="nil"/>
              <w:right w:val="nil"/>
            </w:tcBorders>
            <w:shd w:val="clear" w:color="000000" w:fill="FFFFFF"/>
            <w:noWrap/>
            <w:vAlign w:val="center"/>
            <w:hideMark/>
          </w:tcPr>
          <w:p w14:paraId="25851ABD"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ln(Penalties)</w:t>
            </w:r>
          </w:p>
        </w:tc>
        <w:tc>
          <w:tcPr>
            <w:tcW w:w="393" w:type="dxa"/>
            <w:tcBorders>
              <w:left w:val="nil"/>
              <w:bottom w:val="nil"/>
              <w:right w:val="nil"/>
            </w:tcBorders>
            <w:shd w:val="clear" w:color="000000" w:fill="FFFFFF"/>
            <w:noWrap/>
            <w:vAlign w:val="center"/>
            <w:hideMark/>
          </w:tcPr>
          <w:p w14:paraId="7E5F980D"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left w:val="nil"/>
              <w:bottom w:val="nil"/>
              <w:right w:val="nil"/>
            </w:tcBorders>
            <w:shd w:val="clear" w:color="000000" w:fill="FFFFFF"/>
            <w:noWrap/>
            <w:vAlign w:val="center"/>
            <w:hideMark/>
          </w:tcPr>
          <w:p w14:paraId="3459314B"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0.000</w:t>
            </w:r>
          </w:p>
        </w:tc>
        <w:tc>
          <w:tcPr>
            <w:tcW w:w="1342" w:type="dxa"/>
            <w:tcBorders>
              <w:left w:val="nil"/>
              <w:bottom w:val="nil"/>
              <w:right w:val="nil"/>
            </w:tcBorders>
            <w:shd w:val="clear" w:color="000000" w:fill="FFFFFF"/>
            <w:noWrap/>
            <w:vAlign w:val="center"/>
            <w:hideMark/>
          </w:tcPr>
          <w:p w14:paraId="5CC4ECC6"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1.100</w:t>
            </w:r>
          </w:p>
        </w:tc>
        <w:tc>
          <w:tcPr>
            <w:tcW w:w="1210" w:type="dxa"/>
            <w:tcBorders>
              <w:left w:val="nil"/>
              <w:bottom w:val="nil"/>
              <w:right w:val="nil"/>
            </w:tcBorders>
            <w:shd w:val="clear" w:color="000000" w:fill="FFFFFF"/>
            <w:noWrap/>
            <w:vAlign w:val="center"/>
            <w:hideMark/>
          </w:tcPr>
          <w:p w14:paraId="09BC62AA"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0.000</w:t>
            </w:r>
          </w:p>
        </w:tc>
        <w:tc>
          <w:tcPr>
            <w:tcW w:w="1474" w:type="dxa"/>
            <w:tcBorders>
              <w:left w:val="nil"/>
              <w:bottom w:val="nil"/>
              <w:right w:val="nil"/>
            </w:tcBorders>
            <w:shd w:val="clear" w:color="000000" w:fill="FFFFFF"/>
            <w:noWrap/>
            <w:vAlign w:val="center"/>
            <w:hideMark/>
          </w:tcPr>
          <w:p w14:paraId="1B21DB77"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16.340</w:t>
            </w:r>
          </w:p>
        </w:tc>
        <w:tc>
          <w:tcPr>
            <w:tcW w:w="1342" w:type="dxa"/>
            <w:tcBorders>
              <w:left w:val="nil"/>
              <w:bottom w:val="nil"/>
              <w:right w:val="nil"/>
            </w:tcBorders>
            <w:shd w:val="clear" w:color="000000" w:fill="FFFFFF"/>
            <w:noWrap/>
            <w:vAlign w:val="center"/>
            <w:hideMark/>
          </w:tcPr>
          <w:p w14:paraId="7CED378C"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3.370</w:t>
            </w:r>
          </w:p>
        </w:tc>
      </w:tr>
      <w:tr w:rsidR="001B7ED4" w:rsidRPr="001B7ED4" w14:paraId="591251EC" w14:textId="77777777" w:rsidTr="001B7ED4">
        <w:trPr>
          <w:trHeight w:val="315"/>
        </w:trPr>
        <w:tc>
          <w:tcPr>
            <w:tcW w:w="1923" w:type="dxa"/>
            <w:tcBorders>
              <w:top w:val="nil"/>
              <w:left w:val="nil"/>
              <w:bottom w:val="nil"/>
              <w:right w:val="nil"/>
            </w:tcBorders>
            <w:shd w:val="clear" w:color="000000" w:fill="FFFFFF"/>
            <w:noWrap/>
            <w:vAlign w:val="center"/>
            <w:hideMark/>
          </w:tcPr>
          <w:p w14:paraId="426D9698"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Vega</w:t>
            </w:r>
          </w:p>
        </w:tc>
        <w:tc>
          <w:tcPr>
            <w:tcW w:w="393" w:type="dxa"/>
            <w:tcBorders>
              <w:top w:val="nil"/>
              <w:left w:val="nil"/>
              <w:bottom w:val="nil"/>
              <w:right w:val="nil"/>
            </w:tcBorders>
            <w:shd w:val="clear" w:color="000000" w:fill="FFFFFF"/>
            <w:noWrap/>
            <w:vAlign w:val="center"/>
            <w:hideMark/>
          </w:tcPr>
          <w:p w14:paraId="01372030"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bottom w:val="nil"/>
              <w:right w:val="nil"/>
            </w:tcBorders>
            <w:shd w:val="clear" w:color="000000" w:fill="FFFFFF"/>
            <w:noWrap/>
            <w:vAlign w:val="center"/>
            <w:hideMark/>
          </w:tcPr>
          <w:p w14:paraId="3ADA722F"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0.00006</w:t>
            </w:r>
          </w:p>
        </w:tc>
        <w:tc>
          <w:tcPr>
            <w:tcW w:w="1342" w:type="dxa"/>
            <w:tcBorders>
              <w:top w:val="nil"/>
              <w:left w:val="nil"/>
              <w:bottom w:val="nil"/>
              <w:right w:val="nil"/>
            </w:tcBorders>
            <w:shd w:val="clear" w:color="000000" w:fill="FFFFFF"/>
            <w:noWrap/>
            <w:vAlign w:val="center"/>
            <w:hideMark/>
          </w:tcPr>
          <w:p w14:paraId="695B3703"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4.780</w:t>
            </w:r>
          </w:p>
        </w:tc>
        <w:tc>
          <w:tcPr>
            <w:tcW w:w="1210" w:type="dxa"/>
            <w:tcBorders>
              <w:top w:val="nil"/>
              <w:left w:val="nil"/>
              <w:bottom w:val="nil"/>
              <w:right w:val="nil"/>
            </w:tcBorders>
            <w:shd w:val="clear" w:color="000000" w:fill="FFFFFF"/>
            <w:noWrap/>
            <w:vAlign w:val="center"/>
            <w:hideMark/>
          </w:tcPr>
          <w:p w14:paraId="6B5A4D65"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4.890</w:t>
            </w:r>
          </w:p>
        </w:tc>
        <w:tc>
          <w:tcPr>
            <w:tcW w:w="1474" w:type="dxa"/>
            <w:tcBorders>
              <w:top w:val="nil"/>
              <w:left w:val="nil"/>
              <w:bottom w:val="nil"/>
              <w:right w:val="nil"/>
            </w:tcBorders>
            <w:shd w:val="clear" w:color="000000" w:fill="FFFFFF"/>
            <w:noWrap/>
            <w:vAlign w:val="center"/>
            <w:hideMark/>
          </w:tcPr>
          <w:p w14:paraId="02581DB2"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6.440</w:t>
            </w:r>
          </w:p>
        </w:tc>
        <w:tc>
          <w:tcPr>
            <w:tcW w:w="1342" w:type="dxa"/>
            <w:tcBorders>
              <w:top w:val="nil"/>
              <w:left w:val="nil"/>
              <w:bottom w:val="nil"/>
              <w:right w:val="nil"/>
            </w:tcBorders>
            <w:shd w:val="clear" w:color="000000" w:fill="FFFFFF"/>
            <w:noWrap/>
            <w:vAlign w:val="center"/>
            <w:hideMark/>
          </w:tcPr>
          <w:p w14:paraId="0977EED7"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1.240</w:t>
            </w:r>
          </w:p>
        </w:tc>
      </w:tr>
      <w:tr w:rsidR="001B7ED4" w:rsidRPr="001B7ED4" w14:paraId="2527EC92" w14:textId="77777777" w:rsidTr="001B7ED4">
        <w:trPr>
          <w:trHeight w:val="315"/>
        </w:trPr>
        <w:tc>
          <w:tcPr>
            <w:tcW w:w="1923" w:type="dxa"/>
            <w:tcBorders>
              <w:top w:val="nil"/>
              <w:left w:val="nil"/>
              <w:bottom w:val="nil"/>
              <w:right w:val="nil"/>
            </w:tcBorders>
            <w:shd w:val="clear" w:color="000000" w:fill="FFFFFF"/>
            <w:noWrap/>
            <w:vAlign w:val="center"/>
            <w:hideMark/>
          </w:tcPr>
          <w:p w14:paraId="2EDDB4D3"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Delta</w:t>
            </w:r>
          </w:p>
        </w:tc>
        <w:tc>
          <w:tcPr>
            <w:tcW w:w="393" w:type="dxa"/>
            <w:tcBorders>
              <w:top w:val="nil"/>
              <w:left w:val="nil"/>
              <w:bottom w:val="nil"/>
              <w:right w:val="nil"/>
            </w:tcBorders>
            <w:shd w:val="clear" w:color="000000" w:fill="FFFFFF"/>
            <w:noWrap/>
            <w:vAlign w:val="center"/>
            <w:hideMark/>
          </w:tcPr>
          <w:p w14:paraId="0A6ED501"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bottom w:val="nil"/>
              <w:right w:val="nil"/>
            </w:tcBorders>
            <w:shd w:val="clear" w:color="000000" w:fill="FFFFFF"/>
            <w:noWrap/>
            <w:vAlign w:val="center"/>
            <w:hideMark/>
          </w:tcPr>
          <w:p w14:paraId="58EE2C60"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0.830</w:t>
            </w:r>
          </w:p>
        </w:tc>
        <w:tc>
          <w:tcPr>
            <w:tcW w:w="1342" w:type="dxa"/>
            <w:tcBorders>
              <w:top w:val="nil"/>
              <w:left w:val="nil"/>
              <w:bottom w:val="nil"/>
              <w:right w:val="nil"/>
            </w:tcBorders>
            <w:shd w:val="clear" w:color="000000" w:fill="FFFFFF"/>
            <w:noWrap/>
            <w:vAlign w:val="center"/>
            <w:hideMark/>
          </w:tcPr>
          <w:p w14:paraId="442954BD"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5.810</w:t>
            </w:r>
          </w:p>
        </w:tc>
        <w:tc>
          <w:tcPr>
            <w:tcW w:w="1210" w:type="dxa"/>
            <w:tcBorders>
              <w:top w:val="nil"/>
              <w:left w:val="nil"/>
              <w:bottom w:val="nil"/>
              <w:right w:val="nil"/>
            </w:tcBorders>
            <w:shd w:val="clear" w:color="000000" w:fill="FFFFFF"/>
            <w:noWrap/>
            <w:vAlign w:val="center"/>
            <w:hideMark/>
          </w:tcPr>
          <w:p w14:paraId="00A4A5CA"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5.880</w:t>
            </w:r>
          </w:p>
        </w:tc>
        <w:tc>
          <w:tcPr>
            <w:tcW w:w="1474" w:type="dxa"/>
            <w:tcBorders>
              <w:top w:val="nil"/>
              <w:left w:val="nil"/>
              <w:bottom w:val="nil"/>
              <w:right w:val="nil"/>
            </w:tcBorders>
            <w:shd w:val="clear" w:color="000000" w:fill="FFFFFF"/>
            <w:noWrap/>
            <w:vAlign w:val="center"/>
            <w:hideMark/>
          </w:tcPr>
          <w:p w14:paraId="4778E2AA"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8.180</w:t>
            </w:r>
          </w:p>
        </w:tc>
        <w:tc>
          <w:tcPr>
            <w:tcW w:w="1342" w:type="dxa"/>
            <w:tcBorders>
              <w:top w:val="nil"/>
              <w:left w:val="nil"/>
              <w:bottom w:val="nil"/>
              <w:right w:val="nil"/>
            </w:tcBorders>
            <w:shd w:val="clear" w:color="000000" w:fill="FFFFFF"/>
            <w:noWrap/>
            <w:vAlign w:val="center"/>
            <w:hideMark/>
          </w:tcPr>
          <w:p w14:paraId="039C7B04"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1.380</w:t>
            </w:r>
          </w:p>
        </w:tc>
      </w:tr>
      <w:tr w:rsidR="001B7ED4" w:rsidRPr="001B7ED4" w14:paraId="78261940" w14:textId="77777777" w:rsidTr="001B7ED4">
        <w:trPr>
          <w:trHeight w:val="315"/>
        </w:trPr>
        <w:tc>
          <w:tcPr>
            <w:tcW w:w="1923" w:type="dxa"/>
            <w:tcBorders>
              <w:top w:val="nil"/>
              <w:left w:val="nil"/>
              <w:bottom w:val="nil"/>
              <w:right w:val="nil"/>
            </w:tcBorders>
            <w:shd w:val="clear" w:color="000000" w:fill="FFFFFF"/>
            <w:noWrap/>
            <w:vAlign w:val="center"/>
            <w:hideMark/>
          </w:tcPr>
          <w:p w14:paraId="07AB65A6"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proofErr w:type="spellStart"/>
            <w:r w:rsidRPr="001B7ED4">
              <w:rPr>
                <w:rFonts w:ascii="Times New Roman" w:eastAsia="Times New Roman" w:hAnsi="Times New Roman" w:cs="Times New Roman"/>
                <w:i/>
                <w:iCs/>
                <w:color w:val="000000"/>
                <w:sz w:val="24"/>
                <w:szCs w:val="24"/>
                <w:lang w:val="en-US" w:eastAsia="en-GB"/>
              </w:rPr>
              <w:t>CashComp</w:t>
            </w:r>
            <w:proofErr w:type="spellEnd"/>
          </w:p>
        </w:tc>
        <w:tc>
          <w:tcPr>
            <w:tcW w:w="393" w:type="dxa"/>
            <w:tcBorders>
              <w:top w:val="nil"/>
              <w:left w:val="nil"/>
              <w:bottom w:val="nil"/>
              <w:right w:val="nil"/>
            </w:tcBorders>
            <w:shd w:val="clear" w:color="000000" w:fill="FFFFFF"/>
            <w:noWrap/>
            <w:vAlign w:val="center"/>
            <w:hideMark/>
          </w:tcPr>
          <w:p w14:paraId="55674527"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bottom w:val="nil"/>
              <w:right w:val="nil"/>
            </w:tcBorders>
            <w:shd w:val="clear" w:color="000000" w:fill="FFFFFF"/>
            <w:noWrap/>
            <w:vAlign w:val="center"/>
            <w:hideMark/>
          </w:tcPr>
          <w:p w14:paraId="75D4DDAE"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3.720</w:t>
            </w:r>
          </w:p>
        </w:tc>
        <w:tc>
          <w:tcPr>
            <w:tcW w:w="1342" w:type="dxa"/>
            <w:tcBorders>
              <w:top w:val="nil"/>
              <w:left w:val="nil"/>
              <w:bottom w:val="nil"/>
              <w:right w:val="nil"/>
            </w:tcBorders>
            <w:shd w:val="clear" w:color="000000" w:fill="FFFFFF"/>
            <w:noWrap/>
            <w:vAlign w:val="center"/>
            <w:hideMark/>
          </w:tcPr>
          <w:p w14:paraId="0249475D"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6.810</w:t>
            </w:r>
          </w:p>
        </w:tc>
        <w:tc>
          <w:tcPr>
            <w:tcW w:w="1210" w:type="dxa"/>
            <w:tcBorders>
              <w:top w:val="nil"/>
              <w:left w:val="nil"/>
              <w:bottom w:val="nil"/>
              <w:right w:val="nil"/>
            </w:tcBorders>
            <w:shd w:val="clear" w:color="000000" w:fill="FFFFFF"/>
            <w:noWrap/>
            <w:vAlign w:val="center"/>
            <w:hideMark/>
          </w:tcPr>
          <w:p w14:paraId="504364AB"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6.820</w:t>
            </w:r>
          </w:p>
        </w:tc>
        <w:tc>
          <w:tcPr>
            <w:tcW w:w="1474" w:type="dxa"/>
            <w:tcBorders>
              <w:top w:val="nil"/>
              <w:left w:val="nil"/>
              <w:bottom w:val="nil"/>
              <w:right w:val="nil"/>
            </w:tcBorders>
            <w:shd w:val="clear" w:color="000000" w:fill="FFFFFF"/>
            <w:noWrap/>
            <w:vAlign w:val="center"/>
            <w:hideMark/>
          </w:tcPr>
          <w:p w14:paraId="4479E291"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8.220</w:t>
            </w:r>
          </w:p>
        </w:tc>
        <w:tc>
          <w:tcPr>
            <w:tcW w:w="1342" w:type="dxa"/>
            <w:tcBorders>
              <w:top w:val="nil"/>
              <w:left w:val="nil"/>
              <w:bottom w:val="nil"/>
              <w:right w:val="nil"/>
            </w:tcBorders>
            <w:shd w:val="clear" w:color="000000" w:fill="FFFFFF"/>
            <w:noWrap/>
            <w:vAlign w:val="center"/>
            <w:hideMark/>
          </w:tcPr>
          <w:p w14:paraId="12F5BB7B"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0.720</w:t>
            </w:r>
          </w:p>
        </w:tc>
      </w:tr>
      <w:tr w:rsidR="001B7ED4" w:rsidRPr="001B7ED4" w14:paraId="481199AF" w14:textId="77777777" w:rsidTr="001B7ED4">
        <w:trPr>
          <w:trHeight w:val="315"/>
        </w:trPr>
        <w:tc>
          <w:tcPr>
            <w:tcW w:w="1923" w:type="dxa"/>
            <w:tcBorders>
              <w:top w:val="nil"/>
              <w:left w:val="nil"/>
              <w:bottom w:val="nil"/>
              <w:right w:val="nil"/>
            </w:tcBorders>
            <w:shd w:val="clear" w:color="000000" w:fill="FFFFFF"/>
            <w:noWrap/>
            <w:vAlign w:val="center"/>
            <w:hideMark/>
          </w:tcPr>
          <w:p w14:paraId="68A39599"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Leverage</w:t>
            </w:r>
          </w:p>
        </w:tc>
        <w:tc>
          <w:tcPr>
            <w:tcW w:w="393" w:type="dxa"/>
            <w:tcBorders>
              <w:top w:val="nil"/>
              <w:left w:val="nil"/>
              <w:bottom w:val="nil"/>
              <w:right w:val="nil"/>
            </w:tcBorders>
            <w:shd w:val="clear" w:color="000000" w:fill="FFFFFF"/>
            <w:noWrap/>
            <w:vAlign w:val="center"/>
            <w:hideMark/>
          </w:tcPr>
          <w:p w14:paraId="66AEF768"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bottom w:val="nil"/>
              <w:right w:val="nil"/>
            </w:tcBorders>
            <w:shd w:val="clear" w:color="000000" w:fill="FFFFFF"/>
            <w:noWrap/>
            <w:vAlign w:val="center"/>
            <w:hideMark/>
          </w:tcPr>
          <w:p w14:paraId="61562F0A"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0.000</w:t>
            </w:r>
          </w:p>
        </w:tc>
        <w:tc>
          <w:tcPr>
            <w:tcW w:w="1342" w:type="dxa"/>
            <w:tcBorders>
              <w:top w:val="nil"/>
              <w:left w:val="nil"/>
              <w:bottom w:val="nil"/>
              <w:right w:val="nil"/>
            </w:tcBorders>
            <w:shd w:val="clear" w:color="000000" w:fill="FFFFFF"/>
            <w:noWrap/>
            <w:vAlign w:val="center"/>
            <w:hideMark/>
          </w:tcPr>
          <w:p w14:paraId="42577FCE"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0.160</w:t>
            </w:r>
          </w:p>
        </w:tc>
        <w:tc>
          <w:tcPr>
            <w:tcW w:w="1210" w:type="dxa"/>
            <w:tcBorders>
              <w:top w:val="nil"/>
              <w:left w:val="nil"/>
              <w:bottom w:val="nil"/>
              <w:right w:val="nil"/>
            </w:tcBorders>
            <w:shd w:val="clear" w:color="000000" w:fill="FFFFFF"/>
            <w:noWrap/>
            <w:vAlign w:val="center"/>
            <w:hideMark/>
          </w:tcPr>
          <w:p w14:paraId="31CECE44"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0.110</w:t>
            </w:r>
          </w:p>
        </w:tc>
        <w:tc>
          <w:tcPr>
            <w:tcW w:w="1474" w:type="dxa"/>
            <w:tcBorders>
              <w:top w:val="nil"/>
              <w:left w:val="nil"/>
              <w:bottom w:val="nil"/>
              <w:right w:val="nil"/>
            </w:tcBorders>
            <w:shd w:val="clear" w:color="000000" w:fill="FFFFFF"/>
            <w:noWrap/>
            <w:vAlign w:val="center"/>
            <w:hideMark/>
          </w:tcPr>
          <w:p w14:paraId="65CBC4AB"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1.440</w:t>
            </w:r>
          </w:p>
        </w:tc>
        <w:tc>
          <w:tcPr>
            <w:tcW w:w="1342" w:type="dxa"/>
            <w:tcBorders>
              <w:top w:val="nil"/>
              <w:left w:val="nil"/>
              <w:bottom w:val="nil"/>
              <w:right w:val="nil"/>
            </w:tcBorders>
            <w:shd w:val="clear" w:color="000000" w:fill="FFFFFF"/>
            <w:noWrap/>
            <w:vAlign w:val="center"/>
            <w:hideMark/>
          </w:tcPr>
          <w:p w14:paraId="5544B647"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0.190</w:t>
            </w:r>
          </w:p>
        </w:tc>
      </w:tr>
      <w:tr w:rsidR="001B7ED4" w:rsidRPr="001B7ED4" w14:paraId="5BC933E9" w14:textId="77777777" w:rsidTr="001B7ED4">
        <w:trPr>
          <w:trHeight w:val="315"/>
        </w:trPr>
        <w:tc>
          <w:tcPr>
            <w:tcW w:w="1923" w:type="dxa"/>
            <w:tcBorders>
              <w:top w:val="nil"/>
              <w:left w:val="nil"/>
              <w:bottom w:val="nil"/>
              <w:right w:val="nil"/>
            </w:tcBorders>
            <w:shd w:val="clear" w:color="000000" w:fill="FFFFFF"/>
            <w:noWrap/>
            <w:vAlign w:val="center"/>
            <w:hideMark/>
          </w:tcPr>
          <w:p w14:paraId="6641AAE2"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proofErr w:type="spellStart"/>
            <w:r w:rsidRPr="001B7ED4">
              <w:rPr>
                <w:rFonts w:ascii="Times New Roman" w:eastAsia="Times New Roman" w:hAnsi="Times New Roman" w:cs="Times New Roman"/>
                <w:i/>
                <w:iCs/>
                <w:color w:val="000000"/>
                <w:sz w:val="24"/>
                <w:szCs w:val="24"/>
                <w:lang w:val="en-US" w:eastAsia="en-GB"/>
              </w:rPr>
              <w:t>CashFlow</w:t>
            </w:r>
            <w:proofErr w:type="spellEnd"/>
          </w:p>
        </w:tc>
        <w:tc>
          <w:tcPr>
            <w:tcW w:w="393" w:type="dxa"/>
            <w:tcBorders>
              <w:top w:val="nil"/>
              <w:left w:val="nil"/>
              <w:bottom w:val="nil"/>
              <w:right w:val="nil"/>
            </w:tcBorders>
            <w:shd w:val="clear" w:color="000000" w:fill="FFFFFF"/>
            <w:noWrap/>
            <w:vAlign w:val="center"/>
            <w:hideMark/>
          </w:tcPr>
          <w:p w14:paraId="004597EB"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bottom w:val="nil"/>
              <w:right w:val="nil"/>
            </w:tcBorders>
            <w:shd w:val="clear" w:color="000000" w:fill="FFFFFF"/>
            <w:noWrap/>
            <w:vAlign w:val="center"/>
            <w:hideMark/>
          </w:tcPr>
          <w:p w14:paraId="08E1B07F"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-2.360</w:t>
            </w:r>
          </w:p>
        </w:tc>
        <w:tc>
          <w:tcPr>
            <w:tcW w:w="1342" w:type="dxa"/>
            <w:tcBorders>
              <w:top w:val="nil"/>
              <w:left w:val="nil"/>
              <w:bottom w:val="nil"/>
              <w:right w:val="nil"/>
            </w:tcBorders>
            <w:shd w:val="clear" w:color="000000" w:fill="FFFFFF"/>
            <w:noWrap/>
            <w:vAlign w:val="center"/>
            <w:hideMark/>
          </w:tcPr>
          <w:p w14:paraId="553CAC5D"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0.060</w:t>
            </w:r>
          </w:p>
        </w:tc>
        <w:tc>
          <w:tcPr>
            <w:tcW w:w="1210" w:type="dxa"/>
            <w:tcBorders>
              <w:top w:val="nil"/>
              <w:left w:val="nil"/>
              <w:bottom w:val="nil"/>
              <w:right w:val="nil"/>
            </w:tcBorders>
            <w:shd w:val="clear" w:color="000000" w:fill="FFFFFF"/>
            <w:noWrap/>
            <w:vAlign w:val="center"/>
            <w:hideMark/>
          </w:tcPr>
          <w:p w14:paraId="13AD44CB"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0.090</w:t>
            </w:r>
          </w:p>
        </w:tc>
        <w:tc>
          <w:tcPr>
            <w:tcW w:w="1474" w:type="dxa"/>
            <w:tcBorders>
              <w:top w:val="nil"/>
              <w:left w:val="nil"/>
              <w:bottom w:val="nil"/>
              <w:right w:val="nil"/>
            </w:tcBorders>
            <w:shd w:val="clear" w:color="000000" w:fill="FFFFFF"/>
            <w:noWrap/>
            <w:vAlign w:val="center"/>
            <w:hideMark/>
          </w:tcPr>
          <w:p w14:paraId="7934E234"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0.390</w:t>
            </w:r>
          </w:p>
        </w:tc>
        <w:tc>
          <w:tcPr>
            <w:tcW w:w="1342" w:type="dxa"/>
            <w:tcBorders>
              <w:top w:val="nil"/>
              <w:left w:val="nil"/>
              <w:bottom w:val="nil"/>
              <w:right w:val="nil"/>
            </w:tcBorders>
            <w:shd w:val="clear" w:color="000000" w:fill="FFFFFF"/>
            <w:noWrap/>
            <w:vAlign w:val="center"/>
            <w:hideMark/>
          </w:tcPr>
          <w:p w14:paraId="7CD6E983"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0.190</w:t>
            </w:r>
          </w:p>
        </w:tc>
      </w:tr>
      <w:tr w:rsidR="001B7ED4" w:rsidRPr="001B7ED4" w14:paraId="7C8C09F6" w14:textId="77777777" w:rsidTr="001B7ED4">
        <w:trPr>
          <w:trHeight w:val="315"/>
        </w:trPr>
        <w:tc>
          <w:tcPr>
            <w:tcW w:w="1923" w:type="dxa"/>
            <w:tcBorders>
              <w:top w:val="nil"/>
              <w:left w:val="nil"/>
              <w:bottom w:val="nil"/>
              <w:right w:val="nil"/>
            </w:tcBorders>
            <w:shd w:val="clear" w:color="000000" w:fill="FFFFFF"/>
            <w:noWrap/>
            <w:vAlign w:val="center"/>
            <w:hideMark/>
          </w:tcPr>
          <w:p w14:paraId="50D94C15"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proofErr w:type="spellStart"/>
            <w:r w:rsidRPr="001B7ED4">
              <w:rPr>
                <w:rFonts w:ascii="Times New Roman" w:eastAsia="Times New Roman" w:hAnsi="Times New Roman" w:cs="Times New Roman"/>
                <w:i/>
                <w:iCs/>
                <w:color w:val="000000"/>
                <w:sz w:val="24"/>
                <w:szCs w:val="24"/>
                <w:lang w:val="en-US" w:eastAsia="en-GB"/>
              </w:rPr>
              <w:t>DividendPayout</w:t>
            </w:r>
            <w:proofErr w:type="spellEnd"/>
          </w:p>
        </w:tc>
        <w:tc>
          <w:tcPr>
            <w:tcW w:w="393" w:type="dxa"/>
            <w:tcBorders>
              <w:top w:val="nil"/>
              <w:left w:val="nil"/>
              <w:bottom w:val="nil"/>
              <w:right w:val="nil"/>
            </w:tcBorders>
            <w:shd w:val="clear" w:color="000000" w:fill="FFFFFF"/>
            <w:noWrap/>
            <w:vAlign w:val="center"/>
            <w:hideMark/>
          </w:tcPr>
          <w:p w14:paraId="3B48A4AF"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bottom w:val="nil"/>
              <w:right w:val="nil"/>
            </w:tcBorders>
            <w:shd w:val="clear" w:color="000000" w:fill="FFFFFF"/>
            <w:noWrap/>
            <w:vAlign w:val="center"/>
            <w:hideMark/>
          </w:tcPr>
          <w:p w14:paraId="6CE2AC5B"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0.000</w:t>
            </w:r>
          </w:p>
        </w:tc>
        <w:tc>
          <w:tcPr>
            <w:tcW w:w="1342" w:type="dxa"/>
            <w:tcBorders>
              <w:top w:val="nil"/>
              <w:left w:val="nil"/>
              <w:bottom w:val="nil"/>
              <w:right w:val="nil"/>
            </w:tcBorders>
            <w:shd w:val="clear" w:color="000000" w:fill="FFFFFF"/>
            <w:noWrap/>
            <w:vAlign w:val="center"/>
            <w:hideMark/>
          </w:tcPr>
          <w:p w14:paraId="4EFB16A5"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0.010</w:t>
            </w:r>
          </w:p>
        </w:tc>
        <w:tc>
          <w:tcPr>
            <w:tcW w:w="1210" w:type="dxa"/>
            <w:tcBorders>
              <w:top w:val="nil"/>
              <w:left w:val="nil"/>
              <w:bottom w:val="nil"/>
              <w:right w:val="nil"/>
            </w:tcBorders>
            <w:shd w:val="clear" w:color="000000" w:fill="FFFFFF"/>
            <w:noWrap/>
            <w:vAlign w:val="center"/>
            <w:hideMark/>
          </w:tcPr>
          <w:p w14:paraId="11A08DE3"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0.000</w:t>
            </w:r>
          </w:p>
        </w:tc>
        <w:tc>
          <w:tcPr>
            <w:tcW w:w="1474" w:type="dxa"/>
            <w:tcBorders>
              <w:top w:val="nil"/>
              <w:left w:val="nil"/>
              <w:bottom w:val="nil"/>
              <w:right w:val="nil"/>
            </w:tcBorders>
            <w:shd w:val="clear" w:color="000000" w:fill="FFFFFF"/>
            <w:noWrap/>
            <w:vAlign w:val="center"/>
            <w:hideMark/>
          </w:tcPr>
          <w:p w14:paraId="576FFE0D"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0.220</w:t>
            </w:r>
          </w:p>
        </w:tc>
        <w:tc>
          <w:tcPr>
            <w:tcW w:w="1342" w:type="dxa"/>
            <w:tcBorders>
              <w:top w:val="nil"/>
              <w:left w:val="nil"/>
              <w:bottom w:val="nil"/>
              <w:right w:val="nil"/>
            </w:tcBorders>
            <w:shd w:val="clear" w:color="000000" w:fill="FFFFFF"/>
            <w:noWrap/>
            <w:vAlign w:val="center"/>
            <w:hideMark/>
          </w:tcPr>
          <w:p w14:paraId="7E722896"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0.020</w:t>
            </w:r>
          </w:p>
        </w:tc>
      </w:tr>
      <w:tr w:rsidR="001B7ED4" w:rsidRPr="001B7ED4" w14:paraId="0A1E12F5" w14:textId="77777777" w:rsidTr="001B7ED4">
        <w:trPr>
          <w:trHeight w:val="315"/>
        </w:trPr>
        <w:tc>
          <w:tcPr>
            <w:tcW w:w="1923" w:type="dxa"/>
            <w:tcBorders>
              <w:top w:val="nil"/>
              <w:left w:val="nil"/>
              <w:bottom w:val="nil"/>
              <w:right w:val="nil"/>
            </w:tcBorders>
            <w:shd w:val="clear" w:color="000000" w:fill="FFFFFF"/>
            <w:noWrap/>
            <w:vAlign w:val="center"/>
            <w:hideMark/>
          </w:tcPr>
          <w:p w14:paraId="23670BCB"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proofErr w:type="spellStart"/>
            <w:r w:rsidRPr="001B7ED4">
              <w:rPr>
                <w:rFonts w:ascii="Times New Roman" w:eastAsia="Times New Roman" w:hAnsi="Times New Roman" w:cs="Times New Roman"/>
                <w:i/>
                <w:iCs/>
                <w:color w:val="000000"/>
                <w:sz w:val="24"/>
                <w:szCs w:val="24"/>
                <w:lang w:val="en-US" w:eastAsia="en-GB"/>
              </w:rPr>
              <w:t>FirmSize</w:t>
            </w:r>
            <w:proofErr w:type="spellEnd"/>
          </w:p>
        </w:tc>
        <w:tc>
          <w:tcPr>
            <w:tcW w:w="393" w:type="dxa"/>
            <w:tcBorders>
              <w:top w:val="nil"/>
              <w:left w:val="nil"/>
              <w:bottom w:val="nil"/>
              <w:right w:val="nil"/>
            </w:tcBorders>
            <w:shd w:val="clear" w:color="000000" w:fill="FFFFFF"/>
            <w:noWrap/>
            <w:vAlign w:val="center"/>
            <w:hideMark/>
          </w:tcPr>
          <w:p w14:paraId="433C341A"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bottom w:val="nil"/>
              <w:right w:val="nil"/>
            </w:tcBorders>
            <w:shd w:val="clear" w:color="000000" w:fill="FFFFFF"/>
            <w:noWrap/>
            <w:vAlign w:val="center"/>
            <w:hideMark/>
          </w:tcPr>
          <w:p w14:paraId="77A79C9D"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3.770</w:t>
            </w:r>
          </w:p>
        </w:tc>
        <w:tc>
          <w:tcPr>
            <w:tcW w:w="1342" w:type="dxa"/>
            <w:tcBorders>
              <w:top w:val="nil"/>
              <w:left w:val="nil"/>
              <w:bottom w:val="nil"/>
              <w:right w:val="nil"/>
            </w:tcBorders>
            <w:shd w:val="clear" w:color="000000" w:fill="FFFFFF"/>
            <w:noWrap/>
            <w:vAlign w:val="center"/>
            <w:hideMark/>
          </w:tcPr>
          <w:p w14:paraId="743024B3"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7.760</w:t>
            </w:r>
          </w:p>
        </w:tc>
        <w:tc>
          <w:tcPr>
            <w:tcW w:w="1210" w:type="dxa"/>
            <w:tcBorders>
              <w:top w:val="nil"/>
              <w:left w:val="nil"/>
              <w:bottom w:val="nil"/>
              <w:right w:val="nil"/>
            </w:tcBorders>
            <w:shd w:val="clear" w:color="000000" w:fill="FFFFFF"/>
            <w:noWrap/>
            <w:vAlign w:val="center"/>
            <w:hideMark/>
          </w:tcPr>
          <w:p w14:paraId="75FCD5FE"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7.740</w:t>
            </w:r>
          </w:p>
        </w:tc>
        <w:tc>
          <w:tcPr>
            <w:tcW w:w="1474" w:type="dxa"/>
            <w:tcBorders>
              <w:top w:val="nil"/>
              <w:left w:val="nil"/>
              <w:bottom w:val="nil"/>
              <w:right w:val="nil"/>
            </w:tcBorders>
            <w:shd w:val="clear" w:color="000000" w:fill="FFFFFF"/>
            <w:noWrap/>
            <w:vAlign w:val="center"/>
            <w:hideMark/>
          </w:tcPr>
          <w:p w14:paraId="7FAA71EC"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10.900</w:t>
            </w:r>
          </w:p>
        </w:tc>
        <w:tc>
          <w:tcPr>
            <w:tcW w:w="1342" w:type="dxa"/>
            <w:tcBorders>
              <w:top w:val="nil"/>
              <w:left w:val="nil"/>
              <w:bottom w:val="nil"/>
              <w:right w:val="nil"/>
            </w:tcBorders>
            <w:shd w:val="clear" w:color="000000" w:fill="FFFFFF"/>
            <w:noWrap/>
            <w:vAlign w:val="center"/>
            <w:hideMark/>
          </w:tcPr>
          <w:p w14:paraId="48E1664A"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1.500</w:t>
            </w:r>
          </w:p>
        </w:tc>
      </w:tr>
      <w:tr w:rsidR="001B7ED4" w:rsidRPr="001B7ED4" w14:paraId="411F6C30" w14:textId="77777777" w:rsidTr="001B7ED4">
        <w:trPr>
          <w:trHeight w:val="315"/>
        </w:trPr>
        <w:tc>
          <w:tcPr>
            <w:tcW w:w="1923" w:type="dxa"/>
            <w:tcBorders>
              <w:top w:val="nil"/>
              <w:left w:val="nil"/>
              <w:bottom w:val="nil"/>
              <w:right w:val="nil"/>
            </w:tcBorders>
            <w:shd w:val="clear" w:color="000000" w:fill="FFFFFF"/>
            <w:noWrap/>
            <w:vAlign w:val="center"/>
            <w:hideMark/>
          </w:tcPr>
          <w:p w14:paraId="3EC9EDF6"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Employees</w:t>
            </w:r>
          </w:p>
        </w:tc>
        <w:tc>
          <w:tcPr>
            <w:tcW w:w="393" w:type="dxa"/>
            <w:tcBorders>
              <w:top w:val="nil"/>
              <w:left w:val="nil"/>
              <w:bottom w:val="nil"/>
              <w:right w:val="nil"/>
            </w:tcBorders>
            <w:shd w:val="clear" w:color="000000" w:fill="FFFFFF"/>
            <w:noWrap/>
            <w:vAlign w:val="center"/>
            <w:hideMark/>
          </w:tcPr>
          <w:p w14:paraId="63BACF9B"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bottom w:val="nil"/>
              <w:right w:val="nil"/>
            </w:tcBorders>
            <w:shd w:val="clear" w:color="000000" w:fill="FFFFFF"/>
            <w:noWrap/>
            <w:vAlign w:val="center"/>
            <w:hideMark/>
          </w:tcPr>
          <w:p w14:paraId="10BB53F7"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-2.360</w:t>
            </w:r>
          </w:p>
        </w:tc>
        <w:tc>
          <w:tcPr>
            <w:tcW w:w="1342" w:type="dxa"/>
            <w:tcBorders>
              <w:top w:val="nil"/>
              <w:left w:val="nil"/>
              <w:bottom w:val="nil"/>
              <w:right w:val="nil"/>
            </w:tcBorders>
            <w:shd w:val="clear" w:color="000000" w:fill="FFFFFF"/>
            <w:noWrap/>
            <w:vAlign w:val="center"/>
            <w:hideMark/>
          </w:tcPr>
          <w:p w14:paraId="7D90D85C"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1.440</w:t>
            </w:r>
          </w:p>
        </w:tc>
        <w:tc>
          <w:tcPr>
            <w:tcW w:w="1210" w:type="dxa"/>
            <w:tcBorders>
              <w:top w:val="nil"/>
              <w:left w:val="nil"/>
              <w:bottom w:val="nil"/>
              <w:right w:val="nil"/>
            </w:tcBorders>
            <w:shd w:val="clear" w:color="000000" w:fill="FFFFFF"/>
            <w:noWrap/>
            <w:vAlign w:val="center"/>
            <w:hideMark/>
          </w:tcPr>
          <w:p w14:paraId="38C93304"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1.310</w:t>
            </w:r>
          </w:p>
        </w:tc>
        <w:tc>
          <w:tcPr>
            <w:tcW w:w="1474" w:type="dxa"/>
            <w:tcBorders>
              <w:top w:val="nil"/>
              <w:left w:val="nil"/>
              <w:bottom w:val="nil"/>
              <w:right w:val="nil"/>
            </w:tcBorders>
            <w:shd w:val="clear" w:color="000000" w:fill="FFFFFF"/>
            <w:noWrap/>
            <w:vAlign w:val="center"/>
            <w:hideMark/>
          </w:tcPr>
          <w:p w14:paraId="19B6E205"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5.130</w:t>
            </w:r>
          </w:p>
        </w:tc>
        <w:tc>
          <w:tcPr>
            <w:tcW w:w="1342" w:type="dxa"/>
            <w:tcBorders>
              <w:top w:val="nil"/>
              <w:left w:val="nil"/>
              <w:bottom w:val="nil"/>
              <w:right w:val="nil"/>
            </w:tcBorders>
            <w:shd w:val="clear" w:color="000000" w:fill="FFFFFF"/>
            <w:noWrap/>
            <w:vAlign w:val="center"/>
            <w:hideMark/>
          </w:tcPr>
          <w:p w14:paraId="18098AD3"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1.630</w:t>
            </w:r>
          </w:p>
        </w:tc>
      </w:tr>
      <w:tr w:rsidR="001B7ED4" w:rsidRPr="001B7ED4" w14:paraId="7D36C183" w14:textId="77777777" w:rsidTr="001B7ED4">
        <w:trPr>
          <w:trHeight w:val="315"/>
        </w:trPr>
        <w:tc>
          <w:tcPr>
            <w:tcW w:w="1923" w:type="dxa"/>
            <w:tcBorders>
              <w:top w:val="nil"/>
              <w:left w:val="nil"/>
              <w:bottom w:val="nil"/>
              <w:right w:val="nil"/>
            </w:tcBorders>
            <w:shd w:val="clear" w:color="000000" w:fill="FFFFFF"/>
            <w:noWrap/>
            <w:vAlign w:val="center"/>
            <w:hideMark/>
          </w:tcPr>
          <w:p w14:paraId="6D86355E"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proofErr w:type="spellStart"/>
            <w:r w:rsidRPr="001B7ED4">
              <w:rPr>
                <w:rFonts w:ascii="Times New Roman" w:eastAsia="Times New Roman" w:hAnsi="Times New Roman" w:cs="Times New Roman"/>
                <w:i/>
                <w:iCs/>
                <w:color w:val="000000"/>
                <w:sz w:val="24"/>
                <w:szCs w:val="24"/>
                <w:lang w:val="en-US" w:eastAsia="en-GB"/>
              </w:rPr>
              <w:t>AssetTurnover</w:t>
            </w:r>
            <w:proofErr w:type="spellEnd"/>
          </w:p>
        </w:tc>
        <w:tc>
          <w:tcPr>
            <w:tcW w:w="393" w:type="dxa"/>
            <w:tcBorders>
              <w:top w:val="nil"/>
              <w:left w:val="nil"/>
              <w:bottom w:val="nil"/>
              <w:right w:val="nil"/>
            </w:tcBorders>
            <w:shd w:val="clear" w:color="000000" w:fill="FFFFFF"/>
            <w:noWrap/>
            <w:vAlign w:val="center"/>
            <w:hideMark/>
          </w:tcPr>
          <w:p w14:paraId="50BA3F5F"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bottom w:val="nil"/>
              <w:right w:val="nil"/>
            </w:tcBorders>
            <w:shd w:val="clear" w:color="000000" w:fill="FFFFFF"/>
            <w:noWrap/>
            <w:vAlign w:val="center"/>
            <w:hideMark/>
          </w:tcPr>
          <w:p w14:paraId="141E12D4"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0.010</w:t>
            </w:r>
          </w:p>
        </w:tc>
        <w:tc>
          <w:tcPr>
            <w:tcW w:w="1342" w:type="dxa"/>
            <w:tcBorders>
              <w:top w:val="nil"/>
              <w:left w:val="nil"/>
              <w:bottom w:val="nil"/>
              <w:right w:val="nil"/>
            </w:tcBorders>
            <w:shd w:val="clear" w:color="000000" w:fill="FFFFFF"/>
            <w:noWrap/>
            <w:vAlign w:val="center"/>
            <w:hideMark/>
          </w:tcPr>
          <w:p w14:paraId="60C51765"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0.980</w:t>
            </w:r>
          </w:p>
        </w:tc>
        <w:tc>
          <w:tcPr>
            <w:tcW w:w="1210" w:type="dxa"/>
            <w:tcBorders>
              <w:top w:val="nil"/>
              <w:left w:val="nil"/>
              <w:bottom w:val="nil"/>
              <w:right w:val="nil"/>
            </w:tcBorders>
            <w:shd w:val="clear" w:color="000000" w:fill="FFFFFF"/>
            <w:noWrap/>
            <w:vAlign w:val="center"/>
            <w:hideMark/>
          </w:tcPr>
          <w:p w14:paraId="041F695E"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0.810</w:t>
            </w:r>
          </w:p>
        </w:tc>
        <w:tc>
          <w:tcPr>
            <w:tcW w:w="1474" w:type="dxa"/>
            <w:tcBorders>
              <w:top w:val="nil"/>
              <w:left w:val="nil"/>
              <w:bottom w:val="nil"/>
              <w:right w:val="nil"/>
            </w:tcBorders>
            <w:shd w:val="clear" w:color="000000" w:fill="FFFFFF"/>
            <w:noWrap/>
            <w:vAlign w:val="center"/>
            <w:hideMark/>
          </w:tcPr>
          <w:p w14:paraId="4419EF4C"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5.490</w:t>
            </w:r>
          </w:p>
        </w:tc>
        <w:tc>
          <w:tcPr>
            <w:tcW w:w="1342" w:type="dxa"/>
            <w:tcBorders>
              <w:top w:val="nil"/>
              <w:left w:val="nil"/>
              <w:bottom w:val="nil"/>
              <w:right w:val="nil"/>
            </w:tcBorders>
            <w:shd w:val="clear" w:color="000000" w:fill="FFFFFF"/>
            <w:noWrap/>
            <w:vAlign w:val="center"/>
            <w:hideMark/>
          </w:tcPr>
          <w:p w14:paraId="31FE20A2"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0.770</w:t>
            </w:r>
          </w:p>
        </w:tc>
      </w:tr>
      <w:tr w:rsidR="001B7ED4" w:rsidRPr="001B7ED4" w14:paraId="53AAEBAC" w14:textId="77777777" w:rsidTr="001B7ED4">
        <w:trPr>
          <w:trHeight w:val="315"/>
        </w:trPr>
        <w:tc>
          <w:tcPr>
            <w:tcW w:w="1923" w:type="dxa"/>
            <w:tcBorders>
              <w:top w:val="nil"/>
              <w:left w:val="nil"/>
              <w:bottom w:val="nil"/>
              <w:right w:val="nil"/>
            </w:tcBorders>
            <w:shd w:val="clear" w:color="000000" w:fill="FFFFFF"/>
            <w:noWrap/>
            <w:vAlign w:val="center"/>
            <w:hideMark/>
          </w:tcPr>
          <w:p w14:paraId="38AAB68D"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Market-to-book</w:t>
            </w:r>
          </w:p>
        </w:tc>
        <w:tc>
          <w:tcPr>
            <w:tcW w:w="393" w:type="dxa"/>
            <w:tcBorders>
              <w:top w:val="nil"/>
              <w:left w:val="nil"/>
              <w:bottom w:val="nil"/>
              <w:right w:val="nil"/>
            </w:tcBorders>
            <w:shd w:val="clear" w:color="000000" w:fill="FFFFFF"/>
            <w:noWrap/>
            <w:vAlign w:val="center"/>
            <w:hideMark/>
          </w:tcPr>
          <w:p w14:paraId="082A11B9"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bottom w:val="nil"/>
              <w:right w:val="nil"/>
            </w:tcBorders>
            <w:shd w:val="clear" w:color="000000" w:fill="FFFFFF"/>
            <w:noWrap/>
            <w:vAlign w:val="center"/>
            <w:hideMark/>
          </w:tcPr>
          <w:p w14:paraId="50F69928"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0.240</w:t>
            </w:r>
          </w:p>
        </w:tc>
        <w:tc>
          <w:tcPr>
            <w:tcW w:w="1342" w:type="dxa"/>
            <w:tcBorders>
              <w:top w:val="nil"/>
              <w:left w:val="nil"/>
              <w:bottom w:val="nil"/>
              <w:right w:val="nil"/>
            </w:tcBorders>
            <w:shd w:val="clear" w:color="000000" w:fill="FFFFFF"/>
            <w:noWrap/>
            <w:vAlign w:val="center"/>
            <w:hideMark/>
          </w:tcPr>
          <w:p w14:paraId="1F5E8127"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2.240</w:t>
            </w:r>
          </w:p>
        </w:tc>
        <w:tc>
          <w:tcPr>
            <w:tcW w:w="1210" w:type="dxa"/>
            <w:tcBorders>
              <w:top w:val="nil"/>
              <w:left w:val="nil"/>
              <w:bottom w:val="nil"/>
              <w:right w:val="nil"/>
            </w:tcBorders>
            <w:shd w:val="clear" w:color="000000" w:fill="FFFFFF"/>
            <w:noWrap/>
            <w:vAlign w:val="center"/>
            <w:hideMark/>
          </w:tcPr>
          <w:p w14:paraId="078D850C"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1.780</w:t>
            </w:r>
          </w:p>
        </w:tc>
        <w:tc>
          <w:tcPr>
            <w:tcW w:w="1474" w:type="dxa"/>
            <w:tcBorders>
              <w:top w:val="nil"/>
              <w:left w:val="nil"/>
              <w:bottom w:val="nil"/>
              <w:right w:val="nil"/>
            </w:tcBorders>
            <w:shd w:val="clear" w:color="000000" w:fill="FFFFFF"/>
            <w:noWrap/>
            <w:vAlign w:val="center"/>
            <w:hideMark/>
          </w:tcPr>
          <w:p w14:paraId="5B35C299"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14.270</w:t>
            </w:r>
          </w:p>
        </w:tc>
        <w:tc>
          <w:tcPr>
            <w:tcW w:w="1342" w:type="dxa"/>
            <w:tcBorders>
              <w:top w:val="nil"/>
              <w:left w:val="nil"/>
              <w:bottom w:val="nil"/>
              <w:right w:val="nil"/>
            </w:tcBorders>
            <w:shd w:val="clear" w:color="000000" w:fill="FFFFFF"/>
            <w:noWrap/>
            <w:vAlign w:val="center"/>
            <w:hideMark/>
          </w:tcPr>
          <w:p w14:paraId="38774BFD"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1.540</w:t>
            </w:r>
          </w:p>
        </w:tc>
      </w:tr>
      <w:tr w:rsidR="001B7ED4" w:rsidRPr="001B7ED4" w14:paraId="1874B919" w14:textId="77777777" w:rsidTr="001B7ED4">
        <w:trPr>
          <w:trHeight w:val="315"/>
        </w:trPr>
        <w:tc>
          <w:tcPr>
            <w:tcW w:w="1923" w:type="dxa"/>
            <w:tcBorders>
              <w:top w:val="nil"/>
              <w:left w:val="nil"/>
              <w:bottom w:val="nil"/>
              <w:right w:val="nil"/>
            </w:tcBorders>
            <w:shd w:val="clear" w:color="000000" w:fill="FFFFFF"/>
            <w:noWrap/>
            <w:vAlign w:val="center"/>
            <w:hideMark/>
          </w:tcPr>
          <w:p w14:paraId="5F1FF941"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Tangibility</w:t>
            </w:r>
          </w:p>
        </w:tc>
        <w:tc>
          <w:tcPr>
            <w:tcW w:w="393" w:type="dxa"/>
            <w:tcBorders>
              <w:top w:val="nil"/>
              <w:left w:val="nil"/>
              <w:bottom w:val="nil"/>
              <w:right w:val="nil"/>
            </w:tcBorders>
            <w:shd w:val="clear" w:color="000000" w:fill="FFFFFF"/>
            <w:noWrap/>
            <w:vAlign w:val="center"/>
            <w:hideMark/>
          </w:tcPr>
          <w:p w14:paraId="68AA0F4C"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bottom w:val="nil"/>
              <w:right w:val="nil"/>
            </w:tcBorders>
            <w:shd w:val="clear" w:color="000000" w:fill="FFFFFF"/>
            <w:noWrap/>
            <w:vAlign w:val="center"/>
            <w:hideMark/>
          </w:tcPr>
          <w:p w14:paraId="5F19CAE6"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0.010</w:t>
            </w:r>
          </w:p>
        </w:tc>
        <w:tc>
          <w:tcPr>
            <w:tcW w:w="1342" w:type="dxa"/>
            <w:tcBorders>
              <w:top w:val="nil"/>
              <w:left w:val="nil"/>
              <w:bottom w:val="nil"/>
              <w:right w:val="nil"/>
            </w:tcBorders>
            <w:shd w:val="clear" w:color="000000" w:fill="FFFFFF"/>
            <w:noWrap/>
            <w:vAlign w:val="center"/>
            <w:hideMark/>
          </w:tcPr>
          <w:p w14:paraId="7B89AFCB"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0.180</w:t>
            </w:r>
          </w:p>
        </w:tc>
        <w:tc>
          <w:tcPr>
            <w:tcW w:w="1210" w:type="dxa"/>
            <w:tcBorders>
              <w:top w:val="nil"/>
              <w:left w:val="nil"/>
              <w:bottom w:val="nil"/>
              <w:right w:val="nil"/>
            </w:tcBorders>
            <w:shd w:val="clear" w:color="000000" w:fill="FFFFFF"/>
            <w:noWrap/>
            <w:vAlign w:val="center"/>
            <w:hideMark/>
          </w:tcPr>
          <w:p w14:paraId="6C2A0192"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0.140</w:t>
            </w:r>
          </w:p>
        </w:tc>
        <w:tc>
          <w:tcPr>
            <w:tcW w:w="1474" w:type="dxa"/>
            <w:tcBorders>
              <w:top w:val="nil"/>
              <w:left w:val="nil"/>
              <w:bottom w:val="nil"/>
              <w:right w:val="nil"/>
            </w:tcBorders>
            <w:shd w:val="clear" w:color="000000" w:fill="FFFFFF"/>
            <w:noWrap/>
            <w:vAlign w:val="center"/>
            <w:hideMark/>
          </w:tcPr>
          <w:p w14:paraId="228B1D93"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0.920</w:t>
            </w:r>
          </w:p>
        </w:tc>
        <w:tc>
          <w:tcPr>
            <w:tcW w:w="1342" w:type="dxa"/>
            <w:tcBorders>
              <w:top w:val="nil"/>
              <w:left w:val="nil"/>
              <w:bottom w:val="nil"/>
              <w:right w:val="nil"/>
            </w:tcBorders>
            <w:shd w:val="clear" w:color="000000" w:fill="FFFFFF"/>
            <w:noWrap/>
            <w:vAlign w:val="center"/>
            <w:hideMark/>
          </w:tcPr>
          <w:p w14:paraId="4DFA5AA8"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0.150</w:t>
            </w:r>
          </w:p>
        </w:tc>
      </w:tr>
      <w:tr w:rsidR="001B7ED4" w:rsidRPr="001B7ED4" w14:paraId="5B0CE210" w14:textId="77777777" w:rsidTr="001B7ED4">
        <w:trPr>
          <w:trHeight w:val="315"/>
        </w:trPr>
        <w:tc>
          <w:tcPr>
            <w:tcW w:w="1923" w:type="dxa"/>
            <w:tcBorders>
              <w:top w:val="nil"/>
              <w:left w:val="nil"/>
              <w:bottom w:val="nil"/>
              <w:right w:val="nil"/>
            </w:tcBorders>
            <w:shd w:val="clear" w:color="000000" w:fill="FFFFFF"/>
            <w:noWrap/>
            <w:vAlign w:val="center"/>
            <w:hideMark/>
          </w:tcPr>
          <w:p w14:paraId="50EDB44B"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Capex</w:t>
            </w:r>
          </w:p>
        </w:tc>
        <w:tc>
          <w:tcPr>
            <w:tcW w:w="393" w:type="dxa"/>
            <w:tcBorders>
              <w:top w:val="nil"/>
              <w:left w:val="nil"/>
              <w:bottom w:val="nil"/>
              <w:right w:val="nil"/>
            </w:tcBorders>
            <w:shd w:val="clear" w:color="000000" w:fill="FFFFFF"/>
            <w:noWrap/>
            <w:vAlign w:val="center"/>
            <w:hideMark/>
          </w:tcPr>
          <w:p w14:paraId="4A2A94A3"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bottom w:val="nil"/>
              <w:right w:val="nil"/>
            </w:tcBorders>
            <w:shd w:val="clear" w:color="000000" w:fill="FFFFFF"/>
            <w:noWrap/>
            <w:vAlign w:val="center"/>
            <w:hideMark/>
          </w:tcPr>
          <w:p w14:paraId="5E950090"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0.000</w:t>
            </w:r>
          </w:p>
        </w:tc>
        <w:tc>
          <w:tcPr>
            <w:tcW w:w="1342" w:type="dxa"/>
            <w:tcBorders>
              <w:top w:val="nil"/>
              <w:left w:val="nil"/>
              <w:bottom w:val="nil"/>
              <w:right w:val="nil"/>
            </w:tcBorders>
            <w:shd w:val="clear" w:color="000000" w:fill="FFFFFF"/>
            <w:noWrap/>
            <w:vAlign w:val="center"/>
            <w:hideMark/>
          </w:tcPr>
          <w:p w14:paraId="15437BDE"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0.040</w:t>
            </w:r>
          </w:p>
        </w:tc>
        <w:tc>
          <w:tcPr>
            <w:tcW w:w="1210" w:type="dxa"/>
            <w:tcBorders>
              <w:top w:val="nil"/>
              <w:left w:val="nil"/>
              <w:bottom w:val="nil"/>
              <w:right w:val="nil"/>
            </w:tcBorders>
            <w:shd w:val="clear" w:color="000000" w:fill="FFFFFF"/>
            <w:noWrap/>
            <w:vAlign w:val="center"/>
            <w:hideMark/>
          </w:tcPr>
          <w:p w14:paraId="58F3A82C"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0.030</w:t>
            </w:r>
          </w:p>
        </w:tc>
        <w:tc>
          <w:tcPr>
            <w:tcW w:w="1474" w:type="dxa"/>
            <w:tcBorders>
              <w:top w:val="nil"/>
              <w:left w:val="nil"/>
              <w:bottom w:val="nil"/>
              <w:right w:val="nil"/>
            </w:tcBorders>
            <w:shd w:val="clear" w:color="000000" w:fill="FFFFFF"/>
            <w:noWrap/>
            <w:vAlign w:val="center"/>
            <w:hideMark/>
          </w:tcPr>
          <w:p w14:paraId="1687867D"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0.310</w:t>
            </w:r>
          </w:p>
        </w:tc>
        <w:tc>
          <w:tcPr>
            <w:tcW w:w="1342" w:type="dxa"/>
            <w:tcBorders>
              <w:top w:val="nil"/>
              <w:left w:val="nil"/>
              <w:bottom w:val="nil"/>
              <w:right w:val="nil"/>
            </w:tcBorders>
            <w:shd w:val="clear" w:color="000000" w:fill="FFFFFF"/>
            <w:noWrap/>
            <w:vAlign w:val="center"/>
            <w:hideMark/>
          </w:tcPr>
          <w:p w14:paraId="683F2F77"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0.040</w:t>
            </w:r>
          </w:p>
        </w:tc>
      </w:tr>
      <w:tr w:rsidR="001B7ED4" w:rsidRPr="001B7ED4" w14:paraId="3E054D6B" w14:textId="77777777" w:rsidTr="001B7ED4">
        <w:trPr>
          <w:trHeight w:val="315"/>
        </w:trPr>
        <w:tc>
          <w:tcPr>
            <w:tcW w:w="1923" w:type="dxa"/>
            <w:tcBorders>
              <w:top w:val="nil"/>
              <w:left w:val="nil"/>
              <w:bottom w:val="nil"/>
              <w:right w:val="nil"/>
            </w:tcBorders>
            <w:shd w:val="clear" w:color="000000" w:fill="FFFFFF"/>
            <w:noWrap/>
            <w:vAlign w:val="center"/>
            <w:hideMark/>
          </w:tcPr>
          <w:p w14:paraId="184966FE"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RET</w:t>
            </w:r>
          </w:p>
        </w:tc>
        <w:tc>
          <w:tcPr>
            <w:tcW w:w="393" w:type="dxa"/>
            <w:tcBorders>
              <w:top w:val="nil"/>
              <w:left w:val="nil"/>
              <w:bottom w:val="nil"/>
              <w:right w:val="nil"/>
            </w:tcBorders>
            <w:shd w:val="clear" w:color="000000" w:fill="FFFFFF"/>
            <w:noWrap/>
            <w:vAlign w:val="center"/>
            <w:hideMark/>
          </w:tcPr>
          <w:p w14:paraId="5300D652"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bottom w:val="nil"/>
              <w:right w:val="nil"/>
            </w:tcBorders>
            <w:shd w:val="clear" w:color="000000" w:fill="FFFFFF"/>
            <w:noWrap/>
            <w:vAlign w:val="center"/>
            <w:hideMark/>
          </w:tcPr>
          <w:p w14:paraId="622ADC88"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-0.880</w:t>
            </w:r>
          </w:p>
        </w:tc>
        <w:tc>
          <w:tcPr>
            <w:tcW w:w="1342" w:type="dxa"/>
            <w:tcBorders>
              <w:top w:val="nil"/>
              <w:left w:val="nil"/>
              <w:bottom w:val="nil"/>
              <w:right w:val="nil"/>
            </w:tcBorders>
            <w:shd w:val="clear" w:color="000000" w:fill="FFFFFF"/>
            <w:noWrap/>
            <w:vAlign w:val="center"/>
            <w:hideMark/>
          </w:tcPr>
          <w:p w14:paraId="215B37F5"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0.050</w:t>
            </w:r>
          </w:p>
        </w:tc>
        <w:tc>
          <w:tcPr>
            <w:tcW w:w="1210" w:type="dxa"/>
            <w:tcBorders>
              <w:top w:val="nil"/>
              <w:left w:val="nil"/>
              <w:bottom w:val="nil"/>
              <w:right w:val="nil"/>
            </w:tcBorders>
            <w:shd w:val="clear" w:color="000000" w:fill="FFFFFF"/>
            <w:noWrap/>
            <w:vAlign w:val="center"/>
            <w:hideMark/>
          </w:tcPr>
          <w:p w14:paraId="437E70B8"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-0.020</w:t>
            </w:r>
          </w:p>
        </w:tc>
        <w:tc>
          <w:tcPr>
            <w:tcW w:w="1474" w:type="dxa"/>
            <w:tcBorders>
              <w:top w:val="nil"/>
              <w:left w:val="nil"/>
              <w:bottom w:val="nil"/>
              <w:right w:val="nil"/>
            </w:tcBorders>
            <w:shd w:val="clear" w:color="000000" w:fill="FFFFFF"/>
            <w:noWrap/>
            <w:vAlign w:val="center"/>
            <w:hideMark/>
          </w:tcPr>
          <w:p w14:paraId="64B71DF4"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2.950</w:t>
            </w:r>
          </w:p>
        </w:tc>
        <w:tc>
          <w:tcPr>
            <w:tcW w:w="1342" w:type="dxa"/>
            <w:tcBorders>
              <w:top w:val="nil"/>
              <w:left w:val="nil"/>
              <w:bottom w:val="nil"/>
              <w:right w:val="nil"/>
            </w:tcBorders>
            <w:shd w:val="clear" w:color="000000" w:fill="FFFFFF"/>
            <w:noWrap/>
            <w:vAlign w:val="center"/>
            <w:hideMark/>
          </w:tcPr>
          <w:p w14:paraId="6005150C"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0.510</w:t>
            </w:r>
          </w:p>
        </w:tc>
      </w:tr>
      <w:tr w:rsidR="001B7ED4" w:rsidRPr="001B7ED4" w14:paraId="374914B8" w14:textId="77777777" w:rsidTr="001B7ED4">
        <w:trPr>
          <w:trHeight w:val="315"/>
        </w:trPr>
        <w:tc>
          <w:tcPr>
            <w:tcW w:w="1923" w:type="dxa"/>
            <w:tcBorders>
              <w:top w:val="nil"/>
              <w:left w:val="nil"/>
              <w:right w:val="nil"/>
            </w:tcBorders>
            <w:shd w:val="clear" w:color="000000" w:fill="FFFFFF"/>
            <w:noWrap/>
            <w:vAlign w:val="center"/>
            <w:hideMark/>
          </w:tcPr>
          <w:p w14:paraId="6C77D676"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proofErr w:type="spellStart"/>
            <w:r w:rsidRPr="001B7ED4">
              <w:rPr>
                <w:rFonts w:ascii="Times New Roman" w:eastAsia="Times New Roman" w:hAnsi="Times New Roman" w:cs="Times New Roman"/>
                <w:i/>
                <w:iCs/>
                <w:color w:val="000000"/>
                <w:sz w:val="24"/>
                <w:szCs w:val="24"/>
                <w:lang w:val="en-US" w:eastAsia="en-GB"/>
              </w:rPr>
              <w:t>CEOage</w:t>
            </w:r>
            <w:proofErr w:type="spellEnd"/>
          </w:p>
        </w:tc>
        <w:tc>
          <w:tcPr>
            <w:tcW w:w="393" w:type="dxa"/>
            <w:tcBorders>
              <w:top w:val="nil"/>
              <w:left w:val="nil"/>
              <w:right w:val="nil"/>
            </w:tcBorders>
            <w:shd w:val="clear" w:color="000000" w:fill="FFFFFF"/>
            <w:noWrap/>
            <w:vAlign w:val="center"/>
            <w:hideMark/>
          </w:tcPr>
          <w:p w14:paraId="4C6B6FD7"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right w:val="nil"/>
            </w:tcBorders>
            <w:shd w:val="clear" w:color="000000" w:fill="FFFFFF"/>
            <w:noWrap/>
            <w:vAlign w:val="center"/>
            <w:hideMark/>
          </w:tcPr>
          <w:p w14:paraId="50AE786D"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39.000</w:t>
            </w:r>
          </w:p>
        </w:tc>
        <w:tc>
          <w:tcPr>
            <w:tcW w:w="1342" w:type="dxa"/>
            <w:tcBorders>
              <w:top w:val="nil"/>
              <w:left w:val="nil"/>
              <w:right w:val="nil"/>
            </w:tcBorders>
            <w:shd w:val="clear" w:color="000000" w:fill="FFFFFF"/>
            <w:noWrap/>
            <w:vAlign w:val="center"/>
            <w:hideMark/>
          </w:tcPr>
          <w:p w14:paraId="504EC7F6"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54.000</w:t>
            </w:r>
          </w:p>
        </w:tc>
        <w:tc>
          <w:tcPr>
            <w:tcW w:w="1210" w:type="dxa"/>
            <w:tcBorders>
              <w:top w:val="nil"/>
              <w:left w:val="nil"/>
              <w:right w:val="nil"/>
            </w:tcBorders>
            <w:shd w:val="clear" w:color="000000" w:fill="FFFFFF"/>
            <w:noWrap/>
            <w:vAlign w:val="center"/>
            <w:hideMark/>
          </w:tcPr>
          <w:p w14:paraId="795A0473"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54.000</w:t>
            </w:r>
          </w:p>
        </w:tc>
        <w:tc>
          <w:tcPr>
            <w:tcW w:w="1474" w:type="dxa"/>
            <w:tcBorders>
              <w:top w:val="nil"/>
              <w:left w:val="nil"/>
              <w:right w:val="nil"/>
            </w:tcBorders>
            <w:shd w:val="clear" w:color="000000" w:fill="FFFFFF"/>
            <w:noWrap/>
            <w:vAlign w:val="center"/>
            <w:hideMark/>
          </w:tcPr>
          <w:p w14:paraId="0D69B90D"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76.000</w:t>
            </w:r>
          </w:p>
        </w:tc>
        <w:tc>
          <w:tcPr>
            <w:tcW w:w="1342" w:type="dxa"/>
            <w:tcBorders>
              <w:top w:val="nil"/>
              <w:left w:val="nil"/>
              <w:right w:val="nil"/>
            </w:tcBorders>
            <w:shd w:val="clear" w:color="000000" w:fill="FFFFFF"/>
            <w:noWrap/>
            <w:vAlign w:val="center"/>
            <w:hideMark/>
          </w:tcPr>
          <w:p w14:paraId="2BECD235"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7.000</w:t>
            </w:r>
          </w:p>
        </w:tc>
      </w:tr>
      <w:tr w:rsidR="001B7ED4" w:rsidRPr="001B7ED4" w14:paraId="1533D5D4" w14:textId="77777777" w:rsidTr="001B7ED4">
        <w:trPr>
          <w:trHeight w:val="330"/>
        </w:trPr>
        <w:tc>
          <w:tcPr>
            <w:tcW w:w="1923" w:type="dxa"/>
            <w:tcBorders>
              <w:top w:val="nil"/>
              <w:left w:val="nil"/>
              <w:right w:val="nil"/>
            </w:tcBorders>
            <w:shd w:val="clear" w:color="000000" w:fill="FFFFFF"/>
            <w:noWrap/>
            <w:vAlign w:val="center"/>
            <w:hideMark/>
          </w:tcPr>
          <w:p w14:paraId="09ACAC0A"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proofErr w:type="spellStart"/>
            <w:r w:rsidRPr="001B7ED4">
              <w:rPr>
                <w:rFonts w:ascii="Times New Roman" w:eastAsia="Times New Roman" w:hAnsi="Times New Roman" w:cs="Times New Roman"/>
                <w:i/>
                <w:iCs/>
                <w:color w:val="000000"/>
                <w:sz w:val="24"/>
                <w:szCs w:val="24"/>
                <w:lang w:val="en-US" w:eastAsia="en-GB"/>
              </w:rPr>
              <w:t>CEOtenure</w:t>
            </w:r>
            <w:proofErr w:type="spellEnd"/>
          </w:p>
        </w:tc>
        <w:tc>
          <w:tcPr>
            <w:tcW w:w="393" w:type="dxa"/>
            <w:tcBorders>
              <w:top w:val="nil"/>
              <w:left w:val="nil"/>
              <w:right w:val="nil"/>
            </w:tcBorders>
            <w:shd w:val="clear" w:color="000000" w:fill="FFFFFF"/>
            <w:noWrap/>
            <w:vAlign w:val="center"/>
            <w:hideMark/>
          </w:tcPr>
          <w:p w14:paraId="4050C344"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right w:val="nil"/>
            </w:tcBorders>
            <w:shd w:val="clear" w:color="000000" w:fill="FFFFFF"/>
            <w:noWrap/>
            <w:vAlign w:val="center"/>
            <w:hideMark/>
          </w:tcPr>
          <w:p w14:paraId="755FD40D"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1.000</w:t>
            </w:r>
          </w:p>
        </w:tc>
        <w:tc>
          <w:tcPr>
            <w:tcW w:w="1342" w:type="dxa"/>
            <w:tcBorders>
              <w:top w:val="nil"/>
              <w:left w:val="nil"/>
              <w:right w:val="nil"/>
            </w:tcBorders>
            <w:shd w:val="clear" w:color="000000" w:fill="FFFFFF"/>
            <w:noWrap/>
            <w:vAlign w:val="center"/>
            <w:hideMark/>
          </w:tcPr>
          <w:p w14:paraId="7856FA72"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9.000</w:t>
            </w:r>
          </w:p>
        </w:tc>
        <w:tc>
          <w:tcPr>
            <w:tcW w:w="1210" w:type="dxa"/>
            <w:tcBorders>
              <w:top w:val="nil"/>
              <w:left w:val="nil"/>
              <w:right w:val="nil"/>
            </w:tcBorders>
            <w:shd w:val="clear" w:color="000000" w:fill="FFFFFF"/>
            <w:noWrap/>
            <w:vAlign w:val="center"/>
            <w:hideMark/>
          </w:tcPr>
          <w:p w14:paraId="3BD2CDD7"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7.000</w:t>
            </w:r>
          </w:p>
        </w:tc>
        <w:tc>
          <w:tcPr>
            <w:tcW w:w="1474" w:type="dxa"/>
            <w:tcBorders>
              <w:top w:val="nil"/>
              <w:left w:val="nil"/>
              <w:right w:val="nil"/>
            </w:tcBorders>
            <w:shd w:val="clear" w:color="000000" w:fill="FFFFFF"/>
            <w:noWrap/>
            <w:vAlign w:val="center"/>
            <w:hideMark/>
          </w:tcPr>
          <w:p w14:paraId="212F96A3"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35.000</w:t>
            </w:r>
          </w:p>
        </w:tc>
        <w:tc>
          <w:tcPr>
            <w:tcW w:w="1342" w:type="dxa"/>
            <w:tcBorders>
              <w:top w:val="nil"/>
              <w:left w:val="nil"/>
              <w:right w:val="nil"/>
            </w:tcBorders>
            <w:shd w:val="clear" w:color="000000" w:fill="FFFFFF"/>
            <w:noWrap/>
            <w:vAlign w:val="center"/>
            <w:hideMark/>
          </w:tcPr>
          <w:p w14:paraId="39B2A369"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6.000</w:t>
            </w:r>
          </w:p>
        </w:tc>
      </w:tr>
      <w:tr w:rsidR="001B7ED4" w:rsidRPr="001B7ED4" w14:paraId="105900CB" w14:textId="77777777" w:rsidTr="001B7ED4">
        <w:trPr>
          <w:trHeight w:val="330"/>
        </w:trPr>
        <w:tc>
          <w:tcPr>
            <w:tcW w:w="1923" w:type="dxa"/>
            <w:tcBorders>
              <w:top w:val="nil"/>
              <w:left w:val="nil"/>
              <w:right w:val="nil"/>
            </w:tcBorders>
            <w:shd w:val="clear" w:color="000000" w:fill="FFFFFF"/>
            <w:noWrap/>
            <w:vAlign w:val="center"/>
            <w:hideMark/>
          </w:tcPr>
          <w:p w14:paraId="009EE1F6" w14:textId="77777777" w:rsidR="001B7ED4" w:rsidRPr="001B7ED4" w:rsidRDefault="001B7ED4" w:rsidP="001B7ED4">
            <w:pPr>
              <w:spacing w:after="0" w:line="240" w:lineRule="auto"/>
              <w:rPr>
                <w:rFonts w:ascii="Times New Roman" w:eastAsia="Times New Roman" w:hAnsi="Times New Roman" w:cs="Times New Roman"/>
                <w:b/>
                <w:bCs/>
                <w:color w:val="000000"/>
                <w:sz w:val="24"/>
                <w:szCs w:val="24"/>
                <w:lang w:eastAsia="en-GB"/>
              </w:rPr>
            </w:pPr>
            <w:r w:rsidRPr="001B7ED4">
              <w:rPr>
                <w:rFonts w:ascii="Times New Roman" w:eastAsia="Times New Roman" w:hAnsi="Times New Roman" w:cs="Times New Roman"/>
                <w:b/>
                <w:bCs/>
                <w:color w:val="000000"/>
                <w:sz w:val="24"/>
                <w:szCs w:val="24"/>
                <w:lang w:val="en-US" w:eastAsia="en-GB"/>
              </w:rPr>
              <w:t>Control sample</w:t>
            </w:r>
            <w:r w:rsidRPr="001B7ED4">
              <w:rPr>
                <w:rFonts w:ascii="Times New Roman" w:eastAsia="Times New Roman" w:hAnsi="Times New Roman" w:cs="Times New Roman"/>
                <w:b/>
                <w:bCs/>
                <w:color w:val="008080"/>
                <w:sz w:val="24"/>
                <w:szCs w:val="24"/>
                <w:u w:val="single"/>
                <w:lang w:val="en-US" w:eastAsia="en-GB"/>
              </w:rPr>
              <w:t xml:space="preserve"> </w:t>
            </w:r>
          </w:p>
        </w:tc>
        <w:tc>
          <w:tcPr>
            <w:tcW w:w="393" w:type="dxa"/>
            <w:tcBorders>
              <w:top w:val="nil"/>
              <w:left w:val="nil"/>
              <w:right w:val="nil"/>
            </w:tcBorders>
            <w:shd w:val="clear" w:color="000000" w:fill="FFFFFF"/>
            <w:noWrap/>
            <w:vAlign w:val="center"/>
            <w:hideMark/>
          </w:tcPr>
          <w:p w14:paraId="6A4F59D4"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 </w:t>
            </w:r>
          </w:p>
        </w:tc>
        <w:tc>
          <w:tcPr>
            <w:tcW w:w="1342" w:type="dxa"/>
            <w:tcBorders>
              <w:top w:val="nil"/>
              <w:left w:val="nil"/>
              <w:right w:val="nil"/>
            </w:tcBorders>
            <w:shd w:val="clear" w:color="000000" w:fill="FFFFFF"/>
            <w:noWrap/>
            <w:vAlign w:val="center"/>
            <w:hideMark/>
          </w:tcPr>
          <w:p w14:paraId="01361474"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 </w:t>
            </w:r>
          </w:p>
        </w:tc>
        <w:tc>
          <w:tcPr>
            <w:tcW w:w="1342" w:type="dxa"/>
            <w:tcBorders>
              <w:top w:val="nil"/>
              <w:left w:val="nil"/>
              <w:right w:val="nil"/>
            </w:tcBorders>
            <w:shd w:val="clear" w:color="000000" w:fill="FFFFFF"/>
            <w:noWrap/>
            <w:vAlign w:val="center"/>
            <w:hideMark/>
          </w:tcPr>
          <w:p w14:paraId="12BB5D71"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 </w:t>
            </w:r>
          </w:p>
        </w:tc>
        <w:tc>
          <w:tcPr>
            <w:tcW w:w="1210" w:type="dxa"/>
            <w:tcBorders>
              <w:top w:val="nil"/>
              <w:left w:val="nil"/>
              <w:right w:val="nil"/>
            </w:tcBorders>
            <w:shd w:val="clear" w:color="000000" w:fill="FFFFFF"/>
            <w:noWrap/>
            <w:vAlign w:val="center"/>
            <w:hideMark/>
          </w:tcPr>
          <w:p w14:paraId="38FC6D7A"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 </w:t>
            </w:r>
          </w:p>
        </w:tc>
        <w:tc>
          <w:tcPr>
            <w:tcW w:w="1474" w:type="dxa"/>
            <w:tcBorders>
              <w:top w:val="nil"/>
              <w:left w:val="nil"/>
              <w:right w:val="nil"/>
            </w:tcBorders>
            <w:shd w:val="clear" w:color="000000" w:fill="FFFFFF"/>
            <w:noWrap/>
            <w:vAlign w:val="center"/>
            <w:hideMark/>
          </w:tcPr>
          <w:p w14:paraId="4700B3DB"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 </w:t>
            </w:r>
          </w:p>
        </w:tc>
        <w:tc>
          <w:tcPr>
            <w:tcW w:w="1342" w:type="dxa"/>
            <w:tcBorders>
              <w:top w:val="nil"/>
              <w:left w:val="nil"/>
              <w:right w:val="nil"/>
            </w:tcBorders>
            <w:shd w:val="clear" w:color="000000" w:fill="FFFFFF"/>
            <w:noWrap/>
            <w:vAlign w:val="center"/>
            <w:hideMark/>
          </w:tcPr>
          <w:p w14:paraId="0100A224"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 </w:t>
            </w:r>
          </w:p>
        </w:tc>
      </w:tr>
      <w:tr w:rsidR="001B7ED4" w:rsidRPr="001B7ED4" w14:paraId="5B59B537" w14:textId="77777777" w:rsidTr="001B7ED4">
        <w:trPr>
          <w:trHeight w:val="315"/>
        </w:trPr>
        <w:tc>
          <w:tcPr>
            <w:tcW w:w="1923" w:type="dxa"/>
            <w:tcBorders>
              <w:top w:val="nil"/>
              <w:left w:val="nil"/>
              <w:right w:val="nil"/>
            </w:tcBorders>
            <w:shd w:val="clear" w:color="000000" w:fill="FFFFFF"/>
            <w:noWrap/>
            <w:vAlign w:val="center"/>
            <w:hideMark/>
          </w:tcPr>
          <w:p w14:paraId="41802AB0"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Violations</w:t>
            </w:r>
          </w:p>
        </w:tc>
        <w:tc>
          <w:tcPr>
            <w:tcW w:w="393" w:type="dxa"/>
            <w:tcBorders>
              <w:top w:val="nil"/>
              <w:left w:val="nil"/>
              <w:right w:val="nil"/>
            </w:tcBorders>
            <w:shd w:val="clear" w:color="000000" w:fill="FFFFFF"/>
            <w:noWrap/>
            <w:vAlign w:val="center"/>
            <w:hideMark/>
          </w:tcPr>
          <w:p w14:paraId="6CF27717"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right w:val="nil"/>
            </w:tcBorders>
            <w:shd w:val="clear" w:color="auto" w:fill="auto"/>
            <w:noWrap/>
            <w:vAlign w:val="bottom"/>
            <w:hideMark/>
          </w:tcPr>
          <w:p w14:paraId="2CCFAB16"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0.000</w:t>
            </w:r>
          </w:p>
        </w:tc>
        <w:tc>
          <w:tcPr>
            <w:tcW w:w="1342" w:type="dxa"/>
            <w:tcBorders>
              <w:top w:val="nil"/>
              <w:left w:val="nil"/>
              <w:right w:val="nil"/>
            </w:tcBorders>
            <w:shd w:val="clear" w:color="auto" w:fill="auto"/>
            <w:noWrap/>
            <w:vAlign w:val="bottom"/>
            <w:hideMark/>
          </w:tcPr>
          <w:p w14:paraId="35E33D0A"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0.892</w:t>
            </w:r>
          </w:p>
        </w:tc>
        <w:tc>
          <w:tcPr>
            <w:tcW w:w="1210" w:type="dxa"/>
            <w:tcBorders>
              <w:top w:val="nil"/>
              <w:left w:val="nil"/>
              <w:right w:val="nil"/>
            </w:tcBorders>
            <w:shd w:val="clear" w:color="auto" w:fill="auto"/>
            <w:noWrap/>
            <w:vAlign w:val="bottom"/>
            <w:hideMark/>
          </w:tcPr>
          <w:p w14:paraId="69A97E80"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0.000</w:t>
            </w:r>
          </w:p>
        </w:tc>
        <w:tc>
          <w:tcPr>
            <w:tcW w:w="1474" w:type="dxa"/>
            <w:tcBorders>
              <w:top w:val="nil"/>
              <w:left w:val="nil"/>
              <w:right w:val="nil"/>
            </w:tcBorders>
            <w:shd w:val="clear" w:color="auto" w:fill="auto"/>
            <w:noWrap/>
            <w:vAlign w:val="bottom"/>
            <w:hideMark/>
          </w:tcPr>
          <w:p w14:paraId="2666D47C"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19.000</w:t>
            </w:r>
          </w:p>
        </w:tc>
        <w:tc>
          <w:tcPr>
            <w:tcW w:w="1342" w:type="dxa"/>
            <w:tcBorders>
              <w:top w:val="nil"/>
              <w:left w:val="nil"/>
              <w:right w:val="nil"/>
            </w:tcBorders>
            <w:shd w:val="clear" w:color="auto" w:fill="auto"/>
            <w:noWrap/>
            <w:vAlign w:val="bottom"/>
            <w:hideMark/>
          </w:tcPr>
          <w:p w14:paraId="51F266AC"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2.247</w:t>
            </w:r>
          </w:p>
        </w:tc>
      </w:tr>
      <w:tr w:rsidR="001B7ED4" w:rsidRPr="001B7ED4" w14:paraId="79115439" w14:textId="77777777" w:rsidTr="001B7ED4">
        <w:trPr>
          <w:trHeight w:val="315"/>
        </w:trPr>
        <w:tc>
          <w:tcPr>
            <w:tcW w:w="1923" w:type="dxa"/>
            <w:tcBorders>
              <w:top w:val="nil"/>
              <w:left w:val="nil"/>
              <w:right w:val="nil"/>
            </w:tcBorders>
            <w:shd w:val="clear" w:color="000000" w:fill="FFFFFF"/>
            <w:noWrap/>
            <w:vAlign w:val="center"/>
            <w:hideMark/>
          </w:tcPr>
          <w:p w14:paraId="1B89EBEE"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ln(Violations)</w:t>
            </w:r>
          </w:p>
        </w:tc>
        <w:tc>
          <w:tcPr>
            <w:tcW w:w="393" w:type="dxa"/>
            <w:tcBorders>
              <w:top w:val="nil"/>
              <w:left w:val="nil"/>
              <w:right w:val="nil"/>
            </w:tcBorders>
            <w:shd w:val="clear" w:color="000000" w:fill="FFFFFF"/>
            <w:noWrap/>
            <w:vAlign w:val="center"/>
            <w:hideMark/>
          </w:tcPr>
          <w:p w14:paraId="152CC0FC"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right w:val="nil"/>
            </w:tcBorders>
            <w:shd w:val="clear" w:color="auto" w:fill="auto"/>
            <w:noWrap/>
            <w:vAlign w:val="bottom"/>
            <w:hideMark/>
          </w:tcPr>
          <w:p w14:paraId="70F44DE0"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0.000</w:t>
            </w:r>
          </w:p>
        </w:tc>
        <w:tc>
          <w:tcPr>
            <w:tcW w:w="1342" w:type="dxa"/>
            <w:tcBorders>
              <w:top w:val="nil"/>
              <w:left w:val="nil"/>
              <w:right w:val="nil"/>
            </w:tcBorders>
            <w:shd w:val="clear" w:color="auto" w:fill="auto"/>
            <w:noWrap/>
            <w:vAlign w:val="bottom"/>
            <w:hideMark/>
          </w:tcPr>
          <w:p w14:paraId="675C6B68"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0.349</w:t>
            </w:r>
          </w:p>
        </w:tc>
        <w:tc>
          <w:tcPr>
            <w:tcW w:w="1210" w:type="dxa"/>
            <w:tcBorders>
              <w:top w:val="nil"/>
              <w:left w:val="nil"/>
              <w:right w:val="nil"/>
            </w:tcBorders>
            <w:shd w:val="clear" w:color="auto" w:fill="auto"/>
            <w:noWrap/>
            <w:vAlign w:val="bottom"/>
            <w:hideMark/>
          </w:tcPr>
          <w:p w14:paraId="5F91574F"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0.000</w:t>
            </w:r>
          </w:p>
        </w:tc>
        <w:tc>
          <w:tcPr>
            <w:tcW w:w="1474" w:type="dxa"/>
            <w:tcBorders>
              <w:top w:val="nil"/>
              <w:left w:val="nil"/>
              <w:right w:val="nil"/>
            </w:tcBorders>
            <w:shd w:val="clear" w:color="auto" w:fill="auto"/>
            <w:noWrap/>
            <w:vAlign w:val="bottom"/>
            <w:hideMark/>
          </w:tcPr>
          <w:p w14:paraId="65CF6C6E"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2.996</w:t>
            </w:r>
          </w:p>
        </w:tc>
        <w:tc>
          <w:tcPr>
            <w:tcW w:w="1342" w:type="dxa"/>
            <w:tcBorders>
              <w:top w:val="nil"/>
              <w:left w:val="nil"/>
              <w:right w:val="nil"/>
            </w:tcBorders>
            <w:shd w:val="clear" w:color="auto" w:fill="auto"/>
            <w:noWrap/>
            <w:vAlign w:val="bottom"/>
            <w:hideMark/>
          </w:tcPr>
          <w:p w14:paraId="617FA607"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0.627</w:t>
            </w:r>
          </w:p>
        </w:tc>
      </w:tr>
      <w:tr w:rsidR="001B7ED4" w:rsidRPr="001B7ED4" w14:paraId="176FA64B" w14:textId="77777777" w:rsidTr="001B7ED4">
        <w:trPr>
          <w:trHeight w:val="343"/>
        </w:trPr>
        <w:tc>
          <w:tcPr>
            <w:tcW w:w="1923" w:type="dxa"/>
            <w:shd w:val="clear" w:color="000000" w:fill="FFFFFF"/>
            <w:noWrap/>
            <w:vAlign w:val="bottom"/>
            <w:hideMark/>
          </w:tcPr>
          <w:p w14:paraId="28D90E50"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Penalties</w:t>
            </w:r>
          </w:p>
        </w:tc>
        <w:tc>
          <w:tcPr>
            <w:tcW w:w="393" w:type="dxa"/>
            <w:shd w:val="clear" w:color="000000" w:fill="FFFFFF"/>
            <w:noWrap/>
            <w:vAlign w:val="bottom"/>
            <w:hideMark/>
          </w:tcPr>
          <w:p w14:paraId="2A06D36D" w14:textId="77777777" w:rsidR="001B7ED4" w:rsidRPr="001B7ED4" w:rsidRDefault="001B7ED4" w:rsidP="001B7ED4">
            <w:pPr>
              <w:spacing w:after="0" w:line="240" w:lineRule="auto"/>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shd w:val="clear" w:color="auto" w:fill="auto"/>
            <w:noWrap/>
            <w:vAlign w:val="bottom"/>
            <w:hideMark/>
          </w:tcPr>
          <w:p w14:paraId="62E9D78F"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0.000</w:t>
            </w:r>
          </w:p>
        </w:tc>
        <w:tc>
          <w:tcPr>
            <w:tcW w:w="1342" w:type="dxa"/>
            <w:shd w:val="clear" w:color="auto" w:fill="auto"/>
            <w:noWrap/>
            <w:vAlign w:val="bottom"/>
            <w:hideMark/>
          </w:tcPr>
          <w:p w14:paraId="3FFF766B" w14:textId="4359625E"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 xml:space="preserve">317,147.47 </w:t>
            </w:r>
          </w:p>
        </w:tc>
        <w:tc>
          <w:tcPr>
            <w:tcW w:w="1210" w:type="dxa"/>
            <w:shd w:val="clear" w:color="auto" w:fill="auto"/>
            <w:noWrap/>
            <w:vAlign w:val="bottom"/>
            <w:hideMark/>
          </w:tcPr>
          <w:p w14:paraId="466ECF2C"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0.000</w:t>
            </w:r>
          </w:p>
        </w:tc>
        <w:tc>
          <w:tcPr>
            <w:tcW w:w="1474" w:type="dxa"/>
            <w:shd w:val="clear" w:color="auto" w:fill="auto"/>
            <w:noWrap/>
            <w:vAlign w:val="bottom"/>
            <w:hideMark/>
          </w:tcPr>
          <w:p w14:paraId="240E9ED5" w14:textId="74245BA6"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 xml:space="preserve">19,264,352.00 </w:t>
            </w:r>
          </w:p>
        </w:tc>
        <w:tc>
          <w:tcPr>
            <w:tcW w:w="1342" w:type="dxa"/>
            <w:shd w:val="clear" w:color="auto" w:fill="auto"/>
            <w:noWrap/>
            <w:vAlign w:val="bottom"/>
            <w:hideMark/>
          </w:tcPr>
          <w:p w14:paraId="5FF00EAB" w14:textId="165D6614"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 xml:space="preserve">1,651,494.83 </w:t>
            </w:r>
          </w:p>
        </w:tc>
      </w:tr>
      <w:tr w:rsidR="001B7ED4" w:rsidRPr="001B7ED4" w14:paraId="02A1AE18" w14:textId="77777777" w:rsidTr="001B7ED4">
        <w:trPr>
          <w:trHeight w:val="315"/>
        </w:trPr>
        <w:tc>
          <w:tcPr>
            <w:tcW w:w="1923" w:type="dxa"/>
            <w:tcBorders>
              <w:left w:val="nil"/>
              <w:bottom w:val="nil"/>
              <w:right w:val="nil"/>
            </w:tcBorders>
            <w:shd w:val="clear" w:color="000000" w:fill="FFFFFF"/>
            <w:noWrap/>
            <w:vAlign w:val="center"/>
            <w:hideMark/>
          </w:tcPr>
          <w:p w14:paraId="314B3B80"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ln(Penalties)</w:t>
            </w:r>
          </w:p>
        </w:tc>
        <w:tc>
          <w:tcPr>
            <w:tcW w:w="393" w:type="dxa"/>
            <w:tcBorders>
              <w:left w:val="nil"/>
              <w:bottom w:val="nil"/>
              <w:right w:val="nil"/>
            </w:tcBorders>
            <w:shd w:val="clear" w:color="000000" w:fill="FFFFFF"/>
            <w:noWrap/>
            <w:vAlign w:val="center"/>
            <w:hideMark/>
          </w:tcPr>
          <w:p w14:paraId="2E367671"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left w:val="nil"/>
              <w:bottom w:val="nil"/>
              <w:right w:val="nil"/>
            </w:tcBorders>
            <w:shd w:val="clear" w:color="auto" w:fill="auto"/>
            <w:noWrap/>
            <w:vAlign w:val="bottom"/>
            <w:hideMark/>
          </w:tcPr>
          <w:p w14:paraId="7A6A97D3"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0.000</w:t>
            </w:r>
          </w:p>
        </w:tc>
        <w:tc>
          <w:tcPr>
            <w:tcW w:w="1342" w:type="dxa"/>
            <w:tcBorders>
              <w:left w:val="nil"/>
              <w:bottom w:val="nil"/>
              <w:right w:val="nil"/>
            </w:tcBorders>
            <w:shd w:val="clear" w:color="auto" w:fill="auto"/>
            <w:noWrap/>
            <w:vAlign w:val="bottom"/>
            <w:hideMark/>
          </w:tcPr>
          <w:p w14:paraId="664F847E"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3.289</w:t>
            </w:r>
          </w:p>
        </w:tc>
        <w:tc>
          <w:tcPr>
            <w:tcW w:w="1210" w:type="dxa"/>
            <w:tcBorders>
              <w:left w:val="nil"/>
              <w:bottom w:val="nil"/>
              <w:right w:val="nil"/>
            </w:tcBorders>
            <w:shd w:val="clear" w:color="auto" w:fill="auto"/>
            <w:noWrap/>
            <w:vAlign w:val="bottom"/>
            <w:hideMark/>
          </w:tcPr>
          <w:p w14:paraId="139AC5F2"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0.000</w:t>
            </w:r>
          </w:p>
        </w:tc>
        <w:tc>
          <w:tcPr>
            <w:tcW w:w="1474" w:type="dxa"/>
            <w:tcBorders>
              <w:left w:val="nil"/>
              <w:bottom w:val="nil"/>
              <w:right w:val="nil"/>
            </w:tcBorders>
            <w:shd w:val="clear" w:color="auto" w:fill="auto"/>
            <w:noWrap/>
            <w:vAlign w:val="bottom"/>
            <w:hideMark/>
          </w:tcPr>
          <w:p w14:paraId="33A8852B"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16.774</w:t>
            </w:r>
          </w:p>
        </w:tc>
        <w:tc>
          <w:tcPr>
            <w:tcW w:w="1342" w:type="dxa"/>
            <w:tcBorders>
              <w:left w:val="nil"/>
              <w:bottom w:val="nil"/>
              <w:right w:val="nil"/>
            </w:tcBorders>
            <w:shd w:val="clear" w:color="auto" w:fill="auto"/>
            <w:noWrap/>
            <w:vAlign w:val="bottom"/>
            <w:hideMark/>
          </w:tcPr>
          <w:p w14:paraId="63099B8F"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5.228</w:t>
            </w:r>
          </w:p>
        </w:tc>
      </w:tr>
      <w:tr w:rsidR="001B7ED4" w:rsidRPr="001B7ED4" w14:paraId="3A9F50BD" w14:textId="77777777" w:rsidTr="001B7ED4">
        <w:trPr>
          <w:trHeight w:val="315"/>
        </w:trPr>
        <w:tc>
          <w:tcPr>
            <w:tcW w:w="1923" w:type="dxa"/>
            <w:tcBorders>
              <w:top w:val="nil"/>
              <w:left w:val="nil"/>
              <w:bottom w:val="nil"/>
              <w:right w:val="nil"/>
            </w:tcBorders>
            <w:shd w:val="clear" w:color="000000" w:fill="FFFFFF"/>
            <w:noWrap/>
            <w:vAlign w:val="center"/>
            <w:hideMark/>
          </w:tcPr>
          <w:p w14:paraId="0FA08CD6"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Vega</w:t>
            </w:r>
          </w:p>
        </w:tc>
        <w:tc>
          <w:tcPr>
            <w:tcW w:w="393" w:type="dxa"/>
            <w:tcBorders>
              <w:top w:val="nil"/>
              <w:left w:val="nil"/>
              <w:bottom w:val="nil"/>
              <w:right w:val="nil"/>
            </w:tcBorders>
            <w:shd w:val="clear" w:color="000000" w:fill="FFFFFF"/>
            <w:noWrap/>
            <w:vAlign w:val="center"/>
            <w:hideMark/>
          </w:tcPr>
          <w:p w14:paraId="1D47B77A"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bottom w:val="nil"/>
              <w:right w:val="nil"/>
            </w:tcBorders>
            <w:shd w:val="clear" w:color="auto" w:fill="auto"/>
            <w:noWrap/>
            <w:vAlign w:val="bottom"/>
            <w:hideMark/>
          </w:tcPr>
          <w:p w14:paraId="6356839B"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0.000</w:t>
            </w:r>
          </w:p>
        </w:tc>
        <w:tc>
          <w:tcPr>
            <w:tcW w:w="1342" w:type="dxa"/>
            <w:tcBorders>
              <w:top w:val="nil"/>
              <w:left w:val="nil"/>
              <w:bottom w:val="nil"/>
              <w:right w:val="nil"/>
            </w:tcBorders>
            <w:shd w:val="clear" w:color="auto" w:fill="auto"/>
            <w:noWrap/>
            <w:vAlign w:val="bottom"/>
            <w:hideMark/>
          </w:tcPr>
          <w:p w14:paraId="0903CBAC"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4.059</w:t>
            </w:r>
          </w:p>
        </w:tc>
        <w:tc>
          <w:tcPr>
            <w:tcW w:w="1210" w:type="dxa"/>
            <w:tcBorders>
              <w:top w:val="nil"/>
              <w:left w:val="nil"/>
              <w:bottom w:val="nil"/>
              <w:right w:val="nil"/>
            </w:tcBorders>
            <w:shd w:val="clear" w:color="auto" w:fill="auto"/>
            <w:noWrap/>
            <w:vAlign w:val="bottom"/>
            <w:hideMark/>
          </w:tcPr>
          <w:p w14:paraId="71A92A59"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4.103</w:t>
            </w:r>
          </w:p>
        </w:tc>
        <w:tc>
          <w:tcPr>
            <w:tcW w:w="1474" w:type="dxa"/>
            <w:tcBorders>
              <w:top w:val="nil"/>
              <w:left w:val="nil"/>
              <w:bottom w:val="nil"/>
              <w:right w:val="nil"/>
            </w:tcBorders>
            <w:shd w:val="clear" w:color="auto" w:fill="auto"/>
            <w:noWrap/>
            <w:vAlign w:val="bottom"/>
            <w:hideMark/>
          </w:tcPr>
          <w:p w14:paraId="01CA8043"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6.441</w:t>
            </w:r>
          </w:p>
        </w:tc>
        <w:tc>
          <w:tcPr>
            <w:tcW w:w="1342" w:type="dxa"/>
            <w:tcBorders>
              <w:top w:val="nil"/>
              <w:left w:val="nil"/>
              <w:bottom w:val="nil"/>
              <w:right w:val="nil"/>
            </w:tcBorders>
            <w:shd w:val="clear" w:color="auto" w:fill="auto"/>
            <w:noWrap/>
            <w:vAlign w:val="bottom"/>
            <w:hideMark/>
          </w:tcPr>
          <w:p w14:paraId="50A73B6B"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1.539</w:t>
            </w:r>
          </w:p>
        </w:tc>
      </w:tr>
      <w:tr w:rsidR="001B7ED4" w:rsidRPr="001B7ED4" w14:paraId="7FCB1AA4" w14:textId="77777777" w:rsidTr="001B7ED4">
        <w:trPr>
          <w:trHeight w:val="315"/>
        </w:trPr>
        <w:tc>
          <w:tcPr>
            <w:tcW w:w="1923" w:type="dxa"/>
            <w:tcBorders>
              <w:top w:val="nil"/>
              <w:left w:val="nil"/>
              <w:bottom w:val="nil"/>
              <w:right w:val="nil"/>
            </w:tcBorders>
            <w:shd w:val="clear" w:color="000000" w:fill="FFFFFF"/>
            <w:noWrap/>
            <w:vAlign w:val="center"/>
            <w:hideMark/>
          </w:tcPr>
          <w:p w14:paraId="0CE93D7A"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Delta</w:t>
            </w:r>
          </w:p>
        </w:tc>
        <w:tc>
          <w:tcPr>
            <w:tcW w:w="393" w:type="dxa"/>
            <w:tcBorders>
              <w:top w:val="nil"/>
              <w:left w:val="nil"/>
              <w:bottom w:val="nil"/>
              <w:right w:val="nil"/>
            </w:tcBorders>
            <w:shd w:val="clear" w:color="000000" w:fill="FFFFFF"/>
            <w:noWrap/>
            <w:vAlign w:val="center"/>
            <w:hideMark/>
          </w:tcPr>
          <w:p w14:paraId="6AE82A7D"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bottom w:val="nil"/>
              <w:right w:val="nil"/>
            </w:tcBorders>
            <w:shd w:val="clear" w:color="auto" w:fill="auto"/>
            <w:noWrap/>
            <w:vAlign w:val="bottom"/>
            <w:hideMark/>
          </w:tcPr>
          <w:p w14:paraId="67B2EDF3"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0.775</w:t>
            </w:r>
          </w:p>
        </w:tc>
        <w:tc>
          <w:tcPr>
            <w:tcW w:w="1342" w:type="dxa"/>
            <w:tcBorders>
              <w:top w:val="nil"/>
              <w:left w:val="nil"/>
              <w:bottom w:val="nil"/>
              <w:right w:val="nil"/>
            </w:tcBorders>
            <w:shd w:val="clear" w:color="auto" w:fill="auto"/>
            <w:noWrap/>
            <w:vAlign w:val="bottom"/>
            <w:hideMark/>
          </w:tcPr>
          <w:p w14:paraId="565F7CE3"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5.418</w:t>
            </w:r>
          </w:p>
        </w:tc>
        <w:tc>
          <w:tcPr>
            <w:tcW w:w="1210" w:type="dxa"/>
            <w:tcBorders>
              <w:top w:val="nil"/>
              <w:left w:val="nil"/>
              <w:bottom w:val="nil"/>
              <w:right w:val="nil"/>
            </w:tcBorders>
            <w:shd w:val="clear" w:color="auto" w:fill="auto"/>
            <w:noWrap/>
            <w:vAlign w:val="bottom"/>
            <w:hideMark/>
          </w:tcPr>
          <w:p w14:paraId="2846E2BD"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5.460</w:t>
            </w:r>
          </w:p>
        </w:tc>
        <w:tc>
          <w:tcPr>
            <w:tcW w:w="1474" w:type="dxa"/>
            <w:tcBorders>
              <w:top w:val="nil"/>
              <w:left w:val="nil"/>
              <w:bottom w:val="nil"/>
              <w:right w:val="nil"/>
            </w:tcBorders>
            <w:shd w:val="clear" w:color="auto" w:fill="auto"/>
            <w:noWrap/>
            <w:vAlign w:val="bottom"/>
            <w:hideMark/>
          </w:tcPr>
          <w:p w14:paraId="42753112"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8.176</w:t>
            </w:r>
          </w:p>
        </w:tc>
        <w:tc>
          <w:tcPr>
            <w:tcW w:w="1342" w:type="dxa"/>
            <w:tcBorders>
              <w:top w:val="nil"/>
              <w:left w:val="nil"/>
              <w:bottom w:val="nil"/>
              <w:right w:val="nil"/>
            </w:tcBorders>
            <w:shd w:val="clear" w:color="auto" w:fill="auto"/>
            <w:noWrap/>
            <w:vAlign w:val="bottom"/>
            <w:hideMark/>
          </w:tcPr>
          <w:p w14:paraId="24E85329"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1.460</w:t>
            </w:r>
          </w:p>
        </w:tc>
      </w:tr>
      <w:tr w:rsidR="001B7ED4" w:rsidRPr="001B7ED4" w14:paraId="7774C5E3" w14:textId="77777777" w:rsidTr="001B7ED4">
        <w:trPr>
          <w:trHeight w:val="315"/>
        </w:trPr>
        <w:tc>
          <w:tcPr>
            <w:tcW w:w="1923" w:type="dxa"/>
            <w:tcBorders>
              <w:top w:val="nil"/>
              <w:left w:val="nil"/>
              <w:bottom w:val="nil"/>
              <w:right w:val="nil"/>
            </w:tcBorders>
            <w:shd w:val="clear" w:color="000000" w:fill="FFFFFF"/>
            <w:noWrap/>
            <w:vAlign w:val="center"/>
            <w:hideMark/>
          </w:tcPr>
          <w:p w14:paraId="2DCA021C"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proofErr w:type="spellStart"/>
            <w:r w:rsidRPr="001B7ED4">
              <w:rPr>
                <w:rFonts w:ascii="Times New Roman" w:eastAsia="Times New Roman" w:hAnsi="Times New Roman" w:cs="Times New Roman"/>
                <w:i/>
                <w:iCs/>
                <w:color w:val="000000"/>
                <w:sz w:val="24"/>
                <w:szCs w:val="24"/>
                <w:lang w:val="en-US" w:eastAsia="en-GB"/>
              </w:rPr>
              <w:lastRenderedPageBreak/>
              <w:t>CashComp</w:t>
            </w:r>
            <w:proofErr w:type="spellEnd"/>
          </w:p>
        </w:tc>
        <w:tc>
          <w:tcPr>
            <w:tcW w:w="393" w:type="dxa"/>
            <w:tcBorders>
              <w:top w:val="nil"/>
              <w:left w:val="nil"/>
              <w:bottom w:val="nil"/>
              <w:right w:val="nil"/>
            </w:tcBorders>
            <w:shd w:val="clear" w:color="000000" w:fill="FFFFFF"/>
            <w:noWrap/>
            <w:vAlign w:val="center"/>
            <w:hideMark/>
          </w:tcPr>
          <w:p w14:paraId="39BFC1D1"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bottom w:val="nil"/>
              <w:right w:val="nil"/>
            </w:tcBorders>
            <w:shd w:val="clear" w:color="auto" w:fill="auto"/>
            <w:noWrap/>
            <w:vAlign w:val="bottom"/>
            <w:hideMark/>
          </w:tcPr>
          <w:p w14:paraId="0C7B3A02"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3.724</w:t>
            </w:r>
          </w:p>
        </w:tc>
        <w:tc>
          <w:tcPr>
            <w:tcW w:w="1342" w:type="dxa"/>
            <w:tcBorders>
              <w:top w:val="nil"/>
              <w:left w:val="nil"/>
              <w:bottom w:val="nil"/>
              <w:right w:val="nil"/>
            </w:tcBorders>
            <w:shd w:val="clear" w:color="auto" w:fill="auto"/>
            <w:noWrap/>
            <w:vAlign w:val="bottom"/>
            <w:hideMark/>
          </w:tcPr>
          <w:p w14:paraId="6E6D125A"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6.940</w:t>
            </w:r>
          </w:p>
        </w:tc>
        <w:tc>
          <w:tcPr>
            <w:tcW w:w="1210" w:type="dxa"/>
            <w:tcBorders>
              <w:top w:val="nil"/>
              <w:left w:val="nil"/>
              <w:bottom w:val="nil"/>
              <w:right w:val="nil"/>
            </w:tcBorders>
            <w:shd w:val="clear" w:color="auto" w:fill="auto"/>
            <w:noWrap/>
            <w:vAlign w:val="bottom"/>
            <w:hideMark/>
          </w:tcPr>
          <w:p w14:paraId="6965E64D"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6.909</w:t>
            </w:r>
          </w:p>
        </w:tc>
        <w:tc>
          <w:tcPr>
            <w:tcW w:w="1474" w:type="dxa"/>
            <w:tcBorders>
              <w:top w:val="nil"/>
              <w:left w:val="nil"/>
              <w:bottom w:val="nil"/>
              <w:right w:val="nil"/>
            </w:tcBorders>
            <w:shd w:val="clear" w:color="auto" w:fill="auto"/>
            <w:noWrap/>
            <w:vAlign w:val="bottom"/>
            <w:hideMark/>
          </w:tcPr>
          <w:p w14:paraId="05410F7D"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8.224</w:t>
            </w:r>
          </w:p>
        </w:tc>
        <w:tc>
          <w:tcPr>
            <w:tcW w:w="1342" w:type="dxa"/>
            <w:tcBorders>
              <w:top w:val="nil"/>
              <w:left w:val="nil"/>
              <w:bottom w:val="nil"/>
              <w:right w:val="nil"/>
            </w:tcBorders>
            <w:shd w:val="clear" w:color="auto" w:fill="auto"/>
            <w:noWrap/>
            <w:vAlign w:val="bottom"/>
            <w:hideMark/>
          </w:tcPr>
          <w:p w14:paraId="2BFBD706"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0.712</w:t>
            </w:r>
          </w:p>
        </w:tc>
      </w:tr>
      <w:tr w:rsidR="001B7ED4" w:rsidRPr="001B7ED4" w14:paraId="1DFE4652" w14:textId="77777777" w:rsidTr="001B7ED4">
        <w:trPr>
          <w:trHeight w:val="315"/>
        </w:trPr>
        <w:tc>
          <w:tcPr>
            <w:tcW w:w="1923" w:type="dxa"/>
            <w:tcBorders>
              <w:top w:val="nil"/>
              <w:left w:val="nil"/>
              <w:bottom w:val="nil"/>
              <w:right w:val="nil"/>
            </w:tcBorders>
            <w:shd w:val="clear" w:color="000000" w:fill="FFFFFF"/>
            <w:noWrap/>
            <w:vAlign w:val="center"/>
            <w:hideMark/>
          </w:tcPr>
          <w:p w14:paraId="55D884F5"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Leverage</w:t>
            </w:r>
          </w:p>
        </w:tc>
        <w:tc>
          <w:tcPr>
            <w:tcW w:w="393" w:type="dxa"/>
            <w:tcBorders>
              <w:top w:val="nil"/>
              <w:left w:val="nil"/>
              <w:bottom w:val="nil"/>
              <w:right w:val="nil"/>
            </w:tcBorders>
            <w:shd w:val="clear" w:color="000000" w:fill="FFFFFF"/>
            <w:noWrap/>
            <w:vAlign w:val="center"/>
            <w:hideMark/>
          </w:tcPr>
          <w:p w14:paraId="6E718FA1"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bottom w:val="nil"/>
              <w:right w:val="nil"/>
            </w:tcBorders>
            <w:shd w:val="clear" w:color="auto" w:fill="auto"/>
            <w:noWrap/>
            <w:vAlign w:val="bottom"/>
            <w:hideMark/>
          </w:tcPr>
          <w:p w14:paraId="15A01185"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0.000</w:t>
            </w:r>
          </w:p>
        </w:tc>
        <w:tc>
          <w:tcPr>
            <w:tcW w:w="1342" w:type="dxa"/>
            <w:tcBorders>
              <w:top w:val="nil"/>
              <w:left w:val="nil"/>
              <w:bottom w:val="nil"/>
              <w:right w:val="nil"/>
            </w:tcBorders>
            <w:shd w:val="clear" w:color="auto" w:fill="auto"/>
            <w:noWrap/>
            <w:vAlign w:val="bottom"/>
            <w:hideMark/>
          </w:tcPr>
          <w:p w14:paraId="38CCE2E0"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0.247</w:t>
            </w:r>
          </w:p>
        </w:tc>
        <w:tc>
          <w:tcPr>
            <w:tcW w:w="1210" w:type="dxa"/>
            <w:tcBorders>
              <w:top w:val="nil"/>
              <w:left w:val="nil"/>
              <w:bottom w:val="nil"/>
              <w:right w:val="nil"/>
            </w:tcBorders>
            <w:shd w:val="clear" w:color="auto" w:fill="auto"/>
            <w:noWrap/>
            <w:vAlign w:val="bottom"/>
            <w:hideMark/>
          </w:tcPr>
          <w:p w14:paraId="272870C3"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0.219</w:t>
            </w:r>
          </w:p>
        </w:tc>
        <w:tc>
          <w:tcPr>
            <w:tcW w:w="1474" w:type="dxa"/>
            <w:tcBorders>
              <w:top w:val="nil"/>
              <w:left w:val="nil"/>
              <w:bottom w:val="nil"/>
              <w:right w:val="nil"/>
            </w:tcBorders>
            <w:shd w:val="clear" w:color="auto" w:fill="auto"/>
            <w:noWrap/>
            <w:vAlign w:val="bottom"/>
            <w:hideMark/>
          </w:tcPr>
          <w:p w14:paraId="557AA3F5"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1.563</w:t>
            </w:r>
          </w:p>
        </w:tc>
        <w:tc>
          <w:tcPr>
            <w:tcW w:w="1342" w:type="dxa"/>
            <w:tcBorders>
              <w:top w:val="nil"/>
              <w:left w:val="nil"/>
              <w:bottom w:val="nil"/>
              <w:right w:val="nil"/>
            </w:tcBorders>
            <w:shd w:val="clear" w:color="auto" w:fill="auto"/>
            <w:noWrap/>
            <w:vAlign w:val="bottom"/>
            <w:hideMark/>
          </w:tcPr>
          <w:p w14:paraId="5CF0D3E8"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0.196</w:t>
            </w:r>
          </w:p>
        </w:tc>
      </w:tr>
      <w:tr w:rsidR="001B7ED4" w:rsidRPr="001B7ED4" w14:paraId="00689579" w14:textId="77777777" w:rsidTr="001B7ED4">
        <w:trPr>
          <w:trHeight w:val="315"/>
        </w:trPr>
        <w:tc>
          <w:tcPr>
            <w:tcW w:w="1923" w:type="dxa"/>
            <w:tcBorders>
              <w:top w:val="nil"/>
              <w:left w:val="nil"/>
              <w:bottom w:val="nil"/>
              <w:right w:val="nil"/>
            </w:tcBorders>
            <w:shd w:val="clear" w:color="000000" w:fill="FFFFFF"/>
            <w:noWrap/>
            <w:vAlign w:val="center"/>
            <w:hideMark/>
          </w:tcPr>
          <w:p w14:paraId="3EDC85DD"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proofErr w:type="spellStart"/>
            <w:r w:rsidRPr="001B7ED4">
              <w:rPr>
                <w:rFonts w:ascii="Times New Roman" w:eastAsia="Times New Roman" w:hAnsi="Times New Roman" w:cs="Times New Roman"/>
                <w:i/>
                <w:iCs/>
                <w:color w:val="000000"/>
                <w:sz w:val="24"/>
                <w:szCs w:val="24"/>
                <w:lang w:val="en-US" w:eastAsia="en-GB"/>
              </w:rPr>
              <w:t>CashFlow</w:t>
            </w:r>
            <w:proofErr w:type="spellEnd"/>
          </w:p>
        </w:tc>
        <w:tc>
          <w:tcPr>
            <w:tcW w:w="393" w:type="dxa"/>
            <w:tcBorders>
              <w:top w:val="nil"/>
              <w:left w:val="nil"/>
              <w:bottom w:val="nil"/>
              <w:right w:val="nil"/>
            </w:tcBorders>
            <w:shd w:val="clear" w:color="000000" w:fill="FFFFFF"/>
            <w:noWrap/>
            <w:vAlign w:val="center"/>
            <w:hideMark/>
          </w:tcPr>
          <w:p w14:paraId="2D085377"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bottom w:val="nil"/>
              <w:right w:val="nil"/>
            </w:tcBorders>
            <w:shd w:val="clear" w:color="auto" w:fill="auto"/>
            <w:noWrap/>
            <w:vAlign w:val="bottom"/>
            <w:hideMark/>
          </w:tcPr>
          <w:p w14:paraId="3376D073"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-1.608</w:t>
            </w:r>
          </w:p>
        </w:tc>
        <w:tc>
          <w:tcPr>
            <w:tcW w:w="1342" w:type="dxa"/>
            <w:tcBorders>
              <w:top w:val="nil"/>
              <w:left w:val="nil"/>
              <w:bottom w:val="nil"/>
              <w:right w:val="nil"/>
            </w:tcBorders>
            <w:shd w:val="clear" w:color="auto" w:fill="auto"/>
            <w:noWrap/>
            <w:vAlign w:val="bottom"/>
            <w:hideMark/>
          </w:tcPr>
          <w:p w14:paraId="7027ABE8"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0.087</w:t>
            </w:r>
          </w:p>
        </w:tc>
        <w:tc>
          <w:tcPr>
            <w:tcW w:w="1210" w:type="dxa"/>
            <w:tcBorders>
              <w:top w:val="nil"/>
              <w:left w:val="nil"/>
              <w:bottom w:val="nil"/>
              <w:right w:val="nil"/>
            </w:tcBorders>
            <w:shd w:val="clear" w:color="auto" w:fill="auto"/>
            <w:noWrap/>
            <w:vAlign w:val="bottom"/>
            <w:hideMark/>
          </w:tcPr>
          <w:p w14:paraId="3CFAE535"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0.095</w:t>
            </w:r>
          </w:p>
        </w:tc>
        <w:tc>
          <w:tcPr>
            <w:tcW w:w="1474" w:type="dxa"/>
            <w:tcBorders>
              <w:top w:val="nil"/>
              <w:left w:val="nil"/>
              <w:bottom w:val="nil"/>
              <w:right w:val="nil"/>
            </w:tcBorders>
            <w:shd w:val="clear" w:color="auto" w:fill="auto"/>
            <w:noWrap/>
            <w:vAlign w:val="bottom"/>
            <w:hideMark/>
          </w:tcPr>
          <w:p w14:paraId="0037FAE6"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0.344</w:t>
            </w:r>
          </w:p>
        </w:tc>
        <w:tc>
          <w:tcPr>
            <w:tcW w:w="1342" w:type="dxa"/>
            <w:tcBorders>
              <w:top w:val="nil"/>
              <w:left w:val="nil"/>
              <w:bottom w:val="nil"/>
              <w:right w:val="nil"/>
            </w:tcBorders>
            <w:shd w:val="clear" w:color="auto" w:fill="auto"/>
            <w:noWrap/>
            <w:vAlign w:val="bottom"/>
            <w:hideMark/>
          </w:tcPr>
          <w:p w14:paraId="7EA0F875"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0.105</w:t>
            </w:r>
          </w:p>
        </w:tc>
      </w:tr>
      <w:tr w:rsidR="001B7ED4" w:rsidRPr="001B7ED4" w14:paraId="5E7274C7" w14:textId="77777777" w:rsidTr="001B7ED4">
        <w:trPr>
          <w:trHeight w:val="315"/>
        </w:trPr>
        <w:tc>
          <w:tcPr>
            <w:tcW w:w="1923" w:type="dxa"/>
            <w:tcBorders>
              <w:top w:val="nil"/>
              <w:left w:val="nil"/>
              <w:bottom w:val="nil"/>
              <w:right w:val="nil"/>
            </w:tcBorders>
            <w:shd w:val="clear" w:color="000000" w:fill="FFFFFF"/>
            <w:noWrap/>
            <w:vAlign w:val="center"/>
            <w:hideMark/>
          </w:tcPr>
          <w:p w14:paraId="473AF349"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proofErr w:type="spellStart"/>
            <w:r w:rsidRPr="001B7ED4">
              <w:rPr>
                <w:rFonts w:ascii="Times New Roman" w:eastAsia="Times New Roman" w:hAnsi="Times New Roman" w:cs="Times New Roman"/>
                <w:i/>
                <w:iCs/>
                <w:color w:val="000000"/>
                <w:sz w:val="24"/>
                <w:szCs w:val="24"/>
                <w:lang w:val="en-US" w:eastAsia="en-GB"/>
              </w:rPr>
              <w:t>DividendPayout</w:t>
            </w:r>
            <w:proofErr w:type="spellEnd"/>
          </w:p>
        </w:tc>
        <w:tc>
          <w:tcPr>
            <w:tcW w:w="393" w:type="dxa"/>
            <w:tcBorders>
              <w:top w:val="nil"/>
              <w:left w:val="nil"/>
              <w:bottom w:val="nil"/>
              <w:right w:val="nil"/>
            </w:tcBorders>
            <w:shd w:val="clear" w:color="000000" w:fill="FFFFFF"/>
            <w:noWrap/>
            <w:vAlign w:val="center"/>
            <w:hideMark/>
          </w:tcPr>
          <w:p w14:paraId="3B94176E"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bottom w:val="nil"/>
              <w:right w:val="nil"/>
            </w:tcBorders>
            <w:shd w:val="clear" w:color="auto" w:fill="auto"/>
            <w:noWrap/>
            <w:vAlign w:val="bottom"/>
            <w:hideMark/>
          </w:tcPr>
          <w:p w14:paraId="3B53AC01"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0.000</w:t>
            </w:r>
          </w:p>
        </w:tc>
        <w:tc>
          <w:tcPr>
            <w:tcW w:w="1342" w:type="dxa"/>
            <w:tcBorders>
              <w:top w:val="nil"/>
              <w:left w:val="nil"/>
              <w:bottom w:val="nil"/>
              <w:right w:val="nil"/>
            </w:tcBorders>
            <w:shd w:val="clear" w:color="auto" w:fill="auto"/>
            <w:noWrap/>
            <w:vAlign w:val="bottom"/>
            <w:hideMark/>
          </w:tcPr>
          <w:p w14:paraId="13FA826D"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0.017</w:t>
            </w:r>
          </w:p>
        </w:tc>
        <w:tc>
          <w:tcPr>
            <w:tcW w:w="1210" w:type="dxa"/>
            <w:tcBorders>
              <w:top w:val="nil"/>
              <w:left w:val="nil"/>
              <w:bottom w:val="nil"/>
              <w:right w:val="nil"/>
            </w:tcBorders>
            <w:shd w:val="clear" w:color="auto" w:fill="auto"/>
            <w:noWrap/>
            <w:vAlign w:val="bottom"/>
            <w:hideMark/>
          </w:tcPr>
          <w:p w14:paraId="0C6A3DD5"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0.012</w:t>
            </w:r>
          </w:p>
        </w:tc>
        <w:tc>
          <w:tcPr>
            <w:tcW w:w="1474" w:type="dxa"/>
            <w:tcBorders>
              <w:top w:val="nil"/>
              <w:left w:val="nil"/>
              <w:bottom w:val="nil"/>
              <w:right w:val="nil"/>
            </w:tcBorders>
            <w:shd w:val="clear" w:color="auto" w:fill="auto"/>
            <w:noWrap/>
            <w:vAlign w:val="bottom"/>
            <w:hideMark/>
          </w:tcPr>
          <w:p w14:paraId="62D2CAA0"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0.222</w:t>
            </w:r>
          </w:p>
        </w:tc>
        <w:tc>
          <w:tcPr>
            <w:tcW w:w="1342" w:type="dxa"/>
            <w:tcBorders>
              <w:top w:val="nil"/>
              <w:left w:val="nil"/>
              <w:bottom w:val="nil"/>
              <w:right w:val="nil"/>
            </w:tcBorders>
            <w:shd w:val="clear" w:color="auto" w:fill="auto"/>
            <w:noWrap/>
            <w:vAlign w:val="bottom"/>
            <w:hideMark/>
          </w:tcPr>
          <w:p w14:paraId="4BB44972"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0.023</w:t>
            </w:r>
          </w:p>
        </w:tc>
      </w:tr>
      <w:tr w:rsidR="001B7ED4" w:rsidRPr="001B7ED4" w14:paraId="4EC43049" w14:textId="77777777" w:rsidTr="001B7ED4">
        <w:trPr>
          <w:trHeight w:val="315"/>
        </w:trPr>
        <w:tc>
          <w:tcPr>
            <w:tcW w:w="1923" w:type="dxa"/>
            <w:tcBorders>
              <w:top w:val="nil"/>
              <w:left w:val="nil"/>
              <w:bottom w:val="nil"/>
              <w:right w:val="nil"/>
            </w:tcBorders>
            <w:shd w:val="clear" w:color="000000" w:fill="FFFFFF"/>
            <w:noWrap/>
            <w:vAlign w:val="center"/>
            <w:hideMark/>
          </w:tcPr>
          <w:p w14:paraId="67F6D261"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proofErr w:type="spellStart"/>
            <w:r w:rsidRPr="001B7ED4">
              <w:rPr>
                <w:rFonts w:ascii="Times New Roman" w:eastAsia="Times New Roman" w:hAnsi="Times New Roman" w:cs="Times New Roman"/>
                <w:i/>
                <w:iCs/>
                <w:color w:val="000000"/>
                <w:sz w:val="24"/>
                <w:szCs w:val="24"/>
                <w:lang w:val="en-US" w:eastAsia="en-GB"/>
              </w:rPr>
              <w:t>FirmSize</w:t>
            </w:r>
            <w:proofErr w:type="spellEnd"/>
          </w:p>
        </w:tc>
        <w:tc>
          <w:tcPr>
            <w:tcW w:w="393" w:type="dxa"/>
            <w:tcBorders>
              <w:top w:val="nil"/>
              <w:left w:val="nil"/>
              <w:bottom w:val="nil"/>
              <w:right w:val="nil"/>
            </w:tcBorders>
            <w:shd w:val="clear" w:color="000000" w:fill="FFFFFF"/>
            <w:noWrap/>
            <w:vAlign w:val="center"/>
            <w:hideMark/>
          </w:tcPr>
          <w:p w14:paraId="02F1B626"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bottom w:val="nil"/>
              <w:right w:val="nil"/>
            </w:tcBorders>
            <w:shd w:val="clear" w:color="auto" w:fill="auto"/>
            <w:noWrap/>
            <w:vAlign w:val="bottom"/>
            <w:hideMark/>
          </w:tcPr>
          <w:p w14:paraId="0DE57A4B"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2.596</w:t>
            </w:r>
          </w:p>
        </w:tc>
        <w:tc>
          <w:tcPr>
            <w:tcW w:w="1342" w:type="dxa"/>
            <w:tcBorders>
              <w:top w:val="nil"/>
              <w:left w:val="nil"/>
              <w:bottom w:val="nil"/>
              <w:right w:val="nil"/>
            </w:tcBorders>
            <w:shd w:val="clear" w:color="auto" w:fill="auto"/>
            <w:noWrap/>
            <w:vAlign w:val="bottom"/>
            <w:hideMark/>
          </w:tcPr>
          <w:p w14:paraId="3791425A"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7.653</w:t>
            </w:r>
          </w:p>
        </w:tc>
        <w:tc>
          <w:tcPr>
            <w:tcW w:w="1210" w:type="dxa"/>
            <w:tcBorders>
              <w:top w:val="nil"/>
              <w:left w:val="nil"/>
              <w:bottom w:val="nil"/>
              <w:right w:val="nil"/>
            </w:tcBorders>
            <w:shd w:val="clear" w:color="auto" w:fill="auto"/>
            <w:noWrap/>
            <w:vAlign w:val="bottom"/>
            <w:hideMark/>
          </w:tcPr>
          <w:p w14:paraId="5AAB3C87"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7.482</w:t>
            </w:r>
          </w:p>
        </w:tc>
        <w:tc>
          <w:tcPr>
            <w:tcW w:w="1474" w:type="dxa"/>
            <w:tcBorders>
              <w:top w:val="nil"/>
              <w:left w:val="nil"/>
              <w:bottom w:val="nil"/>
              <w:right w:val="nil"/>
            </w:tcBorders>
            <w:shd w:val="clear" w:color="auto" w:fill="auto"/>
            <w:noWrap/>
            <w:vAlign w:val="bottom"/>
            <w:hideMark/>
          </w:tcPr>
          <w:p w14:paraId="763DEBF8"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10.896</w:t>
            </w:r>
          </w:p>
        </w:tc>
        <w:tc>
          <w:tcPr>
            <w:tcW w:w="1342" w:type="dxa"/>
            <w:tcBorders>
              <w:top w:val="nil"/>
              <w:left w:val="nil"/>
              <w:bottom w:val="nil"/>
              <w:right w:val="nil"/>
            </w:tcBorders>
            <w:shd w:val="clear" w:color="auto" w:fill="auto"/>
            <w:noWrap/>
            <w:vAlign w:val="bottom"/>
            <w:hideMark/>
          </w:tcPr>
          <w:p w14:paraId="40927CA2"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1.730</w:t>
            </w:r>
          </w:p>
        </w:tc>
      </w:tr>
      <w:tr w:rsidR="001B7ED4" w:rsidRPr="001B7ED4" w14:paraId="07144E0A" w14:textId="77777777" w:rsidTr="001B7ED4">
        <w:trPr>
          <w:trHeight w:val="315"/>
        </w:trPr>
        <w:tc>
          <w:tcPr>
            <w:tcW w:w="1923" w:type="dxa"/>
            <w:tcBorders>
              <w:top w:val="nil"/>
              <w:left w:val="nil"/>
              <w:bottom w:val="nil"/>
              <w:right w:val="nil"/>
            </w:tcBorders>
            <w:shd w:val="clear" w:color="000000" w:fill="FFFFFF"/>
            <w:noWrap/>
            <w:vAlign w:val="center"/>
            <w:hideMark/>
          </w:tcPr>
          <w:p w14:paraId="577D4DC4"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Employees</w:t>
            </w:r>
          </w:p>
        </w:tc>
        <w:tc>
          <w:tcPr>
            <w:tcW w:w="393" w:type="dxa"/>
            <w:tcBorders>
              <w:top w:val="nil"/>
              <w:left w:val="nil"/>
              <w:bottom w:val="nil"/>
              <w:right w:val="nil"/>
            </w:tcBorders>
            <w:shd w:val="clear" w:color="000000" w:fill="FFFFFF"/>
            <w:noWrap/>
            <w:vAlign w:val="center"/>
            <w:hideMark/>
          </w:tcPr>
          <w:p w14:paraId="7D1D2B98"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bottom w:val="nil"/>
              <w:right w:val="nil"/>
            </w:tcBorders>
            <w:shd w:val="clear" w:color="auto" w:fill="auto"/>
            <w:noWrap/>
            <w:vAlign w:val="bottom"/>
            <w:hideMark/>
          </w:tcPr>
          <w:p w14:paraId="631E6CCA"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-2.226</w:t>
            </w:r>
          </w:p>
        </w:tc>
        <w:tc>
          <w:tcPr>
            <w:tcW w:w="1342" w:type="dxa"/>
            <w:tcBorders>
              <w:top w:val="nil"/>
              <w:left w:val="nil"/>
              <w:bottom w:val="nil"/>
              <w:right w:val="nil"/>
            </w:tcBorders>
            <w:shd w:val="clear" w:color="auto" w:fill="auto"/>
            <w:noWrap/>
            <w:vAlign w:val="bottom"/>
            <w:hideMark/>
          </w:tcPr>
          <w:p w14:paraId="214063EA"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2.344</w:t>
            </w:r>
          </w:p>
        </w:tc>
        <w:tc>
          <w:tcPr>
            <w:tcW w:w="1210" w:type="dxa"/>
            <w:tcBorders>
              <w:top w:val="nil"/>
              <w:left w:val="nil"/>
              <w:bottom w:val="nil"/>
              <w:right w:val="nil"/>
            </w:tcBorders>
            <w:shd w:val="clear" w:color="auto" w:fill="auto"/>
            <w:noWrap/>
            <w:vAlign w:val="bottom"/>
            <w:hideMark/>
          </w:tcPr>
          <w:p w14:paraId="3E45DC61"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2.310</w:t>
            </w:r>
          </w:p>
        </w:tc>
        <w:tc>
          <w:tcPr>
            <w:tcW w:w="1474" w:type="dxa"/>
            <w:tcBorders>
              <w:top w:val="nil"/>
              <w:left w:val="nil"/>
              <w:bottom w:val="nil"/>
              <w:right w:val="nil"/>
            </w:tcBorders>
            <w:shd w:val="clear" w:color="auto" w:fill="auto"/>
            <w:noWrap/>
            <w:vAlign w:val="bottom"/>
            <w:hideMark/>
          </w:tcPr>
          <w:p w14:paraId="19243CF3"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5.128</w:t>
            </w:r>
          </w:p>
        </w:tc>
        <w:tc>
          <w:tcPr>
            <w:tcW w:w="1342" w:type="dxa"/>
            <w:tcBorders>
              <w:top w:val="nil"/>
              <w:left w:val="nil"/>
              <w:bottom w:val="nil"/>
              <w:right w:val="nil"/>
            </w:tcBorders>
            <w:shd w:val="clear" w:color="auto" w:fill="auto"/>
            <w:noWrap/>
            <w:vAlign w:val="bottom"/>
            <w:hideMark/>
          </w:tcPr>
          <w:p w14:paraId="1E42E33D"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1.534</w:t>
            </w:r>
          </w:p>
        </w:tc>
      </w:tr>
      <w:tr w:rsidR="001B7ED4" w:rsidRPr="001B7ED4" w14:paraId="54ED928D" w14:textId="77777777" w:rsidTr="001B7ED4">
        <w:trPr>
          <w:trHeight w:val="315"/>
        </w:trPr>
        <w:tc>
          <w:tcPr>
            <w:tcW w:w="1923" w:type="dxa"/>
            <w:tcBorders>
              <w:top w:val="nil"/>
              <w:left w:val="nil"/>
              <w:bottom w:val="nil"/>
              <w:right w:val="nil"/>
            </w:tcBorders>
            <w:shd w:val="clear" w:color="000000" w:fill="FFFFFF"/>
            <w:noWrap/>
            <w:vAlign w:val="center"/>
            <w:hideMark/>
          </w:tcPr>
          <w:p w14:paraId="310295EC"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proofErr w:type="spellStart"/>
            <w:r w:rsidRPr="001B7ED4">
              <w:rPr>
                <w:rFonts w:ascii="Times New Roman" w:eastAsia="Times New Roman" w:hAnsi="Times New Roman" w:cs="Times New Roman"/>
                <w:i/>
                <w:iCs/>
                <w:color w:val="000000"/>
                <w:sz w:val="24"/>
                <w:szCs w:val="24"/>
                <w:lang w:val="en-US" w:eastAsia="en-GB"/>
              </w:rPr>
              <w:t>AssetTurnover</w:t>
            </w:r>
            <w:proofErr w:type="spellEnd"/>
          </w:p>
        </w:tc>
        <w:tc>
          <w:tcPr>
            <w:tcW w:w="393" w:type="dxa"/>
            <w:tcBorders>
              <w:top w:val="nil"/>
              <w:left w:val="nil"/>
              <w:bottom w:val="nil"/>
              <w:right w:val="nil"/>
            </w:tcBorders>
            <w:shd w:val="clear" w:color="000000" w:fill="FFFFFF"/>
            <w:noWrap/>
            <w:vAlign w:val="center"/>
            <w:hideMark/>
          </w:tcPr>
          <w:p w14:paraId="4B3E52BB"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bottom w:val="nil"/>
              <w:right w:val="nil"/>
            </w:tcBorders>
            <w:shd w:val="clear" w:color="auto" w:fill="auto"/>
            <w:noWrap/>
            <w:vAlign w:val="bottom"/>
            <w:hideMark/>
          </w:tcPr>
          <w:p w14:paraId="30F89B2A"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0.031</w:t>
            </w:r>
          </w:p>
        </w:tc>
        <w:tc>
          <w:tcPr>
            <w:tcW w:w="1342" w:type="dxa"/>
            <w:tcBorders>
              <w:top w:val="nil"/>
              <w:left w:val="nil"/>
              <w:bottom w:val="nil"/>
              <w:right w:val="nil"/>
            </w:tcBorders>
            <w:shd w:val="clear" w:color="auto" w:fill="auto"/>
            <w:noWrap/>
            <w:vAlign w:val="bottom"/>
            <w:hideMark/>
          </w:tcPr>
          <w:p w14:paraId="4C655BD2"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1.427</w:t>
            </w:r>
          </w:p>
        </w:tc>
        <w:tc>
          <w:tcPr>
            <w:tcW w:w="1210" w:type="dxa"/>
            <w:tcBorders>
              <w:top w:val="nil"/>
              <w:left w:val="nil"/>
              <w:bottom w:val="nil"/>
              <w:right w:val="nil"/>
            </w:tcBorders>
            <w:shd w:val="clear" w:color="auto" w:fill="auto"/>
            <w:noWrap/>
            <w:vAlign w:val="bottom"/>
            <w:hideMark/>
          </w:tcPr>
          <w:p w14:paraId="67805EA7"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1.230</w:t>
            </w:r>
          </w:p>
        </w:tc>
        <w:tc>
          <w:tcPr>
            <w:tcW w:w="1474" w:type="dxa"/>
            <w:tcBorders>
              <w:top w:val="nil"/>
              <w:left w:val="nil"/>
              <w:bottom w:val="nil"/>
              <w:right w:val="nil"/>
            </w:tcBorders>
            <w:shd w:val="clear" w:color="auto" w:fill="auto"/>
            <w:noWrap/>
            <w:vAlign w:val="bottom"/>
            <w:hideMark/>
          </w:tcPr>
          <w:p w14:paraId="42BC24EE"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4.382</w:t>
            </w:r>
          </w:p>
        </w:tc>
        <w:tc>
          <w:tcPr>
            <w:tcW w:w="1342" w:type="dxa"/>
            <w:tcBorders>
              <w:top w:val="nil"/>
              <w:left w:val="nil"/>
              <w:bottom w:val="nil"/>
              <w:right w:val="nil"/>
            </w:tcBorders>
            <w:shd w:val="clear" w:color="auto" w:fill="auto"/>
            <w:noWrap/>
            <w:vAlign w:val="bottom"/>
            <w:hideMark/>
          </w:tcPr>
          <w:p w14:paraId="46E18664"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0.793</w:t>
            </w:r>
          </w:p>
        </w:tc>
      </w:tr>
      <w:tr w:rsidR="001B7ED4" w:rsidRPr="001B7ED4" w14:paraId="2FE09499" w14:textId="77777777" w:rsidTr="001B7ED4">
        <w:trPr>
          <w:trHeight w:val="315"/>
        </w:trPr>
        <w:tc>
          <w:tcPr>
            <w:tcW w:w="1923" w:type="dxa"/>
            <w:tcBorders>
              <w:top w:val="nil"/>
              <w:left w:val="nil"/>
              <w:bottom w:val="nil"/>
              <w:right w:val="nil"/>
            </w:tcBorders>
            <w:shd w:val="clear" w:color="000000" w:fill="FFFFFF"/>
            <w:noWrap/>
            <w:vAlign w:val="center"/>
            <w:hideMark/>
          </w:tcPr>
          <w:p w14:paraId="391C1E77"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Market-to-book</w:t>
            </w:r>
          </w:p>
        </w:tc>
        <w:tc>
          <w:tcPr>
            <w:tcW w:w="393" w:type="dxa"/>
            <w:tcBorders>
              <w:top w:val="nil"/>
              <w:left w:val="nil"/>
              <w:bottom w:val="nil"/>
              <w:right w:val="nil"/>
            </w:tcBorders>
            <w:shd w:val="clear" w:color="000000" w:fill="FFFFFF"/>
            <w:noWrap/>
            <w:vAlign w:val="center"/>
            <w:hideMark/>
          </w:tcPr>
          <w:p w14:paraId="06C97CA6"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bottom w:val="nil"/>
              <w:right w:val="nil"/>
            </w:tcBorders>
            <w:shd w:val="clear" w:color="auto" w:fill="auto"/>
            <w:noWrap/>
            <w:vAlign w:val="bottom"/>
            <w:hideMark/>
          </w:tcPr>
          <w:p w14:paraId="7ABF8F5E"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0.178</w:t>
            </w:r>
          </w:p>
        </w:tc>
        <w:tc>
          <w:tcPr>
            <w:tcW w:w="1342" w:type="dxa"/>
            <w:tcBorders>
              <w:top w:val="nil"/>
              <w:left w:val="nil"/>
              <w:bottom w:val="nil"/>
              <w:right w:val="nil"/>
            </w:tcBorders>
            <w:shd w:val="clear" w:color="auto" w:fill="auto"/>
            <w:noWrap/>
            <w:vAlign w:val="bottom"/>
            <w:hideMark/>
          </w:tcPr>
          <w:p w14:paraId="21EC09A7"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1.552</w:t>
            </w:r>
          </w:p>
        </w:tc>
        <w:tc>
          <w:tcPr>
            <w:tcW w:w="1210" w:type="dxa"/>
            <w:tcBorders>
              <w:top w:val="nil"/>
              <w:left w:val="nil"/>
              <w:bottom w:val="nil"/>
              <w:right w:val="nil"/>
            </w:tcBorders>
            <w:shd w:val="clear" w:color="auto" w:fill="auto"/>
            <w:noWrap/>
            <w:vAlign w:val="bottom"/>
            <w:hideMark/>
          </w:tcPr>
          <w:p w14:paraId="773B12EC"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1.202</w:t>
            </w:r>
          </w:p>
        </w:tc>
        <w:tc>
          <w:tcPr>
            <w:tcW w:w="1474" w:type="dxa"/>
            <w:tcBorders>
              <w:top w:val="nil"/>
              <w:left w:val="nil"/>
              <w:bottom w:val="nil"/>
              <w:right w:val="nil"/>
            </w:tcBorders>
            <w:shd w:val="clear" w:color="auto" w:fill="auto"/>
            <w:noWrap/>
            <w:vAlign w:val="bottom"/>
            <w:hideMark/>
          </w:tcPr>
          <w:p w14:paraId="3051DDF9"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9.585</w:t>
            </w:r>
          </w:p>
        </w:tc>
        <w:tc>
          <w:tcPr>
            <w:tcW w:w="1342" w:type="dxa"/>
            <w:tcBorders>
              <w:top w:val="nil"/>
              <w:left w:val="nil"/>
              <w:bottom w:val="nil"/>
              <w:right w:val="nil"/>
            </w:tcBorders>
            <w:shd w:val="clear" w:color="auto" w:fill="auto"/>
            <w:noWrap/>
            <w:vAlign w:val="bottom"/>
            <w:hideMark/>
          </w:tcPr>
          <w:p w14:paraId="4FBD6535"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1.100</w:t>
            </w:r>
          </w:p>
        </w:tc>
      </w:tr>
      <w:tr w:rsidR="001B7ED4" w:rsidRPr="001B7ED4" w14:paraId="1DEE9769" w14:textId="77777777" w:rsidTr="001B7ED4">
        <w:trPr>
          <w:trHeight w:val="315"/>
        </w:trPr>
        <w:tc>
          <w:tcPr>
            <w:tcW w:w="1923" w:type="dxa"/>
            <w:tcBorders>
              <w:top w:val="nil"/>
              <w:left w:val="nil"/>
              <w:bottom w:val="nil"/>
              <w:right w:val="nil"/>
            </w:tcBorders>
            <w:shd w:val="clear" w:color="000000" w:fill="FFFFFF"/>
            <w:noWrap/>
            <w:vAlign w:val="center"/>
            <w:hideMark/>
          </w:tcPr>
          <w:p w14:paraId="55B16C1A"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Tangibility</w:t>
            </w:r>
          </w:p>
        </w:tc>
        <w:tc>
          <w:tcPr>
            <w:tcW w:w="393" w:type="dxa"/>
            <w:tcBorders>
              <w:top w:val="nil"/>
              <w:left w:val="nil"/>
              <w:bottom w:val="nil"/>
              <w:right w:val="nil"/>
            </w:tcBorders>
            <w:shd w:val="clear" w:color="000000" w:fill="FFFFFF"/>
            <w:noWrap/>
            <w:vAlign w:val="center"/>
            <w:hideMark/>
          </w:tcPr>
          <w:p w14:paraId="128CF5F8"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bottom w:val="nil"/>
              <w:right w:val="nil"/>
            </w:tcBorders>
            <w:shd w:val="clear" w:color="auto" w:fill="auto"/>
            <w:noWrap/>
            <w:vAlign w:val="bottom"/>
            <w:hideMark/>
          </w:tcPr>
          <w:p w14:paraId="44C4DA60"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0.016</w:t>
            </w:r>
          </w:p>
        </w:tc>
        <w:tc>
          <w:tcPr>
            <w:tcW w:w="1342" w:type="dxa"/>
            <w:tcBorders>
              <w:top w:val="nil"/>
              <w:left w:val="nil"/>
              <w:bottom w:val="nil"/>
              <w:right w:val="nil"/>
            </w:tcBorders>
            <w:shd w:val="clear" w:color="auto" w:fill="auto"/>
            <w:noWrap/>
            <w:vAlign w:val="bottom"/>
            <w:hideMark/>
          </w:tcPr>
          <w:p w14:paraId="4EFA5FF4"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0.306</w:t>
            </w:r>
          </w:p>
        </w:tc>
        <w:tc>
          <w:tcPr>
            <w:tcW w:w="1210" w:type="dxa"/>
            <w:tcBorders>
              <w:top w:val="nil"/>
              <w:left w:val="nil"/>
              <w:bottom w:val="nil"/>
              <w:right w:val="nil"/>
            </w:tcBorders>
            <w:shd w:val="clear" w:color="auto" w:fill="auto"/>
            <w:noWrap/>
            <w:vAlign w:val="bottom"/>
            <w:hideMark/>
          </w:tcPr>
          <w:p w14:paraId="763FEDA0"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0.264</w:t>
            </w:r>
          </w:p>
        </w:tc>
        <w:tc>
          <w:tcPr>
            <w:tcW w:w="1474" w:type="dxa"/>
            <w:tcBorders>
              <w:top w:val="nil"/>
              <w:left w:val="nil"/>
              <w:bottom w:val="nil"/>
              <w:right w:val="nil"/>
            </w:tcBorders>
            <w:shd w:val="clear" w:color="auto" w:fill="auto"/>
            <w:noWrap/>
            <w:vAlign w:val="bottom"/>
            <w:hideMark/>
          </w:tcPr>
          <w:p w14:paraId="0D8C191A"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0.935</w:t>
            </w:r>
          </w:p>
        </w:tc>
        <w:tc>
          <w:tcPr>
            <w:tcW w:w="1342" w:type="dxa"/>
            <w:tcBorders>
              <w:top w:val="nil"/>
              <w:left w:val="nil"/>
              <w:bottom w:val="nil"/>
              <w:right w:val="nil"/>
            </w:tcBorders>
            <w:shd w:val="clear" w:color="auto" w:fill="auto"/>
            <w:noWrap/>
            <w:vAlign w:val="bottom"/>
            <w:hideMark/>
          </w:tcPr>
          <w:p w14:paraId="52ABA53B"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0.197</w:t>
            </w:r>
          </w:p>
        </w:tc>
      </w:tr>
      <w:tr w:rsidR="001B7ED4" w:rsidRPr="001B7ED4" w14:paraId="38629122" w14:textId="77777777" w:rsidTr="001B7ED4">
        <w:trPr>
          <w:trHeight w:val="315"/>
        </w:trPr>
        <w:tc>
          <w:tcPr>
            <w:tcW w:w="1923" w:type="dxa"/>
            <w:tcBorders>
              <w:top w:val="nil"/>
              <w:left w:val="nil"/>
              <w:bottom w:val="nil"/>
              <w:right w:val="nil"/>
            </w:tcBorders>
            <w:shd w:val="clear" w:color="000000" w:fill="FFFFFF"/>
            <w:noWrap/>
            <w:vAlign w:val="center"/>
            <w:hideMark/>
          </w:tcPr>
          <w:p w14:paraId="65335BDA"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Capex</w:t>
            </w:r>
          </w:p>
        </w:tc>
        <w:tc>
          <w:tcPr>
            <w:tcW w:w="393" w:type="dxa"/>
            <w:tcBorders>
              <w:top w:val="nil"/>
              <w:left w:val="nil"/>
              <w:bottom w:val="nil"/>
              <w:right w:val="nil"/>
            </w:tcBorders>
            <w:shd w:val="clear" w:color="000000" w:fill="FFFFFF"/>
            <w:noWrap/>
            <w:vAlign w:val="center"/>
            <w:hideMark/>
          </w:tcPr>
          <w:p w14:paraId="7E57A9AF"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bottom w:val="nil"/>
              <w:right w:val="nil"/>
            </w:tcBorders>
            <w:shd w:val="clear" w:color="auto" w:fill="auto"/>
            <w:noWrap/>
            <w:vAlign w:val="bottom"/>
            <w:hideMark/>
          </w:tcPr>
          <w:p w14:paraId="0415A992"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0.001</w:t>
            </w:r>
          </w:p>
        </w:tc>
        <w:tc>
          <w:tcPr>
            <w:tcW w:w="1342" w:type="dxa"/>
            <w:tcBorders>
              <w:top w:val="nil"/>
              <w:left w:val="nil"/>
              <w:bottom w:val="nil"/>
              <w:right w:val="nil"/>
            </w:tcBorders>
            <w:shd w:val="clear" w:color="auto" w:fill="auto"/>
            <w:noWrap/>
            <w:vAlign w:val="bottom"/>
            <w:hideMark/>
          </w:tcPr>
          <w:p w14:paraId="4E16F76B"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0.050</w:t>
            </w:r>
          </w:p>
        </w:tc>
        <w:tc>
          <w:tcPr>
            <w:tcW w:w="1210" w:type="dxa"/>
            <w:tcBorders>
              <w:top w:val="nil"/>
              <w:left w:val="nil"/>
              <w:bottom w:val="nil"/>
              <w:right w:val="nil"/>
            </w:tcBorders>
            <w:shd w:val="clear" w:color="auto" w:fill="auto"/>
            <w:noWrap/>
            <w:vAlign w:val="bottom"/>
            <w:hideMark/>
          </w:tcPr>
          <w:p w14:paraId="621E923F"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0.040</w:t>
            </w:r>
          </w:p>
        </w:tc>
        <w:tc>
          <w:tcPr>
            <w:tcW w:w="1474" w:type="dxa"/>
            <w:tcBorders>
              <w:top w:val="nil"/>
              <w:left w:val="nil"/>
              <w:bottom w:val="nil"/>
              <w:right w:val="nil"/>
            </w:tcBorders>
            <w:shd w:val="clear" w:color="auto" w:fill="auto"/>
            <w:noWrap/>
            <w:vAlign w:val="bottom"/>
            <w:hideMark/>
          </w:tcPr>
          <w:p w14:paraId="49DD5493"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0.335</w:t>
            </w:r>
          </w:p>
        </w:tc>
        <w:tc>
          <w:tcPr>
            <w:tcW w:w="1342" w:type="dxa"/>
            <w:tcBorders>
              <w:top w:val="nil"/>
              <w:left w:val="nil"/>
              <w:bottom w:val="nil"/>
              <w:right w:val="nil"/>
            </w:tcBorders>
            <w:shd w:val="clear" w:color="auto" w:fill="auto"/>
            <w:noWrap/>
            <w:vAlign w:val="bottom"/>
            <w:hideMark/>
          </w:tcPr>
          <w:p w14:paraId="4B027580"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0.038</w:t>
            </w:r>
          </w:p>
        </w:tc>
      </w:tr>
      <w:tr w:rsidR="001B7ED4" w:rsidRPr="001B7ED4" w14:paraId="126DBB0C" w14:textId="77777777" w:rsidTr="001B7ED4">
        <w:trPr>
          <w:trHeight w:val="315"/>
        </w:trPr>
        <w:tc>
          <w:tcPr>
            <w:tcW w:w="1923" w:type="dxa"/>
            <w:tcBorders>
              <w:top w:val="nil"/>
              <w:left w:val="nil"/>
              <w:bottom w:val="nil"/>
              <w:right w:val="nil"/>
            </w:tcBorders>
            <w:shd w:val="clear" w:color="000000" w:fill="FFFFFF"/>
            <w:noWrap/>
            <w:vAlign w:val="center"/>
            <w:hideMark/>
          </w:tcPr>
          <w:p w14:paraId="386692D4"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r w:rsidRPr="001B7ED4">
              <w:rPr>
                <w:rFonts w:ascii="Times New Roman" w:eastAsia="Times New Roman" w:hAnsi="Times New Roman" w:cs="Times New Roman"/>
                <w:i/>
                <w:iCs/>
                <w:color w:val="000000"/>
                <w:sz w:val="24"/>
                <w:szCs w:val="24"/>
                <w:lang w:val="en-US" w:eastAsia="en-GB"/>
              </w:rPr>
              <w:t>RET</w:t>
            </w:r>
          </w:p>
        </w:tc>
        <w:tc>
          <w:tcPr>
            <w:tcW w:w="393" w:type="dxa"/>
            <w:tcBorders>
              <w:top w:val="nil"/>
              <w:left w:val="nil"/>
              <w:bottom w:val="nil"/>
              <w:right w:val="nil"/>
            </w:tcBorders>
            <w:shd w:val="clear" w:color="000000" w:fill="FFFFFF"/>
            <w:noWrap/>
            <w:vAlign w:val="center"/>
            <w:hideMark/>
          </w:tcPr>
          <w:p w14:paraId="521BA1D0"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bottom w:val="nil"/>
              <w:right w:val="nil"/>
            </w:tcBorders>
            <w:shd w:val="clear" w:color="auto" w:fill="auto"/>
            <w:noWrap/>
            <w:vAlign w:val="bottom"/>
            <w:hideMark/>
          </w:tcPr>
          <w:p w14:paraId="091B7764"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-0.877</w:t>
            </w:r>
          </w:p>
        </w:tc>
        <w:tc>
          <w:tcPr>
            <w:tcW w:w="1342" w:type="dxa"/>
            <w:tcBorders>
              <w:top w:val="nil"/>
              <w:left w:val="nil"/>
              <w:bottom w:val="nil"/>
              <w:right w:val="nil"/>
            </w:tcBorders>
            <w:shd w:val="clear" w:color="auto" w:fill="auto"/>
            <w:noWrap/>
            <w:vAlign w:val="bottom"/>
            <w:hideMark/>
          </w:tcPr>
          <w:p w14:paraId="7DBFEE19"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0.057</w:t>
            </w:r>
          </w:p>
        </w:tc>
        <w:tc>
          <w:tcPr>
            <w:tcW w:w="1210" w:type="dxa"/>
            <w:tcBorders>
              <w:top w:val="nil"/>
              <w:left w:val="nil"/>
              <w:bottom w:val="nil"/>
              <w:right w:val="nil"/>
            </w:tcBorders>
            <w:shd w:val="clear" w:color="auto" w:fill="auto"/>
            <w:noWrap/>
            <w:vAlign w:val="bottom"/>
            <w:hideMark/>
          </w:tcPr>
          <w:p w14:paraId="471E2CD1"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0.030</w:t>
            </w:r>
          </w:p>
        </w:tc>
        <w:tc>
          <w:tcPr>
            <w:tcW w:w="1474" w:type="dxa"/>
            <w:tcBorders>
              <w:top w:val="nil"/>
              <w:left w:val="nil"/>
              <w:bottom w:val="nil"/>
              <w:right w:val="nil"/>
            </w:tcBorders>
            <w:shd w:val="clear" w:color="auto" w:fill="auto"/>
            <w:noWrap/>
            <w:vAlign w:val="bottom"/>
            <w:hideMark/>
          </w:tcPr>
          <w:p w14:paraId="6BAA31F4"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2.954</w:t>
            </w:r>
          </w:p>
        </w:tc>
        <w:tc>
          <w:tcPr>
            <w:tcW w:w="1342" w:type="dxa"/>
            <w:tcBorders>
              <w:top w:val="nil"/>
              <w:left w:val="nil"/>
              <w:bottom w:val="nil"/>
              <w:right w:val="nil"/>
            </w:tcBorders>
            <w:shd w:val="clear" w:color="auto" w:fill="auto"/>
            <w:noWrap/>
            <w:vAlign w:val="bottom"/>
            <w:hideMark/>
          </w:tcPr>
          <w:p w14:paraId="7B4B4A49"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0.432</w:t>
            </w:r>
          </w:p>
        </w:tc>
      </w:tr>
      <w:tr w:rsidR="001B7ED4" w:rsidRPr="001B7ED4" w14:paraId="10A32767" w14:textId="77777777" w:rsidTr="001B7ED4">
        <w:trPr>
          <w:trHeight w:val="315"/>
        </w:trPr>
        <w:tc>
          <w:tcPr>
            <w:tcW w:w="1923" w:type="dxa"/>
            <w:tcBorders>
              <w:top w:val="nil"/>
              <w:left w:val="nil"/>
              <w:bottom w:val="nil"/>
              <w:right w:val="nil"/>
            </w:tcBorders>
            <w:shd w:val="clear" w:color="000000" w:fill="FFFFFF"/>
            <w:noWrap/>
            <w:vAlign w:val="center"/>
            <w:hideMark/>
          </w:tcPr>
          <w:p w14:paraId="16AD7DD3"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proofErr w:type="spellStart"/>
            <w:r w:rsidRPr="001B7ED4">
              <w:rPr>
                <w:rFonts w:ascii="Times New Roman" w:eastAsia="Times New Roman" w:hAnsi="Times New Roman" w:cs="Times New Roman"/>
                <w:i/>
                <w:iCs/>
                <w:color w:val="000000"/>
                <w:sz w:val="24"/>
                <w:szCs w:val="24"/>
                <w:lang w:val="en-US" w:eastAsia="en-GB"/>
              </w:rPr>
              <w:t>CEOage</w:t>
            </w:r>
            <w:proofErr w:type="spellEnd"/>
          </w:p>
        </w:tc>
        <w:tc>
          <w:tcPr>
            <w:tcW w:w="393" w:type="dxa"/>
            <w:tcBorders>
              <w:top w:val="nil"/>
              <w:left w:val="nil"/>
              <w:bottom w:val="nil"/>
              <w:right w:val="nil"/>
            </w:tcBorders>
            <w:shd w:val="clear" w:color="000000" w:fill="FFFFFF"/>
            <w:noWrap/>
            <w:vAlign w:val="center"/>
            <w:hideMark/>
          </w:tcPr>
          <w:p w14:paraId="18C0BF8D"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bottom w:val="nil"/>
              <w:right w:val="nil"/>
            </w:tcBorders>
            <w:shd w:val="clear" w:color="auto" w:fill="auto"/>
            <w:noWrap/>
            <w:vAlign w:val="bottom"/>
            <w:hideMark/>
          </w:tcPr>
          <w:p w14:paraId="35814B08"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41.000</w:t>
            </w:r>
          </w:p>
        </w:tc>
        <w:tc>
          <w:tcPr>
            <w:tcW w:w="1342" w:type="dxa"/>
            <w:tcBorders>
              <w:top w:val="nil"/>
              <w:left w:val="nil"/>
              <w:bottom w:val="nil"/>
              <w:right w:val="nil"/>
            </w:tcBorders>
            <w:shd w:val="clear" w:color="auto" w:fill="auto"/>
            <w:noWrap/>
            <w:vAlign w:val="bottom"/>
            <w:hideMark/>
          </w:tcPr>
          <w:p w14:paraId="3C283E55"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56.519</w:t>
            </w:r>
          </w:p>
        </w:tc>
        <w:tc>
          <w:tcPr>
            <w:tcW w:w="1210" w:type="dxa"/>
            <w:tcBorders>
              <w:top w:val="nil"/>
              <w:left w:val="nil"/>
              <w:bottom w:val="nil"/>
              <w:right w:val="nil"/>
            </w:tcBorders>
            <w:shd w:val="clear" w:color="auto" w:fill="auto"/>
            <w:noWrap/>
            <w:vAlign w:val="bottom"/>
            <w:hideMark/>
          </w:tcPr>
          <w:p w14:paraId="6EEC2735"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57.000</w:t>
            </w:r>
          </w:p>
        </w:tc>
        <w:tc>
          <w:tcPr>
            <w:tcW w:w="1474" w:type="dxa"/>
            <w:tcBorders>
              <w:top w:val="nil"/>
              <w:left w:val="nil"/>
              <w:bottom w:val="nil"/>
              <w:right w:val="nil"/>
            </w:tcBorders>
            <w:shd w:val="clear" w:color="auto" w:fill="auto"/>
            <w:noWrap/>
            <w:vAlign w:val="bottom"/>
            <w:hideMark/>
          </w:tcPr>
          <w:p w14:paraId="74A8FE68"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76.000</w:t>
            </w:r>
          </w:p>
        </w:tc>
        <w:tc>
          <w:tcPr>
            <w:tcW w:w="1342" w:type="dxa"/>
            <w:tcBorders>
              <w:top w:val="nil"/>
              <w:left w:val="nil"/>
              <w:bottom w:val="nil"/>
              <w:right w:val="nil"/>
            </w:tcBorders>
            <w:shd w:val="clear" w:color="auto" w:fill="auto"/>
            <w:noWrap/>
            <w:vAlign w:val="bottom"/>
            <w:hideMark/>
          </w:tcPr>
          <w:p w14:paraId="1234DA30"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6.684</w:t>
            </w:r>
          </w:p>
        </w:tc>
      </w:tr>
      <w:tr w:rsidR="001B7ED4" w:rsidRPr="001B7ED4" w14:paraId="3D21191C" w14:textId="77777777" w:rsidTr="001B7ED4">
        <w:trPr>
          <w:trHeight w:val="315"/>
        </w:trPr>
        <w:tc>
          <w:tcPr>
            <w:tcW w:w="1923" w:type="dxa"/>
            <w:tcBorders>
              <w:top w:val="nil"/>
              <w:left w:val="nil"/>
              <w:bottom w:val="single" w:sz="4" w:space="0" w:color="auto"/>
              <w:right w:val="nil"/>
            </w:tcBorders>
            <w:shd w:val="clear" w:color="000000" w:fill="FFFFFF"/>
            <w:noWrap/>
            <w:vAlign w:val="center"/>
            <w:hideMark/>
          </w:tcPr>
          <w:p w14:paraId="5E2B443A" w14:textId="77777777" w:rsidR="001B7ED4" w:rsidRPr="001B7ED4" w:rsidRDefault="001B7ED4" w:rsidP="001B7ED4">
            <w:pPr>
              <w:spacing w:after="0" w:line="240" w:lineRule="auto"/>
              <w:rPr>
                <w:rFonts w:ascii="Times New Roman" w:eastAsia="Times New Roman" w:hAnsi="Times New Roman" w:cs="Times New Roman"/>
                <w:i/>
                <w:iCs/>
                <w:color w:val="000000"/>
                <w:sz w:val="24"/>
                <w:szCs w:val="24"/>
                <w:lang w:eastAsia="en-GB"/>
              </w:rPr>
            </w:pPr>
            <w:proofErr w:type="spellStart"/>
            <w:r w:rsidRPr="001B7ED4">
              <w:rPr>
                <w:rFonts w:ascii="Times New Roman" w:eastAsia="Times New Roman" w:hAnsi="Times New Roman" w:cs="Times New Roman"/>
                <w:i/>
                <w:iCs/>
                <w:color w:val="000000"/>
                <w:sz w:val="24"/>
                <w:szCs w:val="24"/>
                <w:lang w:val="en-US" w:eastAsia="en-GB"/>
              </w:rPr>
              <w:t>CEOtenure</w:t>
            </w:r>
            <w:proofErr w:type="spellEnd"/>
          </w:p>
        </w:tc>
        <w:tc>
          <w:tcPr>
            <w:tcW w:w="393" w:type="dxa"/>
            <w:tcBorders>
              <w:top w:val="nil"/>
              <w:left w:val="nil"/>
              <w:bottom w:val="single" w:sz="4" w:space="0" w:color="auto"/>
              <w:right w:val="nil"/>
            </w:tcBorders>
            <w:shd w:val="clear" w:color="000000" w:fill="FFFFFF"/>
            <w:noWrap/>
            <w:vAlign w:val="center"/>
            <w:hideMark/>
          </w:tcPr>
          <w:p w14:paraId="3CE54C8C"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val="en-US" w:eastAsia="en-GB"/>
              </w:rPr>
              <w:t>924</w:t>
            </w:r>
          </w:p>
        </w:tc>
        <w:tc>
          <w:tcPr>
            <w:tcW w:w="1342" w:type="dxa"/>
            <w:tcBorders>
              <w:top w:val="nil"/>
              <w:left w:val="nil"/>
              <w:bottom w:val="single" w:sz="4" w:space="0" w:color="auto"/>
              <w:right w:val="nil"/>
            </w:tcBorders>
            <w:shd w:val="clear" w:color="auto" w:fill="auto"/>
            <w:noWrap/>
            <w:vAlign w:val="bottom"/>
            <w:hideMark/>
          </w:tcPr>
          <w:p w14:paraId="43B66AC7"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1.000</w:t>
            </w:r>
          </w:p>
        </w:tc>
        <w:tc>
          <w:tcPr>
            <w:tcW w:w="1342" w:type="dxa"/>
            <w:tcBorders>
              <w:top w:val="nil"/>
              <w:left w:val="nil"/>
              <w:bottom w:val="single" w:sz="4" w:space="0" w:color="auto"/>
              <w:right w:val="nil"/>
            </w:tcBorders>
            <w:shd w:val="clear" w:color="auto" w:fill="auto"/>
            <w:noWrap/>
            <w:vAlign w:val="bottom"/>
            <w:hideMark/>
          </w:tcPr>
          <w:p w14:paraId="482B3EEA"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8.367</w:t>
            </w:r>
          </w:p>
        </w:tc>
        <w:tc>
          <w:tcPr>
            <w:tcW w:w="1210" w:type="dxa"/>
            <w:tcBorders>
              <w:top w:val="nil"/>
              <w:left w:val="nil"/>
              <w:bottom w:val="single" w:sz="4" w:space="0" w:color="auto"/>
              <w:right w:val="nil"/>
            </w:tcBorders>
            <w:shd w:val="clear" w:color="auto" w:fill="auto"/>
            <w:noWrap/>
            <w:vAlign w:val="bottom"/>
            <w:hideMark/>
          </w:tcPr>
          <w:p w14:paraId="3E19830E"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6.000</w:t>
            </w:r>
          </w:p>
        </w:tc>
        <w:tc>
          <w:tcPr>
            <w:tcW w:w="1474" w:type="dxa"/>
            <w:tcBorders>
              <w:top w:val="nil"/>
              <w:left w:val="nil"/>
              <w:bottom w:val="single" w:sz="4" w:space="0" w:color="auto"/>
              <w:right w:val="nil"/>
            </w:tcBorders>
            <w:shd w:val="clear" w:color="auto" w:fill="auto"/>
            <w:noWrap/>
            <w:vAlign w:val="bottom"/>
            <w:hideMark/>
          </w:tcPr>
          <w:p w14:paraId="73C58713"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35.000</w:t>
            </w:r>
          </w:p>
        </w:tc>
        <w:tc>
          <w:tcPr>
            <w:tcW w:w="1342" w:type="dxa"/>
            <w:tcBorders>
              <w:top w:val="nil"/>
              <w:left w:val="nil"/>
              <w:bottom w:val="single" w:sz="4" w:space="0" w:color="auto"/>
              <w:right w:val="nil"/>
            </w:tcBorders>
            <w:shd w:val="clear" w:color="auto" w:fill="auto"/>
            <w:noWrap/>
            <w:vAlign w:val="bottom"/>
            <w:hideMark/>
          </w:tcPr>
          <w:p w14:paraId="7BDBDFAE" w14:textId="77777777" w:rsidR="001B7ED4" w:rsidRPr="001B7ED4" w:rsidRDefault="001B7ED4" w:rsidP="001B7ED4">
            <w:pPr>
              <w:spacing w:after="0" w:line="240" w:lineRule="auto"/>
              <w:jc w:val="right"/>
              <w:rPr>
                <w:rFonts w:ascii="Times New Roman" w:eastAsia="Times New Roman" w:hAnsi="Times New Roman" w:cs="Times New Roman"/>
                <w:color w:val="000000"/>
                <w:sz w:val="24"/>
                <w:szCs w:val="24"/>
                <w:lang w:eastAsia="en-GB"/>
              </w:rPr>
            </w:pPr>
            <w:r w:rsidRPr="001B7ED4">
              <w:rPr>
                <w:rFonts w:ascii="Times New Roman" w:eastAsia="Times New Roman" w:hAnsi="Times New Roman" w:cs="Times New Roman"/>
                <w:color w:val="000000"/>
                <w:sz w:val="24"/>
                <w:szCs w:val="24"/>
                <w:lang w:eastAsia="en-GB"/>
              </w:rPr>
              <w:t>7.480</w:t>
            </w:r>
          </w:p>
        </w:tc>
      </w:tr>
    </w:tbl>
    <w:p w14:paraId="6D99C473" w14:textId="4C56A343" w:rsidR="001B7ED4" w:rsidRDefault="001B7ED4" w:rsidP="00E57A11">
      <w:pPr>
        <w:jc w:val="center"/>
        <w:rPr>
          <w:rFonts w:ascii="Times New Roman" w:hAnsi="Times New Roman" w:cs="Times New Roman"/>
          <w:b/>
          <w:bCs/>
          <w:sz w:val="24"/>
          <w:szCs w:val="24"/>
          <w:lang w:val="en-US"/>
        </w:rPr>
      </w:pPr>
    </w:p>
    <w:tbl>
      <w:tblPr>
        <w:tblW w:w="5000" w:type="pct"/>
        <w:jc w:val="center"/>
        <w:tblLook w:val="04A0" w:firstRow="1" w:lastRow="0" w:firstColumn="1" w:lastColumn="0" w:noHBand="0" w:noVBand="1"/>
      </w:tblPr>
      <w:tblGrid>
        <w:gridCol w:w="3712"/>
        <w:gridCol w:w="2386"/>
        <w:gridCol w:w="2919"/>
        <w:gridCol w:w="9"/>
      </w:tblGrid>
      <w:tr w:rsidR="00E57A11" w:rsidRPr="00F62082" w14:paraId="04885107" w14:textId="77777777" w:rsidTr="002753C1">
        <w:trPr>
          <w:trHeight w:val="57"/>
          <w:jc w:val="center"/>
        </w:trPr>
        <w:tc>
          <w:tcPr>
            <w:tcW w:w="5000" w:type="pct"/>
            <w:gridSpan w:val="4"/>
            <w:tcBorders>
              <w:top w:val="nil"/>
              <w:left w:val="nil"/>
              <w:right w:val="nil"/>
            </w:tcBorders>
            <w:shd w:val="clear" w:color="auto" w:fill="auto"/>
            <w:vAlign w:val="bottom"/>
            <w:hideMark/>
          </w:tcPr>
          <w:p w14:paraId="6D237690" w14:textId="6A29231F" w:rsidR="00E57A11" w:rsidRPr="00DA1D07" w:rsidRDefault="00E57A11" w:rsidP="002753C1">
            <w:pPr>
              <w:spacing w:after="0" w:line="240" w:lineRule="auto"/>
              <w:rPr>
                <w:rFonts w:ascii="Times New Roman" w:eastAsia="Times New Roman" w:hAnsi="Times New Roman" w:cs="Times New Roman"/>
                <w:b/>
                <w:color w:val="000000"/>
                <w:sz w:val="24"/>
                <w:szCs w:val="24"/>
                <w:lang w:val="en-US" w:eastAsia="en-GB"/>
              </w:rPr>
            </w:pPr>
            <w:r w:rsidRPr="00DA1D07">
              <w:rPr>
                <w:rFonts w:ascii="Times New Roman" w:eastAsia="Times New Roman" w:hAnsi="Times New Roman" w:cs="Times New Roman"/>
                <w:b/>
                <w:color w:val="000000"/>
                <w:sz w:val="24"/>
                <w:szCs w:val="24"/>
                <w:lang w:val="en-US" w:eastAsia="en-GB"/>
              </w:rPr>
              <w:t>Panel B</w:t>
            </w:r>
            <w:r w:rsidR="00872AE2">
              <w:rPr>
                <w:rFonts w:ascii="Times New Roman" w:eastAsia="Times New Roman" w:hAnsi="Times New Roman" w:cs="Times New Roman"/>
                <w:b/>
                <w:color w:val="000000"/>
                <w:sz w:val="24"/>
                <w:szCs w:val="24"/>
                <w:lang w:val="en-US" w:eastAsia="en-GB"/>
              </w:rPr>
              <w:t>:</w:t>
            </w:r>
            <w:r w:rsidR="00872AE2" w:rsidRPr="00DA1D07">
              <w:rPr>
                <w:rFonts w:ascii="Times New Roman" w:eastAsia="Times New Roman" w:hAnsi="Times New Roman" w:cs="Times New Roman"/>
                <w:b/>
                <w:color w:val="000000"/>
                <w:sz w:val="24"/>
                <w:szCs w:val="24"/>
                <w:lang w:val="en-US" w:eastAsia="en-GB"/>
              </w:rPr>
              <w:t xml:space="preserve"> </w:t>
            </w:r>
            <w:r w:rsidRPr="00DA1D07">
              <w:rPr>
                <w:rFonts w:ascii="Times New Roman" w:eastAsia="Times New Roman" w:hAnsi="Times New Roman" w:cs="Times New Roman"/>
                <w:b/>
                <w:color w:val="000000"/>
                <w:sz w:val="24"/>
                <w:szCs w:val="24"/>
                <w:lang w:val="en-US" w:eastAsia="en-GB"/>
              </w:rPr>
              <w:t>Regression Analysis</w:t>
            </w:r>
          </w:p>
        </w:tc>
      </w:tr>
      <w:tr w:rsidR="00E57A11" w:rsidRPr="00F62082" w14:paraId="197A9A44" w14:textId="77777777" w:rsidTr="002753C1">
        <w:trPr>
          <w:gridAfter w:val="1"/>
          <w:wAfter w:w="5" w:type="pct"/>
          <w:trHeight w:val="57"/>
          <w:jc w:val="center"/>
        </w:trPr>
        <w:tc>
          <w:tcPr>
            <w:tcW w:w="2056" w:type="pct"/>
            <w:tcBorders>
              <w:top w:val="single" w:sz="4" w:space="0" w:color="auto"/>
              <w:left w:val="nil"/>
              <w:bottom w:val="nil"/>
              <w:right w:val="nil"/>
            </w:tcBorders>
            <w:shd w:val="clear" w:color="auto" w:fill="auto"/>
            <w:noWrap/>
            <w:vAlign w:val="bottom"/>
            <w:hideMark/>
          </w:tcPr>
          <w:p w14:paraId="7C991D6E" w14:textId="77777777" w:rsidR="00E57A11" w:rsidRPr="00DA1D07" w:rsidRDefault="00E57A11" w:rsidP="002753C1">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 </w:t>
            </w:r>
          </w:p>
        </w:tc>
        <w:tc>
          <w:tcPr>
            <w:tcW w:w="1322" w:type="pct"/>
            <w:tcBorders>
              <w:top w:val="single" w:sz="4" w:space="0" w:color="auto"/>
              <w:left w:val="nil"/>
              <w:bottom w:val="nil"/>
              <w:right w:val="nil"/>
            </w:tcBorders>
            <w:shd w:val="clear" w:color="auto" w:fill="auto"/>
            <w:noWrap/>
            <w:vAlign w:val="bottom"/>
            <w:hideMark/>
          </w:tcPr>
          <w:p w14:paraId="190B0564"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w:t>
            </w:r>
          </w:p>
        </w:tc>
        <w:tc>
          <w:tcPr>
            <w:tcW w:w="1617" w:type="pct"/>
            <w:tcBorders>
              <w:top w:val="single" w:sz="4" w:space="0" w:color="auto"/>
              <w:left w:val="nil"/>
              <w:bottom w:val="nil"/>
              <w:right w:val="nil"/>
            </w:tcBorders>
            <w:shd w:val="clear" w:color="auto" w:fill="auto"/>
            <w:noWrap/>
            <w:vAlign w:val="bottom"/>
            <w:hideMark/>
          </w:tcPr>
          <w:p w14:paraId="56DA8DB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(2)</w:t>
            </w:r>
          </w:p>
        </w:tc>
      </w:tr>
      <w:tr w:rsidR="00E57A11" w:rsidRPr="00F62082" w14:paraId="3AF56FA0" w14:textId="77777777" w:rsidTr="00280DFC">
        <w:trPr>
          <w:gridAfter w:val="1"/>
          <w:wAfter w:w="5" w:type="pct"/>
          <w:trHeight w:val="254"/>
          <w:jc w:val="center"/>
        </w:trPr>
        <w:tc>
          <w:tcPr>
            <w:tcW w:w="2056" w:type="pct"/>
            <w:tcBorders>
              <w:top w:val="nil"/>
              <w:left w:val="nil"/>
              <w:bottom w:val="single" w:sz="4" w:space="0" w:color="auto"/>
              <w:right w:val="nil"/>
            </w:tcBorders>
            <w:shd w:val="clear" w:color="auto" w:fill="auto"/>
            <w:noWrap/>
            <w:vAlign w:val="bottom"/>
            <w:hideMark/>
          </w:tcPr>
          <w:p w14:paraId="0F7CE9D0" w14:textId="77777777" w:rsidR="00E57A11" w:rsidRPr="00DA1D07" w:rsidRDefault="00E57A11" w:rsidP="00280DFC">
            <w:pPr>
              <w:spacing w:line="240" w:lineRule="auto"/>
              <w:rPr>
                <w:rFonts w:ascii="Times New Roman" w:eastAsia="Times New Roman" w:hAnsi="Times New Roman" w:cs="Times New Roman"/>
                <w:color w:val="000000"/>
                <w:sz w:val="24"/>
                <w:szCs w:val="24"/>
                <w:lang w:val="en-US" w:eastAsia="en-GB"/>
              </w:rPr>
            </w:pPr>
          </w:p>
        </w:tc>
        <w:tc>
          <w:tcPr>
            <w:tcW w:w="1322" w:type="pct"/>
            <w:tcBorders>
              <w:top w:val="nil"/>
              <w:left w:val="nil"/>
              <w:bottom w:val="single" w:sz="4" w:space="0" w:color="auto"/>
              <w:right w:val="nil"/>
            </w:tcBorders>
            <w:shd w:val="clear" w:color="auto" w:fill="auto"/>
            <w:noWrap/>
            <w:hideMark/>
          </w:tcPr>
          <w:p w14:paraId="46229280" w14:textId="77777777" w:rsidR="00E57A11" w:rsidRPr="00DA1D07" w:rsidRDefault="00E57A11" w:rsidP="00280DFC">
            <w:pPr>
              <w:spacing w:line="240" w:lineRule="auto"/>
              <w:jc w:val="center"/>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ln(Violations)</w:t>
            </w:r>
          </w:p>
        </w:tc>
        <w:tc>
          <w:tcPr>
            <w:tcW w:w="1617" w:type="pct"/>
            <w:tcBorders>
              <w:top w:val="nil"/>
              <w:left w:val="nil"/>
              <w:bottom w:val="single" w:sz="4" w:space="0" w:color="auto"/>
              <w:right w:val="nil"/>
            </w:tcBorders>
            <w:shd w:val="clear" w:color="auto" w:fill="auto"/>
            <w:hideMark/>
          </w:tcPr>
          <w:p w14:paraId="375B0C58" w14:textId="77777777" w:rsidR="00E57A11" w:rsidRPr="00DA1D07" w:rsidRDefault="00E57A11" w:rsidP="00280DFC">
            <w:pPr>
              <w:spacing w:line="240" w:lineRule="auto"/>
              <w:jc w:val="center"/>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ln(Penalties)</w:t>
            </w:r>
          </w:p>
        </w:tc>
      </w:tr>
      <w:tr w:rsidR="004442B9" w:rsidRPr="00F62082" w14:paraId="7BAC928D" w14:textId="77777777" w:rsidTr="00306538">
        <w:trPr>
          <w:gridAfter w:val="1"/>
          <w:wAfter w:w="5" w:type="pct"/>
          <w:trHeight w:val="57"/>
          <w:jc w:val="center"/>
        </w:trPr>
        <w:tc>
          <w:tcPr>
            <w:tcW w:w="2056" w:type="pct"/>
            <w:tcBorders>
              <w:top w:val="nil"/>
              <w:left w:val="nil"/>
              <w:bottom w:val="nil"/>
              <w:right w:val="nil"/>
            </w:tcBorders>
            <w:shd w:val="clear" w:color="auto" w:fill="D9D9D9" w:themeFill="background1" w:themeFillShade="D9"/>
            <w:noWrap/>
            <w:vAlign w:val="bottom"/>
            <w:hideMark/>
          </w:tcPr>
          <w:p w14:paraId="3ACD2D2B"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Treatment</w:t>
            </w:r>
            <w:r>
              <w:rPr>
                <w:rFonts w:ascii="Times New Roman" w:eastAsia="Times New Roman" w:hAnsi="Times New Roman" w:cs="Times New Roman"/>
                <w:i/>
                <w:iCs/>
                <w:color w:val="000000"/>
                <w:sz w:val="24"/>
                <w:szCs w:val="24"/>
                <w:lang w:val="en-US" w:eastAsia="en-GB"/>
              </w:rPr>
              <w:t>*</w:t>
            </w:r>
            <w:r w:rsidRPr="00DA1D07">
              <w:rPr>
                <w:rFonts w:ascii="Times New Roman" w:eastAsia="Times New Roman" w:hAnsi="Times New Roman" w:cs="Times New Roman"/>
                <w:i/>
                <w:iCs/>
                <w:color w:val="000000"/>
                <w:sz w:val="24"/>
                <w:szCs w:val="24"/>
                <w:lang w:val="en-US" w:eastAsia="en-GB"/>
              </w:rPr>
              <w:t>Post</w:t>
            </w:r>
          </w:p>
        </w:tc>
        <w:tc>
          <w:tcPr>
            <w:tcW w:w="1322" w:type="pct"/>
            <w:tcBorders>
              <w:top w:val="nil"/>
              <w:left w:val="nil"/>
              <w:bottom w:val="nil"/>
              <w:right w:val="nil"/>
            </w:tcBorders>
            <w:shd w:val="clear" w:color="auto" w:fill="D9D9D9" w:themeFill="background1" w:themeFillShade="D9"/>
            <w:noWrap/>
            <w:vAlign w:val="bottom"/>
            <w:hideMark/>
          </w:tcPr>
          <w:p w14:paraId="6C4AAC07" w14:textId="2680CEAD"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-0.059**</w:t>
            </w:r>
          </w:p>
        </w:tc>
        <w:tc>
          <w:tcPr>
            <w:tcW w:w="1617" w:type="pct"/>
            <w:tcBorders>
              <w:top w:val="nil"/>
              <w:left w:val="nil"/>
              <w:bottom w:val="nil"/>
              <w:right w:val="nil"/>
            </w:tcBorders>
            <w:shd w:val="clear" w:color="auto" w:fill="D9D9D9" w:themeFill="background1" w:themeFillShade="D9"/>
            <w:noWrap/>
            <w:vAlign w:val="bottom"/>
            <w:hideMark/>
          </w:tcPr>
          <w:p w14:paraId="07B6677B" w14:textId="3B2CE7E6"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-0.709**</w:t>
            </w:r>
          </w:p>
        </w:tc>
      </w:tr>
      <w:tr w:rsidR="004442B9" w:rsidRPr="00F62082" w14:paraId="506872AB" w14:textId="77777777" w:rsidTr="00306538">
        <w:trPr>
          <w:gridAfter w:val="1"/>
          <w:wAfter w:w="5" w:type="pct"/>
          <w:trHeight w:val="57"/>
          <w:jc w:val="center"/>
        </w:trPr>
        <w:tc>
          <w:tcPr>
            <w:tcW w:w="2056" w:type="pct"/>
            <w:tcBorders>
              <w:top w:val="nil"/>
              <w:left w:val="nil"/>
              <w:bottom w:val="nil"/>
              <w:right w:val="nil"/>
            </w:tcBorders>
            <w:shd w:val="clear" w:color="auto" w:fill="D9D9D9" w:themeFill="background1" w:themeFillShade="D9"/>
            <w:noWrap/>
            <w:vAlign w:val="bottom"/>
            <w:hideMark/>
          </w:tcPr>
          <w:p w14:paraId="267F2642"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322" w:type="pct"/>
            <w:tcBorders>
              <w:top w:val="nil"/>
              <w:left w:val="nil"/>
              <w:bottom w:val="nil"/>
              <w:right w:val="nil"/>
            </w:tcBorders>
            <w:shd w:val="clear" w:color="auto" w:fill="D9D9D9" w:themeFill="background1" w:themeFillShade="D9"/>
            <w:noWrap/>
            <w:vAlign w:val="bottom"/>
            <w:hideMark/>
          </w:tcPr>
          <w:p w14:paraId="76EB6F57" w14:textId="77C858BB"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(-2.05)</w:t>
            </w:r>
          </w:p>
        </w:tc>
        <w:tc>
          <w:tcPr>
            <w:tcW w:w="1617" w:type="pct"/>
            <w:tcBorders>
              <w:top w:val="nil"/>
              <w:left w:val="nil"/>
              <w:bottom w:val="nil"/>
              <w:right w:val="nil"/>
            </w:tcBorders>
            <w:shd w:val="clear" w:color="auto" w:fill="D9D9D9" w:themeFill="background1" w:themeFillShade="D9"/>
            <w:noWrap/>
            <w:vAlign w:val="bottom"/>
            <w:hideMark/>
          </w:tcPr>
          <w:p w14:paraId="411B53BE" w14:textId="2B1FCD8A"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(-2.44)</w:t>
            </w:r>
          </w:p>
        </w:tc>
      </w:tr>
      <w:tr w:rsidR="004442B9" w:rsidRPr="00F62082" w14:paraId="59AF43B2" w14:textId="77777777" w:rsidTr="002753C1">
        <w:trPr>
          <w:gridAfter w:val="1"/>
          <w:wAfter w:w="5" w:type="pct"/>
          <w:trHeight w:val="57"/>
          <w:jc w:val="center"/>
        </w:trPr>
        <w:tc>
          <w:tcPr>
            <w:tcW w:w="2056" w:type="pct"/>
            <w:tcBorders>
              <w:top w:val="nil"/>
              <w:left w:val="nil"/>
              <w:bottom w:val="nil"/>
              <w:right w:val="nil"/>
            </w:tcBorders>
            <w:shd w:val="clear" w:color="000000" w:fill="FFFFFF"/>
            <w:noWrap/>
            <w:vAlign w:val="center"/>
            <w:hideMark/>
          </w:tcPr>
          <w:p w14:paraId="5E4F5FF2"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Delta</w:t>
            </w:r>
          </w:p>
        </w:tc>
        <w:tc>
          <w:tcPr>
            <w:tcW w:w="1322" w:type="pct"/>
            <w:tcBorders>
              <w:top w:val="nil"/>
              <w:left w:val="nil"/>
              <w:bottom w:val="nil"/>
              <w:right w:val="nil"/>
            </w:tcBorders>
            <w:shd w:val="clear" w:color="000000" w:fill="FFFFFF"/>
            <w:noWrap/>
            <w:vAlign w:val="bottom"/>
            <w:hideMark/>
          </w:tcPr>
          <w:p w14:paraId="2620ACE5" w14:textId="1AAEF3C3"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-0.008</w:t>
            </w:r>
          </w:p>
        </w:tc>
        <w:tc>
          <w:tcPr>
            <w:tcW w:w="1617" w:type="pct"/>
            <w:tcBorders>
              <w:top w:val="nil"/>
              <w:left w:val="nil"/>
              <w:bottom w:val="nil"/>
              <w:right w:val="nil"/>
            </w:tcBorders>
            <w:shd w:val="clear" w:color="000000" w:fill="FFFFFF"/>
            <w:noWrap/>
            <w:vAlign w:val="bottom"/>
            <w:hideMark/>
          </w:tcPr>
          <w:p w14:paraId="4E9588D5" w14:textId="1D5E8DBF"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-0.168</w:t>
            </w:r>
          </w:p>
        </w:tc>
      </w:tr>
      <w:tr w:rsidR="004442B9" w:rsidRPr="00F62082" w14:paraId="1B06241E" w14:textId="77777777" w:rsidTr="002753C1">
        <w:trPr>
          <w:gridAfter w:val="1"/>
          <w:wAfter w:w="5" w:type="pct"/>
          <w:trHeight w:val="57"/>
          <w:jc w:val="center"/>
        </w:trPr>
        <w:tc>
          <w:tcPr>
            <w:tcW w:w="2056" w:type="pct"/>
            <w:tcBorders>
              <w:top w:val="nil"/>
              <w:left w:val="nil"/>
              <w:bottom w:val="nil"/>
              <w:right w:val="nil"/>
            </w:tcBorders>
            <w:shd w:val="clear" w:color="000000" w:fill="FFFFFF"/>
            <w:noWrap/>
            <w:vAlign w:val="bottom"/>
            <w:hideMark/>
          </w:tcPr>
          <w:p w14:paraId="33C4E838"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322" w:type="pct"/>
            <w:tcBorders>
              <w:top w:val="nil"/>
              <w:left w:val="nil"/>
              <w:bottom w:val="nil"/>
              <w:right w:val="nil"/>
            </w:tcBorders>
            <w:shd w:val="clear" w:color="000000" w:fill="FFFFFF"/>
            <w:noWrap/>
            <w:vAlign w:val="bottom"/>
            <w:hideMark/>
          </w:tcPr>
          <w:p w14:paraId="240D7D0B" w14:textId="2C114AB1"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(-0.48)</w:t>
            </w:r>
          </w:p>
        </w:tc>
        <w:tc>
          <w:tcPr>
            <w:tcW w:w="1617" w:type="pct"/>
            <w:tcBorders>
              <w:top w:val="nil"/>
              <w:left w:val="nil"/>
              <w:bottom w:val="nil"/>
              <w:right w:val="nil"/>
            </w:tcBorders>
            <w:shd w:val="clear" w:color="000000" w:fill="FFFFFF"/>
            <w:noWrap/>
            <w:vAlign w:val="bottom"/>
            <w:hideMark/>
          </w:tcPr>
          <w:p w14:paraId="3482DA86" w14:textId="60A1F59B"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(-1.02)</w:t>
            </w:r>
          </w:p>
        </w:tc>
      </w:tr>
      <w:tr w:rsidR="004442B9" w:rsidRPr="00F62082" w14:paraId="30B2BFFE" w14:textId="77777777" w:rsidTr="002753C1">
        <w:trPr>
          <w:gridAfter w:val="1"/>
          <w:wAfter w:w="5" w:type="pct"/>
          <w:trHeight w:val="57"/>
          <w:jc w:val="center"/>
        </w:trPr>
        <w:tc>
          <w:tcPr>
            <w:tcW w:w="2056" w:type="pct"/>
            <w:tcBorders>
              <w:top w:val="nil"/>
              <w:left w:val="nil"/>
              <w:bottom w:val="nil"/>
              <w:right w:val="nil"/>
            </w:tcBorders>
            <w:shd w:val="clear" w:color="000000" w:fill="FFFFFF"/>
            <w:noWrap/>
            <w:vAlign w:val="center"/>
            <w:hideMark/>
          </w:tcPr>
          <w:p w14:paraId="55A459C8"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CashComp</w:t>
            </w:r>
            <w:proofErr w:type="spellEnd"/>
          </w:p>
        </w:tc>
        <w:tc>
          <w:tcPr>
            <w:tcW w:w="1322" w:type="pct"/>
            <w:tcBorders>
              <w:top w:val="nil"/>
              <w:left w:val="nil"/>
              <w:bottom w:val="nil"/>
              <w:right w:val="nil"/>
            </w:tcBorders>
            <w:shd w:val="clear" w:color="000000" w:fill="FFFFFF"/>
            <w:noWrap/>
            <w:vAlign w:val="bottom"/>
            <w:hideMark/>
          </w:tcPr>
          <w:p w14:paraId="1D15210E" w14:textId="11A85C85"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-0.002</w:t>
            </w:r>
          </w:p>
        </w:tc>
        <w:tc>
          <w:tcPr>
            <w:tcW w:w="1617" w:type="pct"/>
            <w:tcBorders>
              <w:top w:val="nil"/>
              <w:left w:val="nil"/>
              <w:bottom w:val="nil"/>
              <w:right w:val="nil"/>
            </w:tcBorders>
            <w:shd w:val="clear" w:color="000000" w:fill="FFFFFF"/>
            <w:noWrap/>
            <w:vAlign w:val="bottom"/>
            <w:hideMark/>
          </w:tcPr>
          <w:p w14:paraId="4EA1CFEE" w14:textId="19DA2400"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0.046</w:t>
            </w:r>
          </w:p>
        </w:tc>
      </w:tr>
      <w:tr w:rsidR="004442B9" w:rsidRPr="00F62082" w14:paraId="12FD865E" w14:textId="77777777" w:rsidTr="002753C1">
        <w:trPr>
          <w:gridAfter w:val="1"/>
          <w:wAfter w:w="5" w:type="pct"/>
          <w:trHeight w:val="57"/>
          <w:jc w:val="center"/>
        </w:trPr>
        <w:tc>
          <w:tcPr>
            <w:tcW w:w="2056" w:type="pct"/>
            <w:tcBorders>
              <w:top w:val="nil"/>
              <w:left w:val="nil"/>
              <w:bottom w:val="nil"/>
              <w:right w:val="nil"/>
            </w:tcBorders>
            <w:shd w:val="clear" w:color="000000" w:fill="FFFFFF"/>
            <w:noWrap/>
            <w:vAlign w:val="bottom"/>
            <w:hideMark/>
          </w:tcPr>
          <w:p w14:paraId="547C47A4"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322" w:type="pct"/>
            <w:tcBorders>
              <w:top w:val="nil"/>
              <w:left w:val="nil"/>
              <w:bottom w:val="nil"/>
              <w:right w:val="nil"/>
            </w:tcBorders>
            <w:shd w:val="clear" w:color="000000" w:fill="FFFFFF"/>
            <w:noWrap/>
            <w:vAlign w:val="bottom"/>
            <w:hideMark/>
          </w:tcPr>
          <w:p w14:paraId="3ED54CA6" w14:textId="07B24A48"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(-0.13)</w:t>
            </w:r>
          </w:p>
        </w:tc>
        <w:tc>
          <w:tcPr>
            <w:tcW w:w="1617" w:type="pct"/>
            <w:tcBorders>
              <w:top w:val="nil"/>
              <w:left w:val="nil"/>
              <w:bottom w:val="nil"/>
              <w:right w:val="nil"/>
            </w:tcBorders>
            <w:shd w:val="clear" w:color="000000" w:fill="FFFFFF"/>
            <w:noWrap/>
            <w:vAlign w:val="bottom"/>
            <w:hideMark/>
          </w:tcPr>
          <w:p w14:paraId="17EA4FA1" w14:textId="510D5932"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(0.27)</w:t>
            </w:r>
          </w:p>
        </w:tc>
      </w:tr>
      <w:tr w:rsidR="004442B9" w:rsidRPr="00F62082" w14:paraId="6FF62465" w14:textId="77777777" w:rsidTr="002753C1">
        <w:trPr>
          <w:gridAfter w:val="1"/>
          <w:wAfter w:w="5" w:type="pct"/>
          <w:trHeight w:val="57"/>
          <w:jc w:val="center"/>
        </w:trPr>
        <w:tc>
          <w:tcPr>
            <w:tcW w:w="2056" w:type="pct"/>
            <w:tcBorders>
              <w:top w:val="nil"/>
              <w:left w:val="nil"/>
              <w:bottom w:val="nil"/>
              <w:right w:val="nil"/>
            </w:tcBorders>
            <w:shd w:val="clear" w:color="000000" w:fill="FFFFFF"/>
            <w:noWrap/>
            <w:hideMark/>
          </w:tcPr>
          <w:p w14:paraId="23188470"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Leverage</w:t>
            </w:r>
          </w:p>
        </w:tc>
        <w:tc>
          <w:tcPr>
            <w:tcW w:w="1322" w:type="pct"/>
            <w:tcBorders>
              <w:top w:val="nil"/>
              <w:left w:val="nil"/>
              <w:bottom w:val="nil"/>
              <w:right w:val="nil"/>
            </w:tcBorders>
            <w:shd w:val="clear" w:color="000000" w:fill="FFFFFF"/>
            <w:noWrap/>
            <w:vAlign w:val="bottom"/>
            <w:hideMark/>
          </w:tcPr>
          <w:p w14:paraId="7E9D90AE" w14:textId="5C014D6A"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0.033</w:t>
            </w:r>
          </w:p>
        </w:tc>
        <w:tc>
          <w:tcPr>
            <w:tcW w:w="1617" w:type="pct"/>
            <w:tcBorders>
              <w:top w:val="nil"/>
              <w:left w:val="nil"/>
              <w:bottom w:val="nil"/>
              <w:right w:val="nil"/>
            </w:tcBorders>
            <w:shd w:val="clear" w:color="000000" w:fill="FFFFFF"/>
            <w:noWrap/>
            <w:vAlign w:val="bottom"/>
            <w:hideMark/>
          </w:tcPr>
          <w:p w14:paraId="7DC454CC" w14:textId="5E342A4C"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0.592</w:t>
            </w:r>
          </w:p>
        </w:tc>
      </w:tr>
      <w:tr w:rsidR="004442B9" w:rsidRPr="00F62082" w14:paraId="4CE79979" w14:textId="77777777" w:rsidTr="002753C1">
        <w:trPr>
          <w:gridAfter w:val="1"/>
          <w:wAfter w:w="5" w:type="pct"/>
          <w:trHeight w:val="57"/>
          <w:jc w:val="center"/>
        </w:trPr>
        <w:tc>
          <w:tcPr>
            <w:tcW w:w="2056" w:type="pct"/>
            <w:tcBorders>
              <w:top w:val="nil"/>
              <w:left w:val="nil"/>
              <w:bottom w:val="nil"/>
              <w:right w:val="nil"/>
            </w:tcBorders>
            <w:shd w:val="clear" w:color="000000" w:fill="FFFFFF"/>
            <w:noWrap/>
            <w:vAlign w:val="bottom"/>
            <w:hideMark/>
          </w:tcPr>
          <w:p w14:paraId="50DF347F"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322" w:type="pct"/>
            <w:tcBorders>
              <w:top w:val="nil"/>
              <w:left w:val="nil"/>
              <w:bottom w:val="nil"/>
              <w:right w:val="nil"/>
            </w:tcBorders>
            <w:shd w:val="clear" w:color="000000" w:fill="FFFFFF"/>
            <w:noWrap/>
            <w:vAlign w:val="bottom"/>
            <w:hideMark/>
          </w:tcPr>
          <w:p w14:paraId="1DEDC514" w14:textId="5C4D2C4F"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(0.51)</w:t>
            </w:r>
          </w:p>
        </w:tc>
        <w:tc>
          <w:tcPr>
            <w:tcW w:w="1617" w:type="pct"/>
            <w:tcBorders>
              <w:top w:val="nil"/>
              <w:left w:val="nil"/>
              <w:bottom w:val="nil"/>
              <w:right w:val="nil"/>
            </w:tcBorders>
            <w:shd w:val="clear" w:color="000000" w:fill="FFFFFF"/>
            <w:noWrap/>
            <w:vAlign w:val="bottom"/>
            <w:hideMark/>
          </w:tcPr>
          <w:p w14:paraId="45AE5B0B" w14:textId="66779755"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(0.82)</w:t>
            </w:r>
          </w:p>
        </w:tc>
      </w:tr>
      <w:tr w:rsidR="004442B9" w:rsidRPr="00F62082" w14:paraId="16D25BAE" w14:textId="77777777" w:rsidTr="002753C1">
        <w:trPr>
          <w:gridAfter w:val="1"/>
          <w:wAfter w:w="5" w:type="pct"/>
          <w:trHeight w:val="57"/>
          <w:jc w:val="center"/>
        </w:trPr>
        <w:tc>
          <w:tcPr>
            <w:tcW w:w="2056" w:type="pct"/>
            <w:tcBorders>
              <w:top w:val="nil"/>
              <w:left w:val="nil"/>
              <w:bottom w:val="nil"/>
              <w:right w:val="nil"/>
            </w:tcBorders>
            <w:shd w:val="clear" w:color="000000" w:fill="FFFFFF"/>
            <w:noWrap/>
            <w:hideMark/>
          </w:tcPr>
          <w:p w14:paraId="6BF7A70C"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CashFlow</w:t>
            </w:r>
            <w:proofErr w:type="spellEnd"/>
          </w:p>
        </w:tc>
        <w:tc>
          <w:tcPr>
            <w:tcW w:w="1322" w:type="pct"/>
            <w:tcBorders>
              <w:top w:val="nil"/>
              <w:left w:val="nil"/>
              <w:bottom w:val="nil"/>
              <w:right w:val="nil"/>
            </w:tcBorders>
            <w:shd w:val="clear" w:color="000000" w:fill="FFFFFF"/>
            <w:noWrap/>
            <w:vAlign w:val="bottom"/>
            <w:hideMark/>
          </w:tcPr>
          <w:p w14:paraId="16D06D60" w14:textId="2B17C37A"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0.008</w:t>
            </w:r>
          </w:p>
        </w:tc>
        <w:tc>
          <w:tcPr>
            <w:tcW w:w="1617" w:type="pct"/>
            <w:tcBorders>
              <w:top w:val="nil"/>
              <w:left w:val="nil"/>
              <w:bottom w:val="nil"/>
              <w:right w:val="nil"/>
            </w:tcBorders>
            <w:shd w:val="clear" w:color="000000" w:fill="FFFFFF"/>
            <w:noWrap/>
            <w:vAlign w:val="bottom"/>
            <w:hideMark/>
          </w:tcPr>
          <w:p w14:paraId="5500B2A6" w14:textId="7097BC60"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-0.389</w:t>
            </w:r>
          </w:p>
        </w:tc>
      </w:tr>
      <w:tr w:rsidR="004442B9" w:rsidRPr="00F62082" w14:paraId="0A83E336" w14:textId="77777777" w:rsidTr="002753C1">
        <w:trPr>
          <w:gridAfter w:val="1"/>
          <w:wAfter w:w="5" w:type="pct"/>
          <w:trHeight w:val="57"/>
          <w:jc w:val="center"/>
        </w:trPr>
        <w:tc>
          <w:tcPr>
            <w:tcW w:w="2056" w:type="pct"/>
            <w:tcBorders>
              <w:top w:val="nil"/>
              <w:left w:val="nil"/>
              <w:bottom w:val="nil"/>
              <w:right w:val="nil"/>
            </w:tcBorders>
            <w:shd w:val="clear" w:color="000000" w:fill="FFFFFF"/>
            <w:noWrap/>
            <w:vAlign w:val="bottom"/>
            <w:hideMark/>
          </w:tcPr>
          <w:p w14:paraId="1F13DFBB"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322" w:type="pct"/>
            <w:tcBorders>
              <w:top w:val="nil"/>
              <w:left w:val="nil"/>
              <w:bottom w:val="nil"/>
              <w:right w:val="nil"/>
            </w:tcBorders>
            <w:shd w:val="clear" w:color="000000" w:fill="FFFFFF"/>
            <w:noWrap/>
            <w:vAlign w:val="bottom"/>
            <w:hideMark/>
          </w:tcPr>
          <w:p w14:paraId="587AC147" w14:textId="355E671E"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(0.16)</w:t>
            </w:r>
          </w:p>
        </w:tc>
        <w:tc>
          <w:tcPr>
            <w:tcW w:w="1617" w:type="pct"/>
            <w:tcBorders>
              <w:top w:val="nil"/>
              <w:left w:val="nil"/>
              <w:bottom w:val="nil"/>
              <w:right w:val="nil"/>
            </w:tcBorders>
            <w:shd w:val="clear" w:color="000000" w:fill="FFFFFF"/>
            <w:noWrap/>
            <w:vAlign w:val="bottom"/>
            <w:hideMark/>
          </w:tcPr>
          <w:p w14:paraId="7855B168" w14:textId="743D2C03"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(-0.43)</w:t>
            </w:r>
          </w:p>
        </w:tc>
      </w:tr>
      <w:tr w:rsidR="004442B9" w:rsidRPr="00F62082" w14:paraId="5E4F3472" w14:textId="77777777" w:rsidTr="002753C1">
        <w:trPr>
          <w:gridAfter w:val="1"/>
          <w:wAfter w:w="5" w:type="pct"/>
          <w:trHeight w:val="57"/>
          <w:jc w:val="center"/>
        </w:trPr>
        <w:tc>
          <w:tcPr>
            <w:tcW w:w="2056" w:type="pct"/>
            <w:tcBorders>
              <w:top w:val="nil"/>
              <w:left w:val="nil"/>
              <w:bottom w:val="nil"/>
              <w:right w:val="nil"/>
            </w:tcBorders>
            <w:shd w:val="clear" w:color="000000" w:fill="FFFFFF"/>
            <w:noWrap/>
            <w:hideMark/>
          </w:tcPr>
          <w:p w14:paraId="00B04EFC"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DividendPayout</w:t>
            </w:r>
            <w:proofErr w:type="spellEnd"/>
          </w:p>
        </w:tc>
        <w:tc>
          <w:tcPr>
            <w:tcW w:w="1322" w:type="pct"/>
            <w:tcBorders>
              <w:top w:val="nil"/>
              <w:left w:val="nil"/>
              <w:bottom w:val="nil"/>
              <w:right w:val="nil"/>
            </w:tcBorders>
            <w:shd w:val="clear" w:color="000000" w:fill="FFFFFF"/>
            <w:noWrap/>
            <w:vAlign w:val="bottom"/>
            <w:hideMark/>
          </w:tcPr>
          <w:p w14:paraId="06D2CE26" w14:textId="2EAD57AD"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-0.665</w:t>
            </w:r>
          </w:p>
        </w:tc>
        <w:tc>
          <w:tcPr>
            <w:tcW w:w="1617" w:type="pct"/>
            <w:tcBorders>
              <w:top w:val="nil"/>
              <w:left w:val="nil"/>
              <w:bottom w:val="nil"/>
              <w:right w:val="nil"/>
            </w:tcBorders>
            <w:shd w:val="clear" w:color="000000" w:fill="FFFFFF"/>
            <w:noWrap/>
            <w:vAlign w:val="bottom"/>
            <w:hideMark/>
          </w:tcPr>
          <w:p w14:paraId="603B4EE9" w14:textId="3EC7F335"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-2.731</w:t>
            </w:r>
          </w:p>
        </w:tc>
      </w:tr>
      <w:tr w:rsidR="004442B9" w:rsidRPr="00F62082" w14:paraId="571E2B30" w14:textId="77777777" w:rsidTr="002753C1">
        <w:trPr>
          <w:gridAfter w:val="1"/>
          <w:wAfter w:w="5" w:type="pct"/>
          <w:trHeight w:val="57"/>
          <w:jc w:val="center"/>
        </w:trPr>
        <w:tc>
          <w:tcPr>
            <w:tcW w:w="2056" w:type="pct"/>
            <w:tcBorders>
              <w:top w:val="nil"/>
              <w:left w:val="nil"/>
              <w:bottom w:val="nil"/>
              <w:right w:val="nil"/>
            </w:tcBorders>
            <w:shd w:val="clear" w:color="000000" w:fill="FFFFFF"/>
            <w:noWrap/>
            <w:vAlign w:val="bottom"/>
            <w:hideMark/>
          </w:tcPr>
          <w:p w14:paraId="1F9BDBDF"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322" w:type="pct"/>
            <w:tcBorders>
              <w:top w:val="nil"/>
              <w:left w:val="nil"/>
              <w:bottom w:val="nil"/>
              <w:right w:val="nil"/>
            </w:tcBorders>
            <w:shd w:val="clear" w:color="000000" w:fill="FFFFFF"/>
            <w:noWrap/>
            <w:vAlign w:val="bottom"/>
            <w:hideMark/>
          </w:tcPr>
          <w:p w14:paraId="394EC76A" w14:textId="4060FAA8"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(-0.53)</w:t>
            </w:r>
          </w:p>
        </w:tc>
        <w:tc>
          <w:tcPr>
            <w:tcW w:w="1617" w:type="pct"/>
            <w:tcBorders>
              <w:top w:val="nil"/>
              <w:left w:val="nil"/>
              <w:bottom w:val="nil"/>
              <w:right w:val="nil"/>
            </w:tcBorders>
            <w:shd w:val="clear" w:color="000000" w:fill="FFFFFF"/>
            <w:noWrap/>
            <w:vAlign w:val="bottom"/>
            <w:hideMark/>
          </w:tcPr>
          <w:p w14:paraId="1E44F956" w14:textId="455CAE6B"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(-0.27)</w:t>
            </w:r>
          </w:p>
        </w:tc>
      </w:tr>
      <w:tr w:rsidR="004442B9" w:rsidRPr="00F62082" w14:paraId="49743EE5" w14:textId="77777777" w:rsidTr="002753C1">
        <w:trPr>
          <w:gridAfter w:val="1"/>
          <w:wAfter w:w="5" w:type="pct"/>
          <w:trHeight w:val="57"/>
          <w:jc w:val="center"/>
        </w:trPr>
        <w:tc>
          <w:tcPr>
            <w:tcW w:w="2056" w:type="pct"/>
            <w:tcBorders>
              <w:top w:val="nil"/>
              <w:left w:val="nil"/>
              <w:bottom w:val="nil"/>
              <w:right w:val="nil"/>
            </w:tcBorders>
            <w:shd w:val="clear" w:color="000000" w:fill="FFFFFF"/>
            <w:noWrap/>
            <w:hideMark/>
          </w:tcPr>
          <w:p w14:paraId="3B6BAD33"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FirmSize</w:t>
            </w:r>
            <w:proofErr w:type="spellEnd"/>
          </w:p>
        </w:tc>
        <w:tc>
          <w:tcPr>
            <w:tcW w:w="1322" w:type="pct"/>
            <w:tcBorders>
              <w:top w:val="nil"/>
              <w:left w:val="nil"/>
              <w:bottom w:val="nil"/>
              <w:right w:val="nil"/>
            </w:tcBorders>
            <w:shd w:val="clear" w:color="000000" w:fill="FFFFFF"/>
            <w:noWrap/>
            <w:vAlign w:val="bottom"/>
            <w:hideMark/>
          </w:tcPr>
          <w:p w14:paraId="2CE0526C" w14:textId="7486579A"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0.055*</w:t>
            </w:r>
          </w:p>
        </w:tc>
        <w:tc>
          <w:tcPr>
            <w:tcW w:w="1617" w:type="pct"/>
            <w:tcBorders>
              <w:top w:val="nil"/>
              <w:left w:val="nil"/>
              <w:bottom w:val="nil"/>
              <w:right w:val="nil"/>
            </w:tcBorders>
            <w:shd w:val="clear" w:color="000000" w:fill="FFFFFF"/>
            <w:noWrap/>
            <w:vAlign w:val="bottom"/>
            <w:hideMark/>
          </w:tcPr>
          <w:p w14:paraId="34C6CB5B" w14:textId="66487D12"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0.667**</w:t>
            </w:r>
          </w:p>
        </w:tc>
      </w:tr>
      <w:tr w:rsidR="004442B9" w:rsidRPr="00F62082" w14:paraId="6534663B" w14:textId="77777777" w:rsidTr="002753C1">
        <w:trPr>
          <w:gridAfter w:val="1"/>
          <w:wAfter w:w="5" w:type="pct"/>
          <w:trHeight w:val="57"/>
          <w:jc w:val="center"/>
        </w:trPr>
        <w:tc>
          <w:tcPr>
            <w:tcW w:w="2056" w:type="pct"/>
            <w:tcBorders>
              <w:top w:val="nil"/>
              <w:left w:val="nil"/>
              <w:bottom w:val="nil"/>
              <w:right w:val="nil"/>
            </w:tcBorders>
            <w:shd w:val="clear" w:color="000000" w:fill="FFFFFF"/>
            <w:noWrap/>
            <w:vAlign w:val="bottom"/>
            <w:hideMark/>
          </w:tcPr>
          <w:p w14:paraId="0B9DB30F"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322" w:type="pct"/>
            <w:tcBorders>
              <w:top w:val="nil"/>
              <w:left w:val="nil"/>
              <w:bottom w:val="nil"/>
              <w:right w:val="nil"/>
            </w:tcBorders>
            <w:shd w:val="clear" w:color="000000" w:fill="FFFFFF"/>
            <w:noWrap/>
            <w:vAlign w:val="bottom"/>
            <w:hideMark/>
          </w:tcPr>
          <w:p w14:paraId="3BEAEE16" w14:textId="576B5D00"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(1.69)</w:t>
            </w:r>
          </w:p>
        </w:tc>
        <w:tc>
          <w:tcPr>
            <w:tcW w:w="1617" w:type="pct"/>
            <w:tcBorders>
              <w:top w:val="nil"/>
              <w:left w:val="nil"/>
              <w:bottom w:val="nil"/>
              <w:right w:val="nil"/>
            </w:tcBorders>
            <w:shd w:val="clear" w:color="000000" w:fill="FFFFFF"/>
            <w:noWrap/>
            <w:vAlign w:val="bottom"/>
            <w:hideMark/>
          </w:tcPr>
          <w:p w14:paraId="3EBC9F34" w14:textId="22D1AEF5"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(2.29)</w:t>
            </w:r>
          </w:p>
        </w:tc>
      </w:tr>
      <w:tr w:rsidR="004442B9" w:rsidRPr="00F62082" w14:paraId="2E2867FD" w14:textId="77777777" w:rsidTr="002753C1">
        <w:trPr>
          <w:gridAfter w:val="1"/>
          <w:wAfter w:w="5" w:type="pct"/>
          <w:trHeight w:val="57"/>
          <w:jc w:val="center"/>
        </w:trPr>
        <w:tc>
          <w:tcPr>
            <w:tcW w:w="2056" w:type="pct"/>
            <w:tcBorders>
              <w:top w:val="nil"/>
              <w:left w:val="nil"/>
              <w:bottom w:val="nil"/>
              <w:right w:val="nil"/>
            </w:tcBorders>
            <w:shd w:val="clear" w:color="000000" w:fill="FFFFFF"/>
            <w:noWrap/>
            <w:hideMark/>
          </w:tcPr>
          <w:p w14:paraId="2642C532"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Employees</w:t>
            </w:r>
          </w:p>
        </w:tc>
        <w:tc>
          <w:tcPr>
            <w:tcW w:w="1322" w:type="pct"/>
            <w:tcBorders>
              <w:top w:val="nil"/>
              <w:left w:val="nil"/>
              <w:bottom w:val="nil"/>
              <w:right w:val="nil"/>
            </w:tcBorders>
            <w:shd w:val="clear" w:color="000000" w:fill="FFFFFF"/>
            <w:noWrap/>
            <w:vAlign w:val="bottom"/>
            <w:hideMark/>
          </w:tcPr>
          <w:p w14:paraId="6A93C7E2" w14:textId="4BE2D272"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0.050</w:t>
            </w:r>
          </w:p>
        </w:tc>
        <w:tc>
          <w:tcPr>
            <w:tcW w:w="1617" w:type="pct"/>
            <w:tcBorders>
              <w:top w:val="nil"/>
              <w:left w:val="nil"/>
              <w:bottom w:val="nil"/>
              <w:right w:val="nil"/>
            </w:tcBorders>
            <w:shd w:val="clear" w:color="000000" w:fill="FFFFFF"/>
            <w:noWrap/>
            <w:vAlign w:val="bottom"/>
            <w:hideMark/>
          </w:tcPr>
          <w:p w14:paraId="42681633" w14:textId="1DB9ADFD"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0.279</w:t>
            </w:r>
          </w:p>
        </w:tc>
      </w:tr>
      <w:tr w:rsidR="004442B9" w:rsidRPr="00F62082" w14:paraId="1946D513" w14:textId="77777777" w:rsidTr="002753C1">
        <w:trPr>
          <w:gridAfter w:val="1"/>
          <w:wAfter w:w="5" w:type="pct"/>
          <w:trHeight w:val="57"/>
          <w:jc w:val="center"/>
        </w:trPr>
        <w:tc>
          <w:tcPr>
            <w:tcW w:w="2056" w:type="pct"/>
            <w:tcBorders>
              <w:top w:val="nil"/>
              <w:left w:val="nil"/>
              <w:bottom w:val="nil"/>
              <w:right w:val="nil"/>
            </w:tcBorders>
            <w:shd w:val="clear" w:color="000000" w:fill="FFFFFF"/>
            <w:noWrap/>
            <w:vAlign w:val="bottom"/>
            <w:hideMark/>
          </w:tcPr>
          <w:p w14:paraId="5F2A16FF"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322" w:type="pct"/>
            <w:tcBorders>
              <w:top w:val="nil"/>
              <w:left w:val="nil"/>
              <w:bottom w:val="nil"/>
              <w:right w:val="nil"/>
            </w:tcBorders>
            <w:shd w:val="clear" w:color="000000" w:fill="FFFFFF"/>
            <w:noWrap/>
            <w:vAlign w:val="bottom"/>
            <w:hideMark/>
          </w:tcPr>
          <w:p w14:paraId="6CC1166A" w14:textId="7E90A2A9"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(1.45)</w:t>
            </w:r>
          </w:p>
        </w:tc>
        <w:tc>
          <w:tcPr>
            <w:tcW w:w="1617" w:type="pct"/>
            <w:tcBorders>
              <w:top w:val="nil"/>
              <w:left w:val="nil"/>
              <w:bottom w:val="nil"/>
              <w:right w:val="nil"/>
            </w:tcBorders>
            <w:shd w:val="clear" w:color="000000" w:fill="FFFFFF"/>
            <w:noWrap/>
            <w:vAlign w:val="bottom"/>
            <w:hideMark/>
          </w:tcPr>
          <w:p w14:paraId="4685E249" w14:textId="2AC7F825"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(0.85)</w:t>
            </w:r>
          </w:p>
        </w:tc>
      </w:tr>
      <w:tr w:rsidR="004442B9" w:rsidRPr="00F62082" w14:paraId="5A6A2288" w14:textId="77777777" w:rsidTr="002753C1">
        <w:trPr>
          <w:gridAfter w:val="1"/>
          <w:wAfter w:w="5" w:type="pct"/>
          <w:trHeight w:val="57"/>
          <w:jc w:val="center"/>
        </w:trPr>
        <w:tc>
          <w:tcPr>
            <w:tcW w:w="2056" w:type="pct"/>
            <w:tcBorders>
              <w:top w:val="nil"/>
              <w:left w:val="nil"/>
              <w:bottom w:val="nil"/>
              <w:right w:val="nil"/>
            </w:tcBorders>
            <w:shd w:val="clear" w:color="000000" w:fill="FFFFFF"/>
            <w:noWrap/>
            <w:hideMark/>
          </w:tcPr>
          <w:p w14:paraId="4D69097A"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AssetTurnover</w:t>
            </w:r>
            <w:proofErr w:type="spellEnd"/>
          </w:p>
        </w:tc>
        <w:tc>
          <w:tcPr>
            <w:tcW w:w="1322" w:type="pct"/>
            <w:tcBorders>
              <w:top w:val="nil"/>
              <w:left w:val="nil"/>
              <w:bottom w:val="nil"/>
              <w:right w:val="nil"/>
            </w:tcBorders>
            <w:shd w:val="clear" w:color="000000" w:fill="FFFFFF"/>
            <w:noWrap/>
            <w:vAlign w:val="bottom"/>
            <w:hideMark/>
          </w:tcPr>
          <w:p w14:paraId="519D636A" w14:textId="6A8AFF99"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0.044</w:t>
            </w:r>
          </w:p>
        </w:tc>
        <w:tc>
          <w:tcPr>
            <w:tcW w:w="1617" w:type="pct"/>
            <w:tcBorders>
              <w:top w:val="nil"/>
              <w:left w:val="nil"/>
              <w:bottom w:val="nil"/>
              <w:right w:val="nil"/>
            </w:tcBorders>
            <w:shd w:val="clear" w:color="000000" w:fill="FFFFFF"/>
            <w:noWrap/>
            <w:vAlign w:val="bottom"/>
            <w:hideMark/>
          </w:tcPr>
          <w:p w14:paraId="1DFBA809" w14:textId="4E561408"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0.637*</w:t>
            </w:r>
          </w:p>
        </w:tc>
      </w:tr>
      <w:tr w:rsidR="004442B9" w:rsidRPr="00F62082" w14:paraId="4242E387" w14:textId="77777777" w:rsidTr="002753C1">
        <w:trPr>
          <w:gridAfter w:val="1"/>
          <w:wAfter w:w="5" w:type="pct"/>
          <w:trHeight w:val="57"/>
          <w:jc w:val="center"/>
        </w:trPr>
        <w:tc>
          <w:tcPr>
            <w:tcW w:w="2056" w:type="pct"/>
            <w:tcBorders>
              <w:top w:val="nil"/>
              <w:left w:val="nil"/>
              <w:bottom w:val="nil"/>
              <w:right w:val="nil"/>
            </w:tcBorders>
            <w:shd w:val="clear" w:color="000000" w:fill="FFFFFF"/>
            <w:noWrap/>
            <w:vAlign w:val="bottom"/>
            <w:hideMark/>
          </w:tcPr>
          <w:p w14:paraId="34BB9D43"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322" w:type="pct"/>
            <w:tcBorders>
              <w:top w:val="nil"/>
              <w:left w:val="nil"/>
              <w:bottom w:val="nil"/>
              <w:right w:val="nil"/>
            </w:tcBorders>
            <w:shd w:val="clear" w:color="000000" w:fill="FFFFFF"/>
            <w:noWrap/>
            <w:vAlign w:val="bottom"/>
            <w:hideMark/>
          </w:tcPr>
          <w:p w14:paraId="1C8CF5B9" w14:textId="030E96E7"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(1.23)</w:t>
            </w:r>
          </w:p>
        </w:tc>
        <w:tc>
          <w:tcPr>
            <w:tcW w:w="1617" w:type="pct"/>
            <w:tcBorders>
              <w:top w:val="nil"/>
              <w:left w:val="nil"/>
              <w:bottom w:val="nil"/>
              <w:right w:val="nil"/>
            </w:tcBorders>
            <w:shd w:val="clear" w:color="000000" w:fill="FFFFFF"/>
            <w:noWrap/>
            <w:vAlign w:val="bottom"/>
            <w:hideMark/>
          </w:tcPr>
          <w:p w14:paraId="66BB80A3" w14:textId="16562970"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(1.71)</w:t>
            </w:r>
          </w:p>
        </w:tc>
      </w:tr>
      <w:tr w:rsidR="004442B9" w:rsidRPr="00F62082" w14:paraId="266F2359" w14:textId="77777777" w:rsidTr="002753C1">
        <w:trPr>
          <w:gridAfter w:val="1"/>
          <w:wAfter w:w="5" w:type="pct"/>
          <w:trHeight w:val="57"/>
          <w:jc w:val="center"/>
        </w:trPr>
        <w:tc>
          <w:tcPr>
            <w:tcW w:w="2056" w:type="pct"/>
            <w:tcBorders>
              <w:top w:val="nil"/>
              <w:left w:val="nil"/>
              <w:bottom w:val="nil"/>
              <w:right w:val="nil"/>
            </w:tcBorders>
            <w:shd w:val="clear" w:color="000000" w:fill="FFFFFF"/>
            <w:noWrap/>
            <w:hideMark/>
          </w:tcPr>
          <w:p w14:paraId="1B1F849E"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Market-to-book</w:t>
            </w:r>
          </w:p>
        </w:tc>
        <w:tc>
          <w:tcPr>
            <w:tcW w:w="1322" w:type="pct"/>
            <w:tcBorders>
              <w:top w:val="nil"/>
              <w:left w:val="nil"/>
              <w:bottom w:val="nil"/>
              <w:right w:val="nil"/>
            </w:tcBorders>
            <w:shd w:val="clear" w:color="000000" w:fill="FFFFFF"/>
            <w:noWrap/>
            <w:vAlign w:val="bottom"/>
            <w:hideMark/>
          </w:tcPr>
          <w:p w14:paraId="232F5B52" w14:textId="13DFA5A1"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-0.008</w:t>
            </w:r>
          </w:p>
        </w:tc>
        <w:tc>
          <w:tcPr>
            <w:tcW w:w="1617" w:type="pct"/>
            <w:tcBorders>
              <w:top w:val="nil"/>
              <w:left w:val="nil"/>
              <w:bottom w:val="nil"/>
              <w:right w:val="nil"/>
            </w:tcBorders>
            <w:shd w:val="clear" w:color="000000" w:fill="FFFFFF"/>
            <w:noWrap/>
            <w:vAlign w:val="bottom"/>
            <w:hideMark/>
          </w:tcPr>
          <w:p w14:paraId="6ACF1BEC" w14:textId="42033842"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-0.153*</w:t>
            </w:r>
          </w:p>
        </w:tc>
      </w:tr>
      <w:tr w:rsidR="004442B9" w:rsidRPr="00F62082" w14:paraId="050D2F9C" w14:textId="77777777" w:rsidTr="002753C1">
        <w:trPr>
          <w:gridAfter w:val="1"/>
          <w:wAfter w:w="5" w:type="pct"/>
          <w:trHeight w:val="57"/>
          <w:jc w:val="center"/>
        </w:trPr>
        <w:tc>
          <w:tcPr>
            <w:tcW w:w="2056" w:type="pct"/>
            <w:tcBorders>
              <w:top w:val="nil"/>
              <w:left w:val="nil"/>
              <w:bottom w:val="nil"/>
              <w:right w:val="nil"/>
            </w:tcBorders>
            <w:shd w:val="clear" w:color="000000" w:fill="FFFFFF"/>
            <w:noWrap/>
            <w:vAlign w:val="bottom"/>
            <w:hideMark/>
          </w:tcPr>
          <w:p w14:paraId="10ABD57E"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322" w:type="pct"/>
            <w:tcBorders>
              <w:top w:val="nil"/>
              <w:left w:val="nil"/>
              <w:bottom w:val="nil"/>
              <w:right w:val="nil"/>
            </w:tcBorders>
            <w:shd w:val="clear" w:color="000000" w:fill="FFFFFF"/>
            <w:noWrap/>
            <w:vAlign w:val="bottom"/>
            <w:hideMark/>
          </w:tcPr>
          <w:p w14:paraId="2B29F32E" w14:textId="4F44C5A2"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(-0.97)</w:t>
            </w:r>
          </w:p>
        </w:tc>
        <w:tc>
          <w:tcPr>
            <w:tcW w:w="1617" w:type="pct"/>
            <w:tcBorders>
              <w:top w:val="nil"/>
              <w:left w:val="nil"/>
              <w:bottom w:val="nil"/>
              <w:right w:val="nil"/>
            </w:tcBorders>
            <w:shd w:val="clear" w:color="000000" w:fill="FFFFFF"/>
            <w:noWrap/>
            <w:vAlign w:val="bottom"/>
            <w:hideMark/>
          </w:tcPr>
          <w:p w14:paraId="0362EC3A" w14:textId="76F36F0F"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(-1.84)</w:t>
            </w:r>
          </w:p>
        </w:tc>
      </w:tr>
      <w:tr w:rsidR="004442B9" w:rsidRPr="00F62082" w14:paraId="33ED4E2A" w14:textId="77777777" w:rsidTr="002753C1">
        <w:trPr>
          <w:gridAfter w:val="1"/>
          <w:wAfter w:w="5" w:type="pct"/>
          <w:trHeight w:val="57"/>
          <w:jc w:val="center"/>
        </w:trPr>
        <w:tc>
          <w:tcPr>
            <w:tcW w:w="2056" w:type="pct"/>
            <w:tcBorders>
              <w:top w:val="nil"/>
              <w:left w:val="nil"/>
              <w:bottom w:val="nil"/>
              <w:right w:val="nil"/>
            </w:tcBorders>
            <w:shd w:val="clear" w:color="000000" w:fill="FFFFFF"/>
            <w:noWrap/>
            <w:hideMark/>
          </w:tcPr>
          <w:p w14:paraId="65E83289"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Tangibility</w:t>
            </w:r>
          </w:p>
        </w:tc>
        <w:tc>
          <w:tcPr>
            <w:tcW w:w="1322" w:type="pct"/>
            <w:tcBorders>
              <w:top w:val="nil"/>
              <w:left w:val="nil"/>
              <w:bottom w:val="nil"/>
              <w:right w:val="nil"/>
            </w:tcBorders>
            <w:shd w:val="clear" w:color="000000" w:fill="FFFFFF"/>
            <w:noWrap/>
            <w:vAlign w:val="bottom"/>
            <w:hideMark/>
          </w:tcPr>
          <w:p w14:paraId="17E79AD2" w14:textId="1E7B8C52"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0.046</w:t>
            </w:r>
          </w:p>
        </w:tc>
        <w:tc>
          <w:tcPr>
            <w:tcW w:w="1617" w:type="pct"/>
            <w:tcBorders>
              <w:top w:val="nil"/>
              <w:left w:val="nil"/>
              <w:bottom w:val="nil"/>
              <w:right w:val="nil"/>
            </w:tcBorders>
            <w:shd w:val="clear" w:color="000000" w:fill="FFFFFF"/>
            <w:noWrap/>
            <w:vAlign w:val="bottom"/>
            <w:hideMark/>
          </w:tcPr>
          <w:p w14:paraId="2B2B3718" w14:textId="41F358ED"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0.266</w:t>
            </w:r>
          </w:p>
        </w:tc>
      </w:tr>
      <w:tr w:rsidR="004442B9" w:rsidRPr="00F62082" w14:paraId="145EC9EA" w14:textId="77777777" w:rsidTr="002753C1">
        <w:trPr>
          <w:gridAfter w:val="1"/>
          <w:wAfter w:w="5" w:type="pct"/>
          <w:trHeight w:val="57"/>
          <w:jc w:val="center"/>
        </w:trPr>
        <w:tc>
          <w:tcPr>
            <w:tcW w:w="2056" w:type="pct"/>
            <w:tcBorders>
              <w:top w:val="nil"/>
              <w:left w:val="nil"/>
              <w:bottom w:val="nil"/>
              <w:right w:val="nil"/>
            </w:tcBorders>
            <w:shd w:val="clear" w:color="000000" w:fill="FFFFFF"/>
            <w:noWrap/>
            <w:vAlign w:val="bottom"/>
            <w:hideMark/>
          </w:tcPr>
          <w:p w14:paraId="31DC6ECF"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322" w:type="pct"/>
            <w:tcBorders>
              <w:top w:val="nil"/>
              <w:left w:val="nil"/>
              <w:bottom w:val="nil"/>
              <w:right w:val="nil"/>
            </w:tcBorders>
            <w:shd w:val="clear" w:color="000000" w:fill="FFFFFF"/>
            <w:noWrap/>
            <w:vAlign w:val="bottom"/>
            <w:hideMark/>
          </w:tcPr>
          <w:p w14:paraId="7093D4F6" w14:textId="4330D77F"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(0.24)</w:t>
            </w:r>
          </w:p>
        </w:tc>
        <w:tc>
          <w:tcPr>
            <w:tcW w:w="1617" w:type="pct"/>
            <w:tcBorders>
              <w:top w:val="nil"/>
              <w:left w:val="nil"/>
              <w:bottom w:val="nil"/>
              <w:right w:val="nil"/>
            </w:tcBorders>
            <w:shd w:val="clear" w:color="000000" w:fill="FFFFFF"/>
            <w:noWrap/>
            <w:vAlign w:val="bottom"/>
            <w:hideMark/>
          </w:tcPr>
          <w:p w14:paraId="725DD26E" w14:textId="68B9E614"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(0.13)</w:t>
            </w:r>
          </w:p>
        </w:tc>
      </w:tr>
      <w:tr w:rsidR="004442B9" w:rsidRPr="00F62082" w14:paraId="7C655DA3" w14:textId="77777777" w:rsidTr="002753C1">
        <w:trPr>
          <w:gridAfter w:val="1"/>
          <w:wAfter w:w="5" w:type="pct"/>
          <w:trHeight w:val="57"/>
          <w:jc w:val="center"/>
        </w:trPr>
        <w:tc>
          <w:tcPr>
            <w:tcW w:w="2056" w:type="pct"/>
            <w:tcBorders>
              <w:top w:val="nil"/>
              <w:left w:val="nil"/>
              <w:bottom w:val="nil"/>
              <w:right w:val="nil"/>
            </w:tcBorders>
            <w:shd w:val="clear" w:color="000000" w:fill="FFFFFF"/>
            <w:noWrap/>
            <w:hideMark/>
          </w:tcPr>
          <w:p w14:paraId="1374C48B"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Capex</w:t>
            </w:r>
          </w:p>
        </w:tc>
        <w:tc>
          <w:tcPr>
            <w:tcW w:w="1322" w:type="pct"/>
            <w:tcBorders>
              <w:top w:val="nil"/>
              <w:left w:val="nil"/>
              <w:bottom w:val="nil"/>
              <w:right w:val="nil"/>
            </w:tcBorders>
            <w:shd w:val="clear" w:color="000000" w:fill="FFFFFF"/>
            <w:noWrap/>
            <w:vAlign w:val="bottom"/>
            <w:hideMark/>
          </w:tcPr>
          <w:p w14:paraId="01A4B442" w14:textId="603BE0E8"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0.278</w:t>
            </w:r>
          </w:p>
        </w:tc>
        <w:tc>
          <w:tcPr>
            <w:tcW w:w="1617" w:type="pct"/>
            <w:tcBorders>
              <w:top w:val="nil"/>
              <w:left w:val="nil"/>
              <w:bottom w:val="nil"/>
              <w:right w:val="nil"/>
            </w:tcBorders>
            <w:shd w:val="clear" w:color="000000" w:fill="FFFFFF"/>
            <w:noWrap/>
            <w:vAlign w:val="bottom"/>
            <w:hideMark/>
          </w:tcPr>
          <w:p w14:paraId="26A3FE74" w14:textId="70E1352C"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2.648</w:t>
            </w:r>
          </w:p>
        </w:tc>
      </w:tr>
      <w:tr w:rsidR="004442B9" w:rsidRPr="00F62082" w14:paraId="1C53199E" w14:textId="77777777" w:rsidTr="002753C1">
        <w:trPr>
          <w:gridAfter w:val="1"/>
          <w:wAfter w:w="5" w:type="pct"/>
          <w:trHeight w:val="57"/>
          <w:jc w:val="center"/>
        </w:trPr>
        <w:tc>
          <w:tcPr>
            <w:tcW w:w="2056" w:type="pct"/>
            <w:tcBorders>
              <w:top w:val="nil"/>
              <w:left w:val="nil"/>
              <w:bottom w:val="nil"/>
              <w:right w:val="nil"/>
            </w:tcBorders>
            <w:shd w:val="clear" w:color="000000" w:fill="FFFFFF"/>
            <w:noWrap/>
            <w:vAlign w:val="bottom"/>
            <w:hideMark/>
          </w:tcPr>
          <w:p w14:paraId="57C63614" w14:textId="77777777" w:rsidR="004442B9" w:rsidRPr="00DA1D07" w:rsidRDefault="004442B9" w:rsidP="004442B9">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 </w:t>
            </w:r>
          </w:p>
        </w:tc>
        <w:tc>
          <w:tcPr>
            <w:tcW w:w="1322" w:type="pct"/>
            <w:tcBorders>
              <w:top w:val="nil"/>
              <w:left w:val="nil"/>
              <w:bottom w:val="nil"/>
              <w:right w:val="nil"/>
            </w:tcBorders>
            <w:shd w:val="clear" w:color="000000" w:fill="FFFFFF"/>
            <w:noWrap/>
            <w:vAlign w:val="bottom"/>
            <w:hideMark/>
          </w:tcPr>
          <w:p w14:paraId="6A15893C" w14:textId="471AF630"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(0.81)</w:t>
            </w:r>
          </w:p>
        </w:tc>
        <w:tc>
          <w:tcPr>
            <w:tcW w:w="1617" w:type="pct"/>
            <w:tcBorders>
              <w:top w:val="nil"/>
              <w:left w:val="nil"/>
              <w:bottom w:val="nil"/>
              <w:right w:val="nil"/>
            </w:tcBorders>
            <w:shd w:val="clear" w:color="000000" w:fill="FFFFFF"/>
            <w:noWrap/>
            <w:vAlign w:val="bottom"/>
            <w:hideMark/>
          </w:tcPr>
          <w:p w14:paraId="573EB92F" w14:textId="3151B463"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(0.75)</w:t>
            </w:r>
          </w:p>
        </w:tc>
      </w:tr>
      <w:tr w:rsidR="004442B9" w:rsidRPr="00F62082" w14:paraId="37563F43" w14:textId="77777777" w:rsidTr="002753C1">
        <w:trPr>
          <w:gridAfter w:val="1"/>
          <w:wAfter w:w="5" w:type="pct"/>
          <w:trHeight w:val="57"/>
          <w:jc w:val="center"/>
        </w:trPr>
        <w:tc>
          <w:tcPr>
            <w:tcW w:w="2056" w:type="pct"/>
            <w:tcBorders>
              <w:top w:val="nil"/>
              <w:left w:val="nil"/>
              <w:bottom w:val="nil"/>
              <w:right w:val="nil"/>
            </w:tcBorders>
            <w:shd w:val="clear" w:color="000000" w:fill="FFFFFF"/>
            <w:noWrap/>
            <w:hideMark/>
          </w:tcPr>
          <w:p w14:paraId="3B0A7833"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RET</w:t>
            </w:r>
          </w:p>
        </w:tc>
        <w:tc>
          <w:tcPr>
            <w:tcW w:w="1322" w:type="pct"/>
            <w:tcBorders>
              <w:top w:val="nil"/>
              <w:left w:val="nil"/>
              <w:bottom w:val="nil"/>
              <w:right w:val="nil"/>
            </w:tcBorders>
            <w:shd w:val="clear" w:color="000000" w:fill="FFFFFF"/>
            <w:noWrap/>
            <w:vAlign w:val="bottom"/>
            <w:hideMark/>
          </w:tcPr>
          <w:p w14:paraId="1BB2000A" w14:textId="66E85B63"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0.043</w:t>
            </w:r>
          </w:p>
        </w:tc>
        <w:tc>
          <w:tcPr>
            <w:tcW w:w="1617" w:type="pct"/>
            <w:tcBorders>
              <w:top w:val="nil"/>
              <w:left w:val="nil"/>
              <w:bottom w:val="nil"/>
              <w:right w:val="nil"/>
            </w:tcBorders>
            <w:shd w:val="clear" w:color="000000" w:fill="FFFFFF"/>
            <w:noWrap/>
            <w:vAlign w:val="bottom"/>
            <w:hideMark/>
          </w:tcPr>
          <w:p w14:paraId="16B84C5D" w14:textId="4E09288A"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0.328</w:t>
            </w:r>
          </w:p>
        </w:tc>
      </w:tr>
      <w:tr w:rsidR="004442B9" w:rsidRPr="00F62082" w14:paraId="53120079" w14:textId="77777777" w:rsidTr="002753C1">
        <w:trPr>
          <w:gridAfter w:val="1"/>
          <w:wAfter w:w="5" w:type="pct"/>
          <w:trHeight w:val="57"/>
          <w:jc w:val="center"/>
        </w:trPr>
        <w:tc>
          <w:tcPr>
            <w:tcW w:w="2056" w:type="pct"/>
            <w:tcBorders>
              <w:top w:val="nil"/>
              <w:left w:val="nil"/>
              <w:bottom w:val="nil"/>
              <w:right w:val="nil"/>
            </w:tcBorders>
            <w:shd w:val="clear" w:color="000000" w:fill="FFFFFF"/>
            <w:noWrap/>
            <w:vAlign w:val="bottom"/>
            <w:hideMark/>
          </w:tcPr>
          <w:p w14:paraId="02C5BF04"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322" w:type="pct"/>
            <w:tcBorders>
              <w:top w:val="nil"/>
              <w:left w:val="nil"/>
              <w:bottom w:val="nil"/>
              <w:right w:val="nil"/>
            </w:tcBorders>
            <w:shd w:val="clear" w:color="000000" w:fill="FFFFFF"/>
            <w:noWrap/>
            <w:vAlign w:val="bottom"/>
            <w:hideMark/>
          </w:tcPr>
          <w:p w14:paraId="773DAF7A" w14:textId="52617B43"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(1.58)</w:t>
            </w:r>
          </w:p>
        </w:tc>
        <w:tc>
          <w:tcPr>
            <w:tcW w:w="1617" w:type="pct"/>
            <w:tcBorders>
              <w:top w:val="nil"/>
              <w:left w:val="nil"/>
              <w:bottom w:val="nil"/>
              <w:right w:val="nil"/>
            </w:tcBorders>
            <w:shd w:val="clear" w:color="000000" w:fill="FFFFFF"/>
            <w:noWrap/>
            <w:vAlign w:val="bottom"/>
            <w:hideMark/>
          </w:tcPr>
          <w:p w14:paraId="1481CFEA" w14:textId="467ABC04"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(1.20)</w:t>
            </w:r>
          </w:p>
        </w:tc>
      </w:tr>
      <w:tr w:rsidR="004442B9" w:rsidRPr="00F62082" w14:paraId="157A1316" w14:textId="77777777" w:rsidTr="002753C1">
        <w:trPr>
          <w:gridAfter w:val="1"/>
          <w:wAfter w:w="5" w:type="pct"/>
          <w:trHeight w:val="57"/>
          <w:jc w:val="center"/>
        </w:trPr>
        <w:tc>
          <w:tcPr>
            <w:tcW w:w="2056" w:type="pct"/>
            <w:tcBorders>
              <w:top w:val="nil"/>
              <w:left w:val="nil"/>
              <w:bottom w:val="nil"/>
              <w:right w:val="nil"/>
            </w:tcBorders>
            <w:shd w:val="clear" w:color="000000" w:fill="FFFFFF"/>
            <w:noWrap/>
            <w:vAlign w:val="bottom"/>
            <w:hideMark/>
          </w:tcPr>
          <w:p w14:paraId="74A91232"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CEOage</w:t>
            </w:r>
            <w:proofErr w:type="spellEnd"/>
          </w:p>
        </w:tc>
        <w:tc>
          <w:tcPr>
            <w:tcW w:w="1322" w:type="pct"/>
            <w:tcBorders>
              <w:top w:val="nil"/>
              <w:left w:val="nil"/>
              <w:bottom w:val="nil"/>
              <w:right w:val="nil"/>
            </w:tcBorders>
            <w:shd w:val="clear" w:color="000000" w:fill="FFFFFF"/>
            <w:noWrap/>
            <w:vAlign w:val="bottom"/>
            <w:hideMark/>
          </w:tcPr>
          <w:p w14:paraId="152C0C1E" w14:textId="26C8EB47"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0.000</w:t>
            </w:r>
          </w:p>
        </w:tc>
        <w:tc>
          <w:tcPr>
            <w:tcW w:w="1617" w:type="pct"/>
            <w:tcBorders>
              <w:top w:val="nil"/>
              <w:left w:val="nil"/>
              <w:bottom w:val="nil"/>
              <w:right w:val="nil"/>
            </w:tcBorders>
            <w:shd w:val="clear" w:color="000000" w:fill="FFFFFF"/>
            <w:noWrap/>
            <w:vAlign w:val="bottom"/>
            <w:hideMark/>
          </w:tcPr>
          <w:p w14:paraId="55D9896E" w14:textId="0BFF9599"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0.003</w:t>
            </w:r>
          </w:p>
        </w:tc>
      </w:tr>
      <w:tr w:rsidR="004442B9" w:rsidRPr="00F62082" w14:paraId="17360422" w14:textId="77777777" w:rsidTr="002753C1">
        <w:trPr>
          <w:gridAfter w:val="1"/>
          <w:wAfter w:w="5" w:type="pct"/>
          <w:trHeight w:val="57"/>
          <w:jc w:val="center"/>
        </w:trPr>
        <w:tc>
          <w:tcPr>
            <w:tcW w:w="2056" w:type="pct"/>
            <w:tcBorders>
              <w:top w:val="nil"/>
              <w:left w:val="nil"/>
              <w:bottom w:val="nil"/>
              <w:right w:val="nil"/>
            </w:tcBorders>
            <w:shd w:val="clear" w:color="000000" w:fill="FFFFFF"/>
            <w:noWrap/>
            <w:vAlign w:val="bottom"/>
            <w:hideMark/>
          </w:tcPr>
          <w:p w14:paraId="073AE978"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 </w:t>
            </w:r>
          </w:p>
        </w:tc>
        <w:tc>
          <w:tcPr>
            <w:tcW w:w="1322" w:type="pct"/>
            <w:tcBorders>
              <w:top w:val="nil"/>
              <w:left w:val="nil"/>
              <w:bottom w:val="nil"/>
              <w:right w:val="nil"/>
            </w:tcBorders>
            <w:shd w:val="clear" w:color="000000" w:fill="FFFFFF"/>
            <w:noWrap/>
            <w:vAlign w:val="bottom"/>
            <w:hideMark/>
          </w:tcPr>
          <w:p w14:paraId="7A1B5617" w14:textId="098AC001"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(0.18)</w:t>
            </w:r>
          </w:p>
        </w:tc>
        <w:tc>
          <w:tcPr>
            <w:tcW w:w="1617" w:type="pct"/>
            <w:tcBorders>
              <w:top w:val="nil"/>
              <w:left w:val="nil"/>
              <w:bottom w:val="nil"/>
              <w:right w:val="nil"/>
            </w:tcBorders>
            <w:shd w:val="clear" w:color="000000" w:fill="FFFFFF"/>
            <w:noWrap/>
            <w:vAlign w:val="bottom"/>
            <w:hideMark/>
          </w:tcPr>
          <w:p w14:paraId="05C2A4B9" w14:textId="034EAF56"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(0.15)</w:t>
            </w:r>
          </w:p>
        </w:tc>
      </w:tr>
      <w:tr w:rsidR="004442B9" w:rsidRPr="00F62082" w14:paraId="53F7F98B" w14:textId="77777777" w:rsidTr="002753C1">
        <w:trPr>
          <w:gridAfter w:val="1"/>
          <w:wAfter w:w="5" w:type="pct"/>
          <w:trHeight w:val="57"/>
          <w:jc w:val="center"/>
        </w:trPr>
        <w:tc>
          <w:tcPr>
            <w:tcW w:w="2056" w:type="pct"/>
            <w:tcBorders>
              <w:top w:val="nil"/>
              <w:left w:val="nil"/>
              <w:bottom w:val="nil"/>
              <w:right w:val="nil"/>
            </w:tcBorders>
            <w:shd w:val="clear" w:color="000000" w:fill="FFFFFF"/>
            <w:noWrap/>
            <w:vAlign w:val="bottom"/>
            <w:hideMark/>
          </w:tcPr>
          <w:p w14:paraId="0E49454D"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CEOtenure</w:t>
            </w:r>
            <w:proofErr w:type="spellEnd"/>
          </w:p>
        </w:tc>
        <w:tc>
          <w:tcPr>
            <w:tcW w:w="1322" w:type="pct"/>
            <w:tcBorders>
              <w:top w:val="nil"/>
              <w:left w:val="nil"/>
              <w:bottom w:val="nil"/>
              <w:right w:val="nil"/>
            </w:tcBorders>
            <w:shd w:val="clear" w:color="000000" w:fill="FFFFFF"/>
            <w:noWrap/>
            <w:vAlign w:val="bottom"/>
            <w:hideMark/>
          </w:tcPr>
          <w:p w14:paraId="2BF45040" w14:textId="7F311AD8"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0.001</w:t>
            </w:r>
          </w:p>
        </w:tc>
        <w:tc>
          <w:tcPr>
            <w:tcW w:w="1617" w:type="pct"/>
            <w:tcBorders>
              <w:top w:val="nil"/>
              <w:left w:val="nil"/>
              <w:bottom w:val="nil"/>
              <w:right w:val="nil"/>
            </w:tcBorders>
            <w:shd w:val="clear" w:color="000000" w:fill="FFFFFF"/>
            <w:noWrap/>
            <w:vAlign w:val="bottom"/>
            <w:hideMark/>
          </w:tcPr>
          <w:p w14:paraId="56B76058" w14:textId="3A3E2944"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0.027</w:t>
            </w:r>
          </w:p>
        </w:tc>
      </w:tr>
      <w:tr w:rsidR="004442B9" w:rsidRPr="00F62082" w14:paraId="6620050D" w14:textId="77777777" w:rsidTr="002753C1">
        <w:trPr>
          <w:gridAfter w:val="1"/>
          <w:wAfter w:w="5" w:type="pct"/>
          <w:trHeight w:val="57"/>
          <w:jc w:val="center"/>
        </w:trPr>
        <w:tc>
          <w:tcPr>
            <w:tcW w:w="2056" w:type="pct"/>
            <w:tcBorders>
              <w:top w:val="nil"/>
              <w:left w:val="nil"/>
              <w:bottom w:val="nil"/>
              <w:right w:val="nil"/>
            </w:tcBorders>
            <w:shd w:val="clear" w:color="000000" w:fill="FFFFFF"/>
            <w:noWrap/>
            <w:vAlign w:val="bottom"/>
            <w:hideMark/>
          </w:tcPr>
          <w:p w14:paraId="6B2D20B6" w14:textId="77777777" w:rsidR="004442B9" w:rsidRPr="00DA1D07" w:rsidRDefault="004442B9" w:rsidP="004442B9">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 </w:t>
            </w:r>
          </w:p>
        </w:tc>
        <w:tc>
          <w:tcPr>
            <w:tcW w:w="1322" w:type="pct"/>
            <w:tcBorders>
              <w:top w:val="nil"/>
              <w:left w:val="nil"/>
              <w:bottom w:val="nil"/>
              <w:right w:val="nil"/>
            </w:tcBorders>
            <w:shd w:val="clear" w:color="000000" w:fill="FFFFFF"/>
            <w:noWrap/>
            <w:vAlign w:val="bottom"/>
            <w:hideMark/>
          </w:tcPr>
          <w:p w14:paraId="3D4CD071" w14:textId="143A973B"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(0.53)</w:t>
            </w:r>
          </w:p>
        </w:tc>
        <w:tc>
          <w:tcPr>
            <w:tcW w:w="1617" w:type="pct"/>
            <w:tcBorders>
              <w:top w:val="nil"/>
              <w:left w:val="nil"/>
              <w:bottom w:val="nil"/>
              <w:right w:val="nil"/>
            </w:tcBorders>
            <w:shd w:val="clear" w:color="000000" w:fill="FFFFFF"/>
            <w:noWrap/>
            <w:vAlign w:val="bottom"/>
            <w:hideMark/>
          </w:tcPr>
          <w:p w14:paraId="46E54F4D" w14:textId="73281439"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(0.95)</w:t>
            </w:r>
          </w:p>
        </w:tc>
      </w:tr>
      <w:tr w:rsidR="004442B9" w:rsidRPr="00F62082" w14:paraId="08CD3C10" w14:textId="77777777" w:rsidTr="002753C1">
        <w:trPr>
          <w:gridAfter w:val="1"/>
          <w:wAfter w:w="5" w:type="pct"/>
          <w:trHeight w:val="57"/>
          <w:jc w:val="center"/>
        </w:trPr>
        <w:tc>
          <w:tcPr>
            <w:tcW w:w="2056" w:type="pct"/>
            <w:tcBorders>
              <w:top w:val="nil"/>
              <w:left w:val="nil"/>
              <w:bottom w:val="nil"/>
              <w:right w:val="nil"/>
            </w:tcBorders>
            <w:shd w:val="clear" w:color="000000" w:fill="FFFFFF"/>
            <w:noWrap/>
            <w:vAlign w:val="bottom"/>
            <w:hideMark/>
          </w:tcPr>
          <w:p w14:paraId="756EB9E2" w14:textId="77777777" w:rsidR="004442B9" w:rsidRPr="00DA1D07" w:rsidRDefault="004442B9" w:rsidP="004442B9">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lastRenderedPageBreak/>
              <w:t>Constant</w:t>
            </w:r>
          </w:p>
        </w:tc>
        <w:tc>
          <w:tcPr>
            <w:tcW w:w="1322" w:type="pct"/>
            <w:tcBorders>
              <w:top w:val="nil"/>
              <w:left w:val="nil"/>
              <w:bottom w:val="nil"/>
              <w:right w:val="nil"/>
            </w:tcBorders>
            <w:shd w:val="clear" w:color="000000" w:fill="FFFFFF"/>
            <w:noWrap/>
            <w:vAlign w:val="bottom"/>
            <w:hideMark/>
          </w:tcPr>
          <w:p w14:paraId="33DDFE1A" w14:textId="12950891"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-0.008</w:t>
            </w:r>
          </w:p>
        </w:tc>
        <w:tc>
          <w:tcPr>
            <w:tcW w:w="1617" w:type="pct"/>
            <w:tcBorders>
              <w:top w:val="nil"/>
              <w:left w:val="nil"/>
              <w:bottom w:val="nil"/>
              <w:right w:val="nil"/>
            </w:tcBorders>
            <w:shd w:val="clear" w:color="000000" w:fill="FFFFFF"/>
            <w:noWrap/>
            <w:vAlign w:val="bottom"/>
            <w:hideMark/>
          </w:tcPr>
          <w:p w14:paraId="6669ED9B" w14:textId="28DC8774"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-0.168</w:t>
            </w:r>
          </w:p>
        </w:tc>
      </w:tr>
      <w:tr w:rsidR="004442B9" w:rsidRPr="00F62082" w14:paraId="4BC7DF27" w14:textId="77777777" w:rsidTr="002753C1">
        <w:trPr>
          <w:gridAfter w:val="1"/>
          <w:wAfter w:w="5" w:type="pct"/>
          <w:trHeight w:val="57"/>
          <w:jc w:val="center"/>
        </w:trPr>
        <w:tc>
          <w:tcPr>
            <w:tcW w:w="2056" w:type="pct"/>
            <w:tcBorders>
              <w:top w:val="nil"/>
              <w:left w:val="nil"/>
              <w:bottom w:val="nil"/>
              <w:right w:val="nil"/>
            </w:tcBorders>
            <w:shd w:val="clear" w:color="000000" w:fill="FFFFFF"/>
            <w:noWrap/>
            <w:vAlign w:val="bottom"/>
            <w:hideMark/>
          </w:tcPr>
          <w:p w14:paraId="4485E2BE" w14:textId="77777777" w:rsidR="004442B9" w:rsidRPr="00DA1D07" w:rsidRDefault="004442B9" w:rsidP="004442B9">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 </w:t>
            </w:r>
          </w:p>
        </w:tc>
        <w:tc>
          <w:tcPr>
            <w:tcW w:w="1322" w:type="pct"/>
            <w:tcBorders>
              <w:top w:val="nil"/>
              <w:left w:val="nil"/>
              <w:bottom w:val="nil"/>
              <w:right w:val="nil"/>
            </w:tcBorders>
            <w:shd w:val="clear" w:color="000000" w:fill="FFFFFF"/>
            <w:noWrap/>
            <w:vAlign w:val="bottom"/>
            <w:hideMark/>
          </w:tcPr>
          <w:p w14:paraId="5F585DF3" w14:textId="0DD832D8"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(-0.48)</w:t>
            </w:r>
          </w:p>
        </w:tc>
        <w:tc>
          <w:tcPr>
            <w:tcW w:w="1617" w:type="pct"/>
            <w:tcBorders>
              <w:top w:val="nil"/>
              <w:left w:val="nil"/>
              <w:bottom w:val="nil"/>
              <w:right w:val="nil"/>
            </w:tcBorders>
            <w:shd w:val="clear" w:color="000000" w:fill="FFFFFF"/>
            <w:noWrap/>
            <w:vAlign w:val="bottom"/>
            <w:hideMark/>
          </w:tcPr>
          <w:p w14:paraId="5C1925B1" w14:textId="762F7407" w:rsidR="004442B9" w:rsidRPr="00DA1D07" w:rsidRDefault="004442B9" w:rsidP="004442B9">
            <w:pPr>
              <w:spacing w:after="0" w:line="240" w:lineRule="auto"/>
              <w:jc w:val="center"/>
              <w:rPr>
                <w:rFonts w:ascii="Times New Roman" w:eastAsia="Times New Roman" w:hAnsi="Times New Roman" w:cs="Times New Roman"/>
                <w:color w:val="000000"/>
                <w:sz w:val="24"/>
                <w:szCs w:val="24"/>
                <w:lang w:val="en-US" w:eastAsia="en-GB"/>
              </w:rPr>
            </w:pPr>
            <w:r w:rsidRPr="004442B9">
              <w:rPr>
                <w:rFonts w:ascii="Times New Roman" w:eastAsia="Times New Roman" w:hAnsi="Times New Roman" w:cs="Times New Roman"/>
                <w:color w:val="000000"/>
                <w:sz w:val="24"/>
                <w:szCs w:val="24"/>
                <w:lang w:val="en-US" w:eastAsia="en-GB"/>
              </w:rPr>
              <w:t>(-1.02)</w:t>
            </w:r>
          </w:p>
        </w:tc>
      </w:tr>
      <w:tr w:rsidR="00E57A11" w:rsidRPr="00F62082" w14:paraId="5198DB17" w14:textId="77777777" w:rsidTr="002753C1">
        <w:trPr>
          <w:gridAfter w:val="1"/>
          <w:wAfter w:w="5" w:type="pct"/>
          <w:trHeight w:val="57"/>
          <w:jc w:val="center"/>
        </w:trPr>
        <w:tc>
          <w:tcPr>
            <w:tcW w:w="2056" w:type="pct"/>
            <w:tcBorders>
              <w:top w:val="nil"/>
              <w:left w:val="nil"/>
              <w:bottom w:val="nil"/>
              <w:right w:val="nil"/>
            </w:tcBorders>
            <w:shd w:val="clear" w:color="000000" w:fill="FFFFFF"/>
            <w:noWrap/>
            <w:vAlign w:val="bottom"/>
            <w:hideMark/>
          </w:tcPr>
          <w:p w14:paraId="4DC8AB91" w14:textId="77777777" w:rsidR="00E57A11" w:rsidRPr="00DA1D07" w:rsidRDefault="00E57A11" w:rsidP="002753C1">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R-squared</w:t>
            </w:r>
          </w:p>
        </w:tc>
        <w:tc>
          <w:tcPr>
            <w:tcW w:w="1322" w:type="pct"/>
            <w:tcBorders>
              <w:top w:val="nil"/>
              <w:left w:val="nil"/>
              <w:bottom w:val="nil"/>
              <w:right w:val="nil"/>
            </w:tcBorders>
            <w:shd w:val="clear" w:color="000000" w:fill="FFFFFF"/>
            <w:noWrap/>
            <w:vAlign w:val="bottom"/>
            <w:hideMark/>
          </w:tcPr>
          <w:p w14:paraId="266AAFB2" w14:textId="045EE6DB" w:rsidR="00E57A11" w:rsidRPr="00DA1D07" w:rsidRDefault="00E57A11" w:rsidP="004442B9">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0.7</w:t>
            </w:r>
            <w:r w:rsidR="004442B9">
              <w:rPr>
                <w:rFonts w:ascii="Times New Roman" w:eastAsia="Times New Roman" w:hAnsi="Times New Roman" w:cs="Times New Roman"/>
                <w:color w:val="000000"/>
                <w:sz w:val="24"/>
                <w:szCs w:val="24"/>
                <w:lang w:val="en-US" w:eastAsia="en-GB"/>
              </w:rPr>
              <w:t>80</w:t>
            </w:r>
          </w:p>
        </w:tc>
        <w:tc>
          <w:tcPr>
            <w:tcW w:w="1617" w:type="pct"/>
            <w:tcBorders>
              <w:top w:val="nil"/>
              <w:left w:val="nil"/>
              <w:bottom w:val="nil"/>
              <w:right w:val="nil"/>
            </w:tcBorders>
            <w:shd w:val="clear" w:color="000000" w:fill="FFFFFF"/>
            <w:noWrap/>
            <w:vAlign w:val="bottom"/>
            <w:hideMark/>
          </w:tcPr>
          <w:p w14:paraId="65E30738" w14:textId="54C2D0A6"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0</w:t>
            </w:r>
            <w:r w:rsidR="004442B9">
              <w:rPr>
                <w:rFonts w:ascii="Times New Roman" w:eastAsia="Times New Roman" w:hAnsi="Times New Roman" w:cs="Times New Roman"/>
                <w:color w:val="000000"/>
                <w:sz w:val="24"/>
                <w:szCs w:val="24"/>
                <w:lang w:val="en-US" w:eastAsia="en-GB"/>
              </w:rPr>
              <w:t>.701</w:t>
            </w:r>
          </w:p>
        </w:tc>
      </w:tr>
      <w:tr w:rsidR="00E57A11" w:rsidRPr="00F62082" w14:paraId="0C8B8843" w14:textId="77777777" w:rsidTr="002753C1">
        <w:trPr>
          <w:gridAfter w:val="1"/>
          <w:wAfter w:w="5" w:type="pct"/>
          <w:trHeight w:val="57"/>
          <w:jc w:val="center"/>
        </w:trPr>
        <w:tc>
          <w:tcPr>
            <w:tcW w:w="2056" w:type="pct"/>
            <w:tcBorders>
              <w:top w:val="nil"/>
              <w:left w:val="nil"/>
              <w:bottom w:val="nil"/>
              <w:right w:val="nil"/>
            </w:tcBorders>
            <w:shd w:val="clear" w:color="000000" w:fill="FFFFFF"/>
            <w:noWrap/>
            <w:vAlign w:val="bottom"/>
            <w:hideMark/>
          </w:tcPr>
          <w:p w14:paraId="7019E2D6" w14:textId="77777777" w:rsidR="00E57A11" w:rsidRPr="00DA1D07" w:rsidRDefault="00E57A11" w:rsidP="002753C1">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Observations</w:t>
            </w:r>
          </w:p>
        </w:tc>
        <w:tc>
          <w:tcPr>
            <w:tcW w:w="1322" w:type="pct"/>
            <w:tcBorders>
              <w:top w:val="nil"/>
              <w:left w:val="nil"/>
              <w:bottom w:val="nil"/>
              <w:right w:val="nil"/>
            </w:tcBorders>
            <w:shd w:val="clear" w:color="000000" w:fill="FFFFFF"/>
            <w:noWrap/>
            <w:vAlign w:val="bottom"/>
            <w:hideMark/>
          </w:tcPr>
          <w:p w14:paraId="2C2011A5" w14:textId="4F4CF4D3" w:rsidR="00E57A11" w:rsidRPr="00DA1D07" w:rsidRDefault="004442B9" w:rsidP="002753C1">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1,848</w:t>
            </w:r>
          </w:p>
        </w:tc>
        <w:tc>
          <w:tcPr>
            <w:tcW w:w="1617" w:type="pct"/>
            <w:tcBorders>
              <w:top w:val="nil"/>
              <w:left w:val="nil"/>
              <w:bottom w:val="nil"/>
              <w:right w:val="nil"/>
            </w:tcBorders>
            <w:shd w:val="clear" w:color="000000" w:fill="FFFFFF"/>
            <w:noWrap/>
            <w:vAlign w:val="bottom"/>
            <w:hideMark/>
          </w:tcPr>
          <w:p w14:paraId="6551C1FA" w14:textId="15934F11" w:rsidR="00E57A11" w:rsidRPr="00DA1D07" w:rsidRDefault="004442B9" w:rsidP="002753C1">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1,848</w:t>
            </w:r>
          </w:p>
        </w:tc>
      </w:tr>
      <w:tr w:rsidR="00E57A11" w:rsidRPr="00F62082" w14:paraId="09F27CAB" w14:textId="77777777" w:rsidTr="002753C1">
        <w:trPr>
          <w:gridAfter w:val="1"/>
          <w:wAfter w:w="5" w:type="pct"/>
          <w:trHeight w:val="57"/>
          <w:jc w:val="center"/>
        </w:trPr>
        <w:tc>
          <w:tcPr>
            <w:tcW w:w="2056" w:type="pct"/>
            <w:tcBorders>
              <w:top w:val="nil"/>
              <w:left w:val="nil"/>
              <w:bottom w:val="nil"/>
              <w:right w:val="nil"/>
            </w:tcBorders>
            <w:shd w:val="clear" w:color="000000" w:fill="FFFFFF"/>
            <w:noWrap/>
            <w:vAlign w:val="bottom"/>
            <w:hideMark/>
          </w:tcPr>
          <w:p w14:paraId="5FF73027" w14:textId="77777777" w:rsidR="00E57A11" w:rsidRPr="00DA1D07" w:rsidRDefault="00E57A11" w:rsidP="002753C1">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Firm fixed effects</w:t>
            </w:r>
          </w:p>
        </w:tc>
        <w:tc>
          <w:tcPr>
            <w:tcW w:w="1322" w:type="pct"/>
            <w:tcBorders>
              <w:top w:val="nil"/>
              <w:left w:val="nil"/>
              <w:bottom w:val="nil"/>
              <w:right w:val="nil"/>
            </w:tcBorders>
            <w:shd w:val="clear" w:color="000000" w:fill="FFFFFF"/>
            <w:noWrap/>
            <w:vAlign w:val="bottom"/>
            <w:hideMark/>
          </w:tcPr>
          <w:p w14:paraId="28FF42C1"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Yes</w:t>
            </w:r>
          </w:p>
        </w:tc>
        <w:tc>
          <w:tcPr>
            <w:tcW w:w="1617" w:type="pct"/>
            <w:tcBorders>
              <w:top w:val="nil"/>
              <w:left w:val="nil"/>
              <w:bottom w:val="nil"/>
              <w:right w:val="nil"/>
            </w:tcBorders>
            <w:shd w:val="clear" w:color="000000" w:fill="FFFFFF"/>
            <w:noWrap/>
            <w:vAlign w:val="bottom"/>
            <w:hideMark/>
          </w:tcPr>
          <w:p w14:paraId="63B09FE2"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Yes</w:t>
            </w:r>
          </w:p>
        </w:tc>
      </w:tr>
      <w:tr w:rsidR="00E57A11" w:rsidRPr="00F62082" w14:paraId="55D4FDF0" w14:textId="77777777" w:rsidTr="002753C1">
        <w:trPr>
          <w:gridAfter w:val="1"/>
          <w:wAfter w:w="5" w:type="pct"/>
          <w:trHeight w:val="57"/>
          <w:jc w:val="center"/>
        </w:trPr>
        <w:tc>
          <w:tcPr>
            <w:tcW w:w="2056" w:type="pct"/>
            <w:tcBorders>
              <w:top w:val="nil"/>
              <w:left w:val="nil"/>
              <w:bottom w:val="single" w:sz="4" w:space="0" w:color="auto"/>
              <w:right w:val="nil"/>
            </w:tcBorders>
            <w:shd w:val="clear" w:color="000000" w:fill="FFFFFF"/>
            <w:noWrap/>
            <w:vAlign w:val="bottom"/>
            <w:hideMark/>
          </w:tcPr>
          <w:p w14:paraId="36A55E40" w14:textId="77777777" w:rsidR="00E57A11" w:rsidRPr="00DA1D07" w:rsidRDefault="00E57A11" w:rsidP="002753C1">
            <w:pPr>
              <w:spacing w:after="0" w:line="240" w:lineRule="auto"/>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Year fixed effects</w:t>
            </w:r>
          </w:p>
        </w:tc>
        <w:tc>
          <w:tcPr>
            <w:tcW w:w="1322" w:type="pct"/>
            <w:tcBorders>
              <w:top w:val="nil"/>
              <w:left w:val="nil"/>
              <w:bottom w:val="single" w:sz="4" w:space="0" w:color="auto"/>
              <w:right w:val="nil"/>
            </w:tcBorders>
            <w:shd w:val="clear" w:color="000000" w:fill="FFFFFF"/>
            <w:noWrap/>
            <w:vAlign w:val="bottom"/>
            <w:hideMark/>
          </w:tcPr>
          <w:p w14:paraId="011D8496"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Yes</w:t>
            </w:r>
          </w:p>
        </w:tc>
        <w:tc>
          <w:tcPr>
            <w:tcW w:w="1617" w:type="pct"/>
            <w:tcBorders>
              <w:top w:val="nil"/>
              <w:left w:val="nil"/>
              <w:bottom w:val="single" w:sz="4" w:space="0" w:color="auto"/>
              <w:right w:val="nil"/>
            </w:tcBorders>
            <w:shd w:val="clear" w:color="000000" w:fill="FFFFFF"/>
            <w:noWrap/>
            <w:vAlign w:val="bottom"/>
            <w:hideMark/>
          </w:tcPr>
          <w:p w14:paraId="64741EF8" w14:textId="77777777" w:rsidR="00E57A11" w:rsidRPr="00DA1D07" w:rsidRDefault="00E57A11" w:rsidP="002753C1">
            <w:pPr>
              <w:spacing w:after="0" w:line="240" w:lineRule="auto"/>
              <w:jc w:val="center"/>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Yes</w:t>
            </w:r>
          </w:p>
        </w:tc>
      </w:tr>
    </w:tbl>
    <w:p w14:paraId="36C274AE" w14:textId="77777777" w:rsidR="00E57A11" w:rsidRPr="00DA1D07" w:rsidRDefault="00E57A11" w:rsidP="00E57A11">
      <w:pPr>
        <w:rPr>
          <w:lang w:val="en-US"/>
        </w:rPr>
      </w:pPr>
    </w:p>
    <w:p w14:paraId="5D03025D" w14:textId="77777777" w:rsidR="00E57A11" w:rsidRPr="00DA1D07" w:rsidRDefault="00E57A11" w:rsidP="00E57A11">
      <w:pPr>
        <w:spacing w:line="240" w:lineRule="auto"/>
        <w:jc w:val="center"/>
        <w:rPr>
          <w:rFonts w:asciiTheme="majorBidi" w:eastAsia="Times New Roman" w:hAnsiTheme="majorBidi" w:cstheme="majorBidi"/>
          <w:b/>
          <w:bCs/>
          <w:sz w:val="24"/>
          <w:szCs w:val="24"/>
          <w:lang w:val="en-US"/>
        </w:rPr>
      </w:pPr>
    </w:p>
    <w:p w14:paraId="577E8ABE" w14:textId="77777777" w:rsidR="00E57A11" w:rsidRPr="00DA1D07" w:rsidRDefault="00E57A11" w:rsidP="00E57A11">
      <w:pPr>
        <w:spacing w:line="240" w:lineRule="auto"/>
        <w:jc w:val="center"/>
        <w:rPr>
          <w:rFonts w:asciiTheme="majorBidi" w:eastAsia="Times New Roman" w:hAnsiTheme="majorBidi" w:cstheme="majorBidi"/>
          <w:b/>
          <w:bCs/>
          <w:sz w:val="24"/>
          <w:szCs w:val="24"/>
          <w:lang w:val="en-US"/>
        </w:rPr>
        <w:sectPr w:rsidR="00E57A11" w:rsidRPr="00DA1D07" w:rsidSect="00B437C7">
          <w:pgSz w:w="11906" w:h="16838"/>
          <w:pgMar w:top="1276" w:right="1440" w:bottom="1440" w:left="1440" w:header="708" w:footer="708" w:gutter="0"/>
          <w:cols w:space="708"/>
          <w:docGrid w:linePitch="360"/>
        </w:sectPr>
      </w:pPr>
    </w:p>
    <w:p w14:paraId="2C9D7683" w14:textId="74DD0EB8" w:rsidR="00E57A11" w:rsidRPr="00DA1D07" w:rsidRDefault="00E57A11" w:rsidP="00E57A11">
      <w:pPr>
        <w:jc w:val="center"/>
        <w:rPr>
          <w:rFonts w:ascii="Times New Roman" w:hAnsi="Times New Roman" w:cs="Times New Roman"/>
          <w:b/>
          <w:bCs/>
          <w:sz w:val="24"/>
          <w:szCs w:val="24"/>
          <w:lang w:val="en-US"/>
        </w:rPr>
      </w:pPr>
      <w:r w:rsidRPr="00DA1D07">
        <w:rPr>
          <w:rFonts w:ascii="Times New Roman" w:hAnsi="Times New Roman" w:cs="Times New Roman"/>
          <w:b/>
          <w:bCs/>
          <w:sz w:val="24"/>
          <w:szCs w:val="24"/>
          <w:lang w:val="en-US"/>
        </w:rPr>
        <w:lastRenderedPageBreak/>
        <w:t xml:space="preserve">TABLE </w:t>
      </w:r>
      <w:r w:rsidR="00A85564">
        <w:rPr>
          <w:rFonts w:ascii="Times New Roman" w:hAnsi="Times New Roman" w:cs="Times New Roman"/>
          <w:b/>
          <w:bCs/>
          <w:sz w:val="24"/>
          <w:szCs w:val="24"/>
          <w:lang w:val="en-US"/>
        </w:rPr>
        <w:t>8</w:t>
      </w:r>
    </w:p>
    <w:p w14:paraId="2FD8511D" w14:textId="77777777" w:rsidR="00E57A11" w:rsidRPr="00DA1D07" w:rsidRDefault="00E57A11" w:rsidP="00E57A11">
      <w:pPr>
        <w:spacing w:line="240" w:lineRule="auto"/>
        <w:jc w:val="center"/>
        <w:rPr>
          <w:rFonts w:asciiTheme="majorBidi" w:eastAsia="Times New Roman" w:hAnsiTheme="majorBidi" w:cstheme="majorBidi"/>
          <w:b/>
          <w:bCs/>
          <w:sz w:val="24"/>
          <w:szCs w:val="24"/>
          <w:lang w:val="en-US"/>
        </w:rPr>
      </w:pPr>
      <w:r w:rsidRPr="00DA1D07">
        <w:rPr>
          <w:rFonts w:ascii="Times New Roman" w:hAnsi="Times New Roman" w:cs="Times New Roman"/>
          <w:b/>
          <w:bCs/>
          <w:sz w:val="24"/>
          <w:szCs w:val="24"/>
          <w:lang w:val="en-US"/>
        </w:rPr>
        <w:t>Direct Mechanism: Cuts to Abnormal Discretionary Expenses</w:t>
      </w:r>
    </w:p>
    <w:p w14:paraId="18AC90FE" w14:textId="4F435E7B" w:rsidR="00E57A11" w:rsidRPr="00DA1D07" w:rsidRDefault="00E57A11" w:rsidP="00E57A11">
      <w:pPr>
        <w:spacing w:line="240" w:lineRule="auto"/>
        <w:jc w:val="both"/>
        <w:rPr>
          <w:rFonts w:asciiTheme="majorBidi" w:eastAsia="Times New Roman" w:hAnsiTheme="majorBidi" w:cstheme="majorBidi"/>
          <w:sz w:val="24"/>
          <w:szCs w:val="24"/>
          <w:lang w:val="en-US"/>
        </w:rPr>
      </w:pPr>
      <w:r w:rsidRPr="00DA1D07">
        <w:rPr>
          <w:rFonts w:asciiTheme="majorBidi" w:eastAsia="Times New Roman" w:hAnsiTheme="majorBidi" w:cstheme="majorBidi"/>
          <w:sz w:val="24"/>
          <w:szCs w:val="24"/>
          <w:lang w:val="en-US"/>
        </w:rPr>
        <w:t>This table reports the estimation results from OLS regressions</w:t>
      </w:r>
      <w:r w:rsidR="007F3929">
        <w:rPr>
          <w:rFonts w:asciiTheme="majorBidi" w:eastAsia="Times New Roman" w:hAnsiTheme="majorBidi" w:cstheme="majorBidi"/>
          <w:sz w:val="24"/>
          <w:szCs w:val="24"/>
          <w:lang w:val="en-US"/>
        </w:rPr>
        <w:t>.</w:t>
      </w:r>
      <w:r w:rsidRPr="00DA1D07">
        <w:rPr>
          <w:rFonts w:asciiTheme="majorBidi" w:eastAsia="Times New Roman" w:hAnsiTheme="majorBidi" w:cstheme="majorBidi"/>
          <w:sz w:val="24"/>
          <w:szCs w:val="24"/>
          <w:lang w:val="en-US"/>
        </w:rPr>
        <w:t xml:space="preserve"> </w:t>
      </w:r>
      <w:r w:rsidR="007F3929">
        <w:rPr>
          <w:rFonts w:asciiTheme="majorBidi" w:eastAsia="Times New Roman" w:hAnsiTheme="majorBidi" w:cstheme="majorBidi"/>
          <w:sz w:val="24"/>
          <w:szCs w:val="24"/>
          <w:lang w:val="en-US"/>
        </w:rPr>
        <w:t>T</w:t>
      </w:r>
      <w:r w:rsidRPr="00DA1D07">
        <w:rPr>
          <w:rFonts w:asciiTheme="majorBidi" w:eastAsia="Times New Roman" w:hAnsiTheme="majorBidi" w:cstheme="majorBidi"/>
          <w:sz w:val="24"/>
          <w:szCs w:val="24"/>
          <w:lang w:val="en-US"/>
        </w:rPr>
        <w:t xml:space="preserve">he dependent variable in model (1) is the natural logarithm of </w:t>
      </w:r>
      <w:r w:rsidR="007F3929">
        <w:rPr>
          <w:rFonts w:asciiTheme="majorBidi" w:eastAsia="Times New Roman" w:hAnsiTheme="majorBidi" w:cstheme="majorBidi"/>
          <w:sz w:val="24"/>
          <w:szCs w:val="24"/>
          <w:lang w:val="en-US"/>
        </w:rPr>
        <w:t>the</w:t>
      </w:r>
      <w:r w:rsidRPr="00DA1D07">
        <w:rPr>
          <w:rFonts w:asciiTheme="majorBidi" w:eastAsia="Times New Roman" w:hAnsiTheme="majorBidi" w:cstheme="majorBidi"/>
          <w:sz w:val="24"/>
          <w:szCs w:val="24"/>
          <w:lang w:val="en-US"/>
        </w:rPr>
        <w:t xml:space="preserve"> number of violations</w:t>
      </w:r>
      <w:r w:rsidR="007F3929">
        <w:rPr>
          <w:rFonts w:asciiTheme="majorBidi" w:eastAsia="Times New Roman" w:hAnsiTheme="majorBidi" w:cstheme="majorBidi"/>
          <w:sz w:val="24"/>
          <w:szCs w:val="24"/>
          <w:lang w:val="en-US"/>
        </w:rPr>
        <w:t>,</w:t>
      </w:r>
      <w:r w:rsidRPr="00DA1D07">
        <w:rPr>
          <w:rFonts w:asciiTheme="majorBidi" w:eastAsia="Times New Roman" w:hAnsiTheme="majorBidi" w:cstheme="majorBidi"/>
          <w:sz w:val="24"/>
          <w:szCs w:val="24"/>
          <w:lang w:val="en-US"/>
        </w:rPr>
        <w:t xml:space="preserve"> and in model (2) </w:t>
      </w:r>
      <w:r w:rsidR="007F3929">
        <w:rPr>
          <w:rFonts w:asciiTheme="majorBidi" w:eastAsia="Times New Roman" w:hAnsiTheme="majorBidi" w:cstheme="majorBidi"/>
          <w:sz w:val="24"/>
          <w:szCs w:val="24"/>
          <w:lang w:val="en-US"/>
        </w:rPr>
        <w:t xml:space="preserve">is </w:t>
      </w:r>
      <w:r w:rsidRPr="00DA1D07">
        <w:rPr>
          <w:rFonts w:asciiTheme="majorBidi" w:eastAsia="Times New Roman" w:hAnsiTheme="majorBidi" w:cstheme="majorBidi"/>
          <w:sz w:val="24"/>
          <w:szCs w:val="24"/>
          <w:lang w:val="en-US"/>
        </w:rPr>
        <w:t xml:space="preserve">the natural logarithm of penalty values. </w:t>
      </w:r>
      <w:proofErr w:type="spellStart"/>
      <w:r w:rsidRPr="00DA1D07">
        <w:rPr>
          <w:rFonts w:asciiTheme="majorBidi" w:eastAsia="Times New Roman" w:hAnsiTheme="majorBidi" w:cstheme="majorBidi"/>
          <w:i/>
          <w:iCs/>
          <w:sz w:val="24"/>
          <w:szCs w:val="24"/>
          <w:lang w:val="en-US"/>
        </w:rPr>
        <w:t>AbDiscExpCuts</w:t>
      </w:r>
      <w:proofErr w:type="spellEnd"/>
      <w:r w:rsidRPr="00DA1D07">
        <w:rPr>
          <w:rFonts w:asciiTheme="majorBidi" w:eastAsia="Times New Roman" w:hAnsiTheme="majorBidi" w:cstheme="majorBidi"/>
          <w:sz w:val="24"/>
          <w:szCs w:val="24"/>
          <w:lang w:val="en-US"/>
        </w:rPr>
        <w:t xml:space="preserve"> is an inverse of abnormal discretionary expenses calculated following Caskey and Ozel (2017). </w:t>
      </w:r>
      <w:r w:rsidR="007B6B48" w:rsidRPr="00DA1D07">
        <w:rPr>
          <w:rFonts w:ascii="Times New Roman" w:eastAsia="Times New Roman" w:hAnsi="Times New Roman" w:cs="Times New Roman"/>
          <w:i/>
          <w:iCs/>
          <w:color w:val="000000"/>
          <w:sz w:val="24"/>
          <w:szCs w:val="24"/>
          <w:lang w:val="en-US" w:eastAsia="en-GB"/>
        </w:rPr>
        <w:t>Leverage,</w:t>
      </w:r>
      <w:r w:rsidR="007B6B48">
        <w:rPr>
          <w:rFonts w:ascii="Times New Roman" w:eastAsia="Times New Roman" w:hAnsi="Times New Roman" w:cs="Times New Roman"/>
          <w:i/>
          <w:iCs/>
          <w:color w:val="000000"/>
          <w:sz w:val="24"/>
          <w:szCs w:val="24"/>
          <w:lang w:val="en-US" w:eastAsia="en-GB"/>
        </w:rPr>
        <w:t xml:space="preserve"> </w:t>
      </w:r>
      <w:proofErr w:type="spellStart"/>
      <w:r w:rsidR="007B6B48" w:rsidRPr="00DA1D07">
        <w:rPr>
          <w:rFonts w:asciiTheme="majorBidi" w:eastAsia="Times New Roman" w:hAnsiTheme="majorBidi" w:cstheme="majorBidi"/>
          <w:i/>
          <w:iCs/>
          <w:color w:val="000000"/>
          <w:sz w:val="24"/>
          <w:szCs w:val="24"/>
          <w:lang w:val="en-US" w:eastAsia="en-GB"/>
        </w:rPr>
        <w:t>FirmSize</w:t>
      </w:r>
      <w:proofErr w:type="spellEnd"/>
      <w:r w:rsidR="007B6B48">
        <w:rPr>
          <w:rFonts w:asciiTheme="majorBidi" w:eastAsia="Times New Roman" w:hAnsiTheme="majorBidi" w:cstheme="majorBidi"/>
          <w:i/>
          <w:iCs/>
          <w:color w:val="000000"/>
          <w:sz w:val="24"/>
          <w:szCs w:val="24"/>
          <w:lang w:val="en-US" w:eastAsia="en-GB"/>
        </w:rPr>
        <w:t>,</w:t>
      </w:r>
      <w:r w:rsidR="007B6B48" w:rsidRPr="00DA1D07">
        <w:rPr>
          <w:rFonts w:ascii="Times New Roman" w:eastAsia="Times New Roman" w:hAnsi="Times New Roman" w:cs="Times New Roman"/>
          <w:i/>
          <w:iCs/>
          <w:color w:val="000000"/>
          <w:sz w:val="24"/>
          <w:szCs w:val="24"/>
          <w:lang w:val="en-US" w:eastAsia="en-GB"/>
        </w:rPr>
        <w:t xml:space="preserve"> Employees, Market-to-Book</w:t>
      </w:r>
      <w:r w:rsidR="007B6B48" w:rsidRPr="00DA1D07">
        <w:rPr>
          <w:rFonts w:ascii="Times New Roman" w:eastAsia="Times New Roman" w:hAnsi="Times New Roman" w:cs="Times New Roman"/>
          <w:color w:val="000000"/>
          <w:sz w:val="24"/>
          <w:szCs w:val="24"/>
          <w:lang w:val="en-US" w:eastAsia="en-GB"/>
        </w:rPr>
        <w:t xml:space="preserve">, and </w:t>
      </w:r>
      <w:r w:rsidR="007B6B48" w:rsidRPr="00DA1D07">
        <w:rPr>
          <w:rFonts w:ascii="Times New Roman" w:eastAsia="Times New Roman" w:hAnsi="Times New Roman" w:cs="Times New Roman"/>
          <w:i/>
          <w:iCs/>
          <w:color w:val="000000"/>
          <w:sz w:val="24"/>
          <w:szCs w:val="24"/>
          <w:lang w:val="en-US" w:eastAsia="en-GB"/>
        </w:rPr>
        <w:t>Tangibility</w:t>
      </w:r>
      <w:r w:rsidR="007B6B48" w:rsidRPr="00DA1D07">
        <w:rPr>
          <w:rFonts w:ascii="Times New Roman" w:eastAsia="Times New Roman" w:hAnsi="Times New Roman" w:cs="Times New Roman"/>
          <w:color w:val="000000"/>
          <w:sz w:val="24"/>
          <w:szCs w:val="24"/>
          <w:lang w:val="en-US" w:eastAsia="en-GB"/>
        </w:rPr>
        <w:t xml:space="preserve"> are lagged </w:t>
      </w:r>
      <w:r w:rsidR="007F3929">
        <w:rPr>
          <w:rFonts w:ascii="Times New Roman" w:eastAsia="Times New Roman" w:hAnsi="Times New Roman" w:cs="Times New Roman"/>
          <w:color w:val="000000"/>
          <w:sz w:val="24"/>
          <w:szCs w:val="24"/>
          <w:lang w:val="en-US" w:eastAsia="en-GB"/>
        </w:rPr>
        <w:t xml:space="preserve">by </w:t>
      </w:r>
      <w:r w:rsidR="007B6B48" w:rsidRPr="00DA1D07">
        <w:rPr>
          <w:rFonts w:ascii="Times New Roman" w:eastAsia="Times New Roman" w:hAnsi="Times New Roman" w:cs="Times New Roman"/>
          <w:color w:val="000000"/>
          <w:sz w:val="24"/>
          <w:szCs w:val="24"/>
          <w:lang w:val="en-US" w:eastAsia="en-GB"/>
        </w:rPr>
        <w:t xml:space="preserve">one year, while </w:t>
      </w:r>
      <w:proofErr w:type="spellStart"/>
      <w:r w:rsidR="007B6B48" w:rsidRPr="00DA1D07">
        <w:rPr>
          <w:rFonts w:ascii="Times New Roman" w:eastAsia="Times New Roman" w:hAnsi="Times New Roman" w:cs="Times New Roman"/>
          <w:i/>
          <w:iCs/>
          <w:color w:val="000000"/>
          <w:sz w:val="24"/>
          <w:szCs w:val="24"/>
          <w:lang w:val="en-US" w:eastAsia="en-GB"/>
        </w:rPr>
        <w:t>CashFlow</w:t>
      </w:r>
      <w:proofErr w:type="spellEnd"/>
      <w:r w:rsidR="007B6B48" w:rsidRPr="00DA1D07">
        <w:rPr>
          <w:rFonts w:ascii="Times New Roman" w:eastAsia="Times New Roman" w:hAnsi="Times New Roman" w:cs="Times New Roman"/>
          <w:i/>
          <w:iCs/>
          <w:color w:val="000000"/>
          <w:sz w:val="24"/>
          <w:szCs w:val="24"/>
          <w:lang w:val="en-US" w:eastAsia="en-GB"/>
        </w:rPr>
        <w:t xml:space="preserve">, </w:t>
      </w:r>
      <w:proofErr w:type="spellStart"/>
      <w:r w:rsidR="007B6B48" w:rsidRPr="00DA1D07">
        <w:rPr>
          <w:rFonts w:ascii="Times New Roman" w:eastAsia="Times New Roman" w:hAnsi="Times New Roman" w:cs="Times New Roman"/>
          <w:i/>
          <w:iCs/>
          <w:color w:val="000000"/>
          <w:sz w:val="24"/>
          <w:szCs w:val="24"/>
          <w:lang w:val="en-US" w:eastAsia="en-GB"/>
        </w:rPr>
        <w:t>DividendsPayout</w:t>
      </w:r>
      <w:proofErr w:type="spellEnd"/>
      <w:r w:rsidR="007B6B48" w:rsidRPr="00DA1D07">
        <w:rPr>
          <w:rFonts w:ascii="Times New Roman" w:eastAsia="Times New Roman" w:hAnsi="Times New Roman" w:cs="Times New Roman"/>
          <w:i/>
          <w:iCs/>
          <w:color w:val="000000"/>
          <w:sz w:val="24"/>
          <w:szCs w:val="24"/>
          <w:lang w:val="en-US" w:eastAsia="en-GB"/>
        </w:rPr>
        <w:t xml:space="preserve">, </w:t>
      </w:r>
      <w:proofErr w:type="spellStart"/>
      <w:r w:rsidR="007B6B48" w:rsidRPr="00DA1D07">
        <w:rPr>
          <w:rFonts w:ascii="Times New Roman" w:eastAsia="Times New Roman" w:hAnsi="Times New Roman" w:cs="Times New Roman"/>
          <w:i/>
          <w:iCs/>
          <w:color w:val="000000"/>
          <w:sz w:val="24"/>
          <w:szCs w:val="24"/>
          <w:lang w:val="en-US" w:eastAsia="en-GB"/>
        </w:rPr>
        <w:t>AssetTurnover</w:t>
      </w:r>
      <w:proofErr w:type="spellEnd"/>
      <w:r w:rsidR="007B6B48" w:rsidRPr="00DA1D07">
        <w:rPr>
          <w:rFonts w:ascii="Times New Roman" w:eastAsia="Times New Roman" w:hAnsi="Times New Roman" w:cs="Times New Roman"/>
          <w:i/>
          <w:iCs/>
          <w:color w:val="000000"/>
          <w:sz w:val="24"/>
          <w:szCs w:val="24"/>
          <w:lang w:val="en-US" w:eastAsia="en-GB"/>
        </w:rPr>
        <w:t xml:space="preserve">, Capex, RET, </w:t>
      </w:r>
      <w:proofErr w:type="spellStart"/>
      <w:r w:rsidR="007B6B48" w:rsidRPr="00DA1D07">
        <w:rPr>
          <w:rFonts w:ascii="Times New Roman" w:eastAsia="Times New Roman" w:hAnsi="Times New Roman" w:cs="Times New Roman"/>
          <w:i/>
          <w:iCs/>
          <w:color w:val="000000"/>
          <w:sz w:val="24"/>
          <w:szCs w:val="24"/>
          <w:lang w:val="en-US" w:eastAsia="en-GB"/>
        </w:rPr>
        <w:t>CEOage</w:t>
      </w:r>
      <w:proofErr w:type="spellEnd"/>
      <w:r w:rsidR="00155940">
        <w:rPr>
          <w:rFonts w:ascii="Times New Roman" w:eastAsia="Times New Roman" w:hAnsi="Times New Roman" w:cs="Times New Roman"/>
          <w:i/>
          <w:iCs/>
          <w:color w:val="000000"/>
          <w:sz w:val="24"/>
          <w:szCs w:val="24"/>
          <w:lang w:val="en-US" w:eastAsia="en-GB"/>
        </w:rPr>
        <w:t>,</w:t>
      </w:r>
      <w:r w:rsidR="007B6B48" w:rsidRPr="00DA1D07">
        <w:rPr>
          <w:rFonts w:ascii="Times New Roman" w:eastAsia="Times New Roman" w:hAnsi="Times New Roman" w:cs="Times New Roman"/>
          <w:color w:val="000000"/>
          <w:sz w:val="24"/>
          <w:szCs w:val="24"/>
          <w:lang w:val="en-US" w:eastAsia="en-GB"/>
        </w:rPr>
        <w:t xml:space="preserve"> and </w:t>
      </w:r>
      <w:proofErr w:type="spellStart"/>
      <w:r w:rsidR="007B6B48" w:rsidRPr="00DA1D07">
        <w:rPr>
          <w:rFonts w:ascii="Times New Roman" w:eastAsia="Times New Roman" w:hAnsi="Times New Roman" w:cs="Times New Roman"/>
          <w:i/>
          <w:iCs/>
          <w:color w:val="000000"/>
          <w:sz w:val="24"/>
          <w:szCs w:val="24"/>
          <w:lang w:val="en-US" w:eastAsia="en-GB"/>
        </w:rPr>
        <w:t>CEOtenure</w:t>
      </w:r>
      <w:proofErr w:type="spellEnd"/>
      <w:r w:rsidR="007B6B48" w:rsidRPr="00DA1D07">
        <w:rPr>
          <w:rFonts w:ascii="Times New Roman" w:eastAsia="Times New Roman" w:hAnsi="Times New Roman" w:cs="Times New Roman"/>
          <w:color w:val="000000"/>
          <w:sz w:val="24"/>
          <w:szCs w:val="24"/>
          <w:lang w:val="en-US" w:eastAsia="en-GB"/>
        </w:rPr>
        <w:t xml:space="preserve"> are measured contemporaneously.</w:t>
      </w:r>
      <w:r w:rsidR="007B6B48">
        <w:rPr>
          <w:rFonts w:asciiTheme="majorBidi" w:eastAsia="Times New Roman" w:hAnsiTheme="majorBidi" w:cstheme="majorBidi"/>
          <w:sz w:val="24"/>
          <w:szCs w:val="24"/>
          <w:lang w:val="en-US"/>
        </w:rPr>
        <w:t xml:space="preserve"> </w:t>
      </w:r>
      <w:r w:rsidRPr="00DA1D07">
        <w:rPr>
          <w:rFonts w:asciiTheme="majorBidi" w:eastAsia="Times New Roman" w:hAnsiTheme="majorBidi" w:cstheme="majorBidi"/>
          <w:sz w:val="24"/>
          <w:szCs w:val="24"/>
          <w:lang w:val="en-US"/>
        </w:rPr>
        <w:t xml:space="preserve">All models include year firm and fixed effects. </w:t>
      </w:r>
      <w:r w:rsidR="007F3929">
        <w:rPr>
          <w:rFonts w:asciiTheme="majorBidi" w:eastAsia="Times New Roman" w:hAnsiTheme="majorBidi" w:cstheme="majorBidi"/>
          <w:sz w:val="24"/>
          <w:szCs w:val="24"/>
          <w:lang w:val="en-US"/>
        </w:rPr>
        <w:t>D</w:t>
      </w:r>
      <w:r w:rsidRPr="00DA1D07">
        <w:rPr>
          <w:rFonts w:asciiTheme="majorBidi" w:eastAsia="Times New Roman" w:hAnsiTheme="majorBidi" w:cstheme="majorBidi"/>
          <w:sz w:val="24"/>
          <w:szCs w:val="24"/>
          <w:lang w:val="en-US"/>
        </w:rPr>
        <w:t xml:space="preserve">efinitions of all variables are provided in Appendix </w:t>
      </w:r>
      <w:r w:rsidR="006B635B">
        <w:rPr>
          <w:rFonts w:asciiTheme="majorBidi" w:eastAsia="Times New Roman" w:hAnsiTheme="majorBidi" w:cstheme="majorBidi"/>
          <w:sz w:val="24"/>
          <w:szCs w:val="24"/>
          <w:lang w:val="en-US"/>
        </w:rPr>
        <w:t>1</w:t>
      </w:r>
      <w:r w:rsidRPr="00DA1D07">
        <w:rPr>
          <w:rFonts w:asciiTheme="majorBidi" w:eastAsia="Times New Roman" w:hAnsiTheme="majorBidi" w:cstheme="majorBidi"/>
          <w:sz w:val="24"/>
          <w:szCs w:val="24"/>
          <w:lang w:val="en-US"/>
        </w:rPr>
        <w:t>. The values reported in parentheses below coefficients represent t-statistics. Standard errors are clustered at the firm level. *, **, *** represent significance at 1</w:t>
      </w:r>
      <w:r w:rsidR="007F3929">
        <w:rPr>
          <w:rFonts w:asciiTheme="majorBidi" w:eastAsia="Times New Roman" w:hAnsiTheme="majorBidi" w:cstheme="majorBidi"/>
          <w:sz w:val="24"/>
          <w:szCs w:val="24"/>
          <w:lang w:val="en-US"/>
        </w:rPr>
        <w:t>0</w:t>
      </w:r>
      <w:r w:rsidRPr="00DA1D07">
        <w:rPr>
          <w:rFonts w:asciiTheme="majorBidi" w:eastAsia="Times New Roman" w:hAnsiTheme="majorBidi" w:cstheme="majorBidi"/>
          <w:sz w:val="24"/>
          <w:szCs w:val="24"/>
          <w:lang w:val="en-US"/>
        </w:rPr>
        <w:t xml:space="preserve">%, 5%, and 1% respectively.  </w:t>
      </w:r>
    </w:p>
    <w:tbl>
      <w:tblPr>
        <w:tblW w:w="5000" w:type="pct"/>
        <w:jc w:val="center"/>
        <w:tblLook w:val="04A0" w:firstRow="1" w:lastRow="0" w:firstColumn="1" w:lastColumn="0" w:noHBand="0" w:noVBand="1"/>
      </w:tblPr>
      <w:tblGrid>
        <w:gridCol w:w="4336"/>
        <w:gridCol w:w="2509"/>
        <w:gridCol w:w="2181"/>
      </w:tblGrid>
      <w:tr w:rsidR="00E57A11" w:rsidRPr="00F62082" w14:paraId="5CC08539" w14:textId="77777777" w:rsidTr="007B6B48">
        <w:trPr>
          <w:jc w:val="center"/>
        </w:trPr>
        <w:tc>
          <w:tcPr>
            <w:tcW w:w="2402" w:type="pct"/>
            <w:tcBorders>
              <w:top w:val="single" w:sz="4" w:space="0" w:color="auto"/>
              <w:left w:val="nil"/>
              <w:bottom w:val="nil"/>
              <w:right w:val="nil"/>
            </w:tcBorders>
            <w:shd w:val="clear" w:color="000000" w:fill="FFFFFF"/>
            <w:noWrap/>
            <w:vAlign w:val="bottom"/>
            <w:hideMark/>
          </w:tcPr>
          <w:p w14:paraId="2F431061" w14:textId="77777777" w:rsidR="00E57A11" w:rsidRPr="00DA1D07" w:rsidRDefault="00E57A11" w:rsidP="002753C1">
            <w:pPr>
              <w:spacing w:after="0" w:line="240" w:lineRule="auto"/>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 </w:t>
            </w:r>
          </w:p>
        </w:tc>
        <w:tc>
          <w:tcPr>
            <w:tcW w:w="1390" w:type="pct"/>
            <w:tcBorders>
              <w:top w:val="single" w:sz="4" w:space="0" w:color="auto"/>
              <w:left w:val="nil"/>
              <w:bottom w:val="nil"/>
              <w:right w:val="nil"/>
            </w:tcBorders>
            <w:shd w:val="clear" w:color="000000" w:fill="FFFFFF"/>
            <w:noWrap/>
            <w:vAlign w:val="bottom"/>
            <w:hideMark/>
          </w:tcPr>
          <w:p w14:paraId="3AD8243E" w14:textId="77777777" w:rsidR="00E57A11" w:rsidRPr="00306538" w:rsidRDefault="00E57A11" w:rsidP="002753C1">
            <w:pPr>
              <w:spacing w:after="0" w:line="240" w:lineRule="auto"/>
              <w:jc w:val="center"/>
              <w:rPr>
                <w:rFonts w:asciiTheme="majorBidi" w:eastAsia="Times New Roman" w:hAnsiTheme="majorBidi" w:cstheme="majorBidi"/>
                <w:iCs/>
                <w:color w:val="000000"/>
                <w:sz w:val="24"/>
                <w:szCs w:val="24"/>
                <w:lang w:val="en-US" w:eastAsia="en-GB"/>
              </w:rPr>
            </w:pPr>
            <w:r w:rsidRPr="00306538">
              <w:rPr>
                <w:rFonts w:asciiTheme="majorBidi" w:eastAsia="Times New Roman" w:hAnsiTheme="majorBidi" w:cstheme="majorBidi"/>
                <w:iCs/>
                <w:color w:val="000000"/>
                <w:sz w:val="24"/>
                <w:szCs w:val="24"/>
                <w:lang w:val="en-US" w:eastAsia="en-GB"/>
              </w:rPr>
              <w:t>(1)</w:t>
            </w:r>
          </w:p>
        </w:tc>
        <w:tc>
          <w:tcPr>
            <w:tcW w:w="1208" w:type="pct"/>
            <w:tcBorders>
              <w:top w:val="single" w:sz="4" w:space="0" w:color="auto"/>
              <w:left w:val="nil"/>
              <w:bottom w:val="nil"/>
              <w:right w:val="nil"/>
            </w:tcBorders>
            <w:shd w:val="clear" w:color="000000" w:fill="FFFFFF"/>
            <w:noWrap/>
            <w:vAlign w:val="bottom"/>
            <w:hideMark/>
          </w:tcPr>
          <w:p w14:paraId="10F3318C" w14:textId="77777777" w:rsidR="00E57A11" w:rsidRPr="00306538" w:rsidRDefault="00E57A11" w:rsidP="002753C1">
            <w:pPr>
              <w:spacing w:after="0" w:line="240" w:lineRule="auto"/>
              <w:jc w:val="center"/>
              <w:rPr>
                <w:rFonts w:asciiTheme="majorBidi" w:eastAsia="Times New Roman" w:hAnsiTheme="majorBidi" w:cstheme="majorBidi"/>
                <w:iCs/>
                <w:color w:val="000000"/>
                <w:sz w:val="24"/>
                <w:szCs w:val="24"/>
                <w:lang w:val="en-US" w:eastAsia="en-GB"/>
              </w:rPr>
            </w:pPr>
            <w:r w:rsidRPr="00306538">
              <w:rPr>
                <w:rFonts w:asciiTheme="majorBidi" w:eastAsia="Times New Roman" w:hAnsiTheme="majorBidi" w:cstheme="majorBidi"/>
                <w:iCs/>
                <w:color w:val="000000"/>
                <w:sz w:val="24"/>
                <w:szCs w:val="24"/>
                <w:lang w:val="en-US" w:eastAsia="en-GB"/>
              </w:rPr>
              <w:t>(2)</w:t>
            </w:r>
          </w:p>
        </w:tc>
      </w:tr>
      <w:tr w:rsidR="00E57A11" w:rsidRPr="00F62082" w14:paraId="5BC7A69D" w14:textId="77777777" w:rsidTr="007B6B48">
        <w:trPr>
          <w:jc w:val="center"/>
        </w:trPr>
        <w:tc>
          <w:tcPr>
            <w:tcW w:w="2402" w:type="pct"/>
            <w:tcBorders>
              <w:top w:val="nil"/>
              <w:left w:val="nil"/>
              <w:bottom w:val="single" w:sz="4" w:space="0" w:color="auto"/>
              <w:right w:val="nil"/>
            </w:tcBorders>
            <w:shd w:val="clear" w:color="000000" w:fill="FFFFFF"/>
            <w:vAlign w:val="center"/>
            <w:hideMark/>
          </w:tcPr>
          <w:p w14:paraId="60C3D2D7" w14:textId="77777777" w:rsidR="00E57A11" w:rsidRPr="00DA1D07" w:rsidRDefault="00E57A11" w:rsidP="00280DFC">
            <w:pPr>
              <w:spacing w:line="240" w:lineRule="auto"/>
              <w:rPr>
                <w:rFonts w:asciiTheme="majorBidi" w:eastAsia="Times New Roman" w:hAnsiTheme="majorBidi" w:cstheme="majorBidi"/>
                <w:i/>
                <w:iCs/>
                <w:color w:val="000000"/>
                <w:sz w:val="24"/>
                <w:szCs w:val="24"/>
                <w:lang w:val="en-US" w:eastAsia="en-GB"/>
              </w:rPr>
            </w:pPr>
          </w:p>
        </w:tc>
        <w:tc>
          <w:tcPr>
            <w:tcW w:w="1390" w:type="pct"/>
            <w:tcBorders>
              <w:top w:val="nil"/>
              <w:left w:val="nil"/>
              <w:bottom w:val="single" w:sz="4" w:space="0" w:color="auto"/>
              <w:right w:val="nil"/>
            </w:tcBorders>
            <w:shd w:val="clear" w:color="000000" w:fill="FFFFFF"/>
            <w:noWrap/>
            <w:hideMark/>
          </w:tcPr>
          <w:p w14:paraId="537C7AF7" w14:textId="77777777" w:rsidR="00E57A11" w:rsidRPr="00DA1D07" w:rsidRDefault="00E57A11" w:rsidP="00280DFC">
            <w:pPr>
              <w:spacing w:line="240" w:lineRule="auto"/>
              <w:jc w:val="center"/>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ln(Violations)</w:t>
            </w:r>
          </w:p>
        </w:tc>
        <w:tc>
          <w:tcPr>
            <w:tcW w:w="1208" w:type="pct"/>
            <w:tcBorders>
              <w:top w:val="nil"/>
              <w:left w:val="nil"/>
              <w:bottom w:val="single" w:sz="4" w:space="0" w:color="auto"/>
              <w:right w:val="nil"/>
            </w:tcBorders>
            <w:shd w:val="clear" w:color="000000" w:fill="FFFFFF"/>
            <w:noWrap/>
            <w:vAlign w:val="bottom"/>
            <w:hideMark/>
          </w:tcPr>
          <w:p w14:paraId="69862F0B" w14:textId="77777777" w:rsidR="00E57A11" w:rsidRPr="00DA1D07" w:rsidRDefault="00E57A11" w:rsidP="00280DFC">
            <w:pPr>
              <w:spacing w:line="240" w:lineRule="auto"/>
              <w:jc w:val="center"/>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ln(Penalties)</w:t>
            </w:r>
          </w:p>
        </w:tc>
      </w:tr>
      <w:tr w:rsidR="00E57A11" w:rsidRPr="00F62082" w14:paraId="05F562D4" w14:textId="77777777" w:rsidTr="007B6B48">
        <w:trPr>
          <w:jc w:val="center"/>
        </w:trPr>
        <w:tc>
          <w:tcPr>
            <w:tcW w:w="2402" w:type="pct"/>
            <w:tcBorders>
              <w:top w:val="single" w:sz="4" w:space="0" w:color="auto"/>
              <w:left w:val="nil"/>
              <w:bottom w:val="nil"/>
              <w:right w:val="nil"/>
            </w:tcBorders>
            <w:shd w:val="clear" w:color="000000" w:fill="auto"/>
            <w:noWrap/>
            <w:vAlign w:val="center"/>
            <w:hideMark/>
          </w:tcPr>
          <w:p w14:paraId="154FCB46"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Vega</w:t>
            </w:r>
          </w:p>
        </w:tc>
        <w:tc>
          <w:tcPr>
            <w:tcW w:w="1390" w:type="pct"/>
            <w:tcBorders>
              <w:top w:val="single" w:sz="4" w:space="0" w:color="auto"/>
              <w:left w:val="nil"/>
              <w:bottom w:val="nil"/>
              <w:right w:val="nil"/>
            </w:tcBorders>
            <w:shd w:val="clear" w:color="000000" w:fill="auto"/>
            <w:noWrap/>
            <w:vAlign w:val="bottom"/>
            <w:hideMark/>
          </w:tcPr>
          <w:p w14:paraId="31360809"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0.005</w:t>
            </w:r>
          </w:p>
        </w:tc>
        <w:tc>
          <w:tcPr>
            <w:tcW w:w="1208" w:type="pct"/>
            <w:tcBorders>
              <w:top w:val="single" w:sz="4" w:space="0" w:color="auto"/>
              <w:left w:val="nil"/>
              <w:bottom w:val="nil"/>
              <w:right w:val="nil"/>
            </w:tcBorders>
            <w:shd w:val="clear" w:color="000000" w:fill="auto"/>
            <w:noWrap/>
            <w:vAlign w:val="bottom"/>
            <w:hideMark/>
          </w:tcPr>
          <w:p w14:paraId="00DEFF50"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0.043</w:t>
            </w:r>
          </w:p>
        </w:tc>
      </w:tr>
      <w:tr w:rsidR="00E57A11" w:rsidRPr="00F62082" w14:paraId="38F93543" w14:textId="77777777" w:rsidTr="007B6B48">
        <w:trPr>
          <w:jc w:val="center"/>
        </w:trPr>
        <w:tc>
          <w:tcPr>
            <w:tcW w:w="2402" w:type="pct"/>
            <w:tcBorders>
              <w:top w:val="nil"/>
              <w:left w:val="nil"/>
              <w:bottom w:val="nil"/>
              <w:right w:val="nil"/>
            </w:tcBorders>
            <w:shd w:val="clear" w:color="000000" w:fill="auto"/>
            <w:noWrap/>
            <w:vAlign w:val="center"/>
            <w:hideMark/>
          </w:tcPr>
          <w:p w14:paraId="31DD0C6D"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 </w:t>
            </w:r>
          </w:p>
        </w:tc>
        <w:tc>
          <w:tcPr>
            <w:tcW w:w="1390" w:type="pct"/>
            <w:tcBorders>
              <w:top w:val="nil"/>
              <w:left w:val="nil"/>
              <w:bottom w:val="nil"/>
              <w:right w:val="nil"/>
            </w:tcBorders>
            <w:shd w:val="clear" w:color="000000" w:fill="auto"/>
            <w:noWrap/>
            <w:vAlign w:val="bottom"/>
            <w:hideMark/>
          </w:tcPr>
          <w:p w14:paraId="0832736C"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(1.43)</w:t>
            </w:r>
          </w:p>
        </w:tc>
        <w:tc>
          <w:tcPr>
            <w:tcW w:w="1208" w:type="pct"/>
            <w:tcBorders>
              <w:top w:val="nil"/>
              <w:left w:val="nil"/>
              <w:bottom w:val="nil"/>
              <w:right w:val="nil"/>
            </w:tcBorders>
            <w:shd w:val="clear" w:color="000000" w:fill="auto"/>
            <w:noWrap/>
            <w:vAlign w:val="bottom"/>
            <w:hideMark/>
          </w:tcPr>
          <w:p w14:paraId="1282A4CE"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(1.06)</w:t>
            </w:r>
          </w:p>
        </w:tc>
      </w:tr>
      <w:tr w:rsidR="00E57A11" w:rsidRPr="00F62082" w14:paraId="475B672E" w14:textId="77777777" w:rsidTr="007B6B48">
        <w:trPr>
          <w:jc w:val="center"/>
        </w:trPr>
        <w:tc>
          <w:tcPr>
            <w:tcW w:w="2402" w:type="pct"/>
            <w:tcBorders>
              <w:top w:val="nil"/>
              <w:left w:val="nil"/>
              <w:bottom w:val="nil"/>
              <w:right w:val="nil"/>
            </w:tcBorders>
            <w:shd w:val="clear" w:color="000000" w:fill="FFFFFF"/>
            <w:noWrap/>
            <w:vAlign w:val="bottom"/>
            <w:hideMark/>
          </w:tcPr>
          <w:p w14:paraId="4B7D12EF"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proofErr w:type="spellStart"/>
            <w:r w:rsidRPr="00DA1D07">
              <w:rPr>
                <w:rFonts w:asciiTheme="majorBidi" w:eastAsia="Times New Roman" w:hAnsiTheme="majorBidi" w:cstheme="majorBidi"/>
                <w:i/>
                <w:iCs/>
                <w:color w:val="000000"/>
                <w:sz w:val="24"/>
                <w:szCs w:val="24"/>
                <w:lang w:val="en-US" w:eastAsia="en-GB"/>
              </w:rPr>
              <w:t>AbDiscExpCuts</w:t>
            </w:r>
            <w:proofErr w:type="spellEnd"/>
          </w:p>
        </w:tc>
        <w:tc>
          <w:tcPr>
            <w:tcW w:w="1390" w:type="pct"/>
            <w:tcBorders>
              <w:top w:val="nil"/>
              <w:left w:val="nil"/>
              <w:bottom w:val="nil"/>
              <w:right w:val="nil"/>
            </w:tcBorders>
            <w:shd w:val="clear" w:color="000000" w:fill="FFFFFF"/>
            <w:noWrap/>
            <w:vAlign w:val="bottom"/>
            <w:hideMark/>
          </w:tcPr>
          <w:p w14:paraId="184C36D7"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-0.265**</w:t>
            </w:r>
          </w:p>
        </w:tc>
        <w:tc>
          <w:tcPr>
            <w:tcW w:w="1208" w:type="pct"/>
            <w:tcBorders>
              <w:top w:val="nil"/>
              <w:left w:val="nil"/>
              <w:bottom w:val="nil"/>
              <w:right w:val="nil"/>
            </w:tcBorders>
            <w:shd w:val="clear" w:color="000000" w:fill="FFFFFF"/>
            <w:noWrap/>
            <w:vAlign w:val="bottom"/>
            <w:hideMark/>
          </w:tcPr>
          <w:p w14:paraId="3EE08BAE"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-2.995***</w:t>
            </w:r>
          </w:p>
        </w:tc>
      </w:tr>
      <w:tr w:rsidR="00E57A11" w:rsidRPr="00F62082" w14:paraId="3BBA1154" w14:textId="77777777" w:rsidTr="007B6B48">
        <w:trPr>
          <w:jc w:val="center"/>
        </w:trPr>
        <w:tc>
          <w:tcPr>
            <w:tcW w:w="2402" w:type="pct"/>
            <w:tcBorders>
              <w:top w:val="nil"/>
              <w:left w:val="nil"/>
              <w:bottom w:val="nil"/>
              <w:right w:val="nil"/>
            </w:tcBorders>
            <w:shd w:val="clear" w:color="000000" w:fill="FFFFFF"/>
            <w:noWrap/>
            <w:vAlign w:val="bottom"/>
            <w:hideMark/>
          </w:tcPr>
          <w:p w14:paraId="189228CE" w14:textId="77777777" w:rsidR="00E57A11" w:rsidRPr="00DA1D07" w:rsidRDefault="00E57A11" w:rsidP="002753C1">
            <w:pPr>
              <w:spacing w:after="0" w:line="240" w:lineRule="auto"/>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 </w:t>
            </w:r>
          </w:p>
        </w:tc>
        <w:tc>
          <w:tcPr>
            <w:tcW w:w="1390" w:type="pct"/>
            <w:tcBorders>
              <w:top w:val="nil"/>
              <w:left w:val="nil"/>
              <w:bottom w:val="nil"/>
              <w:right w:val="nil"/>
            </w:tcBorders>
            <w:shd w:val="clear" w:color="000000" w:fill="FFFFFF"/>
            <w:noWrap/>
            <w:vAlign w:val="bottom"/>
            <w:hideMark/>
          </w:tcPr>
          <w:p w14:paraId="3A341930"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(-2.53)</w:t>
            </w:r>
          </w:p>
        </w:tc>
        <w:tc>
          <w:tcPr>
            <w:tcW w:w="1208" w:type="pct"/>
            <w:tcBorders>
              <w:top w:val="nil"/>
              <w:left w:val="nil"/>
              <w:bottom w:val="nil"/>
              <w:right w:val="nil"/>
            </w:tcBorders>
            <w:shd w:val="clear" w:color="000000" w:fill="FFFFFF"/>
            <w:noWrap/>
            <w:vAlign w:val="bottom"/>
            <w:hideMark/>
          </w:tcPr>
          <w:p w14:paraId="7BB722AC"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(-2.73)</w:t>
            </w:r>
          </w:p>
        </w:tc>
      </w:tr>
      <w:tr w:rsidR="00E57A11" w:rsidRPr="00F62082" w14:paraId="6C41B7E3" w14:textId="77777777" w:rsidTr="007B6B48">
        <w:trPr>
          <w:jc w:val="center"/>
        </w:trPr>
        <w:tc>
          <w:tcPr>
            <w:tcW w:w="2402" w:type="pct"/>
            <w:tcBorders>
              <w:top w:val="nil"/>
              <w:left w:val="nil"/>
              <w:bottom w:val="nil"/>
              <w:right w:val="nil"/>
            </w:tcBorders>
            <w:shd w:val="clear" w:color="auto" w:fill="D9D9D9" w:themeFill="background1" w:themeFillShade="D9"/>
            <w:noWrap/>
            <w:vAlign w:val="bottom"/>
            <w:hideMark/>
          </w:tcPr>
          <w:p w14:paraId="6C378C45"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Vega*</w:t>
            </w:r>
            <w:proofErr w:type="spellStart"/>
            <w:r w:rsidRPr="00DA1D07">
              <w:rPr>
                <w:rFonts w:asciiTheme="majorBidi" w:eastAsia="Times New Roman" w:hAnsiTheme="majorBidi" w:cstheme="majorBidi"/>
                <w:i/>
                <w:iCs/>
                <w:color w:val="000000"/>
                <w:sz w:val="24"/>
                <w:szCs w:val="24"/>
                <w:lang w:val="en-US" w:eastAsia="en-GB"/>
              </w:rPr>
              <w:t>AbDiscExpCuts</w:t>
            </w:r>
            <w:proofErr w:type="spellEnd"/>
          </w:p>
        </w:tc>
        <w:tc>
          <w:tcPr>
            <w:tcW w:w="1390" w:type="pct"/>
            <w:tcBorders>
              <w:top w:val="nil"/>
              <w:left w:val="nil"/>
              <w:bottom w:val="nil"/>
              <w:right w:val="nil"/>
            </w:tcBorders>
            <w:shd w:val="clear" w:color="auto" w:fill="D9D9D9" w:themeFill="background1" w:themeFillShade="D9"/>
            <w:noWrap/>
            <w:vAlign w:val="bottom"/>
            <w:hideMark/>
          </w:tcPr>
          <w:p w14:paraId="2A0D1B38"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0.067***</w:t>
            </w:r>
          </w:p>
        </w:tc>
        <w:tc>
          <w:tcPr>
            <w:tcW w:w="1208" w:type="pct"/>
            <w:tcBorders>
              <w:top w:val="nil"/>
              <w:left w:val="nil"/>
              <w:bottom w:val="nil"/>
              <w:right w:val="nil"/>
            </w:tcBorders>
            <w:shd w:val="clear" w:color="auto" w:fill="D9D9D9" w:themeFill="background1" w:themeFillShade="D9"/>
            <w:noWrap/>
            <w:vAlign w:val="bottom"/>
            <w:hideMark/>
          </w:tcPr>
          <w:p w14:paraId="53D9F967"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0.699***</w:t>
            </w:r>
          </w:p>
        </w:tc>
      </w:tr>
      <w:tr w:rsidR="00E57A11" w:rsidRPr="00F62082" w14:paraId="49AC181B" w14:textId="77777777" w:rsidTr="007B6B48">
        <w:trPr>
          <w:jc w:val="center"/>
        </w:trPr>
        <w:tc>
          <w:tcPr>
            <w:tcW w:w="2402" w:type="pct"/>
            <w:tcBorders>
              <w:top w:val="nil"/>
              <w:left w:val="nil"/>
              <w:bottom w:val="nil"/>
              <w:right w:val="nil"/>
            </w:tcBorders>
            <w:shd w:val="clear" w:color="auto" w:fill="D9D9D9" w:themeFill="background1" w:themeFillShade="D9"/>
            <w:noWrap/>
            <w:vAlign w:val="bottom"/>
            <w:hideMark/>
          </w:tcPr>
          <w:p w14:paraId="303866A4" w14:textId="77777777" w:rsidR="00E57A11" w:rsidRPr="00DA1D07" w:rsidRDefault="00E57A11" w:rsidP="002753C1">
            <w:pPr>
              <w:spacing w:after="0" w:line="240" w:lineRule="auto"/>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 </w:t>
            </w:r>
          </w:p>
        </w:tc>
        <w:tc>
          <w:tcPr>
            <w:tcW w:w="1390" w:type="pct"/>
            <w:tcBorders>
              <w:top w:val="nil"/>
              <w:left w:val="nil"/>
              <w:bottom w:val="nil"/>
              <w:right w:val="nil"/>
            </w:tcBorders>
            <w:shd w:val="clear" w:color="auto" w:fill="D9D9D9" w:themeFill="background1" w:themeFillShade="D9"/>
            <w:noWrap/>
            <w:vAlign w:val="bottom"/>
            <w:hideMark/>
          </w:tcPr>
          <w:p w14:paraId="7EC6800F"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(2.73)</w:t>
            </w:r>
          </w:p>
        </w:tc>
        <w:tc>
          <w:tcPr>
            <w:tcW w:w="1208" w:type="pct"/>
            <w:tcBorders>
              <w:top w:val="nil"/>
              <w:left w:val="nil"/>
              <w:bottom w:val="nil"/>
              <w:right w:val="nil"/>
            </w:tcBorders>
            <w:shd w:val="clear" w:color="auto" w:fill="D9D9D9" w:themeFill="background1" w:themeFillShade="D9"/>
            <w:noWrap/>
            <w:vAlign w:val="bottom"/>
            <w:hideMark/>
          </w:tcPr>
          <w:p w14:paraId="202BC187"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(3.02)</w:t>
            </w:r>
          </w:p>
        </w:tc>
      </w:tr>
      <w:tr w:rsidR="00E57A11" w:rsidRPr="00F62082" w14:paraId="03198F46" w14:textId="77777777" w:rsidTr="007B6B48">
        <w:trPr>
          <w:jc w:val="center"/>
        </w:trPr>
        <w:tc>
          <w:tcPr>
            <w:tcW w:w="2402" w:type="pct"/>
            <w:tcBorders>
              <w:top w:val="nil"/>
              <w:left w:val="nil"/>
              <w:bottom w:val="nil"/>
              <w:right w:val="nil"/>
            </w:tcBorders>
            <w:shd w:val="clear" w:color="000000" w:fill="FFFFFF"/>
            <w:noWrap/>
            <w:vAlign w:val="center"/>
            <w:hideMark/>
          </w:tcPr>
          <w:p w14:paraId="6A25A942"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Delta</w:t>
            </w:r>
          </w:p>
        </w:tc>
        <w:tc>
          <w:tcPr>
            <w:tcW w:w="1390" w:type="pct"/>
            <w:tcBorders>
              <w:top w:val="nil"/>
              <w:left w:val="nil"/>
              <w:bottom w:val="nil"/>
              <w:right w:val="nil"/>
            </w:tcBorders>
            <w:shd w:val="clear" w:color="000000" w:fill="FFFFFF"/>
            <w:noWrap/>
            <w:vAlign w:val="bottom"/>
            <w:hideMark/>
          </w:tcPr>
          <w:p w14:paraId="41DB46EE"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-0.002</w:t>
            </w:r>
          </w:p>
        </w:tc>
        <w:tc>
          <w:tcPr>
            <w:tcW w:w="1208" w:type="pct"/>
            <w:tcBorders>
              <w:top w:val="nil"/>
              <w:left w:val="nil"/>
              <w:bottom w:val="nil"/>
              <w:right w:val="nil"/>
            </w:tcBorders>
            <w:shd w:val="clear" w:color="000000" w:fill="FFFFFF"/>
            <w:noWrap/>
            <w:vAlign w:val="bottom"/>
            <w:hideMark/>
          </w:tcPr>
          <w:p w14:paraId="143CFF44"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-0.015</w:t>
            </w:r>
          </w:p>
        </w:tc>
      </w:tr>
      <w:tr w:rsidR="00E57A11" w:rsidRPr="00F62082" w14:paraId="099C2565" w14:textId="77777777" w:rsidTr="007B6B48">
        <w:trPr>
          <w:jc w:val="center"/>
        </w:trPr>
        <w:tc>
          <w:tcPr>
            <w:tcW w:w="2402" w:type="pct"/>
            <w:tcBorders>
              <w:top w:val="nil"/>
              <w:left w:val="nil"/>
              <w:bottom w:val="nil"/>
              <w:right w:val="nil"/>
            </w:tcBorders>
            <w:shd w:val="clear" w:color="000000" w:fill="FFFFFF"/>
            <w:noWrap/>
            <w:vAlign w:val="bottom"/>
            <w:hideMark/>
          </w:tcPr>
          <w:p w14:paraId="069A336B" w14:textId="77777777" w:rsidR="00E57A11" w:rsidRPr="00DA1D07" w:rsidRDefault="00E57A11" w:rsidP="002753C1">
            <w:pPr>
              <w:spacing w:after="0" w:line="240" w:lineRule="auto"/>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 </w:t>
            </w:r>
          </w:p>
        </w:tc>
        <w:tc>
          <w:tcPr>
            <w:tcW w:w="1390" w:type="pct"/>
            <w:tcBorders>
              <w:top w:val="nil"/>
              <w:left w:val="nil"/>
              <w:bottom w:val="nil"/>
              <w:right w:val="nil"/>
            </w:tcBorders>
            <w:shd w:val="clear" w:color="000000" w:fill="FFFFFF"/>
            <w:noWrap/>
            <w:vAlign w:val="bottom"/>
            <w:hideMark/>
          </w:tcPr>
          <w:p w14:paraId="64B3522F"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(-0.37)</w:t>
            </w:r>
          </w:p>
        </w:tc>
        <w:tc>
          <w:tcPr>
            <w:tcW w:w="1208" w:type="pct"/>
            <w:tcBorders>
              <w:top w:val="nil"/>
              <w:left w:val="nil"/>
              <w:bottom w:val="nil"/>
              <w:right w:val="nil"/>
            </w:tcBorders>
            <w:shd w:val="clear" w:color="000000" w:fill="FFFFFF"/>
            <w:noWrap/>
            <w:vAlign w:val="bottom"/>
            <w:hideMark/>
          </w:tcPr>
          <w:p w14:paraId="4E64BC64"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(-0.30)</w:t>
            </w:r>
          </w:p>
        </w:tc>
      </w:tr>
      <w:tr w:rsidR="00E57A11" w:rsidRPr="00F62082" w14:paraId="4A6FADAC" w14:textId="77777777" w:rsidTr="007B6B48">
        <w:trPr>
          <w:jc w:val="center"/>
        </w:trPr>
        <w:tc>
          <w:tcPr>
            <w:tcW w:w="2402" w:type="pct"/>
            <w:tcBorders>
              <w:top w:val="nil"/>
              <w:left w:val="nil"/>
              <w:bottom w:val="nil"/>
              <w:right w:val="nil"/>
            </w:tcBorders>
            <w:shd w:val="clear" w:color="000000" w:fill="FFFFFF"/>
            <w:noWrap/>
            <w:vAlign w:val="center"/>
            <w:hideMark/>
          </w:tcPr>
          <w:p w14:paraId="465337BB"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proofErr w:type="spellStart"/>
            <w:r w:rsidRPr="00DA1D07">
              <w:rPr>
                <w:rFonts w:asciiTheme="majorBidi" w:eastAsia="Times New Roman" w:hAnsiTheme="majorBidi" w:cstheme="majorBidi"/>
                <w:i/>
                <w:iCs/>
                <w:color w:val="000000"/>
                <w:sz w:val="24"/>
                <w:szCs w:val="24"/>
                <w:lang w:val="en-US" w:eastAsia="en-GB"/>
              </w:rPr>
              <w:t>CashComp</w:t>
            </w:r>
            <w:proofErr w:type="spellEnd"/>
          </w:p>
        </w:tc>
        <w:tc>
          <w:tcPr>
            <w:tcW w:w="1390" w:type="pct"/>
            <w:tcBorders>
              <w:top w:val="nil"/>
              <w:left w:val="nil"/>
              <w:bottom w:val="nil"/>
              <w:right w:val="nil"/>
            </w:tcBorders>
            <w:shd w:val="clear" w:color="000000" w:fill="FFFFFF"/>
            <w:noWrap/>
            <w:vAlign w:val="bottom"/>
            <w:hideMark/>
          </w:tcPr>
          <w:p w14:paraId="018DE8F0"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-0.008</w:t>
            </w:r>
          </w:p>
        </w:tc>
        <w:tc>
          <w:tcPr>
            <w:tcW w:w="1208" w:type="pct"/>
            <w:tcBorders>
              <w:top w:val="nil"/>
              <w:left w:val="nil"/>
              <w:bottom w:val="nil"/>
              <w:right w:val="nil"/>
            </w:tcBorders>
            <w:shd w:val="clear" w:color="000000" w:fill="FFFFFF"/>
            <w:noWrap/>
            <w:vAlign w:val="bottom"/>
            <w:hideMark/>
          </w:tcPr>
          <w:p w14:paraId="3C2DF729"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-0.035</w:t>
            </w:r>
          </w:p>
        </w:tc>
      </w:tr>
      <w:tr w:rsidR="00E57A11" w:rsidRPr="00F62082" w14:paraId="5C3A11CC" w14:textId="77777777" w:rsidTr="007B6B48">
        <w:trPr>
          <w:jc w:val="center"/>
        </w:trPr>
        <w:tc>
          <w:tcPr>
            <w:tcW w:w="2402" w:type="pct"/>
            <w:tcBorders>
              <w:top w:val="nil"/>
              <w:left w:val="nil"/>
              <w:bottom w:val="nil"/>
              <w:right w:val="nil"/>
            </w:tcBorders>
            <w:shd w:val="clear" w:color="000000" w:fill="FFFFFF"/>
            <w:noWrap/>
            <w:vAlign w:val="bottom"/>
            <w:hideMark/>
          </w:tcPr>
          <w:p w14:paraId="39667341" w14:textId="77777777" w:rsidR="00E57A11" w:rsidRPr="00DA1D07" w:rsidRDefault="00E57A11" w:rsidP="002753C1">
            <w:pPr>
              <w:spacing w:after="0" w:line="240" w:lineRule="auto"/>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 </w:t>
            </w:r>
          </w:p>
        </w:tc>
        <w:tc>
          <w:tcPr>
            <w:tcW w:w="1390" w:type="pct"/>
            <w:tcBorders>
              <w:top w:val="nil"/>
              <w:left w:val="nil"/>
              <w:bottom w:val="nil"/>
              <w:right w:val="nil"/>
            </w:tcBorders>
            <w:shd w:val="clear" w:color="000000" w:fill="FFFFFF"/>
            <w:noWrap/>
            <w:vAlign w:val="bottom"/>
            <w:hideMark/>
          </w:tcPr>
          <w:p w14:paraId="2A60614D"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(-0.98)</w:t>
            </w:r>
          </w:p>
        </w:tc>
        <w:tc>
          <w:tcPr>
            <w:tcW w:w="1208" w:type="pct"/>
            <w:tcBorders>
              <w:top w:val="nil"/>
              <w:left w:val="nil"/>
              <w:bottom w:val="nil"/>
              <w:right w:val="nil"/>
            </w:tcBorders>
            <w:shd w:val="clear" w:color="000000" w:fill="FFFFFF"/>
            <w:noWrap/>
            <w:vAlign w:val="bottom"/>
            <w:hideMark/>
          </w:tcPr>
          <w:p w14:paraId="4E8194E6"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(-0.44)</w:t>
            </w:r>
          </w:p>
        </w:tc>
      </w:tr>
      <w:tr w:rsidR="00E57A11" w:rsidRPr="00F62082" w14:paraId="63530771" w14:textId="77777777" w:rsidTr="007B6B48">
        <w:trPr>
          <w:jc w:val="center"/>
        </w:trPr>
        <w:tc>
          <w:tcPr>
            <w:tcW w:w="2402" w:type="pct"/>
            <w:tcBorders>
              <w:top w:val="nil"/>
              <w:left w:val="nil"/>
              <w:bottom w:val="nil"/>
              <w:right w:val="nil"/>
            </w:tcBorders>
            <w:shd w:val="clear" w:color="000000" w:fill="FFFFFF"/>
            <w:noWrap/>
            <w:hideMark/>
          </w:tcPr>
          <w:p w14:paraId="3AC99B92"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Leverage</w:t>
            </w:r>
          </w:p>
        </w:tc>
        <w:tc>
          <w:tcPr>
            <w:tcW w:w="1390" w:type="pct"/>
            <w:tcBorders>
              <w:top w:val="nil"/>
              <w:left w:val="nil"/>
              <w:bottom w:val="nil"/>
              <w:right w:val="nil"/>
            </w:tcBorders>
            <w:shd w:val="clear" w:color="000000" w:fill="FFFFFF"/>
            <w:noWrap/>
            <w:vAlign w:val="bottom"/>
            <w:hideMark/>
          </w:tcPr>
          <w:p w14:paraId="63620F6C"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0.016</w:t>
            </w:r>
          </w:p>
        </w:tc>
        <w:tc>
          <w:tcPr>
            <w:tcW w:w="1208" w:type="pct"/>
            <w:tcBorders>
              <w:top w:val="nil"/>
              <w:left w:val="nil"/>
              <w:bottom w:val="nil"/>
              <w:right w:val="nil"/>
            </w:tcBorders>
            <w:shd w:val="clear" w:color="000000" w:fill="FFFFFF"/>
            <w:noWrap/>
            <w:vAlign w:val="bottom"/>
            <w:hideMark/>
          </w:tcPr>
          <w:p w14:paraId="43F684D7"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0.041</w:t>
            </w:r>
          </w:p>
        </w:tc>
      </w:tr>
      <w:tr w:rsidR="00E57A11" w:rsidRPr="00F62082" w14:paraId="0A5171A8" w14:textId="77777777" w:rsidTr="007B6B48">
        <w:trPr>
          <w:jc w:val="center"/>
        </w:trPr>
        <w:tc>
          <w:tcPr>
            <w:tcW w:w="2402" w:type="pct"/>
            <w:tcBorders>
              <w:top w:val="nil"/>
              <w:left w:val="nil"/>
              <w:bottom w:val="nil"/>
              <w:right w:val="nil"/>
            </w:tcBorders>
            <w:shd w:val="clear" w:color="000000" w:fill="FFFFFF"/>
            <w:noWrap/>
            <w:vAlign w:val="bottom"/>
            <w:hideMark/>
          </w:tcPr>
          <w:p w14:paraId="03516401"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 </w:t>
            </w:r>
          </w:p>
        </w:tc>
        <w:tc>
          <w:tcPr>
            <w:tcW w:w="1390" w:type="pct"/>
            <w:tcBorders>
              <w:top w:val="nil"/>
              <w:left w:val="nil"/>
              <w:bottom w:val="nil"/>
              <w:right w:val="nil"/>
            </w:tcBorders>
            <w:shd w:val="clear" w:color="000000" w:fill="FFFFFF"/>
            <w:noWrap/>
            <w:vAlign w:val="bottom"/>
            <w:hideMark/>
          </w:tcPr>
          <w:p w14:paraId="647627B1"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(0.76)</w:t>
            </w:r>
          </w:p>
        </w:tc>
        <w:tc>
          <w:tcPr>
            <w:tcW w:w="1208" w:type="pct"/>
            <w:tcBorders>
              <w:top w:val="nil"/>
              <w:left w:val="nil"/>
              <w:bottom w:val="nil"/>
              <w:right w:val="nil"/>
            </w:tcBorders>
            <w:shd w:val="clear" w:color="000000" w:fill="FFFFFF"/>
            <w:noWrap/>
            <w:vAlign w:val="bottom"/>
            <w:hideMark/>
          </w:tcPr>
          <w:p w14:paraId="23DDAD63"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(0.17)</w:t>
            </w:r>
          </w:p>
        </w:tc>
      </w:tr>
      <w:tr w:rsidR="00E57A11" w:rsidRPr="00F62082" w14:paraId="2B8BEBDC" w14:textId="77777777" w:rsidTr="007B6B48">
        <w:trPr>
          <w:jc w:val="center"/>
        </w:trPr>
        <w:tc>
          <w:tcPr>
            <w:tcW w:w="2402" w:type="pct"/>
            <w:tcBorders>
              <w:top w:val="nil"/>
              <w:left w:val="nil"/>
              <w:bottom w:val="nil"/>
              <w:right w:val="nil"/>
            </w:tcBorders>
            <w:shd w:val="clear" w:color="000000" w:fill="FFFFFF"/>
            <w:noWrap/>
            <w:hideMark/>
          </w:tcPr>
          <w:p w14:paraId="7181E077"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proofErr w:type="spellStart"/>
            <w:r w:rsidRPr="00DA1D07">
              <w:rPr>
                <w:rFonts w:asciiTheme="majorBidi" w:eastAsia="Times New Roman" w:hAnsiTheme="majorBidi" w:cstheme="majorBidi"/>
                <w:i/>
                <w:iCs/>
                <w:color w:val="000000"/>
                <w:sz w:val="24"/>
                <w:szCs w:val="24"/>
                <w:lang w:val="en-US" w:eastAsia="en-GB"/>
              </w:rPr>
              <w:t>CashFlow</w:t>
            </w:r>
            <w:proofErr w:type="spellEnd"/>
          </w:p>
        </w:tc>
        <w:tc>
          <w:tcPr>
            <w:tcW w:w="1390" w:type="pct"/>
            <w:tcBorders>
              <w:top w:val="nil"/>
              <w:left w:val="nil"/>
              <w:bottom w:val="nil"/>
              <w:right w:val="nil"/>
            </w:tcBorders>
            <w:shd w:val="clear" w:color="000000" w:fill="FFFFFF"/>
            <w:noWrap/>
            <w:vAlign w:val="bottom"/>
            <w:hideMark/>
          </w:tcPr>
          <w:p w14:paraId="1E8D3C67"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-0.007</w:t>
            </w:r>
          </w:p>
        </w:tc>
        <w:tc>
          <w:tcPr>
            <w:tcW w:w="1208" w:type="pct"/>
            <w:tcBorders>
              <w:top w:val="nil"/>
              <w:left w:val="nil"/>
              <w:bottom w:val="nil"/>
              <w:right w:val="nil"/>
            </w:tcBorders>
            <w:shd w:val="clear" w:color="000000" w:fill="FFFFFF"/>
            <w:noWrap/>
            <w:vAlign w:val="bottom"/>
            <w:hideMark/>
          </w:tcPr>
          <w:p w14:paraId="2B5308F8"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-0.070</w:t>
            </w:r>
          </w:p>
        </w:tc>
      </w:tr>
      <w:tr w:rsidR="00E57A11" w:rsidRPr="00F62082" w14:paraId="503C3E73" w14:textId="77777777" w:rsidTr="007B6B48">
        <w:trPr>
          <w:jc w:val="center"/>
        </w:trPr>
        <w:tc>
          <w:tcPr>
            <w:tcW w:w="2402" w:type="pct"/>
            <w:tcBorders>
              <w:top w:val="nil"/>
              <w:left w:val="nil"/>
              <w:bottom w:val="nil"/>
              <w:right w:val="nil"/>
            </w:tcBorders>
            <w:shd w:val="clear" w:color="000000" w:fill="FFFFFF"/>
            <w:noWrap/>
            <w:vAlign w:val="bottom"/>
            <w:hideMark/>
          </w:tcPr>
          <w:p w14:paraId="31E421A0"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 </w:t>
            </w:r>
          </w:p>
        </w:tc>
        <w:tc>
          <w:tcPr>
            <w:tcW w:w="1390" w:type="pct"/>
            <w:tcBorders>
              <w:top w:val="nil"/>
              <w:left w:val="nil"/>
              <w:bottom w:val="nil"/>
              <w:right w:val="nil"/>
            </w:tcBorders>
            <w:shd w:val="clear" w:color="000000" w:fill="FFFFFF"/>
            <w:noWrap/>
            <w:vAlign w:val="bottom"/>
            <w:hideMark/>
          </w:tcPr>
          <w:p w14:paraId="17EAD4A3"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(-0.58)</w:t>
            </w:r>
          </w:p>
        </w:tc>
        <w:tc>
          <w:tcPr>
            <w:tcW w:w="1208" w:type="pct"/>
            <w:tcBorders>
              <w:top w:val="nil"/>
              <w:left w:val="nil"/>
              <w:bottom w:val="nil"/>
              <w:right w:val="nil"/>
            </w:tcBorders>
            <w:shd w:val="clear" w:color="000000" w:fill="FFFFFF"/>
            <w:noWrap/>
            <w:vAlign w:val="bottom"/>
            <w:hideMark/>
          </w:tcPr>
          <w:p w14:paraId="26EC3F11"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(-0.44)</w:t>
            </w:r>
          </w:p>
        </w:tc>
      </w:tr>
      <w:tr w:rsidR="00E57A11" w:rsidRPr="00F62082" w14:paraId="3ED5E7EF" w14:textId="77777777" w:rsidTr="007B6B48">
        <w:trPr>
          <w:jc w:val="center"/>
        </w:trPr>
        <w:tc>
          <w:tcPr>
            <w:tcW w:w="2402" w:type="pct"/>
            <w:tcBorders>
              <w:top w:val="nil"/>
              <w:left w:val="nil"/>
              <w:bottom w:val="nil"/>
              <w:right w:val="nil"/>
            </w:tcBorders>
            <w:shd w:val="clear" w:color="000000" w:fill="FFFFFF"/>
            <w:noWrap/>
            <w:hideMark/>
          </w:tcPr>
          <w:p w14:paraId="3234A25C"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proofErr w:type="spellStart"/>
            <w:r w:rsidRPr="00DA1D07">
              <w:rPr>
                <w:rFonts w:asciiTheme="majorBidi" w:eastAsia="Times New Roman" w:hAnsiTheme="majorBidi" w:cstheme="majorBidi"/>
                <w:i/>
                <w:iCs/>
                <w:color w:val="000000"/>
                <w:sz w:val="24"/>
                <w:szCs w:val="24"/>
                <w:lang w:val="en-US" w:eastAsia="en-GB"/>
              </w:rPr>
              <w:t>DividendPayout</w:t>
            </w:r>
            <w:proofErr w:type="spellEnd"/>
          </w:p>
        </w:tc>
        <w:tc>
          <w:tcPr>
            <w:tcW w:w="1390" w:type="pct"/>
            <w:tcBorders>
              <w:top w:val="nil"/>
              <w:left w:val="nil"/>
              <w:bottom w:val="nil"/>
              <w:right w:val="nil"/>
            </w:tcBorders>
            <w:shd w:val="clear" w:color="000000" w:fill="FFFFFF"/>
            <w:noWrap/>
            <w:vAlign w:val="bottom"/>
            <w:hideMark/>
          </w:tcPr>
          <w:p w14:paraId="2845826F"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0.003</w:t>
            </w:r>
          </w:p>
        </w:tc>
        <w:tc>
          <w:tcPr>
            <w:tcW w:w="1208" w:type="pct"/>
            <w:tcBorders>
              <w:top w:val="nil"/>
              <w:left w:val="nil"/>
              <w:bottom w:val="nil"/>
              <w:right w:val="nil"/>
            </w:tcBorders>
            <w:shd w:val="clear" w:color="000000" w:fill="FFFFFF"/>
            <w:noWrap/>
            <w:vAlign w:val="bottom"/>
            <w:hideMark/>
          </w:tcPr>
          <w:p w14:paraId="0DA99C17"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2.781</w:t>
            </w:r>
          </w:p>
        </w:tc>
      </w:tr>
      <w:tr w:rsidR="00E57A11" w:rsidRPr="00F62082" w14:paraId="34C97E72" w14:textId="77777777" w:rsidTr="007B6B48">
        <w:trPr>
          <w:jc w:val="center"/>
        </w:trPr>
        <w:tc>
          <w:tcPr>
            <w:tcW w:w="2402" w:type="pct"/>
            <w:tcBorders>
              <w:top w:val="nil"/>
              <w:left w:val="nil"/>
              <w:bottom w:val="nil"/>
              <w:right w:val="nil"/>
            </w:tcBorders>
            <w:shd w:val="clear" w:color="000000" w:fill="FFFFFF"/>
            <w:noWrap/>
            <w:vAlign w:val="bottom"/>
            <w:hideMark/>
          </w:tcPr>
          <w:p w14:paraId="2F2FA3E7"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 </w:t>
            </w:r>
          </w:p>
        </w:tc>
        <w:tc>
          <w:tcPr>
            <w:tcW w:w="1390" w:type="pct"/>
            <w:tcBorders>
              <w:top w:val="nil"/>
              <w:left w:val="nil"/>
              <w:bottom w:val="nil"/>
              <w:right w:val="nil"/>
            </w:tcBorders>
            <w:shd w:val="clear" w:color="000000" w:fill="FFFFFF"/>
            <w:noWrap/>
            <w:vAlign w:val="bottom"/>
            <w:hideMark/>
          </w:tcPr>
          <w:p w14:paraId="51AF93DB"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(0.01)</w:t>
            </w:r>
          </w:p>
        </w:tc>
        <w:tc>
          <w:tcPr>
            <w:tcW w:w="1208" w:type="pct"/>
            <w:tcBorders>
              <w:top w:val="nil"/>
              <w:left w:val="nil"/>
              <w:bottom w:val="nil"/>
              <w:right w:val="nil"/>
            </w:tcBorders>
            <w:shd w:val="clear" w:color="000000" w:fill="FFFFFF"/>
            <w:noWrap/>
            <w:vAlign w:val="bottom"/>
            <w:hideMark/>
          </w:tcPr>
          <w:p w14:paraId="57C82893"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(1.15)</w:t>
            </w:r>
          </w:p>
        </w:tc>
      </w:tr>
      <w:tr w:rsidR="00E57A11" w:rsidRPr="00F62082" w14:paraId="2CA941BE" w14:textId="77777777" w:rsidTr="007B6B48">
        <w:trPr>
          <w:jc w:val="center"/>
        </w:trPr>
        <w:tc>
          <w:tcPr>
            <w:tcW w:w="2402" w:type="pct"/>
            <w:tcBorders>
              <w:top w:val="nil"/>
              <w:left w:val="nil"/>
              <w:bottom w:val="nil"/>
              <w:right w:val="nil"/>
            </w:tcBorders>
            <w:shd w:val="clear" w:color="000000" w:fill="FFFFFF"/>
            <w:noWrap/>
            <w:hideMark/>
          </w:tcPr>
          <w:p w14:paraId="3104BC99"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proofErr w:type="spellStart"/>
            <w:r w:rsidRPr="00DA1D07">
              <w:rPr>
                <w:rFonts w:asciiTheme="majorBidi" w:eastAsia="Times New Roman" w:hAnsiTheme="majorBidi" w:cstheme="majorBidi"/>
                <w:i/>
                <w:iCs/>
                <w:color w:val="000000"/>
                <w:sz w:val="24"/>
                <w:szCs w:val="24"/>
                <w:lang w:val="en-US" w:eastAsia="en-GB"/>
              </w:rPr>
              <w:t>FirmSize</w:t>
            </w:r>
            <w:proofErr w:type="spellEnd"/>
          </w:p>
        </w:tc>
        <w:tc>
          <w:tcPr>
            <w:tcW w:w="1390" w:type="pct"/>
            <w:tcBorders>
              <w:top w:val="nil"/>
              <w:left w:val="nil"/>
              <w:bottom w:val="nil"/>
              <w:right w:val="nil"/>
            </w:tcBorders>
            <w:shd w:val="clear" w:color="000000" w:fill="FFFFFF"/>
            <w:noWrap/>
            <w:vAlign w:val="bottom"/>
            <w:hideMark/>
          </w:tcPr>
          <w:p w14:paraId="1DC4039D"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0.021***</w:t>
            </w:r>
          </w:p>
        </w:tc>
        <w:tc>
          <w:tcPr>
            <w:tcW w:w="1208" w:type="pct"/>
            <w:tcBorders>
              <w:top w:val="nil"/>
              <w:left w:val="nil"/>
              <w:bottom w:val="nil"/>
              <w:right w:val="nil"/>
            </w:tcBorders>
            <w:shd w:val="clear" w:color="000000" w:fill="FFFFFF"/>
            <w:noWrap/>
            <w:vAlign w:val="bottom"/>
            <w:hideMark/>
          </w:tcPr>
          <w:p w14:paraId="03CB6333"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0.172**</w:t>
            </w:r>
          </w:p>
        </w:tc>
      </w:tr>
      <w:tr w:rsidR="00E57A11" w:rsidRPr="00F62082" w14:paraId="18C24D34" w14:textId="77777777" w:rsidTr="007B6B48">
        <w:trPr>
          <w:jc w:val="center"/>
        </w:trPr>
        <w:tc>
          <w:tcPr>
            <w:tcW w:w="2402" w:type="pct"/>
            <w:tcBorders>
              <w:top w:val="nil"/>
              <w:left w:val="nil"/>
              <w:bottom w:val="nil"/>
              <w:right w:val="nil"/>
            </w:tcBorders>
            <w:shd w:val="clear" w:color="000000" w:fill="FFFFFF"/>
            <w:noWrap/>
            <w:vAlign w:val="bottom"/>
            <w:hideMark/>
          </w:tcPr>
          <w:p w14:paraId="744BE1EC"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 </w:t>
            </w:r>
          </w:p>
        </w:tc>
        <w:tc>
          <w:tcPr>
            <w:tcW w:w="1390" w:type="pct"/>
            <w:tcBorders>
              <w:top w:val="nil"/>
              <w:left w:val="nil"/>
              <w:bottom w:val="nil"/>
              <w:right w:val="nil"/>
            </w:tcBorders>
            <w:shd w:val="clear" w:color="000000" w:fill="FFFFFF"/>
            <w:noWrap/>
            <w:vAlign w:val="bottom"/>
            <w:hideMark/>
          </w:tcPr>
          <w:p w14:paraId="1E271B04"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(2.99)</w:t>
            </w:r>
          </w:p>
        </w:tc>
        <w:tc>
          <w:tcPr>
            <w:tcW w:w="1208" w:type="pct"/>
            <w:tcBorders>
              <w:top w:val="nil"/>
              <w:left w:val="nil"/>
              <w:bottom w:val="nil"/>
              <w:right w:val="nil"/>
            </w:tcBorders>
            <w:shd w:val="clear" w:color="000000" w:fill="FFFFFF"/>
            <w:noWrap/>
            <w:vAlign w:val="bottom"/>
            <w:hideMark/>
          </w:tcPr>
          <w:p w14:paraId="5D441ABB"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(2.33)</w:t>
            </w:r>
          </w:p>
        </w:tc>
      </w:tr>
      <w:tr w:rsidR="00E57A11" w:rsidRPr="00F62082" w14:paraId="1D4C69D7" w14:textId="77777777" w:rsidTr="007B6B48">
        <w:trPr>
          <w:jc w:val="center"/>
        </w:trPr>
        <w:tc>
          <w:tcPr>
            <w:tcW w:w="2402" w:type="pct"/>
            <w:tcBorders>
              <w:top w:val="nil"/>
              <w:left w:val="nil"/>
              <w:bottom w:val="nil"/>
              <w:right w:val="nil"/>
            </w:tcBorders>
            <w:shd w:val="clear" w:color="000000" w:fill="FFFFFF"/>
            <w:noWrap/>
            <w:hideMark/>
          </w:tcPr>
          <w:p w14:paraId="7118927D"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Employees</w:t>
            </w:r>
          </w:p>
        </w:tc>
        <w:tc>
          <w:tcPr>
            <w:tcW w:w="1390" w:type="pct"/>
            <w:tcBorders>
              <w:top w:val="nil"/>
              <w:left w:val="nil"/>
              <w:bottom w:val="nil"/>
              <w:right w:val="nil"/>
            </w:tcBorders>
            <w:shd w:val="clear" w:color="000000" w:fill="FFFFFF"/>
            <w:noWrap/>
            <w:vAlign w:val="bottom"/>
            <w:hideMark/>
          </w:tcPr>
          <w:p w14:paraId="56B8B401"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0.017*</w:t>
            </w:r>
          </w:p>
        </w:tc>
        <w:tc>
          <w:tcPr>
            <w:tcW w:w="1208" w:type="pct"/>
            <w:tcBorders>
              <w:top w:val="nil"/>
              <w:left w:val="nil"/>
              <w:bottom w:val="nil"/>
              <w:right w:val="nil"/>
            </w:tcBorders>
            <w:shd w:val="clear" w:color="000000" w:fill="FFFFFF"/>
            <w:noWrap/>
            <w:vAlign w:val="bottom"/>
            <w:hideMark/>
          </w:tcPr>
          <w:p w14:paraId="06DE681A"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0.076</w:t>
            </w:r>
          </w:p>
        </w:tc>
      </w:tr>
      <w:tr w:rsidR="00E57A11" w:rsidRPr="00F62082" w14:paraId="0EF28049" w14:textId="77777777" w:rsidTr="007B6B48">
        <w:trPr>
          <w:jc w:val="center"/>
        </w:trPr>
        <w:tc>
          <w:tcPr>
            <w:tcW w:w="2402" w:type="pct"/>
            <w:tcBorders>
              <w:top w:val="nil"/>
              <w:left w:val="nil"/>
              <w:bottom w:val="nil"/>
              <w:right w:val="nil"/>
            </w:tcBorders>
            <w:shd w:val="clear" w:color="000000" w:fill="FFFFFF"/>
            <w:noWrap/>
            <w:vAlign w:val="bottom"/>
            <w:hideMark/>
          </w:tcPr>
          <w:p w14:paraId="17852005"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 </w:t>
            </w:r>
          </w:p>
        </w:tc>
        <w:tc>
          <w:tcPr>
            <w:tcW w:w="1390" w:type="pct"/>
            <w:tcBorders>
              <w:top w:val="nil"/>
              <w:left w:val="nil"/>
              <w:bottom w:val="nil"/>
              <w:right w:val="nil"/>
            </w:tcBorders>
            <w:shd w:val="clear" w:color="000000" w:fill="FFFFFF"/>
            <w:noWrap/>
            <w:vAlign w:val="bottom"/>
            <w:hideMark/>
          </w:tcPr>
          <w:p w14:paraId="692A1B28"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(1.65)</w:t>
            </w:r>
          </w:p>
        </w:tc>
        <w:tc>
          <w:tcPr>
            <w:tcW w:w="1208" w:type="pct"/>
            <w:tcBorders>
              <w:top w:val="nil"/>
              <w:left w:val="nil"/>
              <w:bottom w:val="nil"/>
              <w:right w:val="nil"/>
            </w:tcBorders>
            <w:shd w:val="clear" w:color="000000" w:fill="FFFFFF"/>
            <w:noWrap/>
            <w:vAlign w:val="bottom"/>
            <w:hideMark/>
          </w:tcPr>
          <w:p w14:paraId="0F60C858"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(0.80)</w:t>
            </w:r>
          </w:p>
        </w:tc>
      </w:tr>
      <w:tr w:rsidR="00E57A11" w:rsidRPr="00F62082" w14:paraId="6615AAC9" w14:textId="77777777" w:rsidTr="007B6B48">
        <w:trPr>
          <w:jc w:val="center"/>
        </w:trPr>
        <w:tc>
          <w:tcPr>
            <w:tcW w:w="2402" w:type="pct"/>
            <w:tcBorders>
              <w:top w:val="nil"/>
              <w:left w:val="nil"/>
              <w:bottom w:val="nil"/>
              <w:right w:val="nil"/>
            </w:tcBorders>
            <w:shd w:val="clear" w:color="000000" w:fill="FFFFFF"/>
            <w:noWrap/>
            <w:hideMark/>
          </w:tcPr>
          <w:p w14:paraId="0830195C"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proofErr w:type="spellStart"/>
            <w:r w:rsidRPr="00DA1D07">
              <w:rPr>
                <w:rFonts w:asciiTheme="majorBidi" w:eastAsia="Times New Roman" w:hAnsiTheme="majorBidi" w:cstheme="majorBidi"/>
                <w:i/>
                <w:iCs/>
                <w:color w:val="000000"/>
                <w:sz w:val="24"/>
                <w:szCs w:val="24"/>
                <w:lang w:val="en-US" w:eastAsia="en-GB"/>
              </w:rPr>
              <w:t>AssetTurnover</w:t>
            </w:r>
            <w:proofErr w:type="spellEnd"/>
          </w:p>
        </w:tc>
        <w:tc>
          <w:tcPr>
            <w:tcW w:w="1390" w:type="pct"/>
            <w:tcBorders>
              <w:top w:val="nil"/>
              <w:left w:val="nil"/>
              <w:bottom w:val="nil"/>
              <w:right w:val="nil"/>
            </w:tcBorders>
            <w:shd w:val="clear" w:color="000000" w:fill="FFFFFF"/>
            <w:noWrap/>
            <w:vAlign w:val="bottom"/>
            <w:hideMark/>
          </w:tcPr>
          <w:p w14:paraId="384991AC"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0.008</w:t>
            </w:r>
          </w:p>
        </w:tc>
        <w:tc>
          <w:tcPr>
            <w:tcW w:w="1208" w:type="pct"/>
            <w:tcBorders>
              <w:top w:val="nil"/>
              <w:left w:val="nil"/>
              <w:bottom w:val="nil"/>
              <w:right w:val="nil"/>
            </w:tcBorders>
            <w:shd w:val="clear" w:color="000000" w:fill="FFFFFF"/>
            <w:noWrap/>
            <w:vAlign w:val="bottom"/>
            <w:hideMark/>
          </w:tcPr>
          <w:p w14:paraId="7966569C"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0.035</w:t>
            </w:r>
          </w:p>
        </w:tc>
      </w:tr>
      <w:tr w:rsidR="00E57A11" w:rsidRPr="00F62082" w14:paraId="1B6587A7" w14:textId="77777777" w:rsidTr="007B6B48">
        <w:trPr>
          <w:jc w:val="center"/>
        </w:trPr>
        <w:tc>
          <w:tcPr>
            <w:tcW w:w="2402" w:type="pct"/>
            <w:tcBorders>
              <w:top w:val="nil"/>
              <w:left w:val="nil"/>
              <w:bottom w:val="nil"/>
              <w:right w:val="nil"/>
            </w:tcBorders>
            <w:shd w:val="clear" w:color="000000" w:fill="FFFFFF"/>
            <w:noWrap/>
            <w:vAlign w:val="bottom"/>
            <w:hideMark/>
          </w:tcPr>
          <w:p w14:paraId="6845D4A2"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 </w:t>
            </w:r>
          </w:p>
        </w:tc>
        <w:tc>
          <w:tcPr>
            <w:tcW w:w="1390" w:type="pct"/>
            <w:tcBorders>
              <w:top w:val="nil"/>
              <w:left w:val="nil"/>
              <w:bottom w:val="nil"/>
              <w:right w:val="nil"/>
            </w:tcBorders>
            <w:shd w:val="clear" w:color="000000" w:fill="FFFFFF"/>
            <w:noWrap/>
            <w:vAlign w:val="bottom"/>
            <w:hideMark/>
          </w:tcPr>
          <w:p w14:paraId="59FB2F1B"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(0.83)</w:t>
            </w:r>
          </w:p>
        </w:tc>
        <w:tc>
          <w:tcPr>
            <w:tcW w:w="1208" w:type="pct"/>
            <w:tcBorders>
              <w:top w:val="nil"/>
              <w:left w:val="nil"/>
              <w:bottom w:val="nil"/>
              <w:right w:val="nil"/>
            </w:tcBorders>
            <w:shd w:val="clear" w:color="000000" w:fill="FFFFFF"/>
            <w:noWrap/>
            <w:vAlign w:val="bottom"/>
            <w:hideMark/>
          </w:tcPr>
          <w:p w14:paraId="144AFA00"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(0.37)</w:t>
            </w:r>
          </w:p>
        </w:tc>
      </w:tr>
      <w:tr w:rsidR="00E57A11" w:rsidRPr="00F62082" w14:paraId="7362C2FF" w14:textId="77777777" w:rsidTr="007B6B48">
        <w:trPr>
          <w:jc w:val="center"/>
        </w:trPr>
        <w:tc>
          <w:tcPr>
            <w:tcW w:w="2402" w:type="pct"/>
            <w:tcBorders>
              <w:top w:val="nil"/>
              <w:left w:val="nil"/>
              <w:bottom w:val="nil"/>
              <w:right w:val="nil"/>
            </w:tcBorders>
            <w:shd w:val="clear" w:color="000000" w:fill="FFFFFF"/>
            <w:noWrap/>
            <w:hideMark/>
          </w:tcPr>
          <w:p w14:paraId="2111C73E"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Market-to-book</w:t>
            </w:r>
          </w:p>
        </w:tc>
        <w:tc>
          <w:tcPr>
            <w:tcW w:w="1390" w:type="pct"/>
            <w:tcBorders>
              <w:top w:val="nil"/>
              <w:left w:val="nil"/>
              <w:bottom w:val="nil"/>
              <w:right w:val="nil"/>
            </w:tcBorders>
            <w:shd w:val="clear" w:color="000000" w:fill="FFFFFF"/>
            <w:noWrap/>
            <w:vAlign w:val="bottom"/>
            <w:hideMark/>
          </w:tcPr>
          <w:p w14:paraId="42156A7E"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0.002</w:t>
            </w:r>
          </w:p>
        </w:tc>
        <w:tc>
          <w:tcPr>
            <w:tcW w:w="1208" w:type="pct"/>
            <w:tcBorders>
              <w:top w:val="nil"/>
              <w:left w:val="nil"/>
              <w:bottom w:val="nil"/>
              <w:right w:val="nil"/>
            </w:tcBorders>
            <w:shd w:val="clear" w:color="000000" w:fill="FFFFFF"/>
            <w:noWrap/>
            <w:vAlign w:val="bottom"/>
            <w:hideMark/>
          </w:tcPr>
          <w:p w14:paraId="4AA33CDD"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0.013</w:t>
            </w:r>
          </w:p>
        </w:tc>
      </w:tr>
      <w:tr w:rsidR="00E57A11" w:rsidRPr="00F62082" w14:paraId="2FB9182E" w14:textId="77777777" w:rsidTr="007B6B48">
        <w:trPr>
          <w:jc w:val="center"/>
        </w:trPr>
        <w:tc>
          <w:tcPr>
            <w:tcW w:w="2402" w:type="pct"/>
            <w:tcBorders>
              <w:top w:val="nil"/>
              <w:left w:val="nil"/>
              <w:bottom w:val="nil"/>
              <w:right w:val="nil"/>
            </w:tcBorders>
            <w:shd w:val="clear" w:color="000000" w:fill="FFFFFF"/>
            <w:noWrap/>
            <w:vAlign w:val="bottom"/>
            <w:hideMark/>
          </w:tcPr>
          <w:p w14:paraId="2EDFB33D"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 </w:t>
            </w:r>
          </w:p>
        </w:tc>
        <w:tc>
          <w:tcPr>
            <w:tcW w:w="1390" w:type="pct"/>
            <w:tcBorders>
              <w:top w:val="nil"/>
              <w:left w:val="nil"/>
              <w:bottom w:val="nil"/>
              <w:right w:val="nil"/>
            </w:tcBorders>
            <w:shd w:val="clear" w:color="000000" w:fill="FFFFFF"/>
            <w:noWrap/>
            <w:vAlign w:val="bottom"/>
            <w:hideMark/>
          </w:tcPr>
          <w:p w14:paraId="56EBF5B6"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(1.38)</w:t>
            </w:r>
          </w:p>
        </w:tc>
        <w:tc>
          <w:tcPr>
            <w:tcW w:w="1208" w:type="pct"/>
            <w:tcBorders>
              <w:top w:val="nil"/>
              <w:left w:val="nil"/>
              <w:bottom w:val="nil"/>
              <w:right w:val="nil"/>
            </w:tcBorders>
            <w:shd w:val="clear" w:color="000000" w:fill="FFFFFF"/>
            <w:noWrap/>
            <w:vAlign w:val="bottom"/>
            <w:hideMark/>
          </w:tcPr>
          <w:p w14:paraId="353E3D0E"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(0.97)</w:t>
            </w:r>
          </w:p>
        </w:tc>
      </w:tr>
      <w:tr w:rsidR="00E57A11" w:rsidRPr="00F62082" w14:paraId="7169459B" w14:textId="77777777" w:rsidTr="007B6B48">
        <w:trPr>
          <w:jc w:val="center"/>
        </w:trPr>
        <w:tc>
          <w:tcPr>
            <w:tcW w:w="2402" w:type="pct"/>
            <w:tcBorders>
              <w:top w:val="nil"/>
              <w:left w:val="nil"/>
              <w:bottom w:val="nil"/>
              <w:right w:val="nil"/>
            </w:tcBorders>
            <w:shd w:val="clear" w:color="000000" w:fill="FFFFFF"/>
            <w:noWrap/>
            <w:hideMark/>
          </w:tcPr>
          <w:p w14:paraId="6AE16B3C"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Tangibility</w:t>
            </w:r>
          </w:p>
        </w:tc>
        <w:tc>
          <w:tcPr>
            <w:tcW w:w="1390" w:type="pct"/>
            <w:tcBorders>
              <w:top w:val="nil"/>
              <w:left w:val="nil"/>
              <w:bottom w:val="nil"/>
              <w:right w:val="nil"/>
            </w:tcBorders>
            <w:shd w:val="clear" w:color="000000" w:fill="FFFFFF"/>
            <w:noWrap/>
            <w:vAlign w:val="bottom"/>
            <w:hideMark/>
          </w:tcPr>
          <w:p w14:paraId="64DBC46C"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-0.064</w:t>
            </w:r>
          </w:p>
        </w:tc>
        <w:tc>
          <w:tcPr>
            <w:tcW w:w="1208" w:type="pct"/>
            <w:tcBorders>
              <w:top w:val="nil"/>
              <w:left w:val="nil"/>
              <w:bottom w:val="nil"/>
              <w:right w:val="nil"/>
            </w:tcBorders>
            <w:shd w:val="clear" w:color="000000" w:fill="FFFFFF"/>
            <w:noWrap/>
            <w:vAlign w:val="bottom"/>
            <w:hideMark/>
          </w:tcPr>
          <w:p w14:paraId="5E0B452A"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-0.497</w:t>
            </w:r>
          </w:p>
        </w:tc>
      </w:tr>
      <w:tr w:rsidR="00E57A11" w:rsidRPr="00F62082" w14:paraId="7DF4F73F" w14:textId="77777777" w:rsidTr="007B6B48">
        <w:trPr>
          <w:jc w:val="center"/>
        </w:trPr>
        <w:tc>
          <w:tcPr>
            <w:tcW w:w="2402" w:type="pct"/>
            <w:tcBorders>
              <w:top w:val="nil"/>
              <w:left w:val="nil"/>
              <w:bottom w:val="nil"/>
              <w:right w:val="nil"/>
            </w:tcBorders>
            <w:shd w:val="clear" w:color="000000" w:fill="FFFFFF"/>
            <w:noWrap/>
            <w:vAlign w:val="bottom"/>
            <w:hideMark/>
          </w:tcPr>
          <w:p w14:paraId="6EA033FB"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 </w:t>
            </w:r>
          </w:p>
        </w:tc>
        <w:tc>
          <w:tcPr>
            <w:tcW w:w="1390" w:type="pct"/>
            <w:tcBorders>
              <w:top w:val="nil"/>
              <w:left w:val="nil"/>
              <w:bottom w:val="nil"/>
              <w:right w:val="nil"/>
            </w:tcBorders>
            <w:shd w:val="clear" w:color="000000" w:fill="FFFFFF"/>
            <w:noWrap/>
            <w:vAlign w:val="bottom"/>
            <w:hideMark/>
          </w:tcPr>
          <w:p w14:paraId="12F71AF3"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(-1.06)</w:t>
            </w:r>
          </w:p>
        </w:tc>
        <w:tc>
          <w:tcPr>
            <w:tcW w:w="1208" w:type="pct"/>
            <w:tcBorders>
              <w:top w:val="nil"/>
              <w:left w:val="nil"/>
              <w:bottom w:val="nil"/>
              <w:right w:val="nil"/>
            </w:tcBorders>
            <w:shd w:val="clear" w:color="000000" w:fill="FFFFFF"/>
            <w:noWrap/>
            <w:vAlign w:val="bottom"/>
            <w:hideMark/>
          </w:tcPr>
          <w:p w14:paraId="2CD18C02"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(-0.88)</w:t>
            </w:r>
          </w:p>
        </w:tc>
      </w:tr>
      <w:tr w:rsidR="00E57A11" w:rsidRPr="00F62082" w14:paraId="416B1F40" w14:textId="77777777" w:rsidTr="007B6B48">
        <w:trPr>
          <w:jc w:val="center"/>
        </w:trPr>
        <w:tc>
          <w:tcPr>
            <w:tcW w:w="2402" w:type="pct"/>
            <w:tcBorders>
              <w:top w:val="nil"/>
              <w:left w:val="nil"/>
              <w:bottom w:val="nil"/>
              <w:right w:val="nil"/>
            </w:tcBorders>
            <w:shd w:val="clear" w:color="000000" w:fill="FFFFFF"/>
            <w:noWrap/>
            <w:hideMark/>
          </w:tcPr>
          <w:p w14:paraId="39BE39E0"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Capex</w:t>
            </w:r>
          </w:p>
        </w:tc>
        <w:tc>
          <w:tcPr>
            <w:tcW w:w="1390" w:type="pct"/>
            <w:tcBorders>
              <w:top w:val="nil"/>
              <w:left w:val="nil"/>
              <w:bottom w:val="nil"/>
              <w:right w:val="nil"/>
            </w:tcBorders>
            <w:shd w:val="clear" w:color="000000" w:fill="FFFFFF"/>
            <w:noWrap/>
            <w:vAlign w:val="bottom"/>
            <w:hideMark/>
          </w:tcPr>
          <w:p w14:paraId="51BF284E"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-0.116</w:t>
            </w:r>
          </w:p>
        </w:tc>
        <w:tc>
          <w:tcPr>
            <w:tcW w:w="1208" w:type="pct"/>
            <w:tcBorders>
              <w:top w:val="nil"/>
              <w:left w:val="nil"/>
              <w:bottom w:val="nil"/>
              <w:right w:val="nil"/>
            </w:tcBorders>
            <w:shd w:val="clear" w:color="000000" w:fill="FFFFFF"/>
            <w:noWrap/>
            <w:vAlign w:val="bottom"/>
            <w:hideMark/>
          </w:tcPr>
          <w:p w14:paraId="2D7A21B0"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-1.140</w:t>
            </w:r>
          </w:p>
        </w:tc>
      </w:tr>
      <w:tr w:rsidR="00E57A11" w:rsidRPr="00F62082" w14:paraId="6EFDEE4C" w14:textId="77777777" w:rsidTr="007B6B48">
        <w:trPr>
          <w:jc w:val="center"/>
        </w:trPr>
        <w:tc>
          <w:tcPr>
            <w:tcW w:w="2402" w:type="pct"/>
            <w:tcBorders>
              <w:top w:val="nil"/>
              <w:left w:val="nil"/>
              <w:bottom w:val="nil"/>
              <w:right w:val="nil"/>
            </w:tcBorders>
            <w:shd w:val="clear" w:color="000000" w:fill="FFFFFF"/>
            <w:noWrap/>
            <w:vAlign w:val="bottom"/>
            <w:hideMark/>
          </w:tcPr>
          <w:p w14:paraId="459AAA93" w14:textId="77777777" w:rsidR="00E57A11" w:rsidRPr="00DA1D07" w:rsidRDefault="00E57A11" w:rsidP="002753C1">
            <w:pPr>
              <w:spacing w:after="0" w:line="240" w:lineRule="auto"/>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 </w:t>
            </w:r>
          </w:p>
        </w:tc>
        <w:tc>
          <w:tcPr>
            <w:tcW w:w="1390" w:type="pct"/>
            <w:tcBorders>
              <w:top w:val="nil"/>
              <w:left w:val="nil"/>
              <w:bottom w:val="nil"/>
              <w:right w:val="nil"/>
            </w:tcBorders>
            <w:shd w:val="clear" w:color="000000" w:fill="FFFFFF"/>
            <w:noWrap/>
            <w:vAlign w:val="bottom"/>
            <w:hideMark/>
          </w:tcPr>
          <w:p w14:paraId="598E9873"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(-1.31)</w:t>
            </w:r>
          </w:p>
        </w:tc>
        <w:tc>
          <w:tcPr>
            <w:tcW w:w="1208" w:type="pct"/>
            <w:tcBorders>
              <w:top w:val="nil"/>
              <w:left w:val="nil"/>
              <w:bottom w:val="nil"/>
              <w:right w:val="nil"/>
            </w:tcBorders>
            <w:shd w:val="clear" w:color="000000" w:fill="FFFFFF"/>
            <w:noWrap/>
            <w:vAlign w:val="bottom"/>
            <w:hideMark/>
          </w:tcPr>
          <w:p w14:paraId="4E7B65D1"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(-1.34)</w:t>
            </w:r>
          </w:p>
        </w:tc>
      </w:tr>
      <w:tr w:rsidR="00E57A11" w:rsidRPr="00F62082" w14:paraId="4AED430F" w14:textId="77777777" w:rsidTr="007B6B48">
        <w:trPr>
          <w:jc w:val="center"/>
        </w:trPr>
        <w:tc>
          <w:tcPr>
            <w:tcW w:w="2402" w:type="pct"/>
            <w:tcBorders>
              <w:top w:val="nil"/>
              <w:left w:val="nil"/>
              <w:bottom w:val="nil"/>
              <w:right w:val="nil"/>
            </w:tcBorders>
            <w:shd w:val="clear" w:color="000000" w:fill="FFFFFF"/>
            <w:noWrap/>
            <w:hideMark/>
          </w:tcPr>
          <w:p w14:paraId="1EABBE9D"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RET</w:t>
            </w:r>
          </w:p>
        </w:tc>
        <w:tc>
          <w:tcPr>
            <w:tcW w:w="1390" w:type="pct"/>
            <w:tcBorders>
              <w:top w:val="nil"/>
              <w:left w:val="nil"/>
              <w:bottom w:val="nil"/>
              <w:right w:val="nil"/>
            </w:tcBorders>
            <w:shd w:val="clear" w:color="000000" w:fill="FFFFFF"/>
            <w:noWrap/>
            <w:vAlign w:val="bottom"/>
            <w:hideMark/>
          </w:tcPr>
          <w:p w14:paraId="3DBC612E"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0.012*</w:t>
            </w:r>
          </w:p>
        </w:tc>
        <w:tc>
          <w:tcPr>
            <w:tcW w:w="1208" w:type="pct"/>
            <w:tcBorders>
              <w:top w:val="nil"/>
              <w:left w:val="nil"/>
              <w:bottom w:val="nil"/>
              <w:right w:val="nil"/>
            </w:tcBorders>
            <w:shd w:val="clear" w:color="000000" w:fill="FFFFFF"/>
            <w:noWrap/>
            <w:vAlign w:val="bottom"/>
            <w:hideMark/>
          </w:tcPr>
          <w:p w14:paraId="7EE8FADF"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0.089</w:t>
            </w:r>
          </w:p>
        </w:tc>
      </w:tr>
      <w:tr w:rsidR="00E57A11" w:rsidRPr="00F62082" w14:paraId="32525896" w14:textId="77777777" w:rsidTr="007B6B48">
        <w:trPr>
          <w:jc w:val="center"/>
        </w:trPr>
        <w:tc>
          <w:tcPr>
            <w:tcW w:w="2402" w:type="pct"/>
            <w:tcBorders>
              <w:top w:val="nil"/>
              <w:left w:val="nil"/>
              <w:bottom w:val="nil"/>
              <w:right w:val="nil"/>
            </w:tcBorders>
            <w:shd w:val="clear" w:color="000000" w:fill="FFFFFF"/>
            <w:noWrap/>
            <w:vAlign w:val="bottom"/>
            <w:hideMark/>
          </w:tcPr>
          <w:p w14:paraId="0B326EA5" w14:textId="77777777" w:rsidR="00E57A11" w:rsidRPr="00DA1D07" w:rsidRDefault="00E57A11" w:rsidP="002753C1">
            <w:pPr>
              <w:spacing w:after="0" w:line="240" w:lineRule="auto"/>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 </w:t>
            </w:r>
          </w:p>
        </w:tc>
        <w:tc>
          <w:tcPr>
            <w:tcW w:w="1390" w:type="pct"/>
            <w:tcBorders>
              <w:top w:val="nil"/>
              <w:left w:val="nil"/>
              <w:bottom w:val="nil"/>
              <w:right w:val="nil"/>
            </w:tcBorders>
            <w:shd w:val="clear" w:color="000000" w:fill="FFFFFF"/>
            <w:noWrap/>
            <w:vAlign w:val="bottom"/>
            <w:hideMark/>
          </w:tcPr>
          <w:p w14:paraId="28CB5B67"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(1.89)</w:t>
            </w:r>
          </w:p>
        </w:tc>
        <w:tc>
          <w:tcPr>
            <w:tcW w:w="1208" w:type="pct"/>
            <w:tcBorders>
              <w:top w:val="nil"/>
              <w:left w:val="nil"/>
              <w:bottom w:val="nil"/>
              <w:right w:val="nil"/>
            </w:tcBorders>
            <w:shd w:val="clear" w:color="000000" w:fill="FFFFFF"/>
            <w:noWrap/>
            <w:vAlign w:val="bottom"/>
            <w:hideMark/>
          </w:tcPr>
          <w:p w14:paraId="1C7E3F62"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(1.27)</w:t>
            </w:r>
          </w:p>
        </w:tc>
      </w:tr>
      <w:tr w:rsidR="00E57A11" w:rsidRPr="00F62082" w14:paraId="61615D2B" w14:textId="77777777" w:rsidTr="007B6B48">
        <w:trPr>
          <w:jc w:val="center"/>
        </w:trPr>
        <w:tc>
          <w:tcPr>
            <w:tcW w:w="2402" w:type="pct"/>
            <w:tcBorders>
              <w:top w:val="nil"/>
              <w:left w:val="nil"/>
              <w:bottom w:val="nil"/>
              <w:right w:val="nil"/>
            </w:tcBorders>
            <w:shd w:val="clear" w:color="000000" w:fill="FFFFFF"/>
            <w:noWrap/>
            <w:vAlign w:val="bottom"/>
            <w:hideMark/>
          </w:tcPr>
          <w:p w14:paraId="1C1D3EFF"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proofErr w:type="spellStart"/>
            <w:r w:rsidRPr="00DA1D07">
              <w:rPr>
                <w:rFonts w:asciiTheme="majorBidi" w:eastAsia="Times New Roman" w:hAnsiTheme="majorBidi" w:cstheme="majorBidi"/>
                <w:i/>
                <w:iCs/>
                <w:color w:val="000000"/>
                <w:sz w:val="24"/>
                <w:szCs w:val="24"/>
                <w:lang w:val="en-US" w:eastAsia="en-GB"/>
              </w:rPr>
              <w:t>CEOage</w:t>
            </w:r>
            <w:proofErr w:type="spellEnd"/>
          </w:p>
        </w:tc>
        <w:tc>
          <w:tcPr>
            <w:tcW w:w="1390" w:type="pct"/>
            <w:tcBorders>
              <w:top w:val="nil"/>
              <w:left w:val="nil"/>
              <w:bottom w:val="nil"/>
              <w:right w:val="nil"/>
            </w:tcBorders>
            <w:shd w:val="clear" w:color="000000" w:fill="FFFFFF"/>
            <w:noWrap/>
            <w:vAlign w:val="bottom"/>
            <w:hideMark/>
          </w:tcPr>
          <w:p w14:paraId="29068193"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0.001</w:t>
            </w:r>
          </w:p>
        </w:tc>
        <w:tc>
          <w:tcPr>
            <w:tcW w:w="1208" w:type="pct"/>
            <w:tcBorders>
              <w:top w:val="nil"/>
              <w:left w:val="nil"/>
              <w:bottom w:val="nil"/>
              <w:right w:val="nil"/>
            </w:tcBorders>
            <w:shd w:val="clear" w:color="000000" w:fill="FFFFFF"/>
            <w:noWrap/>
            <w:vAlign w:val="bottom"/>
            <w:hideMark/>
          </w:tcPr>
          <w:p w14:paraId="79A59C12"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0.007</w:t>
            </w:r>
          </w:p>
        </w:tc>
      </w:tr>
      <w:tr w:rsidR="00E57A11" w:rsidRPr="00F62082" w14:paraId="501DCF36" w14:textId="77777777" w:rsidTr="007B6B48">
        <w:trPr>
          <w:jc w:val="center"/>
        </w:trPr>
        <w:tc>
          <w:tcPr>
            <w:tcW w:w="2402" w:type="pct"/>
            <w:tcBorders>
              <w:top w:val="nil"/>
              <w:left w:val="nil"/>
              <w:bottom w:val="nil"/>
              <w:right w:val="nil"/>
            </w:tcBorders>
            <w:shd w:val="clear" w:color="000000" w:fill="FFFFFF"/>
            <w:noWrap/>
            <w:vAlign w:val="bottom"/>
            <w:hideMark/>
          </w:tcPr>
          <w:p w14:paraId="6F40138F"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 </w:t>
            </w:r>
          </w:p>
        </w:tc>
        <w:tc>
          <w:tcPr>
            <w:tcW w:w="1390" w:type="pct"/>
            <w:tcBorders>
              <w:top w:val="nil"/>
              <w:left w:val="nil"/>
              <w:bottom w:val="nil"/>
              <w:right w:val="nil"/>
            </w:tcBorders>
            <w:shd w:val="clear" w:color="000000" w:fill="FFFFFF"/>
            <w:noWrap/>
            <w:vAlign w:val="bottom"/>
            <w:hideMark/>
          </w:tcPr>
          <w:p w14:paraId="083B4618"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(0.79)</w:t>
            </w:r>
          </w:p>
        </w:tc>
        <w:tc>
          <w:tcPr>
            <w:tcW w:w="1208" w:type="pct"/>
            <w:tcBorders>
              <w:top w:val="nil"/>
              <w:left w:val="nil"/>
              <w:bottom w:val="nil"/>
              <w:right w:val="nil"/>
            </w:tcBorders>
            <w:shd w:val="clear" w:color="000000" w:fill="FFFFFF"/>
            <w:noWrap/>
            <w:vAlign w:val="bottom"/>
            <w:hideMark/>
          </w:tcPr>
          <w:p w14:paraId="64FCC4FB"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(0.83)</w:t>
            </w:r>
          </w:p>
        </w:tc>
      </w:tr>
      <w:tr w:rsidR="00E57A11" w:rsidRPr="00F62082" w14:paraId="6D92AFD2" w14:textId="77777777" w:rsidTr="007B6B48">
        <w:trPr>
          <w:jc w:val="center"/>
        </w:trPr>
        <w:tc>
          <w:tcPr>
            <w:tcW w:w="2402" w:type="pct"/>
            <w:tcBorders>
              <w:top w:val="nil"/>
              <w:left w:val="nil"/>
              <w:bottom w:val="nil"/>
              <w:right w:val="nil"/>
            </w:tcBorders>
            <w:shd w:val="clear" w:color="000000" w:fill="FFFFFF"/>
            <w:noWrap/>
            <w:vAlign w:val="bottom"/>
            <w:hideMark/>
          </w:tcPr>
          <w:p w14:paraId="22A33864"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proofErr w:type="spellStart"/>
            <w:r w:rsidRPr="00DA1D07">
              <w:rPr>
                <w:rFonts w:asciiTheme="majorBidi" w:eastAsia="Times New Roman" w:hAnsiTheme="majorBidi" w:cstheme="majorBidi"/>
                <w:i/>
                <w:iCs/>
                <w:color w:val="000000"/>
                <w:sz w:val="24"/>
                <w:szCs w:val="24"/>
                <w:lang w:val="en-US" w:eastAsia="en-GB"/>
              </w:rPr>
              <w:t>CEOtenure</w:t>
            </w:r>
            <w:proofErr w:type="spellEnd"/>
          </w:p>
        </w:tc>
        <w:tc>
          <w:tcPr>
            <w:tcW w:w="1390" w:type="pct"/>
            <w:tcBorders>
              <w:top w:val="nil"/>
              <w:left w:val="nil"/>
              <w:bottom w:val="nil"/>
              <w:right w:val="nil"/>
            </w:tcBorders>
            <w:shd w:val="clear" w:color="000000" w:fill="FFFFFF"/>
            <w:noWrap/>
            <w:vAlign w:val="bottom"/>
            <w:hideMark/>
          </w:tcPr>
          <w:p w14:paraId="6AB70BC6"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-0.000</w:t>
            </w:r>
          </w:p>
        </w:tc>
        <w:tc>
          <w:tcPr>
            <w:tcW w:w="1208" w:type="pct"/>
            <w:tcBorders>
              <w:top w:val="nil"/>
              <w:left w:val="nil"/>
              <w:bottom w:val="nil"/>
              <w:right w:val="nil"/>
            </w:tcBorders>
            <w:shd w:val="clear" w:color="000000" w:fill="FFFFFF"/>
            <w:noWrap/>
            <w:vAlign w:val="bottom"/>
            <w:hideMark/>
          </w:tcPr>
          <w:p w14:paraId="0B4B94A8"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-0.001</w:t>
            </w:r>
          </w:p>
        </w:tc>
      </w:tr>
      <w:tr w:rsidR="00E57A11" w:rsidRPr="00F62082" w14:paraId="6DA25D70" w14:textId="77777777" w:rsidTr="007B6B48">
        <w:trPr>
          <w:jc w:val="center"/>
        </w:trPr>
        <w:tc>
          <w:tcPr>
            <w:tcW w:w="2402" w:type="pct"/>
            <w:tcBorders>
              <w:top w:val="nil"/>
              <w:left w:val="nil"/>
              <w:bottom w:val="nil"/>
              <w:right w:val="nil"/>
            </w:tcBorders>
            <w:shd w:val="clear" w:color="000000" w:fill="FFFFFF"/>
            <w:noWrap/>
            <w:vAlign w:val="bottom"/>
            <w:hideMark/>
          </w:tcPr>
          <w:p w14:paraId="2F6FED5F" w14:textId="77777777" w:rsidR="00E57A11" w:rsidRPr="00DA1D07" w:rsidRDefault="00E57A11" w:rsidP="002753C1">
            <w:pPr>
              <w:spacing w:after="0" w:line="240" w:lineRule="auto"/>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lastRenderedPageBreak/>
              <w:t> </w:t>
            </w:r>
          </w:p>
        </w:tc>
        <w:tc>
          <w:tcPr>
            <w:tcW w:w="1390" w:type="pct"/>
            <w:tcBorders>
              <w:top w:val="nil"/>
              <w:left w:val="nil"/>
              <w:bottom w:val="nil"/>
              <w:right w:val="nil"/>
            </w:tcBorders>
            <w:shd w:val="clear" w:color="000000" w:fill="FFFFFF"/>
            <w:noWrap/>
            <w:vAlign w:val="bottom"/>
            <w:hideMark/>
          </w:tcPr>
          <w:p w14:paraId="73F22682"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(-0.29)</w:t>
            </w:r>
          </w:p>
        </w:tc>
        <w:tc>
          <w:tcPr>
            <w:tcW w:w="1208" w:type="pct"/>
            <w:tcBorders>
              <w:top w:val="nil"/>
              <w:left w:val="nil"/>
              <w:bottom w:val="nil"/>
              <w:right w:val="nil"/>
            </w:tcBorders>
            <w:shd w:val="clear" w:color="000000" w:fill="FFFFFF"/>
            <w:noWrap/>
            <w:vAlign w:val="bottom"/>
            <w:hideMark/>
          </w:tcPr>
          <w:p w14:paraId="2BBC30A1"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(-0.10)</w:t>
            </w:r>
          </w:p>
        </w:tc>
      </w:tr>
      <w:tr w:rsidR="00E57A11" w:rsidRPr="00F62082" w14:paraId="37B10997" w14:textId="77777777" w:rsidTr="007B6B48">
        <w:trPr>
          <w:jc w:val="center"/>
        </w:trPr>
        <w:tc>
          <w:tcPr>
            <w:tcW w:w="2402" w:type="pct"/>
            <w:tcBorders>
              <w:top w:val="nil"/>
              <w:left w:val="nil"/>
              <w:bottom w:val="nil"/>
              <w:right w:val="nil"/>
            </w:tcBorders>
            <w:shd w:val="clear" w:color="000000" w:fill="FFFFFF"/>
            <w:noWrap/>
            <w:vAlign w:val="center"/>
            <w:hideMark/>
          </w:tcPr>
          <w:p w14:paraId="08E7806F"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Constant</w:t>
            </w:r>
          </w:p>
        </w:tc>
        <w:tc>
          <w:tcPr>
            <w:tcW w:w="1390" w:type="pct"/>
            <w:tcBorders>
              <w:top w:val="nil"/>
              <w:left w:val="nil"/>
              <w:bottom w:val="nil"/>
              <w:right w:val="nil"/>
            </w:tcBorders>
            <w:shd w:val="clear" w:color="000000" w:fill="FFFFFF"/>
            <w:noWrap/>
            <w:vAlign w:val="bottom"/>
            <w:hideMark/>
          </w:tcPr>
          <w:p w14:paraId="3436E7C9"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-0.045</w:t>
            </w:r>
          </w:p>
        </w:tc>
        <w:tc>
          <w:tcPr>
            <w:tcW w:w="1208" w:type="pct"/>
            <w:tcBorders>
              <w:top w:val="nil"/>
              <w:left w:val="nil"/>
              <w:bottom w:val="nil"/>
              <w:right w:val="nil"/>
            </w:tcBorders>
            <w:shd w:val="clear" w:color="000000" w:fill="FFFFFF"/>
            <w:noWrap/>
            <w:vAlign w:val="bottom"/>
            <w:hideMark/>
          </w:tcPr>
          <w:p w14:paraId="3966CC1B"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-0.029</w:t>
            </w:r>
          </w:p>
        </w:tc>
      </w:tr>
      <w:tr w:rsidR="00E57A11" w:rsidRPr="00F62082" w14:paraId="25D99E56" w14:textId="77777777" w:rsidTr="007B6B48">
        <w:trPr>
          <w:jc w:val="center"/>
        </w:trPr>
        <w:tc>
          <w:tcPr>
            <w:tcW w:w="2402" w:type="pct"/>
            <w:tcBorders>
              <w:top w:val="nil"/>
              <w:left w:val="nil"/>
              <w:bottom w:val="nil"/>
              <w:right w:val="nil"/>
            </w:tcBorders>
            <w:shd w:val="clear" w:color="000000" w:fill="FFFFFF"/>
            <w:noWrap/>
            <w:vAlign w:val="bottom"/>
            <w:hideMark/>
          </w:tcPr>
          <w:p w14:paraId="1DC9C145" w14:textId="77777777" w:rsidR="00E57A11" w:rsidRPr="00DA1D07" w:rsidRDefault="00E57A11" w:rsidP="002753C1">
            <w:pPr>
              <w:spacing w:after="0" w:line="240" w:lineRule="auto"/>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 </w:t>
            </w:r>
          </w:p>
        </w:tc>
        <w:tc>
          <w:tcPr>
            <w:tcW w:w="1390" w:type="pct"/>
            <w:tcBorders>
              <w:top w:val="nil"/>
              <w:left w:val="nil"/>
              <w:bottom w:val="nil"/>
              <w:right w:val="nil"/>
            </w:tcBorders>
            <w:shd w:val="clear" w:color="000000" w:fill="FFFFFF"/>
            <w:noWrap/>
            <w:vAlign w:val="bottom"/>
            <w:hideMark/>
          </w:tcPr>
          <w:p w14:paraId="60083E9E"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(-0.58)</w:t>
            </w:r>
          </w:p>
        </w:tc>
        <w:tc>
          <w:tcPr>
            <w:tcW w:w="1208" w:type="pct"/>
            <w:tcBorders>
              <w:top w:val="nil"/>
              <w:left w:val="nil"/>
              <w:bottom w:val="nil"/>
              <w:right w:val="nil"/>
            </w:tcBorders>
            <w:shd w:val="clear" w:color="000000" w:fill="FFFFFF"/>
            <w:noWrap/>
            <w:vAlign w:val="bottom"/>
            <w:hideMark/>
          </w:tcPr>
          <w:p w14:paraId="37572956"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(-0.04)</w:t>
            </w:r>
          </w:p>
        </w:tc>
      </w:tr>
      <w:tr w:rsidR="00E57A11" w:rsidRPr="00F62082" w14:paraId="10EE0465" w14:textId="77777777" w:rsidTr="007B6B48">
        <w:trPr>
          <w:jc w:val="center"/>
        </w:trPr>
        <w:tc>
          <w:tcPr>
            <w:tcW w:w="2402" w:type="pct"/>
            <w:tcBorders>
              <w:top w:val="nil"/>
              <w:left w:val="nil"/>
              <w:bottom w:val="nil"/>
              <w:right w:val="nil"/>
            </w:tcBorders>
            <w:shd w:val="clear" w:color="000000" w:fill="FFFFFF"/>
            <w:noWrap/>
            <w:vAlign w:val="center"/>
            <w:hideMark/>
          </w:tcPr>
          <w:p w14:paraId="289C17C5" w14:textId="77777777" w:rsidR="00E57A11" w:rsidRPr="00DA1D07" w:rsidRDefault="00E57A11" w:rsidP="002753C1">
            <w:pPr>
              <w:spacing w:after="0" w:line="240" w:lineRule="auto"/>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R-squared</w:t>
            </w:r>
          </w:p>
        </w:tc>
        <w:tc>
          <w:tcPr>
            <w:tcW w:w="1390" w:type="pct"/>
            <w:tcBorders>
              <w:top w:val="nil"/>
              <w:left w:val="nil"/>
              <w:bottom w:val="nil"/>
              <w:right w:val="nil"/>
            </w:tcBorders>
            <w:shd w:val="clear" w:color="000000" w:fill="FFFFFF"/>
            <w:noWrap/>
            <w:vAlign w:val="bottom"/>
            <w:hideMark/>
          </w:tcPr>
          <w:p w14:paraId="0748A1D5"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0.642</w:t>
            </w:r>
          </w:p>
        </w:tc>
        <w:tc>
          <w:tcPr>
            <w:tcW w:w="1208" w:type="pct"/>
            <w:tcBorders>
              <w:top w:val="nil"/>
              <w:left w:val="nil"/>
              <w:bottom w:val="nil"/>
              <w:right w:val="nil"/>
            </w:tcBorders>
            <w:shd w:val="clear" w:color="000000" w:fill="FFFFFF"/>
            <w:noWrap/>
            <w:vAlign w:val="bottom"/>
            <w:hideMark/>
          </w:tcPr>
          <w:p w14:paraId="087523E0"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0.542</w:t>
            </w:r>
          </w:p>
        </w:tc>
      </w:tr>
      <w:tr w:rsidR="00E57A11" w:rsidRPr="00F62082" w14:paraId="7ED389BD" w14:textId="77777777" w:rsidTr="007B6B48">
        <w:trPr>
          <w:jc w:val="center"/>
        </w:trPr>
        <w:tc>
          <w:tcPr>
            <w:tcW w:w="2402" w:type="pct"/>
            <w:tcBorders>
              <w:top w:val="nil"/>
              <w:left w:val="nil"/>
              <w:bottom w:val="nil"/>
              <w:right w:val="nil"/>
            </w:tcBorders>
            <w:shd w:val="clear" w:color="000000" w:fill="FFFFFF"/>
            <w:noWrap/>
            <w:vAlign w:val="center"/>
            <w:hideMark/>
          </w:tcPr>
          <w:p w14:paraId="162B5D20" w14:textId="77777777" w:rsidR="00E57A11" w:rsidRPr="00DA1D07" w:rsidRDefault="00E57A11" w:rsidP="002753C1">
            <w:pPr>
              <w:spacing w:after="0" w:line="240" w:lineRule="auto"/>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Observations</w:t>
            </w:r>
          </w:p>
        </w:tc>
        <w:tc>
          <w:tcPr>
            <w:tcW w:w="1390" w:type="pct"/>
            <w:tcBorders>
              <w:top w:val="nil"/>
              <w:left w:val="nil"/>
              <w:bottom w:val="nil"/>
              <w:right w:val="nil"/>
            </w:tcBorders>
            <w:shd w:val="clear" w:color="000000" w:fill="FFFFFF"/>
            <w:noWrap/>
            <w:vAlign w:val="bottom"/>
            <w:hideMark/>
          </w:tcPr>
          <w:p w14:paraId="18A06494"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16,902</w:t>
            </w:r>
          </w:p>
        </w:tc>
        <w:tc>
          <w:tcPr>
            <w:tcW w:w="1208" w:type="pct"/>
            <w:tcBorders>
              <w:top w:val="nil"/>
              <w:left w:val="nil"/>
              <w:bottom w:val="nil"/>
              <w:right w:val="nil"/>
            </w:tcBorders>
            <w:shd w:val="clear" w:color="000000" w:fill="FFFFFF"/>
            <w:noWrap/>
            <w:vAlign w:val="bottom"/>
            <w:hideMark/>
          </w:tcPr>
          <w:p w14:paraId="5C3F2DF9"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16,902</w:t>
            </w:r>
          </w:p>
        </w:tc>
      </w:tr>
      <w:tr w:rsidR="00E57A11" w:rsidRPr="00F62082" w14:paraId="2E5E6D7B" w14:textId="77777777" w:rsidTr="007B6B48">
        <w:trPr>
          <w:jc w:val="center"/>
        </w:trPr>
        <w:tc>
          <w:tcPr>
            <w:tcW w:w="2402" w:type="pct"/>
            <w:tcBorders>
              <w:top w:val="nil"/>
              <w:left w:val="nil"/>
              <w:bottom w:val="nil"/>
              <w:right w:val="nil"/>
            </w:tcBorders>
            <w:shd w:val="clear" w:color="000000" w:fill="FFFFFF"/>
            <w:noWrap/>
            <w:vAlign w:val="center"/>
            <w:hideMark/>
          </w:tcPr>
          <w:p w14:paraId="1458012A" w14:textId="77777777" w:rsidR="00E57A11" w:rsidRPr="00DA1D07" w:rsidRDefault="00E57A11" w:rsidP="002753C1">
            <w:pPr>
              <w:spacing w:after="0" w:line="240" w:lineRule="auto"/>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Firm fixed effects</w:t>
            </w:r>
          </w:p>
        </w:tc>
        <w:tc>
          <w:tcPr>
            <w:tcW w:w="1390" w:type="pct"/>
            <w:tcBorders>
              <w:top w:val="nil"/>
              <w:left w:val="nil"/>
              <w:bottom w:val="nil"/>
              <w:right w:val="nil"/>
            </w:tcBorders>
            <w:shd w:val="clear" w:color="000000" w:fill="FFFFFF"/>
            <w:noWrap/>
            <w:vAlign w:val="bottom"/>
            <w:hideMark/>
          </w:tcPr>
          <w:p w14:paraId="0F315225"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Yes</w:t>
            </w:r>
          </w:p>
        </w:tc>
        <w:tc>
          <w:tcPr>
            <w:tcW w:w="1208" w:type="pct"/>
            <w:tcBorders>
              <w:top w:val="nil"/>
              <w:left w:val="nil"/>
              <w:bottom w:val="nil"/>
              <w:right w:val="nil"/>
            </w:tcBorders>
            <w:shd w:val="clear" w:color="000000" w:fill="FFFFFF"/>
            <w:noWrap/>
            <w:vAlign w:val="bottom"/>
            <w:hideMark/>
          </w:tcPr>
          <w:p w14:paraId="72291D85"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Yes</w:t>
            </w:r>
          </w:p>
        </w:tc>
      </w:tr>
      <w:tr w:rsidR="00E57A11" w:rsidRPr="00F62082" w14:paraId="33C5FA0A" w14:textId="77777777" w:rsidTr="007B6B48">
        <w:trPr>
          <w:jc w:val="center"/>
        </w:trPr>
        <w:tc>
          <w:tcPr>
            <w:tcW w:w="2402" w:type="pct"/>
            <w:tcBorders>
              <w:top w:val="nil"/>
              <w:left w:val="nil"/>
              <w:bottom w:val="nil"/>
              <w:right w:val="nil"/>
            </w:tcBorders>
            <w:shd w:val="clear" w:color="000000" w:fill="FFFFFF"/>
            <w:noWrap/>
            <w:vAlign w:val="center"/>
            <w:hideMark/>
          </w:tcPr>
          <w:p w14:paraId="779ACC64" w14:textId="77777777" w:rsidR="00E57A11" w:rsidRPr="00DA1D07" w:rsidRDefault="00E57A11" w:rsidP="002753C1">
            <w:pPr>
              <w:spacing w:after="0" w:line="240" w:lineRule="auto"/>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Year fixed effects</w:t>
            </w:r>
          </w:p>
        </w:tc>
        <w:tc>
          <w:tcPr>
            <w:tcW w:w="1390" w:type="pct"/>
            <w:tcBorders>
              <w:top w:val="nil"/>
              <w:left w:val="nil"/>
              <w:bottom w:val="nil"/>
              <w:right w:val="nil"/>
            </w:tcBorders>
            <w:shd w:val="clear" w:color="000000" w:fill="FFFFFF"/>
            <w:noWrap/>
            <w:vAlign w:val="bottom"/>
            <w:hideMark/>
          </w:tcPr>
          <w:p w14:paraId="08A007D3"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Yes</w:t>
            </w:r>
          </w:p>
        </w:tc>
        <w:tc>
          <w:tcPr>
            <w:tcW w:w="1208" w:type="pct"/>
            <w:tcBorders>
              <w:top w:val="nil"/>
              <w:left w:val="nil"/>
              <w:bottom w:val="nil"/>
              <w:right w:val="nil"/>
            </w:tcBorders>
            <w:shd w:val="clear" w:color="000000" w:fill="FFFFFF"/>
            <w:noWrap/>
            <w:vAlign w:val="bottom"/>
            <w:hideMark/>
          </w:tcPr>
          <w:p w14:paraId="7E58E7EA"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Yes</w:t>
            </w:r>
          </w:p>
        </w:tc>
      </w:tr>
      <w:tr w:rsidR="00E57A11" w:rsidRPr="00F62082" w14:paraId="05912B7E" w14:textId="77777777" w:rsidTr="007B6B48">
        <w:trPr>
          <w:jc w:val="center"/>
        </w:trPr>
        <w:tc>
          <w:tcPr>
            <w:tcW w:w="2402" w:type="pct"/>
            <w:tcBorders>
              <w:top w:val="nil"/>
              <w:left w:val="nil"/>
              <w:bottom w:val="single" w:sz="4" w:space="0" w:color="auto"/>
              <w:right w:val="nil"/>
            </w:tcBorders>
            <w:shd w:val="clear" w:color="000000" w:fill="FFFFFF"/>
            <w:noWrap/>
            <w:vAlign w:val="center"/>
            <w:hideMark/>
          </w:tcPr>
          <w:p w14:paraId="4D161930" w14:textId="77777777" w:rsidR="00E57A11" w:rsidRPr="00DA1D07" w:rsidRDefault="00E57A11" w:rsidP="002753C1">
            <w:pPr>
              <w:spacing w:after="0" w:line="240" w:lineRule="auto"/>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Model</w:t>
            </w:r>
          </w:p>
        </w:tc>
        <w:tc>
          <w:tcPr>
            <w:tcW w:w="1390" w:type="pct"/>
            <w:tcBorders>
              <w:top w:val="nil"/>
              <w:left w:val="nil"/>
              <w:bottom w:val="single" w:sz="4" w:space="0" w:color="auto"/>
              <w:right w:val="nil"/>
            </w:tcBorders>
            <w:shd w:val="clear" w:color="000000" w:fill="FFFFFF"/>
            <w:noWrap/>
            <w:vAlign w:val="bottom"/>
            <w:hideMark/>
          </w:tcPr>
          <w:p w14:paraId="63D1322F"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OLS</w:t>
            </w:r>
          </w:p>
        </w:tc>
        <w:tc>
          <w:tcPr>
            <w:tcW w:w="1208" w:type="pct"/>
            <w:tcBorders>
              <w:top w:val="nil"/>
              <w:left w:val="nil"/>
              <w:bottom w:val="single" w:sz="4" w:space="0" w:color="auto"/>
              <w:right w:val="nil"/>
            </w:tcBorders>
            <w:shd w:val="clear" w:color="000000" w:fill="FFFFFF"/>
            <w:noWrap/>
            <w:vAlign w:val="bottom"/>
            <w:hideMark/>
          </w:tcPr>
          <w:p w14:paraId="6B7F168E"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OLS</w:t>
            </w:r>
          </w:p>
        </w:tc>
      </w:tr>
    </w:tbl>
    <w:p w14:paraId="2D3E3573" w14:textId="77777777" w:rsidR="00E57A11" w:rsidRPr="00DA1D07" w:rsidRDefault="00E57A11" w:rsidP="00E57A11">
      <w:pPr>
        <w:spacing w:line="240" w:lineRule="auto"/>
        <w:jc w:val="center"/>
        <w:rPr>
          <w:rFonts w:asciiTheme="majorBidi" w:eastAsia="Times New Roman" w:hAnsiTheme="majorBidi" w:cstheme="majorBidi"/>
          <w:b/>
          <w:bCs/>
          <w:sz w:val="24"/>
          <w:szCs w:val="24"/>
          <w:lang w:val="en-US"/>
        </w:rPr>
      </w:pPr>
    </w:p>
    <w:p w14:paraId="46954ADA" w14:textId="2DEAAC2D" w:rsidR="004A7A5F" w:rsidRDefault="004A7A5F">
      <w:pPr>
        <w:rPr>
          <w:rFonts w:asciiTheme="majorBidi" w:eastAsia="Times New Roman" w:hAnsiTheme="majorBidi" w:cstheme="majorBidi"/>
          <w:b/>
          <w:bCs/>
          <w:sz w:val="24"/>
          <w:szCs w:val="24"/>
          <w:lang w:val="en-US"/>
        </w:rPr>
      </w:pPr>
      <w:r>
        <w:rPr>
          <w:rFonts w:asciiTheme="majorBidi" w:eastAsia="Times New Roman" w:hAnsiTheme="majorBidi" w:cstheme="majorBidi"/>
          <w:b/>
          <w:bCs/>
          <w:sz w:val="24"/>
          <w:szCs w:val="24"/>
          <w:lang w:val="en-US"/>
        </w:rPr>
        <w:br w:type="page"/>
      </w:r>
    </w:p>
    <w:p w14:paraId="25846939" w14:textId="77777777" w:rsidR="004A7A5F" w:rsidRDefault="004A7A5F" w:rsidP="004A7A5F">
      <w:pPr>
        <w:jc w:val="center"/>
        <w:rPr>
          <w:rFonts w:ascii="Times New Roman" w:hAnsi="Times New Roman" w:cs="Times New Roman"/>
          <w:b/>
          <w:bCs/>
          <w:sz w:val="24"/>
          <w:szCs w:val="24"/>
          <w:lang w:val="en-US"/>
        </w:rPr>
      </w:pPr>
      <w:bookmarkStart w:id="16" w:name="_Hlk158317630"/>
      <w:r>
        <w:rPr>
          <w:rFonts w:ascii="Times New Roman" w:hAnsi="Times New Roman" w:cs="Times New Roman"/>
          <w:b/>
          <w:bCs/>
          <w:sz w:val="24"/>
          <w:szCs w:val="24"/>
          <w:lang w:val="en-US"/>
        </w:rPr>
        <w:lastRenderedPageBreak/>
        <w:t>TABLE 9</w:t>
      </w:r>
    </w:p>
    <w:p w14:paraId="63C57982" w14:textId="0378F64D" w:rsidR="004A7A5F" w:rsidRDefault="004A7A5F" w:rsidP="004A7A5F">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Indirect Mechanism</w:t>
      </w:r>
      <w:r w:rsidR="000852A7">
        <w:rPr>
          <w:rFonts w:ascii="Times New Roman" w:hAnsi="Times New Roman" w:cs="Times New Roman"/>
          <w:b/>
          <w:bCs/>
          <w:sz w:val="24"/>
          <w:szCs w:val="24"/>
          <w:lang w:val="en-US"/>
        </w:rPr>
        <w:t xml:space="preserve">: </w:t>
      </w:r>
      <w:r w:rsidR="00A705CD">
        <w:rPr>
          <w:rFonts w:ascii="Times New Roman" w:hAnsi="Times New Roman" w:cs="Times New Roman"/>
          <w:b/>
          <w:bCs/>
          <w:sz w:val="24"/>
          <w:szCs w:val="24"/>
          <w:lang w:val="en-US"/>
        </w:rPr>
        <w:t>Increase in Employee Workload</w:t>
      </w:r>
    </w:p>
    <w:p w14:paraId="29D36D35" w14:textId="37CE95F1" w:rsidR="004A7A5F" w:rsidRDefault="004A7A5F" w:rsidP="004A7A5F">
      <w:pPr>
        <w:spacing w:line="24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This table reports the estimation results from OLS regressio</w:t>
      </w:r>
      <w:r w:rsidR="00116D5D">
        <w:rPr>
          <w:rFonts w:asciiTheme="majorBidi" w:eastAsia="Times New Roman" w:hAnsiTheme="majorBidi" w:cstheme="majorBidi"/>
          <w:sz w:val="24"/>
          <w:szCs w:val="24"/>
          <w:lang w:val="en-US"/>
        </w:rPr>
        <w:t>ns.</w:t>
      </w:r>
      <w:r>
        <w:rPr>
          <w:rFonts w:asciiTheme="majorBidi" w:eastAsia="Times New Roman" w:hAnsiTheme="majorBidi" w:cstheme="majorBidi"/>
          <w:sz w:val="24"/>
          <w:szCs w:val="24"/>
          <w:lang w:val="en-US"/>
        </w:rPr>
        <w:t xml:space="preserve"> </w:t>
      </w:r>
      <w:r w:rsidR="00116D5D">
        <w:rPr>
          <w:rFonts w:asciiTheme="majorBidi" w:eastAsia="Times New Roman" w:hAnsiTheme="majorBidi" w:cstheme="majorBidi"/>
          <w:sz w:val="24"/>
          <w:szCs w:val="24"/>
          <w:lang w:val="en-US"/>
        </w:rPr>
        <w:t>T</w:t>
      </w:r>
      <w:r>
        <w:rPr>
          <w:rFonts w:asciiTheme="majorBidi" w:eastAsia="Times New Roman" w:hAnsiTheme="majorBidi" w:cstheme="majorBidi"/>
          <w:sz w:val="24"/>
          <w:szCs w:val="24"/>
          <w:lang w:val="en-US"/>
        </w:rPr>
        <w:t xml:space="preserve">he dependent variable in </w:t>
      </w:r>
      <w:r w:rsidR="00A705CD">
        <w:rPr>
          <w:rFonts w:asciiTheme="majorBidi" w:eastAsia="Times New Roman" w:hAnsiTheme="majorBidi" w:cstheme="majorBidi"/>
          <w:sz w:val="24"/>
          <w:szCs w:val="24"/>
          <w:lang w:val="en-US"/>
        </w:rPr>
        <w:t>column</w:t>
      </w:r>
      <w:r>
        <w:rPr>
          <w:rFonts w:asciiTheme="majorBidi" w:eastAsia="Times New Roman" w:hAnsiTheme="majorBidi" w:cstheme="majorBidi"/>
          <w:sz w:val="24"/>
          <w:szCs w:val="24"/>
          <w:lang w:val="en-US"/>
        </w:rPr>
        <w:t xml:space="preserve"> (1) is the natural logarithm of </w:t>
      </w:r>
      <w:r w:rsidR="00D94C31">
        <w:rPr>
          <w:rFonts w:asciiTheme="majorBidi" w:eastAsia="Times New Roman" w:hAnsiTheme="majorBidi" w:cstheme="majorBidi"/>
          <w:sz w:val="24"/>
          <w:szCs w:val="24"/>
          <w:lang w:val="en-US"/>
        </w:rPr>
        <w:t xml:space="preserve">the </w:t>
      </w:r>
      <w:r>
        <w:rPr>
          <w:rFonts w:asciiTheme="majorBidi" w:eastAsia="Times New Roman" w:hAnsiTheme="majorBidi" w:cstheme="majorBidi"/>
          <w:sz w:val="24"/>
          <w:szCs w:val="24"/>
          <w:lang w:val="en-US"/>
        </w:rPr>
        <w:t xml:space="preserve">number of violations, and in </w:t>
      </w:r>
      <w:r w:rsidR="00A705CD">
        <w:rPr>
          <w:rFonts w:asciiTheme="majorBidi" w:eastAsia="Times New Roman" w:hAnsiTheme="majorBidi" w:cstheme="majorBidi"/>
          <w:sz w:val="24"/>
          <w:szCs w:val="24"/>
          <w:lang w:val="en-US"/>
        </w:rPr>
        <w:t>column</w:t>
      </w:r>
      <w:r>
        <w:rPr>
          <w:rFonts w:asciiTheme="majorBidi" w:eastAsia="Times New Roman" w:hAnsiTheme="majorBidi" w:cstheme="majorBidi"/>
          <w:sz w:val="24"/>
          <w:szCs w:val="24"/>
          <w:lang w:val="en-US"/>
        </w:rPr>
        <w:t xml:space="preserve"> (2) the natural logarithm of penalty values. </w:t>
      </w:r>
      <w:r w:rsidR="00A705CD">
        <w:rPr>
          <w:rFonts w:asciiTheme="majorBidi" w:eastAsia="Times New Roman" w:hAnsiTheme="majorBidi" w:cstheme="majorBidi"/>
          <w:sz w:val="24"/>
          <w:szCs w:val="24"/>
          <w:lang w:val="en-US"/>
        </w:rPr>
        <w:t xml:space="preserve">Panel A shows the results for tests when we proxy for </w:t>
      </w:r>
      <w:r w:rsidR="000948A1">
        <w:rPr>
          <w:rFonts w:asciiTheme="majorBidi" w:eastAsia="Times New Roman" w:hAnsiTheme="majorBidi" w:cstheme="majorBidi"/>
          <w:sz w:val="24"/>
          <w:szCs w:val="24"/>
          <w:lang w:val="en-US"/>
        </w:rPr>
        <w:t xml:space="preserve">an </w:t>
      </w:r>
      <w:r w:rsidR="00A705CD">
        <w:rPr>
          <w:rFonts w:asciiTheme="majorBidi" w:eastAsia="Times New Roman" w:hAnsiTheme="majorBidi" w:cstheme="majorBidi"/>
          <w:sz w:val="24"/>
          <w:szCs w:val="24"/>
          <w:lang w:val="en-US"/>
        </w:rPr>
        <w:t xml:space="preserve">increase in employee workload using the amount of employee layoffs. </w:t>
      </w:r>
      <w:proofErr w:type="spellStart"/>
      <w:r>
        <w:rPr>
          <w:rFonts w:asciiTheme="majorBidi" w:eastAsia="Times New Roman" w:hAnsiTheme="majorBidi" w:cstheme="majorBidi"/>
          <w:i/>
          <w:iCs/>
          <w:sz w:val="24"/>
          <w:szCs w:val="24"/>
          <w:lang w:val="en-US"/>
        </w:rPr>
        <w:t>HighLayoffs</w:t>
      </w:r>
      <w:proofErr w:type="spellEnd"/>
      <w:r>
        <w:rPr>
          <w:rFonts w:asciiTheme="majorBidi" w:eastAsia="Times New Roman" w:hAnsiTheme="majorBidi" w:cstheme="majorBidi"/>
          <w:sz w:val="24"/>
          <w:szCs w:val="24"/>
          <w:lang w:val="en-US"/>
        </w:rPr>
        <w:t xml:space="preserve"> equals one if the firm is in the bottom quartile of staff turnover in </w:t>
      </w:r>
      <w:r>
        <w:rPr>
          <w:rFonts w:asciiTheme="majorBidi" w:eastAsia="Times New Roman" w:hAnsiTheme="majorBidi" w:cstheme="majorBidi"/>
          <w:i/>
          <w:sz w:val="24"/>
          <w:szCs w:val="24"/>
          <w:lang w:val="en-US"/>
        </w:rPr>
        <w:t>t-1</w:t>
      </w:r>
      <w:r>
        <w:rPr>
          <w:rFonts w:asciiTheme="majorBidi" w:eastAsia="Times New Roman" w:hAnsiTheme="majorBidi" w:cstheme="majorBidi"/>
          <w:sz w:val="24"/>
          <w:szCs w:val="24"/>
          <w:lang w:val="en-US"/>
        </w:rPr>
        <w:t>, and zero if the firm is in the top quartile of the turnover.</w:t>
      </w:r>
      <w:r w:rsidR="00121605" w:rsidRPr="00121605">
        <w:rPr>
          <w:rFonts w:asciiTheme="majorBidi" w:eastAsia="Times New Roman" w:hAnsiTheme="majorBidi" w:cstheme="majorBidi"/>
          <w:sz w:val="24"/>
          <w:szCs w:val="24"/>
          <w:lang w:val="en-US"/>
        </w:rPr>
        <w:t xml:space="preserve"> </w:t>
      </w:r>
      <w:r w:rsidR="00A705CD">
        <w:rPr>
          <w:rFonts w:asciiTheme="majorBidi" w:eastAsia="Times New Roman" w:hAnsiTheme="majorBidi" w:cstheme="majorBidi"/>
          <w:sz w:val="24"/>
          <w:szCs w:val="24"/>
          <w:lang w:val="en-US"/>
        </w:rPr>
        <w:t xml:space="preserve">Panel B shows the results for tests when we proxy for </w:t>
      </w:r>
      <w:r w:rsidR="000948A1">
        <w:rPr>
          <w:rFonts w:asciiTheme="majorBidi" w:eastAsia="Times New Roman" w:hAnsiTheme="majorBidi" w:cstheme="majorBidi"/>
          <w:sz w:val="24"/>
          <w:szCs w:val="24"/>
          <w:lang w:val="en-US"/>
        </w:rPr>
        <w:t xml:space="preserve">an </w:t>
      </w:r>
      <w:r w:rsidR="00A705CD">
        <w:rPr>
          <w:rFonts w:asciiTheme="majorBidi" w:eastAsia="Times New Roman" w:hAnsiTheme="majorBidi" w:cstheme="majorBidi"/>
          <w:sz w:val="24"/>
          <w:szCs w:val="24"/>
          <w:lang w:val="en-US"/>
        </w:rPr>
        <w:t xml:space="preserve">increase in employee workload using production per employee. </w:t>
      </w:r>
      <w:proofErr w:type="spellStart"/>
      <w:r w:rsidR="000852A7" w:rsidRPr="00A705CD">
        <w:rPr>
          <w:rFonts w:asciiTheme="majorBidi" w:eastAsia="Times New Roman" w:hAnsiTheme="majorBidi" w:cstheme="majorBidi"/>
          <w:i/>
          <w:sz w:val="24"/>
          <w:szCs w:val="24"/>
          <w:lang w:val="en-US"/>
        </w:rPr>
        <w:t>ProdperEmp</w:t>
      </w:r>
      <w:proofErr w:type="spellEnd"/>
      <w:r w:rsidR="00F23E20" w:rsidRPr="00A705CD">
        <w:rPr>
          <w:rFonts w:asciiTheme="majorBidi" w:eastAsia="Times New Roman" w:hAnsiTheme="majorBidi" w:cstheme="majorBidi"/>
          <w:sz w:val="24"/>
          <w:szCs w:val="24"/>
          <w:lang w:val="en-US"/>
        </w:rPr>
        <w:t xml:space="preserve"> </w:t>
      </w:r>
      <w:r w:rsidR="00F23E20">
        <w:rPr>
          <w:rFonts w:asciiTheme="majorBidi" w:eastAsia="Times New Roman" w:hAnsiTheme="majorBidi" w:cstheme="majorBidi"/>
          <w:sz w:val="24"/>
          <w:szCs w:val="24"/>
          <w:lang w:val="en-US"/>
        </w:rPr>
        <w:t xml:space="preserve">is </w:t>
      </w:r>
      <w:r w:rsidR="00F23E20" w:rsidRPr="00A705CD">
        <w:rPr>
          <w:rFonts w:asciiTheme="majorBidi" w:eastAsia="Times New Roman" w:hAnsiTheme="majorBidi" w:cstheme="majorBidi"/>
          <w:sz w:val="24"/>
          <w:szCs w:val="24"/>
          <w:lang w:val="en-US"/>
        </w:rPr>
        <w:t>production divided by the number of employees</w:t>
      </w:r>
      <w:r w:rsidR="00A705CD">
        <w:rPr>
          <w:rFonts w:asciiTheme="majorBidi" w:eastAsia="Times New Roman" w:hAnsiTheme="majorBidi" w:cstheme="majorBidi"/>
          <w:sz w:val="24"/>
          <w:szCs w:val="24"/>
          <w:lang w:val="en-US"/>
        </w:rPr>
        <w:t xml:space="preserve">. </w:t>
      </w:r>
      <w:r>
        <w:rPr>
          <w:rFonts w:ascii="Times New Roman" w:eastAsia="Times New Roman" w:hAnsi="Times New Roman" w:cs="Times New Roman"/>
          <w:i/>
          <w:iCs/>
          <w:color w:val="000000"/>
          <w:sz w:val="24"/>
          <w:szCs w:val="24"/>
          <w:lang w:val="en-US" w:eastAsia="en-GB"/>
        </w:rPr>
        <w:t xml:space="preserve">Leverage, </w:t>
      </w:r>
      <w:proofErr w:type="spellStart"/>
      <w:r>
        <w:rPr>
          <w:rFonts w:asciiTheme="majorBidi" w:eastAsia="Times New Roman" w:hAnsiTheme="majorBidi" w:cstheme="majorBidi"/>
          <w:i/>
          <w:iCs/>
          <w:color w:val="000000"/>
          <w:sz w:val="24"/>
          <w:szCs w:val="24"/>
          <w:lang w:val="en-US" w:eastAsia="en-GB"/>
        </w:rPr>
        <w:t>FirmSize</w:t>
      </w:r>
      <w:proofErr w:type="spellEnd"/>
      <w:r>
        <w:rPr>
          <w:rFonts w:asciiTheme="majorBidi" w:eastAsia="Times New Roman" w:hAnsiTheme="majorBidi" w:cstheme="majorBidi"/>
          <w:i/>
          <w:iCs/>
          <w:color w:val="000000"/>
          <w:sz w:val="24"/>
          <w:szCs w:val="24"/>
          <w:lang w:val="en-US" w:eastAsia="en-GB"/>
        </w:rPr>
        <w:t>,</w:t>
      </w:r>
      <w:r>
        <w:rPr>
          <w:rFonts w:ascii="Times New Roman" w:eastAsia="Times New Roman" w:hAnsi="Times New Roman" w:cs="Times New Roman"/>
          <w:i/>
          <w:iCs/>
          <w:color w:val="000000"/>
          <w:sz w:val="24"/>
          <w:szCs w:val="24"/>
          <w:lang w:val="en-US" w:eastAsia="en-GB"/>
        </w:rPr>
        <w:t xml:space="preserve"> Market-to-Book</w:t>
      </w:r>
      <w:r>
        <w:rPr>
          <w:rFonts w:ascii="Times New Roman" w:eastAsia="Times New Roman" w:hAnsi="Times New Roman" w:cs="Times New Roman"/>
          <w:color w:val="000000"/>
          <w:sz w:val="24"/>
          <w:szCs w:val="24"/>
          <w:lang w:val="en-US" w:eastAsia="en-GB"/>
        </w:rPr>
        <w:t xml:space="preserve">, and </w:t>
      </w:r>
      <w:r>
        <w:rPr>
          <w:rFonts w:ascii="Times New Roman" w:eastAsia="Times New Roman" w:hAnsi="Times New Roman" w:cs="Times New Roman"/>
          <w:i/>
          <w:iCs/>
          <w:color w:val="000000"/>
          <w:sz w:val="24"/>
          <w:szCs w:val="24"/>
          <w:lang w:val="en-US" w:eastAsia="en-GB"/>
        </w:rPr>
        <w:t>Tangibility</w:t>
      </w:r>
      <w:r>
        <w:rPr>
          <w:rFonts w:ascii="Times New Roman" w:eastAsia="Times New Roman" w:hAnsi="Times New Roman" w:cs="Times New Roman"/>
          <w:color w:val="000000"/>
          <w:sz w:val="24"/>
          <w:szCs w:val="24"/>
          <w:lang w:val="en-US" w:eastAsia="en-GB"/>
        </w:rPr>
        <w:t xml:space="preserve"> are lagged </w:t>
      </w:r>
      <w:r w:rsidR="00D94C31">
        <w:rPr>
          <w:rFonts w:ascii="Times New Roman" w:eastAsia="Times New Roman" w:hAnsi="Times New Roman" w:cs="Times New Roman"/>
          <w:color w:val="000000"/>
          <w:sz w:val="24"/>
          <w:szCs w:val="24"/>
          <w:lang w:val="en-US" w:eastAsia="en-GB"/>
        </w:rPr>
        <w:t xml:space="preserve">by </w:t>
      </w:r>
      <w:r>
        <w:rPr>
          <w:rFonts w:ascii="Times New Roman" w:eastAsia="Times New Roman" w:hAnsi="Times New Roman" w:cs="Times New Roman"/>
          <w:color w:val="000000"/>
          <w:sz w:val="24"/>
          <w:szCs w:val="24"/>
          <w:lang w:val="en-US" w:eastAsia="en-GB"/>
        </w:rPr>
        <w:t xml:space="preserve">one year, while </w:t>
      </w:r>
      <w:proofErr w:type="spellStart"/>
      <w:r>
        <w:rPr>
          <w:rFonts w:ascii="Times New Roman" w:eastAsia="Times New Roman" w:hAnsi="Times New Roman" w:cs="Times New Roman"/>
          <w:i/>
          <w:iCs/>
          <w:color w:val="000000"/>
          <w:sz w:val="24"/>
          <w:szCs w:val="24"/>
          <w:lang w:val="en-US" w:eastAsia="en-GB"/>
        </w:rPr>
        <w:t>CashFlow</w:t>
      </w:r>
      <w:proofErr w:type="spellEnd"/>
      <w:r>
        <w:rPr>
          <w:rFonts w:ascii="Times New Roman" w:eastAsia="Times New Roman" w:hAnsi="Times New Roman" w:cs="Times New Roman"/>
          <w:i/>
          <w:iCs/>
          <w:color w:val="000000"/>
          <w:sz w:val="24"/>
          <w:szCs w:val="24"/>
          <w:lang w:val="en-US" w:eastAsia="en-GB"/>
        </w:rPr>
        <w:t xml:space="preserve">, </w:t>
      </w:r>
      <w:proofErr w:type="spellStart"/>
      <w:r>
        <w:rPr>
          <w:rFonts w:ascii="Times New Roman" w:eastAsia="Times New Roman" w:hAnsi="Times New Roman" w:cs="Times New Roman"/>
          <w:i/>
          <w:iCs/>
          <w:color w:val="000000"/>
          <w:sz w:val="24"/>
          <w:szCs w:val="24"/>
          <w:lang w:val="en-US" w:eastAsia="en-GB"/>
        </w:rPr>
        <w:t>DividendsPayout</w:t>
      </w:r>
      <w:proofErr w:type="spellEnd"/>
      <w:r>
        <w:rPr>
          <w:rFonts w:ascii="Times New Roman" w:eastAsia="Times New Roman" w:hAnsi="Times New Roman" w:cs="Times New Roman"/>
          <w:i/>
          <w:iCs/>
          <w:color w:val="000000"/>
          <w:sz w:val="24"/>
          <w:szCs w:val="24"/>
          <w:lang w:val="en-US" w:eastAsia="en-GB"/>
        </w:rPr>
        <w:t xml:space="preserve">, </w:t>
      </w:r>
      <w:proofErr w:type="spellStart"/>
      <w:r>
        <w:rPr>
          <w:rFonts w:ascii="Times New Roman" w:eastAsia="Times New Roman" w:hAnsi="Times New Roman" w:cs="Times New Roman"/>
          <w:i/>
          <w:iCs/>
          <w:color w:val="000000"/>
          <w:sz w:val="24"/>
          <w:szCs w:val="24"/>
          <w:lang w:val="en-US" w:eastAsia="en-GB"/>
        </w:rPr>
        <w:t>AssetTurnover</w:t>
      </w:r>
      <w:proofErr w:type="spellEnd"/>
      <w:r>
        <w:rPr>
          <w:rFonts w:ascii="Times New Roman" w:eastAsia="Times New Roman" w:hAnsi="Times New Roman" w:cs="Times New Roman"/>
          <w:i/>
          <w:iCs/>
          <w:color w:val="000000"/>
          <w:sz w:val="24"/>
          <w:szCs w:val="24"/>
          <w:lang w:val="en-US" w:eastAsia="en-GB"/>
        </w:rPr>
        <w:t xml:space="preserve">, Capex, RET, </w:t>
      </w:r>
      <w:proofErr w:type="spellStart"/>
      <w:r>
        <w:rPr>
          <w:rFonts w:ascii="Times New Roman" w:eastAsia="Times New Roman" w:hAnsi="Times New Roman" w:cs="Times New Roman"/>
          <w:i/>
          <w:iCs/>
          <w:color w:val="000000"/>
          <w:sz w:val="24"/>
          <w:szCs w:val="24"/>
          <w:lang w:val="en-US" w:eastAsia="en-GB"/>
        </w:rPr>
        <w:t>CEOage</w:t>
      </w:r>
      <w:proofErr w:type="spellEnd"/>
      <w:r>
        <w:rPr>
          <w:rFonts w:ascii="Times New Roman" w:eastAsia="Times New Roman" w:hAnsi="Times New Roman" w:cs="Times New Roman"/>
          <w:i/>
          <w:iCs/>
          <w:color w:val="000000"/>
          <w:sz w:val="24"/>
          <w:szCs w:val="24"/>
          <w:lang w:val="en-US" w:eastAsia="en-GB"/>
        </w:rPr>
        <w:t>,</w:t>
      </w:r>
      <w:r>
        <w:rPr>
          <w:rFonts w:ascii="Times New Roman" w:eastAsia="Times New Roman" w:hAnsi="Times New Roman" w:cs="Times New Roman"/>
          <w:color w:val="000000"/>
          <w:sz w:val="24"/>
          <w:szCs w:val="24"/>
          <w:lang w:val="en-US" w:eastAsia="en-GB"/>
        </w:rPr>
        <w:t xml:space="preserve"> and </w:t>
      </w:r>
      <w:proofErr w:type="spellStart"/>
      <w:r>
        <w:rPr>
          <w:rFonts w:ascii="Times New Roman" w:eastAsia="Times New Roman" w:hAnsi="Times New Roman" w:cs="Times New Roman"/>
          <w:i/>
          <w:iCs/>
          <w:color w:val="000000"/>
          <w:sz w:val="24"/>
          <w:szCs w:val="24"/>
          <w:lang w:val="en-US" w:eastAsia="en-GB"/>
        </w:rPr>
        <w:t>CEOtenure</w:t>
      </w:r>
      <w:proofErr w:type="spellEnd"/>
      <w:r>
        <w:rPr>
          <w:rFonts w:ascii="Times New Roman" w:eastAsia="Times New Roman" w:hAnsi="Times New Roman" w:cs="Times New Roman"/>
          <w:color w:val="000000"/>
          <w:sz w:val="24"/>
          <w:szCs w:val="24"/>
          <w:lang w:val="en-US" w:eastAsia="en-GB"/>
        </w:rPr>
        <w:t xml:space="preserve"> are measured contemporaneously.</w:t>
      </w:r>
      <w:r>
        <w:rPr>
          <w:rFonts w:asciiTheme="majorBidi" w:eastAsia="Times New Roman" w:hAnsiTheme="majorBidi" w:cstheme="majorBidi"/>
          <w:sz w:val="24"/>
          <w:szCs w:val="24"/>
          <w:lang w:val="en-US"/>
        </w:rPr>
        <w:t xml:space="preserve"> All models include firm and </w:t>
      </w:r>
      <w:r w:rsidR="00D94C31">
        <w:rPr>
          <w:rFonts w:asciiTheme="majorBidi" w:eastAsia="Times New Roman" w:hAnsiTheme="majorBidi" w:cstheme="majorBidi"/>
          <w:sz w:val="24"/>
          <w:szCs w:val="24"/>
          <w:lang w:val="en-US"/>
        </w:rPr>
        <w:t>year fixed</w:t>
      </w:r>
      <w:r>
        <w:rPr>
          <w:rFonts w:asciiTheme="majorBidi" w:eastAsia="Times New Roman" w:hAnsiTheme="majorBidi" w:cstheme="majorBidi"/>
          <w:sz w:val="24"/>
          <w:szCs w:val="24"/>
          <w:lang w:val="en-US"/>
        </w:rPr>
        <w:t xml:space="preserve"> effects. The definitions of all variables are provided in Appendix </w:t>
      </w:r>
      <w:r w:rsidR="006B635B">
        <w:rPr>
          <w:rFonts w:asciiTheme="majorBidi" w:eastAsia="Times New Roman" w:hAnsiTheme="majorBidi" w:cstheme="majorBidi"/>
          <w:sz w:val="24"/>
          <w:szCs w:val="24"/>
          <w:lang w:val="en-US"/>
        </w:rPr>
        <w:t>1</w:t>
      </w:r>
      <w:r>
        <w:rPr>
          <w:rFonts w:asciiTheme="majorBidi" w:eastAsia="Times New Roman" w:hAnsiTheme="majorBidi" w:cstheme="majorBidi"/>
          <w:sz w:val="24"/>
          <w:szCs w:val="24"/>
          <w:lang w:val="en-US"/>
        </w:rPr>
        <w:t>. The values reported in parentheses below coefficients represent t-statistics. Standard errors are clustered at</w:t>
      </w:r>
      <w:r w:rsidR="00D94C31">
        <w:rPr>
          <w:rFonts w:asciiTheme="majorBidi" w:eastAsia="Times New Roman" w:hAnsiTheme="majorBidi" w:cstheme="majorBidi"/>
          <w:sz w:val="24"/>
          <w:szCs w:val="24"/>
          <w:lang w:val="en-US"/>
        </w:rPr>
        <w:t xml:space="preserve"> the</w:t>
      </w:r>
      <w:r>
        <w:rPr>
          <w:rFonts w:asciiTheme="majorBidi" w:eastAsia="Times New Roman" w:hAnsiTheme="majorBidi" w:cstheme="majorBidi"/>
          <w:sz w:val="24"/>
          <w:szCs w:val="24"/>
          <w:lang w:val="en-US"/>
        </w:rPr>
        <w:t xml:space="preserve"> firm level.  *, **, *** represent significance at 1</w:t>
      </w:r>
      <w:r w:rsidR="004352DF">
        <w:rPr>
          <w:rFonts w:asciiTheme="majorBidi" w:eastAsia="Times New Roman" w:hAnsiTheme="majorBidi" w:cstheme="majorBidi"/>
          <w:sz w:val="24"/>
          <w:szCs w:val="24"/>
          <w:lang w:val="en-US"/>
        </w:rPr>
        <w:t>0</w:t>
      </w:r>
      <w:r>
        <w:rPr>
          <w:rFonts w:asciiTheme="majorBidi" w:eastAsia="Times New Roman" w:hAnsiTheme="majorBidi" w:cstheme="majorBidi"/>
          <w:sz w:val="24"/>
          <w:szCs w:val="24"/>
          <w:lang w:val="en-US"/>
        </w:rPr>
        <w:t xml:space="preserve">%, 5%, and 1% respectively.  </w:t>
      </w:r>
    </w:p>
    <w:p w14:paraId="4EDEBC24" w14:textId="2FF90427" w:rsidR="004A7A5F" w:rsidRPr="004A7A5F" w:rsidRDefault="004A7A5F" w:rsidP="004A7A5F">
      <w:p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Panel A: Employee Layoffs</w:t>
      </w:r>
    </w:p>
    <w:tbl>
      <w:tblPr>
        <w:tblW w:w="5185" w:type="pct"/>
        <w:jc w:val="center"/>
        <w:tblBorders>
          <w:top w:val="single" w:sz="4" w:space="0" w:color="auto"/>
          <w:bottom w:val="single" w:sz="4" w:space="0" w:color="auto"/>
        </w:tblBorders>
        <w:tblLook w:val="04A0" w:firstRow="1" w:lastRow="0" w:firstColumn="1" w:lastColumn="0" w:noHBand="0" w:noVBand="1"/>
      </w:tblPr>
      <w:tblGrid>
        <w:gridCol w:w="3742"/>
        <w:gridCol w:w="638"/>
        <w:gridCol w:w="2260"/>
        <w:gridCol w:w="137"/>
        <w:gridCol w:w="2248"/>
        <w:gridCol w:w="335"/>
      </w:tblGrid>
      <w:tr w:rsidR="004A7A5F" w14:paraId="4FEB2DA3" w14:textId="016C59B6" w:rsidTr="004A7A5F">
        <w:trPr>
          <w:gridAfter w:val="1"/>
          <w:wAfter w:w="179" w:type="pct"/>
          <w:trHeight w:val="57"/>
          <w:jc w:val="center"/>
        </w:trPr>
        <w:tc>
          <w:tcPr>
            <w:tcW w:w="2340" w:type="pct"/>
            <w:gridSpan w:val="2"/>
            <w:tcBorders>
              <w:top w:val="single" w:sz="4" w:space="0" w:color="auto"/>
              <w:left w:val="nil"/>
              <w:bottom w:val="nil"/>
              <w:right w:val="nil"/>
            </w:tcBorders>
            <w:noWrap/>
            <w:vAlign w:val="bottom"/>
            <w:hideMark/>
          </w:tcPr>
          <w:p w14:paraId="2F116332" w14:textId="7F210975" w:rsidR="004A7A5F" w:rsidRDefault="004A7A5F">
            <w:pPr>
              <w:rPr>
                <w:rFonts w:asciiTheme="majorBidi" w:eastAsia="Times New Roman" w:hAnsiTheme="majorBidi" w:cstheme="majorBidi"/>
                <w:sz w:val="24"/>
                <w:szCs w:val="24"/>
                <w:lang w:val="en-US"/>
              </w:rPr>
            </w:pPr>
          </w:p>
        </w:tc>
        <w:tc>
          <w:tcPr>
            <w:tcW w:w="1280" w:type="pct"/>
            <w:gridSpan w:val="2"/>
            <w:tcBorders>
              <w:top w:val="single" w:sz="4" w:space="0" w:color="auto"/>
              <w:left w:val="nil"/>
              <w:bottom w:val="nil"/>
              <w:right w:val="nil"/>
            </w:tcBorders>
            <w:noWrap/>
            <w:vAlign w:val="bottom"/>
            <w:hideMark/>
          </w:tcPr>
          <w:p w14:paraId="49173FF1" w14:textId="669D462D" w:rsidR="004A7A5F" w:rsidRDefault="004A7A5F">
            <w:pPr>
              <w:spacing w:after="0" w:line="240" w:lineRule="auto"/>
              <w:jc w:val="center"/>
              <w:rPr>
                <w:rFonts w:ascii="Times New Roman" w:eastAsia="Times New Roman" w:hAnsi="Times New Roman" w:cs="Times New Roman"/>
                <w:iCs/>
                <w:color w:val="000000"/>
                <w:sz w:val="24"/>
                <w:szCs w:val="24"/>
                <w:lang w:val="en-US" w:eastAsia="en-GB"/>
              </w:rPr>
            </w:pPr>
            <w:r>
              <w:rPr>
                <w:rFonts w:ascii="Times New Roman" w:eastAsia="Times New Roman" w:hAnsi="Times New Roman" w:cs="Times New Roman"/>
                <w:iCs/>
                <w:color w:val="000000"/>
                <w:sz w:val="24"/>
                <w:szCs w:val="24"/>
                <w:lang w:val="en-US" w:eastAsia="en-GB"/>
              </w:rPr>
              <w:t>(1)</w:t>
            </w:r>
          </w:p>
        </w:tc>
        <w:tc>
          <w:tcPr>
            <w:tcW w:w="1201" w:type="pct"/>
            <w:tcBorders>
              <w:top w:val="single" w:sz="4" w:space="0" w:color="auto"/>
              <w:left w:val="nil"/>
              <w:bottom w:val="nil"/>
              <w:right w:val="nil"/>
            </w:tcBorders>
            <w:noWrap/>
            <w:vAlign w:val="bottom"/>
            <w:hideMark/>
          </w:tcPr>
          <w:p w14:paraId="1BFCE508" w14:textId="42D506A2" w:rsidR="004A7A5F" w:rsidRDefault="004A7A5F">
            <w:pPr>
              <w:spacing w:after="0" w:line="240" w:lineRule="auto"/>
              <w:jc w:val="center"/>
              <w:rPr>
                <w:rFonts w:ascii="Times New Roman" w:eastAsia="Times New Roman" w:hAnsi="Times New Roman" w:cs="Times New Roman"/>
                <w:iCs/>
                <w:color w:val="000000"/>
                <w:sz w:val="24"/>
                <w:szCs w:val="24"/>
                <w:lang w:val="en-US" w:eastAsia="en-GB"/>
              </w:rPr>
            </w:pPr>
            <w:r>
              <w:rPr>
                <w:rFonts w:ascii="Times New Roman" w:eastAsia="Times New Roman" w:hAnsi="Times New Roman" w:cs="Times New Roman"/>
                <w:iCs/>
                <w:color w:val="000000"/>
                <w:sz w:val="24"/>
                <w:szCs w:val="24"/>
                <w:lang w:val="en-US" w:eastAsia="en-GB"/>
              </w:rPr>
              <w:t>(2)</w:t>
            </w:r>
          </w:p>
        </w:tc>
      </w:tr>
      <w:tr w:rsidR="004A7A5F" w14:paraId="7384B05F" w14:textId="5B9B2A61" w:rsidTr="004A7A5F">
        <w:trPr>
          <w:gridAfter w:val="1"/>
          <w:wAfter w:w="179" w:type="pct"/>
          <w:trHeight w:val="57"/>
          <w:jc w:val="center"/>
        </w:trPr>
        <w:tc>
          <w:tcPr>
            <w:tcW w:w="2340" w:type="pct"/>
            <w:gridSpan w:val="2"/>
            <w:tcBorders>
              <w:top w:val="nil"/>
              <w:left w:val="nil"/>
              <w:bottom w:val="single" w:sz="4" w:space="0" w:color="auto"/>
              <w:right w:val="nil"/>
            </w:tcBorders>
            <w:noWrap/>
            <w:vAlign w:val="bottom"/>
            <w:hideMark/>
          </w:tcPr>
          <w:p w14:paraId="0C4295DE" w14:textId="34BA3AF6" w:rsidR="004A7A5F" w:rsidRDefault="004A7A5F">
            <w:pPr>
              <w:rPr>
                <w:rFonts w:ascii="Times New Roman" w:eastAsia="Times New Roman" w:hAnsi="Times New Roman" w:cs="Times New Roman"/>
                <w:iCs/>
                <w:color w:val="000000"/>
                <w:sz w:val="24"/>
                <w:szCs w:val="24"/>
                <w:lang w:val="en-US" w:eastAsia="en-GB"/>
              </w:rPr>
            </w:pPr>
          </w:p>
        </w:tc>
        <w:tc>
          <w:tcPr>
            <w:tcW w:w="1280" w:type="pct"/>
            <w:gridSpan w:val="2"/>
            <w:tcBorders>
              <w:top w:val="nil"/>
              <w:left w:val="nil"/>
              <w:bottom w:val="single" w:sz="4" w:space="0" w:color="auto"/>
              <w:right w:val="nil"/>
            </w:tcBorders>
            <w:noWrap/>
            <w:vAlign w:val="bottom"/>
            <w:hideMark/>
          </w:tcPr>
          <w:p w14:paraId="717C1C58" w14:textId="077A265E" w:rsidR="004A7A5F" w:rsidRDefault="004A7A5F">
            <w:pPr>
              <w:spacing w:line="240" w:lineRule="auto"/>
              <w:jc w:val="center"/>
              <w:rPr>
                <w:rFonts w:ascii="Times New Roman" w:eastAsia="Times New Roman" w:hAnsi="Times New Roman" w:cs="Times New Roman"/>
                <w:i/>
                <w:iCs/>
                <w:color w:val="000000"/>
                <w:sz w:val="24"/>
                <w:szCs w:val="24"/>
                <w:lang w:val="en-US" w:eastAsia="en-GB"/>
              </w:rPr>
            </w:pPr>
            <w:r>
              <w:rPr>
                <w:rFonts w:ascii="Times New Roman" w:eastAsia="Times New Roman" w:hAnsi="Times New Roman" w:cs="Times New Roman"/>
                <w:i/>
                <w:iCs/>
                <w:color w:val="000000"/>
                <w:sz w:val="24"/>
                <w:szCs w:val="24"/>
                <w:lang w:val="en-US" w:eastAsia="en-GB"/>
              </w:rPr>
              <w:t>ln(Violations)</w:t>
            </w:r>
          </w:p>
        </w:tc>
        <w:tc>
          <w:tcPr>
            <w:tcW w:w="1201" w:type="pct"/>
            <w:tcBorders>
              <w:top w:val="nil"/>
              <w:left w:val="nil"/>
              <w:bottom w:val="single" w:sz="4" w:space="0" w:color="auto"/>
              <w:right w:val="nil"/>
            </w:tcBorders>
            <w:noWrap/>
            <w:vAlign w:val="bottom"/>
            <w:hideMark/>
          </w:tcPr>
          <w:p w14:paraId="41584CBC" w14:textId="57AB2444" w:rsidR="004A7A5F" w:rsidRDefault="004A7A5F">
            <w:pPr>
              <w:spacing w:line="240" w:lineRule="auto"/>
              <w:jc w:val="center"/>
              <w:rPr>
                <w:rFonts w:ascii="Times New Roman" w:eastAsia="Times New Roman" w:hAnsi="Times New Roman" w:cs="Times New Roman"/>
                <w:i/>
                <w:iCs/>
                <w:color w:val="000000"/>
                <w:sz w:val="24"/>
                <w:szCs w:val="24"/>
                <w:lang w:val="en-US" w:eastAsia="en-GB"/>
              </w:rPr>
            </w:pPr>
            <w:r>
              <w:rPr>
                <w:rFonts w:ascii="Times New Roman" w:eastAsia="Times New Roman" w:hAnsi="Times New Roman" w:cs="Times New Roman"/>
                <w:i/>
                <w:iCs/>
                <w:color w:val="000000"/>
                <w:sz w:val="24"/>
                <w:szCs w:val="24"/>
                <w:lang w:val="en-US" w:eastAsia="en-GB"/>
              </w:rPr>
              <w:t>ln(Penalties)</w:t>
            </w:r>
          </w:p>
        </w:tc>
      </w:tr>
      <w:tr w:rsidR="004A7A5F" w14:paraId="56189A88" w14:textId="18434DA9" w:rsidTr="004A7A5F">
        <w:trPr>
          <w:gridAfter w:val="1"/>
          <w:wAfter w:w="179" w:type="pct"/>
          <w:trHeight w:val="57"/>
          <w:jc w:val="center"/>
        </w:trPr>
        <w:tc>
          <w:tcPr>
            <w:tcW w:w="2340" w:type="pct"/>
            <w:gridSpan w:val="2"/>
            <w:tcBorders>
              <w:top w:val="single" w:sz="4" w:space="0" w:color="auto"/>
              <w:left w:val="nil"/>
              <w:bottom w:val="nil"/>
              <w:right w:val="nil"/>
            </w:tcBorders>
            <w:noWrap/>
            <w:vAlign w:val="center"/>
            <w:hideMark/>
          </w:tcPr>
          <w:p w14:paraId="446F11D1" w14:textId="585681BC" w:rsidR="004A7A5F" w:rsidRDefault="004A7A5F">
            <w:pPr>
              <w:spacing w:after="0" w:line="240" w:lineRule="auto"/>
              <w:rPr>
                <w:rFonts w:ascii="Times New Roman" w:eastAsia="Times New Roman" w:hAnsi="Times New Roman" w:cs="Times New Roman"/>
                <w:i/>
                <w:iCs/>
                <w:color w:val="000000"/>
                <w:sz w:val="24"/>
                <w:szCs w:val="24"/>
                <w:lang w:val="en-US" w:eastAsia="en-GB"/>
              </w:rPr>
            </w:pPr>
            <w:r>
              <w:rPr>
                <w:rFonts w:ascii="Times New Roman" w:eastAsia="Times New Roman" w:hAnsi="Times New Roman" w:cs="Times New Roman"/>
                <w:i/>
                <w:iCs/>
                <w:color w:val="000000"/>
                <w:sz w:val="24"/>
                <w:szCs w:val="24"/>
                <w:lang w:val="en-US" w:eastAsia="en-GB"/>
              </w:rPr>
              <w:t>Vega</w:t>
            </w:r>
          </w:p>
        </w:tc>
        <w:tc>
          <w:tcPr>
            <w:tcW w:w="1280" w:type="pct"/>
            <w:gridSpan w:val="2"/>
            <w:tcBorders>
              <w:top w:val="single" w:sz="4" w:space="0" w:color="auto"/>
              <w:left w:val="nil"/>
              <w:bottom w:val="nil"/>
              <w:right w:val="nil"/>
            </w:tcBorders>
            <w:noWrap/>
            <w:vAlign w:val="bottom"/>
            <w:hideMark/>
          </w:tcPr>
          <w:p w14:paraId="740B4894" w14:textId="0967177C"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0.005</w:t>
            </w:r>
          </w:p>
        </w:tc>
        <w:tc>
          <w:tcPr>
            <w:tcW w:w="1201" w:type="pct"/>
            <w:tcBorders>
              <w:top w:val="single" w:sz="4" w:space="0" w:color="auto"/>
              <w:left w:val="nil"/>
              <w:bottom w:val="nil"/>
              <w:right w:val="nil"/>
            </w:tcBorders>
            <w:noWrap/>
            <w:vAlign w:val="bottom"/>
            <w:hideMark/>
          </w:tcPr>
          <w:p w14:paraId="6FEC44CF" w14:textId="3FCF8C39"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0.036</w:t>
            </w:r>
          </w:p>
        </w:tc>
      </w:tr>
      <w:tr w:rsidR="004A7A5F" w14:paraId="3DEDD0F7" w14:textId="1A19C24E" w:rsidTr="004A7A5F">
        <w:trPr>
          <w:gridAfter w:val="1"/>
          <w:wAfter w:w="179" w:type="pct"/>
          <w:trHeight w:val="57"/>
          <w:jc w:val="center"/>
        </w:trPr>
        <w:tc>
          <w:tcPr>
            <w:tcW w:w="2340" w:type="pct"/>
            <w:gridSpan w:val="2"/>
            <w:tcBorders>
              <w:top w:val="nil"/>
              <w:left w:val="nil"/>
              <w:bottom w:val="nil"/>
              <w:right w:val="nil"/>
            </w:tcBorders>
            <w:noWrap/>
            <w:vAlign w:val="center"/>
            <w:hideMark/>
          </w:tcPr>
          <w:p w14:paraId="08ED2B73" w14:textId="4FDFF9A9" w:rsidR="004A7A5F" w:rsidRDefault="004A7A5F">
            <w:pPr>
              <w:spacing w:after="0" w:line="240" w:lineRule="auto"/>
              <w:rPr>
                <w:rFonts w:ascii="Times New Roman" w:eastAsia="Times New Roman" w:hAnsi="Times New Roman" w:cs="Times New Roman"/>
                <w:i/>
                <w:iCs/>
                <w:color w:val="000000"/>
                <w:sz w:val="24"/>
                <w:szCs w:val="24"/>
                <w:lang w:val="en-US" w:eastAsia="en-GB"/>
              </w:rPr>
            </w:pPr>
            <w:r>
              <w:rPr>
                <w:rFonts w:ascii="Times New Roman" w:eastAsia="Times New Roman" w:hAnsi="Times New Roman" w:cs="Times New Roman"/>
                <w:i/>
                <w:iCs/>
                <w:color w:val="000000"/>
                <w:sz w:val="24"/>
                <w:szCs w:val="24"/>
                <w:lang w:val="en-US" w:eastAsia="en-GB"/>
              </w:rPr>
              <w:t> </w:t>
            </w:r>
          </w:p>
        </w:tc>
        <w:tc>
          <w:tcPr>
            <w:tcW w:w="1280" w:type="pct"/>
            <w:gridSpan w:val="2"/>
            <w:tcBorders>
              <w:top w:val="nil"/>
              <w:left w:val="nil"/>
              <w:bottom w:val="nil"/>
              <w:right w:val="nil"/>
            </w:tcBorders>
            <w:noWrap/>
            <w:vAlign w:val="bottom"/>
            <w:hideMark/>
          </w:tcPr>
          <w:p w14:paraId="0DA89EAA" w14:textId="7DA78E91"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(0.79)</w:t>
            </w:r>
          </w:p>
        </w:tc>
        <w:tc>
          <w:tcPr>
            <w:tcW w:w="1201" w:type="pct"/>
            <w:tcBorders>
              <w:top w:val="nil"/>
              <w:left w:val="nil"/>
              <w:bottom w:val="nil"/>
              <w:right w:val="nil"/>
            </w:tcBorders>
            <w:noWrap/>
            <w:vAlign w:val="bottom"/>
            <w:hideMark/>
          </w:tcPr>
          <w:p w14:paraId="18DBA8F7" w14:textId="6AC17105"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(0.49)</w:t>
            </w:r>
          </w:p>
        </w:tc>
      </w:tr>
      <w:tr w:rsidR="004A7A5F" w14:paraId="73631E6B" w14:textId="5610F1D0" w:rsidTr="004A7A5F">
        <w:trPr>
          <w:gridAfter w:val="1"/>
          <w:wAfter w:w="179" w:type="pct"/>
          <w:trHeight w:val="57"/>
          <w:jc w:val="center"/>
        </w:trPr>
        <w:tc>
          <w:tcPr>
            <w:tcW w:w="2340" w:type="pct"/>
            <w:gridSpan w:val="2"/>
            <w:tcBorders>
              <w:top w:val="nil"/>
              <w:left w:val="nil"/>
              <w:bottom w:val="nil"/>
              <w:right w:val="nil"/>
            </w:tcBorders>
            <w:noWrap/>
            <w:vAlign w:val="bottom"/>
            <w:hideMark/>
          </w:tcPr>
          <w:p w14:paraId="67766746" w14:textId="56D9106F" w:rsidR="004A7A5F" w:rsidRDefault="004A7A5F">
            <w:pPr>
              <w:spacing w:after="0" w:line="240" w:lineRule="auto"/>
              <w:rPr>
                <w:rFonts w:ascii="Times New Roman" w:eastAsia="Times New Roman" w:hAnsi="Times New Roman" w:cs="Times New Roman"/>
                <w:i/>
                <w:iCs/>
                <w:color w:val="000000"/>
                <w:sz w:val="24"/>
                <w:szCs w:val="24"/>
                <w:lang w:val="en-US" w:eastAsia="en-GB"/>
              </w:rPr>
            </w:pPr>
            <w:proofErr w:type="spellStart"/>
            <w:r>
              <w:rPr>
                <w:rFonts w:ascii="Times New Roman" w:eastAsia="Times New Roman" w:hAnsi="Times New Roman" w:cs="Times New Roman"/>
                <w:i/>
                <w:iCs/>
                <w:color w:val="000000"/>
                <w:sz w:val="24"/>
                <w:szCs w:val="24"/>
                <w:lang w:val="en-US" w:eastAsia="en-GB"/>
              </w:rPr>
              <w:t>HighLayoffs</w:t>
            </w:r>
            <w:proofErr w:type="spellEnd"/>
          </w:p>
        </w:tc>
        <w:tc>
          <w:tcPr>
            <w:tcW w:w="1280" w:type="pct"/>
            <w:gridSpan w:val="2"/>
            <w:tcBorders>
              <w:top w:val="nil"/>
              <w:left w:val="nil"/>
              <w:bottom w:val="nil"/>
              <w:right w:val="nil"/>
            </w:tcBorders>
            <w:noWrap/>
            <w:vAlign w:val="bottom"/>
            <w:hideMark/>
          </w:tcPr>
          <w:p w14:paraId="4464D693" w14:textId="38296504"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-0.077***</w:t>
            </w:r>
          </w:p>
        </w:tc>
        <w:tc>
          <w:tcPr>
            <w:tcW w:w="1201" w:type="pct"/>
            <w:tcBorders>
              <w:top w:val="nil"/>
              <w:left w:val="nil"/>
              <w:bottom w:val="nil"/>
              <w:right w:val="nil"/>
            </w:tcBorders>
            <w:noWrap/>
            <w:vAlign w:val="bottom"/>
            <w:hideMark/>
          </w:tcPr>
          <w:p w14:paraId="6B889FB0" w14:textId="6DEDC7A5"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-0.774**</w:t>
            </w:r>
          </w:p>
        </w:tc>
      </w:tr>
      <w:tr w:rsidR="004A7A5F" w14:paraId="5A98E4BB" w14:textId="4D6033EA" w:rsidTr="004A7A5F">
        <w:trPr>
          <w:gridAfter w:val="1"/>
          <w:wAfter w:w="179" w:type="pct"/>
          <w:trHeight w:val="57"/>
          <w:jc w:val="center"/>
        </w:trPr>
        <w:tc>
          <w:tcPr>
            <w:tcW w:w="2340" w:type="pct"/>
            <w:gridSpan w:val="2"/>
            <w:tcBorders>
              <w:top w:val="nil"/>
              <w:left w:val="nil"/>
              <w:bottom w:val="nil"/>
              <w:right w:val="nil"/>
            </w:tcBorders>
            <w:noWrap/>
            <w:vAlign w:val="bottom"/>
            <w:hideMark/>
          </w:tcPr>
          <w:p w14:paraId="3C92D5E6" w14:textId="63198F8D" w:rsidR="004A7A5F" w:rsidRDefault="004A7A5F">
            <w:pPr>
              <w:rPr>
                <w:rFonts w:ascii="Times New Roman" w:eastAsia="Times New Roman" w:hAnsi="Times New Roman" w:cs="Times New Roman"/>
                <w:color w:val="000000"/>
                <w:sz w:val="24"/>
                <w:szCs w:val="24"/>
                <w:lang w:val="en-US" w:eastAsia="en-GB"/>
              </w:rPr>
            </w:pPr>
          </w:p>
        </w:tc>
        <w:tc>
          <w:tcPr>
            <w:tcW w:w="1280" w:type="pct"/>
            <w:gridSpan w:val="2"/>
            <w:tcBorders>
              <w:top w:val="nil"/>
              <w:left w:val="nil"/>
              <w:bottom w:val="nil"/>
              <w:right w:val="nil"/>
            </w:tcBorders>
            <w:noWrap/>
            <w:vAlign w:val="bottom"/>
            <w:hideMark/>
          </w:tcPr>
          <w:p w14:paraId="6824A91A" w14:textId="6563D2E6"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(-2.70)</w:t>
            </w:r>
          </w:p>
        </w:tc>
        <w:tc>
          <w:tcPr>
            <w:tcW w:w="1201" w:type="pct"/>
            <w:tcBorders>
              <w:top w:val="nil"/>
              <w:left w:val="nil"/>
              <w:bottom w:val="nil"/>
              <w:right w:val="nil"/>
            </w:tcBorders>
            <w:noWrap/>
            <w:vAlign w:val="bottom"/>
            <w:hideMark/>
          </w:tcPr>
          <w:p w14:paraId="61782E66" w14:textId="7E9C4DC3"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(-2.55)</w:t>
            </w:r>
          </w:p>
        </w:tc>
      </w:tr>
      <w:tr w:rsidR="004A7A5F" w14:paraId="34C670F5" w14:textId="51A32740" w:rsidTr="004A7A5F">
        <w:trPr>
          <w:gridAfter w:val="1"/>
          <w:wAfter w:w="179" w:type="pct"/>
          <w:trHeight w:val="57"/>
          <w:jc w:val="center"/>
        </w:trPr>
        <w:tc>
          <w:tcPr>
            <w:tcW w:w="2340" w:type="pct"/>
            <w:gridSpan w:val="2"/>
            <w:tcBorders>
              <w:top w:val="nil"/>
              <w:left w:val="nil"/>
              <w:bottom w:val="nil"/>
              <w:right w:val="nil"/>
            </w:tcBorders>
            <w:shd w:val="clear" w:color="auto" w:fill="D9D9D9" w:themeFill="background1" w:themeFillShade="D9"/>
            <w:noWrap/>
            <w:vAlign w:val="bottom"/>
            <w:hideMark/>
          </w:tcPr>
          <w:p w14:paraId="368BC66E" w14:textId="15ABA309" w:rsidR="004A7A5F" w:rsidRDefault="004A7A5F">
            <w:pPr>
              <w:spacing w:after="0" w:line="240" w:lineRule="auto"/>
              <w:rPr>
                <w:rFonts w:ascii="Times New Roman" w:eastAsia="Times New Roman" w:hAnsi="Times New Roman" w:cs="Times New Roman"/>
                <w:i/>
                <w:iCs/>
                <w:color w:val="000000"/>
                <w:sz w:val="24"/>
                <w:szCs w:val="24"/>
                <w:lang w:val="en-US" w:eastAsia="en-GB"/>
              </w:rPr>
            </w:pPr>
            <w:r>
              <w:rPr>
                <w:rFonts w:ascii="Times New Roman" w:eastAsia="Times New Roman" w:hAnsi="Times New Roman" w:cs="Times New Roman"/>
                <w:i/>
                <w:iCs/>
                <w:color w:val="000000"/>
                <w:sz w:val="24"/>
                <w:szCs w:val="24"/>
                <w:lang w:val="en-US" w:eastAsia="en-GB"/>
              </w:rPr>
              <w:t>Vega*</w:t>
            </w:r>
            <w:proofErr w:type="spellStart"/>
            <w:r>
              <w:rPr>
                <w:rFonts w:ascii="Times New Roman" w:eastAsia="Times New Roman" w:hAnsi="Times New Roman" w:cs="Times New Roman"/>
                <w:i/>
                <w:iCs/>
                <w:color w:val="000000"/>
                <w:sz w:val="24"/>
                <w:szCs w:val="24"/>
                <w:lang w:val="en-US" w:eastAsia="en-GB"/>
              </w:rPr>
              <w:t>HighLayoffs</w:t>
            </w:r>
            <w:proofErr w:type="spellEnd"/>
          </w:p>
        </w:tc>
        <w:tc>
          <w:tcPr>
            <w:tcW w:w="1280" w:type="pct"/>
            <w:gridSpan w:val="2"/>
            <w:tcBorders>
              <w:top w:val="nil"/>
              <w:left w:val="nil"/>
              <w:bottom w:val="nil"/>
              <w:right w:val="nil"/>
            </w:tcBorders>
            <w:shd w:val="clear" w:color="auto" w:fill="D9D9D9" w:themeFill="background1" w:themeFillShade="D9"/>
            <w:noWrap/>
            <w:vAlign w:val="bottom"/>
            <w:hideMark/>
          </w:tcPr>
          <w:p w14:paraId="2B484467" w14:textId="61309980"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0.019**</w:t>
            </w:r>
          </w:p>
        </w:tc>
        <w:tc>
          <w:tcPr>
            <w:tcW w:w="1201" w:type="pct"/>
            <w:tcBorders>
              <w:top w:val="nil"/>
              <w:left w:val="nil"/>
              <w:bottom w:val="nil"/>
              <w:right w:val="nil"/>
            </w:tcBorders>
            <w:shd w:val="clear" w:color="auto" w:fill="D9D9D9" w:themeFill="background1" w:themeFillShade="D9"/>
            <w:noWrap/>
            <w:vAlign w:val="bottom"/>
            <w:hideMark/>
          </w:tcPr>
          <w:p w14:paraId="0E74E01D" w14:textId="0FE14F12"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0.170**</w:t>
            </w:r>
          </w:p>
        </w:tc>
      </w:tr>
      <w:tr w:rsidR="004A7A5F" w14:paraId="0B1F3881" w14:textId="4698F5B2" w:rsidTr="004A7A5F">
        <w:trPr>
          <w:gridAfter w:val="1"/>
          <w:wAfter w:w="179" w:type="pct"/>
          <w:trHeight w:val="57"/>
          <w:jc w:val="center"/>
        </w:trPr>
        <w:tc>
          <w:tcPr>
            <w:tcW w:w="2340" w:type="pct"/>
            <w:gridSpan w:val="2"/>
            <w:tcBorders>
              <w:top w:val="nil"/>
              <w:left w:val="nil"/>
              <w:bottom w:val="nil"/>
              <w:right w:val="nil"/>
            </w:tcBorders>
            <w:shd w:val="clear" w:color="auto" w:fill="D9D9D9" w:themeFill="background1" w:themeFillShade="D9"/>
            <w:noWrap/>
            <w:vAlign w:val="bottom"/>
            <w:hideMark/>
          </w:tcPr>
          <w:p w14:paraId="3BE8383A" w14:textId="6E99BC3D" w:rsidR="004A7A5F" w:rsidRDefault="004A7A5F">
            <w:pPr>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 </w:t>
            </w:r>
          </w:p>
        </w:tc>
        <w:tc>
          <w:tcPr>
            <w:tcW w:w="1280" w:type="pct"/>
            <w:gridSpan w:val="2"/>
            <w:tcBorders>
              <w:top w:val="nil"/>
              <w:left w:val="nil"/>
              <w:bottom w:val="nil"/>
              <w:right w:val="nil"/>
            </w:tcBorders>
            <w:shd w:val="clear" w:color="auto" w:fill="D9D9D9" w:themeFill="background1" w:themeFillShade="D9"/>
            <w:noWrap/>
            <w:vAlign w:val="bottom"/>
            <w:hideMark/>
          </w:tcPr>
          <w:p w14:paraId="56C1DF03" w14:textId="536F0F04"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(2.58)</w:t>
            </w:r>
          </w:p>
        </w:tc>
        <w:tc>
          <w:tcPr>
            <w:tcW w:w="1201" w:type="pct"/>
            <w:tcBorders>
              <w:top w:val="nil"/>
              <w:left w:val="nil"/>
              <w:bottom w:val="nil"/>
              <w:right w:val="nil"/>
            </w:tcBorders>
            <w:shd w:val="clear" w:color="auto" w:fill="D9D9D9" w:themeFill="background1" w:themeFillShade="D9"/>
            <w:noWrap/>
            <w:vAlign w:val="bottom"/>
            <w:hideMark/>
          </w:tcPr>
          <w:p w14:paraId="66955D0A" w14:textId="23211114"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(2.28)</w:t>
            </w:r>
          </w:p>
        </w:tc>
      </w:tr>
      <w:tr w:rsidR="004A7A5F" w14:paraId="3BF578F8" w14:textId="18052A66" w:rsidTr="004A7A5F">
        <w:trPr>
          <w:gridAfter w:val="1"/>
          <w:wAfter w:w="179" w:type="pct"/>
          <w:trHeight w:val="57"/>
          <w:jc w:val="center"/>
        </w:trPr>
        <w:tc>
          <w:tcPr>
            <w:tcW w:w="2340" w:type="pct"/>
            <w:gridSpan w:val="2"/>
            <w:tcBorders>
              <w:top w:val="nil"/>
              <w:left w:val="nil"/>
              <w:bottom w:val="nil"/>
              <w:right w:val="nil"/>
            </w:tcBorders>
            <w:noWrap/>
            <w:vAlign w:val="center"/>
            <w:hideMark/>
          </w:tcPr>
          <w:p w14:paraId="47C7679B" w14:textId="7C64B104" w:rsidR="004A7A5F" w:rsidRDefault="004A7A5F">
            <w:pPr>
              <w:spacing w:after="0" w:line="240" w:lineRule="auto"/>
              <w:rPr>
                <w:rFonts w:ascii="Times New Roman" w:eastAsia="Times New Roman" w:hAnsi="Times New Roman" w:cs="Times New Roman"/>
                <w:i/>
                <w:iCs/>
                <w:color w:val="000000"/>
                <w:sz w:val="24"/>
                <w:szCs w:val="24"/>
                <w:lang w:val="en-US" w:eastAsia="en-GB"/>
              </w:rPr>
            </w:pPr>
            <w:r>
              <w:rPr>
                <w:rFonts w:ascii="Times New Roman" w:eastAsia="Times New Roman" w:hAnsi="Times New Roman" w:cs="Times New Roman"/>
                <w:i/>
                <w:iCs/>
                <w:color w:val="000000"/>
                <w:sz w:val="24"/>
                <w:szCs w:val="24"/>
                <w:lang w:val="en-US" w:eastAsia="en-GB"/>
              </w:rPr>
              <w:t>Delta</w:t>
            </w:r>
          </w:p>
        </w:tc>
        <w:tc>
          <w:tcPr>
            <w:tcW w:w="1280" w:type="pct"/>
            <w:gridSpan w:val="2"/>
            <w:tcBorders>
              <w:top w:val="nil"/>
              <w:left w:val="nil"/>
              <w:bottom w:val="nil"/>
              <w:right w:val="nil"/>
            </w:tcBorders>
            <w:noWrap/>
            <w:vAlign w:val="bottom"/>
            <w:hideMark/>
          </w:tcPr>
          <w:p w14:paraId="47DE8EBC" w14:textId="0204A9C0"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-0.017**</w:t>
            </w:r>
          </w:p>
        </w:tc>
        <w:tc>
          <w:tcPr>
            <w:tcW w:w="1201" w:type="pct"/>
            <w:tcBorders>
              <w:top w:val="nil"/>
              <w:left w:val="nil"/>
              <w:bottom w:val="nil"/>
              <w:right w:val="nil"/>
            </w:tcBorders>
            <w:noWrap/>
            <w:vAlign w:val="bottom"/>
            <w:hideMark/>
          </w:tcPr>
          <w:p w14:paraId="40168B94" w14:textId="3FE0395B"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-0.144*</w:t>
            </w:r>
          </w:p>
        </w:tc>
      </w:tr>
      <w:tr w:rsidR="004A7A5F" w14:paraId="4F767315" w14:textId="12B9DE28" w:rsidTr="004A7A5F">
        <w:trPr>
          <w:gridAfter w:val="1"/>
          <w:wAfter w:w="179" w:type="pct"/>
          <w:trHeight w:val="57"/>
          <w:jc w:val="center"/>
        </w:trPr>
        <w:tc>
          <w:tcPr>
            <w:tcW w:w="2340" w:type="pct"/>
            <w:gridSpan w:val="2"/>
            <w:tcBorders>
              <w:top w:val="nil"/>
              <w:left w:val="nil"/>
              <w:bottom w:val="nil"/>
              <w:right w:val="nil"/>
            </w:tcBorders>
            <w:noWrap/>
            <w:vAlign w:val="bottom"/>
            <w:hideMark/>
          </w:tcPr>
          <w:p w14:paraId="532E9184" w14:textId="19384726" w:rsidR="004A7A5F" w:rsidRDefault="004A7A5F">
            <w:pPr>
              <w:rPr>
                <w:rFonts w:ascii="Times New Roman" w:eastAsia="Times New Roman" w:hAnsi="Times New Roman" w:cs="Times New Roman"/>
                <w:color w:val="000000"/>
                <w:sz w:val="24"/>
                <w:szCs w:val="24"/>
                <w:lang w:val="en-US" w:eastAsia="en-GB"/>
              </w:rPr>
            </w:pPr>
          </w:p>
        </w:tc>
        <w:tc>
          <w:tcPr>
            <w:tcW w:w="1280" w:type="pct"/>
            <w:gridSpan w:val="2"/>
            <w:tcBorders>
              <w:top w:val="nil"/>
              <w:left w:val="nil"/>
              <w:bottom w:val="nil"/>
              <w:right w:val="nil"/>
            </w:tcBorders>
            <w:noWrap/>
            <w:vAlign w:val="bottom"/>
            <w:hideMark/>
          </w:tcPr>
          <w:p w14:paraId="3C916379" w14:textId="02419F16"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(-2.29)</w:t>
            </w:r>
          </w:p>
        </w:tc>
        <w:tc>
          <w:tcPr>
            <w:tcW w:w="1201" w:type="pct"/>
            <w:tcBorders>
              <w:top w:val="nil"/>
              <w:left w:val="nil"/>
              <w:bottom w:val="nil"/>
              <w:right w:val="nil"/>
            </w:tcBorders>
            <w:noWrap/>
            <w:vAlign w:val="bottom"/>
            <w:hideMark/>
          </w:tcPr>
          <w:p w14:paraId="30A1EFBA" w14:textId="27A8D32B"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(-1.77)</w:t>
            </w:r>
          </w:p>
        </w:tc>
      </w:tr>
      <w:tr w:rsidR="004A7A5F" w14:paraId="0BDED4DA" w14:textId="7DAD1BA9" w:rsidTr="004A7A5F">
        <w:trPr>
          <w:gridAfter w:val="1"/>
          <w:wAfter w:w="179" w:type="pct"/>
          <w:trHeight w:val="57"/>
          <w:jc w:val="center"/>
        </w:trPr>
        <w:tc>
          <w:tcPr>
            <w:tcW w:w="2340" w:type="pct"/>
            <w:gridSpan w:val="2"/>
            <w:tcBorders>
              <w:top w:val="nil"/>
              <w:left w:val="nil"/>
              <w:bottom w:val="nil"/>
              <w:right w:val="nil"/>
            </w:tcBorders>
            <w:noWrap/>
            <w:vAlign w:val="center"/>
            <w:hideMark/>
          </w:tcPr>
          <w:p w14:paraId="0E29D588" w14:textId="4954F127" w:rsidR="004A7A5F" w:rsidRDefault="004A7A5F">
            <w:pPr>
              <w:spacing w:after="0" w:line="240" w:lineRule="auto"/>
              <w:rPr>
                <w:rFonts w:ascii="Times New Roman" w:eastAsia="Times New Roman" w:hAnsi="Times New Roman" w:cs="Times New Roman"/>
                <w:i/>
                <w:iCs/>
                <w:color w:val="000000"/>
                <w:sz w:val="24"/>
                <w:szCs w:val="24"/>
                <w:lang w:val="en-US" w:eastAsia="en-GB"/>
              </w:rPr>
            </w:pPr>
            <w:proofErr w:type="spellStart"/>
            <w:r>
              <w:rPr>
                <w:rFonts w:ascii="Times New Roman" w:eastAsia="Times New Roman" w:hAnsi="Times New Roman" w:cs="Times New Roman"/>
                <w:i/>
                <w:iCs/>
                <w:color w:val="000000"/>
                <w:sz w:val="24"/>
                <w:szCs w:val="24"/>
                <w:lang w:val="en-US" w:eastAsia="en-GB"/>
              </w:rPr>
              <w:t>CashComp</w:t>
            </w:r>
            <w:proofErr w:type="spellEnd"/>
          </w:p>
        </w:tc>
        <w:tc>
          <w:tcPr>
            <w:tcW w:w="1280" w:type="pct"/>
            <w:gridSpan w:val="2"/>
            <w:tcBorders>
              <w:top w:val="nil"/>
              <w:left w:val="nil"/>
              <w:bottom w:val="nil"/>
              <w:right w:val="nil"/>
            </w:tcBorders>
            <w:noWrap/>
            <w:vAlign w:val="bottom"/>
            <w:hideMark/>
          </w:tcPr>
          <w:p w14:paraId="75F18145" w14:textId="50327DC7"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-0.002</w:t>
            </w:r>
          </w:p>
        </w:tc>
        <w:tc>
          <w:tcPr>
            <w:tcW w:w="1201" w:type="pct"/>
            <w:tcBorders>
              <w:top w:val="nil"/>
              <w:left w:val="nil"/>
              <w:bottom w:val="nil"/>
              <w:right w:val="nil"/>
            </w:tcBorders>
            <w:noWrap/>
            <w:vAlign w:val="bottom"/>
            <w:hideMark/>
          </w:tcPr>
          <w:p w14:paraId="4CF91D1E" w14:textId="4FEACC51"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0.031</w:t>
            </w:r>
          </w:p>
        </w:tc>
      </w:tr>
      <w:tr w:rsidR="004A7A5F" w14:paraId="582FD167" w14:textId="59C18382" w:rsidTr="004A7A5F">
        <w:trPr>
          <w:gridAfter w:val="1"/>
          <w:wAfter w:w="179" w:type="pct"/>
          <w:trHeight w:val="57"/>
          <w:jc w:val="center"/>
        </w:trPr>
        <w:tc>
          <w:tcPr>
            <w:tcW w:w="2340" w:type="pct"/>
            <w:gridSpan w:val="2"/>
            <w:tcBorders>
              <w:top w:val="nil"/>
              <w:left w:val="nil"/>
              <w:bottom w:val="nil"/>
              <w:right w:val="nil"/>
            </w:tcBorders>
            <w:noWrap/>
            <w:vAlign w:val="bottom"/>
            <w:hideMark/>
          </w:tcPr>
          <w:p w14:paraId="7E987793" w14:textId="750B133C" w:rsidR="004A7A5F" w:rsidRDefault="004A7A5F">
            <w:pPr>
              <w:rPr>
                <w:rFonts w:ascii="Times New Roman" w:eastAsia="Times New Roman" w:hAnsi="Times New Roman" w:cs="Times New Roman"/>
                <w:color w:val="000000"/>
                <w:sz w:val="24"/>
                <w:szCs w:val="24"/>
                <w:lang w:val="en-US" w:eastAsia="en-GB"/>
              </w:rPr>
            </w:pPr>
          </w:p>
        </w:tc>
        <w:tc>
          <w:tcPr>
            <w:tcW w:w="1280" w:type="pct"/>
            <w:gridSpan w:val="2"/>
            <w:tcBorders>
              <w:top w:val="nil"/>
              <w:left w:val="nil"/>
              <w:bottom w:val="nil"/>
              <w:right w:val="nil"/>
            </w:tcBorders>
            <w:noWrap/>
            <w:vAlign w:val="bottom"/>
            <w:hideMark/>
          </w:tcPr>
          <w:p w14:paraId="3A302E13" w14:textId="72E7A03B"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(-0.21)</w:t>
            </w:r>
          </w:p>
        </w:tc>
        <w:tc>
          <w:tcPr>
            <w:tcW w:w="1201" w:type="pct"/>
            <w:tcBorders>
              <w:top w:val="nil"/>
              <w:left w:val="nil"/>
              <w:bottom w:val="nil"/>
              <w:right w:val="nil"/>
            </w:tcBorders>
            <w:noWrap/>
            <w:vAlign w:val="bottom"/>
            <w:hideMark/>
          </w:tcPr>
          <w:p w14:paraId="6564697D" w14:textId="4709B069"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(0.29)</w:t>
            </w:r>
          </w:p>
        </w:tc>
      </w:tr>
      <w:tr w:rsidR="004A7A5F" w14:paraId="3B5F11F8" w14:textId="1C23A49E" w:rsidTr="004A7A5F">
        <w:trPr>
          <w:gridAfter w:val="1"/>
          <w:wAfter w:w="179" w:type="pct"/>
          <w:trHeight w:val="57"/>
          <w:jc w:val="center"/>
        </w:trPr>
        <w:tc>
          <w:tcPr>
            <w:tcW w:w="2340" w:type="pct"/>
            <w:gridSpan w:val="2"/>
            <w:tcBorders>
              <w:top w:val="nil"/>
              <w:left w:val="nil"/>
              <w:bottom w:val="nil"/>
              <w:right w:val="nil"/>
            </w:tcBorders>
            <w:noWrap/>
            <w:vAlign w:val="center"/>
            <w:hideMark/>
          </w:tcPr>
          <w:p w14:paraId="3D8132F6" w14:textId="5AA22557" w:rsidR="004A7A5F" w:rsidRDefault="004A7A5F">
            <w:pPr>
              <w:spacing w:after="0" w:line="240" w:lineRule="auto"/>
              <w:rPr>
                <w:rFonts w:ascii="Times New Roman" w:eastAsia="Times New Roman" w:hAnsi="Times New Roman" w:cs="Times New Roman"/>
                <w:i/>
                <w:iCs/>
                <w:color w:val="000000"/>
                <w:sz w:val="24"/>
                <w:szCs w:val="24"/>
                <w:lang w:val="en-US" w:eastAsia="en-GB"/>
              </w:rPr>
            </w:pPr>
            <w:r>
              <w:rPr>
                <w:rFonts w:ascii="Times New Roman" w:eastAsia="Times New Roman" w:hAnsi="Times New Roman" w:cs="Times New Roman"/>
                <w:i/>
                <w:iCs/>
                <w:color w:val="000000"/>
                <w:sz w:val="24"/>
                <w:szCs w:val="24"/>
                <w:lang w:val="en-US" w:eastAsia="en-GB"/>
              </w:rPr>
              <w:t>Leverage</w:t>
            </w:r>
          </w:p>
        </w:tc>
        <w:tc>
          <w:tcPr>
            <w:tcW w:w="1280" w:type="pct"/>
            <w:gridSpan w:val="2"/>
            <w:tcBorders>
              <w:top w:val="nil"/>
              <w:left w:val="nil"/>
              <w:bottom w:val="nil"/>
              <w:right w:val="nil"/>
            </w:tcBorders>
            <w:noWrap/>
            <w:vAlign w:val="bottom"/>
            <w:hideMark/>
          </w:tcPr>
          <w:p w14:paraId="208CD957" w14:textId="46FF5241"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0.020</w:t>
            </w:r>
          </w:p>
        </w:tc>
        <w:tc>
          <w:tcPr>
            <w:tcW w:w="1201" w:type="pct"/>
            <w:tcBorders>
              <w:top w:val="nil"/>
              <w:left w:val="nil"/>
              <w:bottom w:val="nil"/>
              <w:right w:val="nil"/>
            </w:tcBorders>
            <w:noWrap/>
            <w:vAlign w:val="bottom"/>
            <w:hideMark/>
          </w:tcPr>
          <w:p w14:paraId="567AAD81" w14:textId="3AD518C2"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-0.064</w:t>
            </w:r>
          </w:p>
        </w:tc>
      </w:tr>
      <w:tr w:rsidR="004A7A5F" w14:paraId="11964635" w14:textId="3737FBC7" w:rsidTr="004A7A5F">
        <w:trPr>
          <w:gridAfter w:val="1"/>
          <w:wAfter w:w="179" w:type="pct"/>
          <w:trHeight w:val="57"/>
          <w:jc w:val="center"/>
        </w:trPr>
        <w:tc>
          <w:tcPr>
            <w:tcW w:w="2340" w:type="pct"/>
            <w:gridSpan w:val="2"/>
            <w:tcBorders>
              <w:top w:val="nil"/>
              <w:left w:val="nil"/>
              <w:bottom w:val="nil"/>
              <w:right w:val="nil"/>
            </w:tcBorders>
            <w:noWrap/>
            <w:vAlign w:val="bottom"/>
            <w:hideMark/>
          </w:tcPr>
          <w:p w14:paraId="49412458" w14:textId="1E6F0895" w:rsidR="004A7A5F" w:rsidRDefault="004A7A5F">
            <w:pPr>
              <w:rPr>
                <w:rFonts w:ascii="Times New Roman" w:eastAsia="Times New Roman" w:hAnsi="Times New Roman" w:cs="Times New Roman"/>
                <w:color w:val="000000"/>
                <w:sz w:val="24"/>
                <w:szCs w:val="24"/>
                <w:lang w:val="en-US" w:eastAsia="en-GB"/>
              </w:rPr>
            </w:pPr>
          </w:p>
        </w:tc>
        <w:tc>
          <w:tcPr>
            <w:tcW w:w="1280" w:type="pct"/>
            <w:gridSpan w:val="2"/>
            <w:tcBorders>
              <w:top w:val="nil"/>
              <w:left w:val="nil"/>
              <w:bottom w:val="nil"/>
              <w:right w:val="nil"/>
            </w:tcBorders>
            <w:noWrap/>
            <w:vAlign w:val="bottom"/>
            <w:hideMark/>
          </w:tcPr>
          <w:p w14:paraId="631C2839" w14:textId="0332F9FF"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(0.73)</w:t>
            </w:r>
          </w:p>
        </w:tc>
        <w:tc>
          <w:tcPr>
            <w:tcW w:w="1201" w:type="pct"/>
            <w:tcBorders>
              <w:top w:val="nil"/>
              <w:left w:val="nil"/>
              <w:bottom w:val="nil"/>
              <w:right w:val="nil"/>
            </w:tcBorders>
            <w:noWrap/>
            <w:vAlign w:val="bottom"/>
            <w:hideMark/>
          </w:tcPr>
          <w:p w14:paraId="4A3FEDE5" w14:textId="78AD9B9E"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(-0.21)</w:t>
            </w:r>
          </w:p>
        </w:tc>
      </w:tr>
      <w:tr w:rsidR="004A7A5F" w14:paraId="76997700" w14:textId="4F9D8067" w:rsidTr="004A7A5F">
        <w:trPr>
          <w:gridAfter w:val="1"/>
          <w:wAfter w:w="179" w:type="pct"/>
          <w:trHeight w:val="57"/>
          <w:jc w:val="center"/>
        </w:trPr>
        <w:tc>
          <w:tcPr>
            <w:tcW w:w="2340" w:type="pct"/>
            <w:gridSpan w:val="2"/>
            <w:tcBorders>
              <w:top w:val="nil"/>
              <w:left w:val="nil"/>
              <w:bottom w:val="nil"/>
              <w:right w:val="nil"/>
            </w:tcBorders>
            <w:noWrap/>
            <w:vAlign w:val="center"/>
            <w:hideMark/>
          </w:tcPr>
          <w:p w14:paraId="4D1014D4" w14:textId="422706FE" w:rsidR="004A7A5F" w:rsidRDefault="004A7A5F">
            <w:pPr>
              <w:spacing w:after="0" w:line="240" w:lineRule="auto"/>
              <w:rPr>
                <w:rFonts w:ascii="Times New Roman" w:eastAsia="Times New Roman" w:hAnsi="Times New Roman" w:cs="Times New Roman"/>
                <w:i/>
                <w:iCs/>
                <w:color w:val="000000"/>
                <w:sz w:val="24"/>
                <w:szCs w:val="24"/>
                <w:lang w:val="en-US" w:eastAsia="en-GB"/>
              </w:rPr>
            </w:pPr>
            <w:proofErr w:type="spellStart"/>
            <w:r>
              <w:rPr>
                <w:rFonts w:ascii="Times New Roman" w:eastAsia="Times New Roman" w:hAnsi="Times New Roman" w:cs="Times New Roman"/>
                <w:i/>
                <w:iCs/>
                <w:color w:val="000000"/>
                <w:sz w:val="24"/>
                <w:szCs w:val="24"/>
                <w:lang w:val="en-US" w:eastAsia="en-GB"/>
              </w:rPr>
              <w:t>CashFlow</w:t>
            </w:r>
            <w:proofErr w:type="spellEnd"/>
          </w:p>
        </w:tc>
        <w:tc>
          <w:tcPr>
            <w:tcW w:w="1280" w:type="pct"/>
            <w:gridSpan w:val="2"/>
            <w:tcBorders>
              <w:top w:val="nil"/>
              <w:left w:val="nil"/>
              <w:bottom w:val="nil"/>
              <w:right w:val="nil"/>
            </w:tcBorders>
            <w:noWrap/>
            <w:vAlign w:val="bottom"/>
            <w:hideMark/>
          </w:tcPr>
          <w:p w14:paraId="7CFBDDFB" w14:textId="4307FD1B"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-0.008</w:t>
            </w:r>
          </w:p>
        </w:tc>
        <w:tc>
          <w:tcPr>
            <w:tcW w:w="1201" w:type="pct"/>
            <w:tcBorders>
              <w:top w:val="nil"/>
              <w:left w:val="nil"/>
              <w:bottom w:val="nil"/>
              <w:right w:val="nil"/>
            </w:tcBorders>
            <w:noWrap/>
            <w:vAlign w:val="bottom"/>
            <w:hideMark/>
          </w:tcPr>
          <w:p w14:paraId="657FE5A2" w14:textId="3E43F1BC"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-0.116</w:t>
            </w:r>
          </w:p>
        </w:tc>
      </w:tr>
      <w:tr w:rsidR="004A7A5F" w14:paraId="2EE40CD5" w14:textId="793B03D4" w:rsidTr="004A7A5F">
        <w:trPr>
          <w:gridAfter w:val="1"/>
          <w:wAfter w:w="179" w:type="pct"/>
          <w:trHeight w:val="57"/>
          <w:jc w:val="center"/>
        </w:trPr>
        <w:tc>
          <w:tcPr>
            <w:tcW w:w="2340" w:type="pct"/>
            <w:gridSpan w:val="2"/>
            <w:tcBorders>
              <w:top w:val="nil"/>
              <w:left w:val="nil"/>
              <w:bottom w:val="nil"/>
              <w:right w:val="nil"/>
            </w:tcBorders>
            <w:noWrap/>
            <w:vAlign w:val="bottom"/>
            <w:hideMark/>
          </w:tcPr>
          <w:p w14:paraId="78774491" w14:textId="6853D7B7" w:rsidR="004A7A5F" w:rsidRDefault="004A7A5F">
            <w:pPr>
              <w:rPr>
                <w:rFonts w:ascii="Times New Roman" w:eastAsia="Times New Roman" w:hAnsi="Times New Roman" w:cs="Times New Roman"/>
                <w:color w:val="000000"/>
                <w:sz w:val="24"/>
                <w:szCs w:val="24"/>
                <w:lang w:val="en-US" w:eastAsia="en-GB"/>
              </w:rPr>
            </w:pPr>
          </w:p>
        </w:tc>
        <w:tc>
          <w:tcPr>
            <w:tcW w:w="1280" w:type="pct"/>
            <w:gridSpan w:val="2"/>
            <w:tcBorders>
              <w:top w:val="nil"/>
              <w:left w:val="nil"/>
              <w:bottom w:val="nil"/>
              <w:right w:val="nil"/>
            </w:tcBorders>
            <w:noWrap/>
            <w:vAlign w:val="bottom"/>
            <w:hideMark/>
          </w:tcPr>
          <w:p w14:paraId="128E5B66" w14:textId="30872098"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(-0.56)</w:t>
            </w:r>
          </w:p>
        </w:tc>
        <w:tc>
          <w:tcPr>
            <w:tcW w:w="1201" w:type="pct"/>
            <w:tcBorders>
              <w:top w:val="nil"/>
              <w:left w:val="nil"/>
              <w:bottom w:val="nil"/>
              <w:right w:val="nil"/>
            </w:tcBorders>
            <w:noWrap/>
            <w:vAlign w:val="bottom"/>
            <w:hideMark/>
          </w:tcPr>
          <w:p w14:paraId="7A55211B" w14:textId="7B3D4989"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(-0.58)</w:t>
            </w:r>
          </w:p>
        </w:tc>
      </w:tr>
      <w:tr w:rsidR="004A7A5F" w14:paraId="6AA9271C" w14:textId="604BAF46" w:rsidTr="004A7A5F">
        <w:trPr>
          <w:gridAfter w:val="1"/>
          <w:wAfter w:w="179" w:type="pct"/>
          <w:trHeight w:val="57"/>
          <w:jc w:val="center"/>
        </w:trPr>
        <w:tc>
          <w:tcPr>
            <w:tcW w:w="2340" w:type="pct"/>
            <w:gridSpan w:val="2"/>
            <w:tcBorders>
              <w:top w:val="nil"/>
              <w:left w:val="nil"/>
              <w:bottom w:val="nil"/>
              <w:right w:val="nil"/>
            </w:tcBorders>
            <w:noWrap/>
            <w:vAlign w:val="center"/>
            <w:hideMark/>
          </w:tcPr>
          <w:p w14:paraId="7DCD2350" w14:textId="1B00FAAA" w:rsidR="004A7A5F" w:rsidRDefault="004A7A5F">
            <w:pPr>
              <w:spacing w:after="0" w:line="240" w:lineRule="auto"/>
              <w:rPr>
                <w:rFonts w:ascii="Times New Roman" w:eastAsia="Times New Roman" w:hAnsi="Times New Roman" w:cs="Times New Roman"/>
                <w:i/>
                <w:iCs/>
                <w:color w:val="000000"/>
                <w:sz w:val="24"/>
                <w:szCs w:val="24"/>
                <w:lang w:val="en-US" w:eastAsia="en-GB"/>
              </w:rPr>
            </w:pPr>
            <w:proofErr w:type="spellStart"/>
            <w:r>
              <w:rPr>
                <w:rFonts w:ascii="Times New Roman" w:eastAsia="Times New Roman" w:hAnsi="Times New Roman" w:cs="Times New Roman"/>
                <w:i/>
                <w:iCs/>
                <w:color w:val="000000"/>
                <w:sz w:val="24"/>
                <w:szCs w:val="24"/>
                <w:lang w:val="en-US" w:eastAsia="en-GB"/>
              </w:rPr>
              <w:t>DividendPayout</w:t>
            </w:r>
            <w:proofErr w:type="spellEnd"/>
          </w:p>
        </w:tc>
        <w:tc>
          <w:tcPr>
            <w:tcW w:w="1280" w:type="pct"/>
            <w:gridSpan w:val="2"/>
            <w:tcBorders>
              <w:top w:val="nil"/>
              <w:left w:val="nil"/>
              <w:bottom w:val="nil"/>
              <w:right w:val="nil"/>
            </w:tcBorders>
            <w:noWrap/>
            <w:vAlign w:val="bottom"/>
            <w:hideMark/>
          </w:tcPr>
          <w:p w14:paraId="41D0AF65" w14:textId="184E2C10"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-0.067</w:t>
            </w:r>
          </w:p>
        </w:tc>
        <w:tc>
          <w:tcPr>
            <w:tcW w:w="1201" w:type="pct"/>
            <w:tcBorders>
              <w:top w:val="nil"/>
              <w:left w:val="nil"/>
              <w:bottom w:val="nil"/>
              <w:right w:val="nil"/>
            </w:tcBorders>
            <w:noWrap/>
            <w:vAlign w:val="bottom"/>
            <w:hideMark/>
          </w:tcPr>
          <w:p w14:paraId="7DE58EED" w14:textId="4DA223FE"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1.652</w:t>
            </w:r>
          </w:p>
        </w:tc>
      </w:tr>
      <w:tr w:rsidR="004A7A5F" w14:paraId="5A25FECE" w14:textId="22C69B2A" w:rsidTr="004A7A5F">
        <w:trPr>
          <w:gridAfter w:val="1"/>
          <w:wAfter w:w="179" w:type="pct"/>
          <w:trHeight w:val="57"/>
          <w:jc w:val="center"/>
        </w:trPr>
        <w:tc>
          <w:tcPr>
            <w:tcW w:w="2340" w:type="pct"/>
            <w:gridSpan w:val="2"/>
            <w:tcBorders>
              <w:top w:val="nil"/>
              <w:left w:val="nil"/>
              <w:bottom w:val="nil"/>
              <w:right w:val="nil"/>
            </w:tcBorders>
            <w:noWrap/>
            <w:vAlign w:val="bottom"/>
            <w:hideMark/>
          </w:tcPr>
          <w:p w14:paraId="764E57AD" w14:textId="528FEEC3" w:rsidR="004A7A5F" w:rsidRDefault="004A7A5F">
            <w:pPr>
              <w:rPr>
                <w:rFonts w:ascii="Times New Roman" w:eastAsia="Times New Roman" w:hAnsi="Times New Roman" w:cs="Times New Roman"/>
                <w:color w:val="000000"/>
                <w:sz w:val="24"/>
                <w:szCs w:val="24"/>
                <w:lang w:val="en-US" w:eastAsia="en-GB"/>
              </w:rPr>
            </w:pPr>
          </w:p>
        </w:tc>
        <w:tc>
          <w:tcPr>
            <w:tcW w:w="1280" w:type="pct"/>
            <w:gridSpan w:val="2"/>
            <w:tcBorders>
              <w:top w:val="nil"/>
              <w:left w:val="nil"/>
              <w:bottom w:val="nil"/>
              <w:right w:val="nil"/>
            </w:tcBorders>
            <w:noWrap/>
            <w:vAlign w:val="bottom"/>
            <w:hideMark/>
          </w:tcPr>
          <w:p w14:paraId="36868760" w14:textId="63C43F7D"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(-0.32)</w:t>
            </w:r>
          </w:p>
        </w:tc>
        <w:tc>
          <w:tcPr>
            <w:tcW w:w="1201" w:type="pct"/>
            <w:tcBorders>
              <w:top w:val="nil"/>
              <w:left w:val="nil"/>
              <w:bottom w:val="nil"/>
              <w:right w:val="nil"/>
            </w:tcBorders>
            <w:noWrap/>
            <w:vAlign w:val="bottom"/>
            <w:hideMark/>
          </w:tcPr>
          <w:p w14:paraId="62044DB5" w14:textId="5FE9AE0A"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(0.57)</w:t>
            </w:r>
          </w:p>
        </w:tc>
      </w:tr>
      <w:tr w:rsidR="004A7A5F" w14:paraId="1553A5F1" w14:textId="55936913" w:rsidTr="004A7A5F">
        <w:trPr>
          <w:gridAfter w:val="1"/>
          <w:wAfter w:w="179" w:type="pct"/>
          <w:trHeight w:val="57"/>
          <w:jc w:val="center"/>
        </w:trPr>
        <w:tc>
          <w:tcPr>
            <w:tcW w:w="2340" w:type="pct"/>
            <w:gridSpan w:val="2"/>
            <w:tcBorders>
              <w:top w:val="nil"/>
              <w:left w:val="nil"/>
              <w:bottom w:val="nil"/>
              <w:right w:val="nil"/>
            </w:tcBorders>
            <w:noWrap/>
            <w:vAlign w:val="center"/>
            <w:hideMark/>
          </w:tcPr>
          <w:p w14:paraId="7EAD0DCF" w14:textId="56D70ED2" w:rsidR="004A7A5F" w:rsidRDefault="004A7A5F">
            <w:pPr>
              <w:spacing w:after="0" w:line="240" w:lineRule="auto"/>
              <w:rPr>
                <w:rFonts w:ascii="Times New Roman" w:eastAsia="Times New Roman" w:hAnsi="Times New Roman" w:cs="Times New Roman"/>
                <w:i/>
                <w:iCs/>
                <w:color w:val="000000"/>
                <w:sz w:val="24"/>
                <w:szCs w:val="24"/>
                <w:lang w:val="en-US" w:eastAsia="en-GB"/>
              </w:rPr>
            </w:pPr>
            <w:proofErr w:type="spellStart"/>
            <w:r>
              <w:rPr>
                <w:rFonts w:ascii="Times New Roman" w:eastAsia="Times New Roman" w:hAnsi="Times New Roman" w:cs="Times New Roman"/>
                <w:i/>
                <w:iCs/>
                <w:color w:val="000000"/>
                <w:sz w:val="24"/>
                <w:szCs w:val="24"/>
                <w:lang w:val="en-US" w:eastAsia="en-GB"/>
              </w:rPr>
              <w:t>FirmSize</w:t>
            </w:r>
            <w:proofErr w:type="spellEnd"/>
          </w:p>
        </w:tc>
        <w:tc>
          <w:tcPr>
            <w:tcW w:w="1280" w:type="pct"/>
            <w:gridSpan w:val="2"/>
            <w:tcBorders>
              <w:top w:val="nil"/>
              <w:left w:val="nil"/>
              <w:bottom w:val="nil"/>
              <w:right w:val="nil"/>
            </w:tcBorders>
            <w:noWrap/>
            <w:vAlign w:val="bottom"/>
            <w:hideMark/>
          </w:tcPr>
          <w:p w14:paraId="4FF7AA65" w14:textId="75CC5D0B"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0.027***</w:t>
            </w:r>
          </w:p>
        </w:tc>
        <w:tc>
          <w:tcPr>
            <w:tcW w:w="1201" w:type="pct"/>
            <w:tcBorders>
              <w:top w:val="nil"/>
              <w:left w:val="nil"/>
              <w:bottom w:val="nil"/>
              <w:right w:val="nil"/>
            </w:tcBorders>
            <w:noWrap/>
            <w:vAlign w:val="bottom"/>
            <w:hideMark/>
          </w:tcPr>
          <w:p w14:paraId="6B50C99E" w14:textId="5C4B734E"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0.161*</w:t>
            </w:r>
          </w:p>
        </w:tc>
      </w:tr>
      <w:tr w:rsidR="004A7A5F" w14:paraId="6D2F8778" w14:textId="2066F6FD" w:rsidTr="004A7A5F">
        <w:trPr>
          <w:gridAfter w:val="1"/>
          <w:wAfter w:w="179" w:type="pct"/>
          <w:trHeight w:val="57"/>
          <w:jc w:val="center"/>
        </w:trPr>
        <w:tc>
          <w:tcPr>
            <w:tcW w:w="2340" w:type="pct"/>
            <w:gridSpan w:val="2"/>
            <w:tcBorders>
              <w:top w:val="nil"/>
              <w:left w:val="nil"/>
              <w:bottom w:val="nil"/>
              <w:right w:val="nil"/>
            </w:tcBorders>
            <w:noWrap/>
            <w:vAlign w:val="bottom"/>
            <w:hideMark/>
          </w:tcPr>
          <w:p w14:paraId="4511C5A0" w14:textId="1332F3C5" w:rsidR="004A7A5F" w:rsidRDefault="004A7A5F">
            <w:pPr>
              <w:rPr>
                <w:rFonts w:ascii="Times New Roman" w:eastAsia="Times New Roman" w:hAnsi="Times New Roman" w:cs="Times New Roman"/>
                <w:color w:val="000000"/>
                <w:sz w:val="24"/>
                <w:szCs w:val="24"/>
                <w:lang w:val="en-US" w:eastAsia="en-GB"/>
              </w:rPr>
            </w:pPr>
          </w:p>
        </w:tc>
        <w:tc>
          <w:tcPr>
            <w:tcW w:w="1280" w:type="pct"/>
            <w:gridSpan w:val="2"/>
            <w:tcBorders>
              <w:top w:val="nil"/>
              <w:left w:val="nil"/>
              <w:bottom w:val="nil"/>
              <w:right w:val="nil"/>
            </w:tcBorders>
            <w:noWrap/>
            <w:vAlign w:val="bottom"/>
            <w:hideMark/>
          </w:tcPr>
          <w:p w14:paraId="55D75202" w14:textId="39A7EA2A"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(3.44)</w:t>
            </w:r>
          </w:p>
        </w:tc>
        <w:tc>
          <w:tcPr>
            <w:tcW w:w="1201" w:type="pct"/>
            <w:tcBorders>
              <w:top w:val="nil"/>
              <w:left w:val="nil"/>
              <w:bottom w:val="nil"/>
              <w:right w:val="nil"/>
            </w:tcBorders>
            <w:noWrap/>
            <w:vAlign w:val="bottom"/>
            <w:hideMark/>
          </w:tcPr>
          <w:p w14:paraId="4071EA1F" w14:textId="175E86D2"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(1.82)</w:t>
            </w:r>
          </w:p>
        </w:tc>
      </w:tr>
      <w:tr w:rsidR="004A7A5F" w14:paraId="22FC172F" w14:textId="101D25C7" w:rsidTr="004A7A5F">
        <w:trPr>
          <w:gridAfter w:val="1"/>
          <w:wAfter w:w="179" w:type="pct"/>
          <w:trHeight w:val="57"/>
          <w:jc w:val="center"/>
        </w:trPr>
        <w:tc>
          <w:tcPr>
            <w:tcW w:w="2340" w:type="pct"/>
            <w:gridSpan w:val="2"/>
            <w:tcBorders>
              <w:top w:val="nil"/>
              <w:left w:val="nil"/>
              <w:bottom w:val="nil"/>
              <w:right w:val="nil"/>
            </w:tcBorders>
            <w:noWrap/>
            <w:vAlign w:val="center"/>
            <w:hideMark/>
          </w:tcPr>
          <w:p w14:paraId="536CE920" w14:textId="01DC8D21" w:rsidR="004A7A5F" w:rsidRDefault="004A7A5F">
            <w:pPr>
              <w:spacing w:after="0" w:line="240" w:lineRule="auto"/>
              <w:rPr>
                <w:rFonts w:ascii="Times New Roman" w:eastAsia="Times New Roman" w:hAnsi="Times New Roman" w:cs="Times New Roman"/>
                <w:i/>
                <w:iCs/>
                <w:color w:val="000000"/>
                <w:sz w:val="24"/>
                <w:szCs w:val="24"/>
                <w:lang w:val="en-US" w:eastAsia="en-GB"/>
              </w:rPr>
            </w:pPr>
            <w:proofErr w:type="spellStart"/>
            <w:r>
              <w:rPr>
                <w:rFonts w:ascii="Times New Roman" w:eastAsia="Times New Roman" w:hAnsi="Times New Roman" w:cs="Times New Roman"/>
                <w:i/>
                <w:iCs/>
                <w:color w:val="000000"/>
                <w:sz w:val="24"/>
                <w:szCs w:val="24"/>
                <w:lang w:val="en-US" w:eastAsia="en-GB"/>
              </w:rPr>
              <w:t>AssetTurnover</w:t>
            </w:r>
            <w:proofErr w:type="spellEnd"/>
          </w:p>
        </w:tc>
        <w:tc>
          <w:tcPr>
            <w:tcW w:w="1280" w:type="pct"/>
            <w:gridSpan w:val="2"/>
            <w:tcBorders>
              <w:top w:val="nil"/>
              <w:left w:val="nil"/>
              <w:bottom w:val="nil"/>
              <w:right w:val="nil"/>
            </w:tcBorders>
            <w:noWrap/>
            <w:vAlign w:val="bottom"/>
            <w:hideMark/>
          </w:tcPr>
          <w:p w14:paraId="14384512" w14:textId="09720DA1"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0.009</w:t>
            </w:r>
          </w:p>
        </w:tc>
        <w:tc>
          <w:tcPr>
            <w:tcW w:w="1201" w:type="pct"/>
            <w:tcBorders>
              <w:top w:val="nil"/>
              <w:left w:val="nil"/>
              <w:bottom w:val="nil"/>
              <w:right w:val="nil"/>
            </w:tcBorders>
            <w:noWrap/>
            <w:vAlign w:val="bottom"/>
            <w:hideMark/>
          </w:tcPr>
          <w:p w14:paraId="4DBE9237" w14:textId="3EB064F0"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-0.005</w:t>
            </w:r>
          </w:p>
        </w:tc>
      </w:tr>
      <w:tr w:rsidR="004A7A5F" w14:paraId="47CFF2BF" w14:textId="0C33D77A" w:rsidTr="004A7A5F">
        <w:trPr>
          <w:gridAfter w:val="1"/>
          <w:wAfter w:w="179" w:type="pct"/>
          <w:trHeight w:val="57"/>
          <w:jc w:val="center"/>
        </w:trPr>
        <w:tc>
          <w:tcPr>
            <w:tcW w:w="2340" w:type="pct"/>
            <w:gridSpan w:val="2"/>
            <w:tcBorders>
              <w:top w:val="nil"/>
              <w:left w:val="nil"/>
              <w:bottom w:val="nil"/>
              <w:right w:val="nil"/>
            </w:tcBorders>
            <w:noWrap/>
            <w:vAlign w:val="bottom"/>
            <w:hideMark/>
          </w:tcPr>
          <w:p w14:paraId="3C121953" w14:textId="493F0DEC" w:rsidR="004A7A5F" w:rsidRDefault="004A7A5F">
            <w:pPr>
              <w:rPr>
                <w:rFonts w:ascii="Times New Roman" w:eastAsia="Times New Roman" w:hAnsi="Times New Roman" w:cs="Times New Roman"/>
                <w:color w:val="000000"/>
                <w:sz w:val="24"/>
                <w:szCs w:val="24"/>
                <w:lang w:val="en-US" w:eastAsia="en-GB"/>
              </w:rPr>
            </w:pPr>
          </w:p>
        </w:tc>
        <w:tc>
          <w:tcPr>
            <w:tcW w:w="1280" w:type="pct"/>
            <w:gridSpan w:val="2"/>
            <w:tcBorders>
              <w:top w:val="nil"/>
              <w:left w:val="nil"/>
              <w:bottom w:val="nil"/>
              <w:right w:val="nil"/>
            </w:tcBorders>
            <w:noWrap/>
            <w:vAlign w:val="bottom"/>
            <w:hideMark/>
          </w:tcPr>
          <w:p w14:paraId="1D626849" w14:textId="656C8EC3"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(0.77)</w:t>
            </w:r>
          </w:p>
        </w:tc>
        <w:tc>
          <w:tcPr>
            <w:tcW w:w="1201" w:type="pct"/>
            <w:tcBorders>
              <w:top w:val="nil"/>
              <w:left w:val="nil"/>
              <w:bottom w:val="nil"/>
              <w:right w:val="nil"/>
            </w:tcBorders>
            <w:noWrap/>
            <w:vAlign w:val="bottom"/>
            <w:hideMark/>
          </w:tcPr>
          <w:p w14:paraId="634777E8" w14:textId="7548FD8C"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(-0.04)</w:t>
            </w:r>
          </w:p>
        </w:tc>
      </w:tr>
      <w:tr w:rsidR="004A7A5F" w14:paraId="579FC234" w14:textId="2E5E17CB" w:rsidTr="004A7A5F">
        <w:trPr>
          <w:gridAfter w:val="1"/>
          <w:wAfter w:w="179" w:type="pct"/>
          <w:trHeight w:val="57"/>
          <w:jc w:val="center"/>
        </w:trPr>
        <w:tc>
          <w:tcPr>
            <w:tcW w:w="2340" w:type="pct"/>
            <w:gridSpan w:val="2"/>
            <w:tcBorders>
              <w:top w:val="nil"/>
              <w:left w:val="nil"/>
              <w:bottom w:val="nil"/>
              <w:right w:val="nil"/>
            </w:tcBorders>
            <w:noWrap/>
            <w:vAlign w:val="center"/>
            <w:hideMark/>
          </w:tcPr>
          <w:p w14:paraId="0FA05FB5" w14:textId="53AFCFAD" w:rsidR="004A7A5F" w:rsidRDefault="004A7A5F">
            <w:pPr>
              <w:spacing w:after="0" w:line="240" w:lineRule="auto"/>
              <w:rPr>
                <w:rFonts w:ascii="Times New Roman" w:eastAsia="Times New Roman" w:hAnsi="Times New Roman" w:cs="Times New Roman"/>
                <w:i/>
                <w:iCs/>
                <w:color w:val="000000"/>
                <w:sz w:val="24"/>
                <w:szCs w:val="24"/>
                <w:lang w:val="en-US" w:eastAsia="en-GB"/>
              </w:rPr>
            </w:pPr>
            <w:r>
              <w:rPr>
                <w:rFonts w:ascii="Times New Roman" w:eastAsia="Times New Roman" w:hAnsi="Times New Roman" w:cs="Times New Roman"/>
                <w:i/>
                <w:iCs/>
                <w:color w:val="000000"/>
                <w:sz w:val="24"/>
                <w:szCs w:val="24"/>
                <w:lang w:val="en-US" w:eastAsia="en-GB"/>
              </w:rPr>
              <w:t>Market-to-book</w:t>
            </w:r>
          </w:p>
        </w:tc>
        <w:tc>
          <w:tcPr>
            <w:tcW w:w="1280" w:type="pct"/>
            <w:gridSpan w:val="2"/>
            <w:tcBorders>
              <w:top w:val="nil"/>
              <w:left w:val="nil"/>
              <w:bottom w:val="nil"/>
              <w:right w:val="nil"/>
            </w:tcBorders>
            <w:noWrap/>
            <w:vAlign w:val="bottom"/>
            <w:hideMark/>
          </w:tcPr>
          <w:p w14:paraId="16845FD3" w14:textId="2B32E9F9"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0.000</w:t>
            </w:r>
          </w:p>
        </w:tc>
        <w:tc>
          <w:tcPr>
            <w:tcW w:w="1201" w:type="pct"/>
            <w:tcBorders>
              <w:top w:val="nil"/>
              <w:left w:val="nil"/>
              <w:bottom w:val="nil"/>
              <w:right w:val="nil"/>
            </w:tcBorders>
            <w:noWrap/>
            <w:vAlign w:val="bottom"/>
            <w:hideMark/>
          </w:tcPr>
          <w:p w14:paraId="6F5CD68D" w14:textId="454976C4"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0.013</w:t>
            </w:r>
          </w:p>
        </w:tc>
      </w:tr>
      <w:tr w:rsidR="004A7A5F" w14:paraId="4322C80E" w14:textId="0DCF8DA6" w:rsidTr="004A7A5F">
        <w:trPr>
          <w:gridAfter w:val="1"/>
          <w:wAfter w:w="179" w:type="pct"/>
          <w:trHeight w:val="57"/>
          <w:jc w:val="center"/>
        </w:trPr>
        <w:tc>
          <w:tcPr>
            <w:tcW w:w="2340" w:type="pct"/>
            <w:gridSpan w:val="2"/>
            <w:tcBorders>
              <w:top w:val="nil"/>
              <w:left w:val="nil"/>
              <w:bottom w:val="nil"/>
              <w:right w:val="nil"/>
            </w:tcBorders>
            <w:noWrap/>
            <w:vAlign w:val="bottom"/>
            <w:hideMark/>
          </w:tcPr>
          <w:p w14:paraId="26EA1CC9" w14:textId="6AC3915F" w:rsidR="004A7A5F" w:rsidRDefault="004A7A5F">
            <w:pPr>
              <w:rPr>
                <w:rFonts w:ascii="Times New Roman" w:eastAsia="Times New Roman" w:hAnsi="Times New Roman" w:cs="Times New Roman"/>
                <w:color w:val="000000"/>
                <w:sz w:val="24"/>
                <w:szCs w:val="24"/>
                <w:lang w:val="en-US" w:eastAsia="en-GB"/>
              </w:rPr>
            </w:pPr>
          </w:p>
        </w:tc>
        <w:tc>
          <w:tcPr>
            <w:tcW w:w="1280" w:type="pct"/>
            <w:gridSpan w:val="2"/>
            <w:tcBorders>
              <w:top w:val="nil"/>
              <w:left w:val="nil"/>
              <w:bottom w:val="nil"/>
              <w:right w:val="nil"/>
            </w:tcBorders>
            <w:noWrap/>
            <w:vAlign w:val="bottom"/>
            <w:hideMark/>
          </w:tcPr>
          <w:p w14:paraId="7E5F00F7" w14:textId="631068D7"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(0.25)</w:t>
            </w:r>
          </w:p>
        </w:tc>
        <w:tc>
          <w:tcPr>
            <w:tcW w:w="1201" w:type="pct"/>
            <w:tcBorders>
              <w:top w:val="nil"/>
              <w:left w:val="nil"/>
              <w:bottom w:val="nil"/>
              <w:right w:val="nil"/>
            </w:tcBorders>
            <w:noWrap/>
            <w:vAlign w:val="bottom"/>
            <w:hideMark/>
          </w:tcPr>
          <w:p w14:paraId="1DB4FB8B" w14:textId="2BE1BAFF"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(0.77)</w:t>
            </w:r>
          </w:p>
        </w:tc>
      </w:tr>
      <w:tr w:rsidR="004A7A5F" w14:paraId="0229AF1E" w14:textId="59B73629" w:rsidTr="004A7A5F">
        <w:trPr>
          <w:gridAfter w:val="1"/>
          <w:wAfter w:w="179" w:type="pct"/>
          <w:trHeight w:val="57"/>
          <w:jc w:val="center"/>
        </w:trPr>
        <w:tc>
          <w:tcPr>
            <w:tcW w:w="2340" w:type="pct"/>
            <w:gridSpan w:val="2"/>
            <w:tcBorders>
              <w:top w:val="nil"/>
              <w:left w:val="nil"/>
              <w:bottom w:val="nil"/>
              <w:right w:val="nil"/>
            </w:tcBorders>
            <w:noWrap/>
            <w:vAlign w:val="center"/>
            <w:hideMark/>
          </w:tcPr>
          <w:p w14:paraId="2861A2A5" w14:textId="535E330F" w:rsidR="004A7A5F" w:rsidRDefault="004A7A5F">
            <w:pPr>
              <w:spacing w:after="0" w:line="240" w:lineRule="auto"/>
              <w:rPr>
                <w:rFonts w:ascii="Times New Roman" w:eastAsia="Times New Roman" w:hAnsi="Times New Roman" w:cs="Times New Roman"/>
                <w:i/>
                <w:iCs/>
                <w:color w:val="000000"/>
                <w:sz w:val="24"/>
                <w:szCs w:val="24"/>
                <w:lang w:val="en-US" w:eastAsia="en-GB"/>
              </w:rPr>
            </w:pPr>
            <w:r>
              <w:rPr>
                <w:rFonts w:ascii="Times New Roman" w:eastAsia="Times New Roman" w:hAnsi="Times New Roman" w:cs="Times New Roman"/>
                <w:i/>
                <w:iCs/>
                <w:color w:val="000000"/>
                <w:sz w:val="24"/>
                <w:szCs w:val="24"/>
                <w:lang w:val="en-US" w:eastAsia="en-GB"/>
              </w:rPr>
              <w:t>Tangibility</w:t>
            </w:r>
          </w:p>
        </w:tc>
        <w:tc>
          <w:tcPr>
            <w:tcW w:w="1280" w:type="pct"/>
            <w:gridSpan w:val="2"/>
            <w:tcBorders>
              <w:top w:val="nil"/>
              <w:left w:val="nil"/>
              <w:bottom w:val="nil"/>
              <w:right w:val="nil"/>
            </w:tcBorders>
            <w:noWrap/>
            <w:vAlign w:val="bottom"/>
            <w:hideMark/>
          </w:tcPr>
          <w:p w14:paraId="44A95A73" w14:textId="3AD00997"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0.009</w:t>
            </w:r>
          </w:p>
        </w:tc>
        <w:tc>
          <w:tcPr>
            <w:tcW w:w="1201" w:type="pct"/>
            <w:tcBorders>
              <w:top w:val="nil"/>
              <w:left w:val="nil"/>
              <w:bottom w:val="nil"/>
              <w:right w:val="nil"/>
            </w:tcBorders>
            <w:noWrap/>
            <w:vAlign w:val="bottom"/>
            <w:hideMark/>
          </w:tcPr>
          <w:p w14:paraId="2FFFC4B2" w14:textId="3542AB6D"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0.238</w:t>
            </w:r>
          </w:p>
        </w:tc>
      </w:tr>
      <w:tr w:rsidR="004A7A5F" w14:paraId="6B021139" w14:textId="18617F24" w:rsidTr="004A7A5F">
        <w:trPr>
          <w:gridAfter w:val="1"/>
          <w:wAfter w:w="179" w:type="pct"/>
          <w:trHeight w:val="57"/>
          <w:jc w:val="center"/>
        </w:trPr>
        <w:tc>
          <w:tcPr>
            <w:tcW w:w="2340" w:type="pct"/>
            <w:gridSpan w:val="2"/>
            <w:tcBorders>
              <w:top w:val="nil"/>
              <w:left w:val="nil"/>
              <w:bottom w:val="nil"/>
              <w:right w:val="nil"/>
            </w:tcBorders>
            <w:noWrap/>
            <w:vAlign w:val="bottom"/>
            <w:hideMark/>
          </w:tcPr>
          <w:p w14:paraId="142FCC32" w14:textId="64A59A42" w:rsidR="004A7A5F" w:rsidRDefault="004A7A5F">
            <w:pPr>
              <w:rPr>
                <w:rFonts w:ascii="Times New Roman" w:eastAsia="Times New Roman" w:hAnsi="Times New Roman" w:cs="Times New Roman"/>
                <w:color w:val="000000"/>
                <w:sz w:val="24"/>
                <w:szCs w:val="24"/>
                <w:lang w:val="en-US" w:eastAsia="en-GB"/>
              </w:rPr>
            </w:pPr>
          </w:p>
        </w:tc>
        <w:tc>
          <w:tcPr>
            <w:tcW w:w="1280" w:type="pct"/>
            <w:gridSpan w:val="2"/>
            <w:tcBorders>
              <w:top w:val="nil"/>
              <w:left w:val="nil"/>
              <w:bottom w:val="nil"/>
              <w:right w:val="nil"/>
            </w:tcBorders>
            <w:noWrap/>
            <w:vAlign w:val="bottom"/>
            <w:hideMark/>
          </w:tcPr>
          <w:p w14:paraId="08B959C9" w14:textId="05C3C218"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(0.14)</w:t>
            </w:r>
          </w:p>
        </w:tc>
        <w:tc>
          <w:tcPr>
            <w:tcW w:w="1201" w:type="pct"/>
            <w:tcBorders>
              <w:top w:val="nil"/>
              <w:left w:val="nil"/>
              <w:bottom w:val="nil"/>
              <w:right w:val="nil"/>
            </w:tcBorders>
            <w:noWrap/>
            <w:vAlign w:val="bottom"/>
            <w:hideMark/>
          </w:tcPr>
          <w:p w14:paraId="49B6204D" w14:textId="285D2502"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(0.34)</w:t>
            </w:r>
          </w:p>
        </w:tc>
      </w:tr>
      <w:tr w:rsidR="004A7A5F" w14:paraId="3F3F1C74" w14:textId="69E1FDBC" w:rsidTr="004A7A5F">
        <w:trPr>
          <w:gridAfter w:val="1"/>
          <w:wAfter w:w="179" w:type="pct"/>
          <w:trHeight w:val="57"/>
          <w:jc w:val="center"/>
        </w:trPr>
        <w:tc>
          <w:tcPr>
            <w:tcW w:w="2340" w:type="pct"/>
            <w:gridSpan w:val="2"/>
            <w:tcBorders>
              <w:top w:val="nil"/>
              <w:left w:val="nil"/>
              <w:bottom w:val="nil"/>
              <w:right w:val="nil"/>
            </w:tcBorders>
            <w:noWrap/>
            <w:vAlign w:val="center"/>
            <w:hideMark/>
          </w:tcPr>
          <w:p w14:paraId="495B9D16" w14:textId="03DEC25F" w:rsidR="004A7A5F" w:rsidRDefault="004A7A5F">
            <w:pPr>
              <w:spacing w:after="0" w:line="240" w:lineRule="auto"/>
              <w:rPr>
                <w:rFonts w:ascii="Times New Roman" w:eastAsia="Times New Roman" w:hAnsi="Times New Roman" w:cs="Times New Roman"/>
                <w:i/>
                <w:iCs/>
                <w:color w:val="000000"/>
                <w:sz w:val="24"/>
                <w:szCs w:val="24"/>
                <w:lang w:val="en-US" w:eastAsia="en-GB"/>
              </w:rPr>
            </w:pPr>
            <w:r>
              <w:rPr>
                <w:rFonts w:ascii="Times New Roman" w:eastAsia="Times New Roman" w:hAnsi="Times New Roman" w:cs="Times New Roman"/>
                <w:i/>
                <w:iCs/>
                <w:color w:val="000000"/>
                <w:sz w:val="24"/>
                <w:szCs w:val="24"/>
                <w:lang w:val="en-US" w:eastAsia="en-GB"/>
              </w:rPr>
              <w:t>Capex</w:t>
            </w:r>
          </w:p>
        </w:tc>
        <w:tc>
          <w:tcPr>
            <w:tcW w:w="1280" w:type="pct"/>
            <w:gridSpan w:val="2"/>
            <w:tcBorders>
              <w:top w:val="nil"/>
              <w:left w:val="nil"/>
              <w:bottom w:val="nil"/>
              <w:right w:val="nil"/>
            </w:tcBorders>
            <w:noWrap/>
            <w:vAlign w:val="bottom"/>
            <w:hideMark/>
          </w:tcPr>
          <w:p w14:paraId="5AA625B0" w14:textId="2DCD00A8"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-0.174</w:t>
            </w:r>
          </w:p>
        </w:tc>
        <w:tc>
          <w:tcPr>
            <w:tcW w:w="1201" w:type="pct"/>
            <w:tcBorders>
              <w:top w:val="nil"/>
              <w:left w:val="nil"/>
              <w:bottom w:val="nil"/>
              <w:right w:val="nil"/>
            </w:tcBorders>
            <w:noWrap/>
            <w:vAlign w:val="bottom"/>
            <w:hideMark/>
          </w:tcPr>
          <w:p w14:paraId="3300C2D4" w14:textId="69B54341"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-1.950</w:t>
            </w:r>
          </w:p>
        </w:tc>
      </w:tr>
      <w:tr w:rsidR="004A7A5F" w14:paraId="74E2F812" w14:textId="7B6EB114" w:rsidTr="004A7A5F">
        <w:trPr>
          <w:gridAfter w:val="1"/>
          <w:wAfter w:w="179" w:type="pct"/>
          <w:trHeight w:val="57"/>
          <w:jc w:val="center"/>
        </w:trPr>
        <w:tc>
          <w:tcPr>
            <w:tcW w:w="2340" w:type="pct"/>
            <w:gridSpan w:val="2"/>
            <w:tcBorders>
              <w:top w:val="nil"/>
              <w:left w:val="nil"/>
              <w:bottom w:val="nil"/>
              <w:right w:val="nil"/>
            </w:tcBorders>
            <w:noWrap/>
            <w:vAlign w:val="bottom"/>
            <w:hideMark/>
          </w:tcPr>
          <w:p w14:paraId="73335505" w14:textId="1DD00F6F" w:rsidR="004A7A5F" w:rsidRDefault="004A7A5F">
            <w:pPr>
              <w:rPr>
                <w:rFonts w:ascii="Times New Roman" w:eastAsia="Times New Roman" w:hAnsi="Times New Roman" w:cs="Times New Roman"/>
                <w:color w:val="000000"/>
                <w:sz w:val="24"/>
                <w:szCs w:val="24"/>
                <w:lang w:val="en-US" w:eastAsia="en-GB"/>
              </w:rPr>
            </w:pPr>
          </w:p>
        </w:tc>
        <w:tc>
          <w:tcPr>
            <w:tcW w:w="1280" w:type="pct"/>
            <w:gridSpan w:val="2"/>
            <w:tcBorders>
              <w:top w:val="nil"/>
              <w:left w:val="nil"/>
              <w:bottom w:val="nil"/>
              <w:right w:val="nil"/>
            </w:tcBorders>
            <w:noWrap/>
            <w:vAlign w:val="bottom"/>
            <w:hideMark/>
          </w:tcPr>
          <w:p w14:paraId="13519A94" w14:textId="044D6D3C"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(-1.53)</w:t>
            </w:r>
          </w:p>
        </w:tc>
        <w:tc>
          <w:tcPr>
            <w:tcW w:w="1201" w:type="pct"/>
            <w:tcBorders>
              <w:top w:val="nil"/>
              <w:left w:val="nil"/>
              <w:bottom w:val="nil"/>
              <w:right w:val="nil"/>
            </w:tcBorders>
            <w:noWrap/>
            <w:vAlign w:val="bottom"/>
            <w:hideMark/>
          </w:tcPr>
          <w:p w14:paraId="3CA3D9B0" w14:textId="06F83750"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(-1.62)</w:t>
            </w:r>
          </w:p>
        </w:tc>
      </w:tr>
      <w:tr w:rsidR="004A7A5F" w14:paraId="62ECF13F" w14:textId="6325CD3A" w:rsidTr="004A7A5F">
        <w:trPr>
          <w:gridAfter w:val="1"/>
          <w:wAfter w:w="179" w:type="pct"/>
          <w:trHeight w:val="57"/>
          <w:jc w:val="center"/>
        </w:trPr>
        <w:tc>
          <w:tcPr>
            <w:tcW w:w="2340" w:type="pct"/>
            <w:gridSpan w:val="2"/>
            <w:tcBorders>
              <w:top w:val="nil"/>
              <w:left w:val="nil"/>
              <w:bottom w:val="nil"/>
              <w:right w:val="nil"/>
            </w:tcBorders>
            <w:noWrap/>
            <w:vAlign w:val="center"/>
            <w:hideMark/>
          </w:tcPr>
          <w:p w14:paraId="4253C127" w14:textId="02AEBA23" w:rsidR="004A7A5F" w:rsidRDefault="004A7A5F">
            <w:pPr>
              <w:spacing w:after="0" w:line="240" w:lineRule="auto"/>
              <w:rPr>
                <w:rFonts w:ascii="Times New Roman" w:eastAsia="Times New Roman" w:hAnsi="Times New Roman" w:cs="Times New Roman"/>
                <w:i/>
                <w:iCs/>
                <w:color w:val="000000"/>
                <w:sz w:val="24"/>
                <w:szCs w:val="24"/>
                <w:lang w:val="en-US" w:eastAsia="en-GB"/>
              </w:rPr>
            </w:pPr>
            <w:r>
              <w:rPr>
                <w:rFonts w:ascii="Times New Roman" w:eastAsia="Times New Roman" w:hAnsi="Times New Roman" w:cs="Times New Roman"/>
                <w:i/>
                <w:iCs/>
                <w:color w:val="000000"/>
                <w:sz w:val="24"/>
                <w:szCs w:val="24"/>
                <w:lang w:val="en-US" w:eastAsia="en-GB"/>
              </w:rPr>
              <w:t>RET</w:t>
            </w:r>
          </w:p>
        </w:tc>
        <w:tc>
          <w:tcPr>
            <w:tcW w:w="1280" w:type="pct"/>
            <w:gridSpan w:val="2"/>
            <w:tcBorders>
              <w:top w:val="nil"/>
              <w:left w:val="nil"/>
              <w:bottom w:val="nil"/>
              <w:right w:val="nil"/>
            </w:tcBorders>
            <w:noWrap/>
            <w:vAlign w:val="bottom"/>
            <w:hideMark/>
          </w:tcPr>
          <w:p w14:paraId="2225BD53" w14:textId="7D7121AB"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0.015*</w:t>
            </w:r>
          </w:p>
        </w:tc>
        <w:tc>
          <w:tcPr>
            <w:tcW w:w="1201" w:type="pct"/>
            <w:tcBorders>
              <w:top w:val="nil"/>
              <w:left w:val="nil"/>
              <w:bottom w:val="nil"/>
              <w:right w:val="nil"/>
            </w:tcBorders>
            <w:noWrap/>
            <w:vAlign w:val="bottom"/>
            <w:hideMark/>
          </w:tcPr>
          <w:p w14:paraId="1CDCEFEC" w14:textId="53259083"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0.133</w:t>
            </w:r>
          </w:p>
        </w:tc>
      </w:tr>
      <w:tr w:rsidR="004A7A5F" w14:paraId="669EBAFD" w14:textId="71E82990" w:rsidTr="004A7A5F">
        <w:trPr>
          <w:gridAfter w:val="1"/>
          <w:wAfter w:w="179" w:type="pct"/>
          <w:trHeight w:val="57"/>
          <w:jc w:val="center"/>
        </w:trPr>
        <w:tc>
          <w:tcPr>
            <w:tcW w:w="2340" w:type="pct"/>
            <w:gridSpan w:val="2"/>
            <w:tcBorders>
              <w:top w:val="nil"/>
              <w:left w:val="nil"/>
              <w:bottom w:val="nil"/>
              <w:right w:val="nil"/>
            </w:tcBorders>
            <w:noWrap/>
            <w:vAlign w:val="bottom"/>
            <w:hideMark/>
          </w:tcPr>
          <w:p w14:paraId="36EFE6CA" w14:textId="3C3F0988" w:rsidR="004A7A5F" w:rsidRDefault="004A7A5F">
            <w:pPr>
              <w:rPr>
                <w:rFonts w:ascii="Times New Roman" w:eastAsia="Times New Roman" w:hAnsi="Times New Roman" w:cs="Times New Roman"/>
                <w:color w:val="000000"/>
                <w:sz w:val="24"/>
                <w:szCs w:val="24"/>
                <w:lang w:val="en-US" w:eastAsia="en-GB"/>
              </w:rPr>
            </w:pPr>
          </w:p>
        </w:tc>
        <w:tc>
          <w:tcPr>
            <w:tcW w:w="1280" w:type="pct"/>
            <w:gridSpan w:val="2"/>
            <w:tcBorders>
              <w:top w:val="nil"/>
              <w:left w:val="nil"/>
              <w:bottom w:val="nil"/>
              <w:right w:val="nil"/>
            </w:tcBorders>
            <w:noWrap/>
            <w:vAlign w:val="bottom"/>
            <w:hideMark/>
          </w:tcPr>
          <w:p w14:paraId="2C759240" w14:textId="6FA9A99D"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(1.69)</w:t>
            </w:r>
          </w:p>
        </w:tc>
        <w:tc>
          <w:tcPr>
            <w:tcW w:w="1201" w:type="pct"/>
            <w:tcBorders>
              <w:top w:val="nil"/>
              <w:left w:val="nil"/>
              <w:bottom w:val="nil"/>
              <w:right w:val="nil"/>
            </w:tcBorders>
            <w:noWrap/>
            <w:vAlign w:val="bottom"/>
            <w:hideMark/>
          </w:tcPr>
          <w:p w14:paraId="357863F0" w14:textId="651857AB"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(1.43)</w:t>
            </w:r>
          </w:p>
        </w:tc>
      </w:tr>
      <w:tr w:rsidR="004A7A5F" w14:paraId="7580EB13" w14:textId="224FABB7" w:rsidTr="004A7A5F">
        <w:trPr>
          <w:gridAfter w:val="1"/>
          <w:wAfter w:w="179" w:type="pct"/>
          <w:trHeight w:val="57"/>
          <w:jc w:val="center"/>
        </w:trPr>
        <w:tc>
          <w:tcPr>
            <w:tcW w:w="2340" w:type="pct"/>
            <w:gridSpan w:val="2"/>
            <w:tcBorders>
              <w:top w:val="nil"/>
              <w:left w:val="nil"/>
              <w:bottom w:val="nil"/>
              <w:right w:val="nil"/>
            </w:tcBorders>
            <w:shd w:val="clear" w:color="auto" w:fill="FFFFFF"/>
            <w:noWrap/>
            <w:vAlign w:val="bottom"/>
            <w:hideMark/>
          </w:tcPr>
          <w:p w14:paraId="72785CB7" w14:textId="03B46009" w:rsidR="004A7A5F" w:rsidRDefault="004A7A5F">
            <w:pPr>
              <w:spacing w:after="0" w:line="240" w:lineRule="auto"/>
              <w:rPr>
                <w:rFonts w:ascii="Times New Roman" w:eastAsia="Times New Roman" w:hAnsi="Times New Roman" w:cs="Times New Roman"/>
                <w:i/>
                <w:iCs/>
                <w:color w:val="000000"/>
                <w:sz w:val="24"/>
                <w:szCs w:val="24"/>
                <w:lang w:val="en-US" w:eastAsia="en-GB"/>
              </w:rPr>
            </w:pPr>
            <w:proofErr w:type="spellStart"/>
            <w:r>
              <w:rPr>
                <w:rFonts w:ascii="Times New Roman" w:eastAsia="Times New Roman" w:hAnsi="Times New Roman" w:cs="Times New Roman"/>
                <w:i/>
                <w:iCs/>
                <w:color w:val="000000"/>
                <w:sz w:val="24"/>
                <w:szCs w:val="24"/>
                <w:lang w:val="en-US" w:eastAsia="en-GB"/>
              </w:rPr>
              <w:lastRenderedPageBreak/>
              <w:t>CEOage</w:t>
            </w:r>
            <w:proofErr w:type="spellEnd"/>
          </w:p>
        </w:tc>
        <w:tc>
          <w:tcPr>
            <w:tcW w:w="1280" w:type="pct"/>
            <w:gridSpan w:val="2"/>
            <w:tcBorders>
              <w:top w:val="nil"/>
              <w:left w:val="nil"/>
              <w:bottom w:val="nil"/>
              <w:right w:val="nil"/>
            </w:tcBorders>
            <w:noWrap/>
            <w:vAlign w:val="bottom"/>
            <w:hideMark/>
          </w:tcPr>
          <w:p w14:paraId="0E89CC66" w14:textId="360D09C5"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0.001</w:t>
            </w:r>
          </w:p>
        </w:tc>
        <w:tc>
          <w:tcPr>
            <w:tcW w:w="1201" w:type="pct"/>
            <w:tcBorders>
              <w:top w:val="nil"/>
              <w:left w:val="nil"/>
              <w:bottom w:val="nil"/>
              <w:right w:val="nil"/>
            </w:tcBorders>
            <w:noWrap/>
            <w:vAlign w:val="bottom"/>
            <w:hideMark/>
          </w:tcPr>
          <w:p w14:paraId="57731888" w14:textId="098A8652"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0.018</w:t>
            </w:r>
          </w:p>
        </w:tc>
      </w:tr>
      <w:tr w:rsidR="004A7A5F" w14:paraId="7BA6D4AB" w14:textId="08B14387" w:rsidTr="004A7A5F">
        <w:trPr>
          <w:gridAfter w:val="1"/>
          <w:wAfter w:w="179" w:type="pct"/>
          <w:trHeight w:val="57"/>
          <w:jc w:val="center"/>
        </w:trPr>
        <w:tc>
          <w:tcPr>
            <w:tcW w:w="2340" w:type="pct"/>
            <w:gridSpan w:val="2"/>
            <w:tcBorders>
              <w:top w:val="nil"/>
              <w:left w:val="nil"/>
              <w:bottom w:val="nil"/>
              <w:right w:val="nil"/>
            </w:tcBorders>
            <w:shd w:val="clear" w:color="auto" w:fill="FFFFFF"/>
            <w:noWrap/>
            <w:vAlign w:val="bottom"/>
            <w:hideMark/>
          </w:tcPr>
          <w:p w14:paraId="6DC737A7" w14:textId="4935B49C" w:rsidR="004A7A5F" w:rsidRDefault="004A7A5F">
            <w:pPr>
              <w:spacing w:after="0" w:line="240" w:lineRule="auto"/>
              <w:rPr>
                <w:rFonts w:ascii="Times New Roman" w:eastAsia="Times New Roman" w:hAnsi="Times New Roman" w:cs="Times New Roman"/>
                <w:i/>
                <w:iCs/>
                <w:color w:val="000000"/>
                <w:sz w:val="24"/>
                <w:szCs w:val="24"/>
                <w:lang w:val="en-US" w:eastAsia="en-GB"/>
              </w:rPr>
            </w:pPr>
            <w:r>
              <w:rPr>
                <w:rFonts w:ascii="Times New Roman" w:eastAsia="Times New Roman" w:hAnsi="Times New Roman" w:cs="Times New Roman"/>
                <w:i/>
                <w:iCs/>
                <w:color w:val="000000"/>
                <w:sz w:val="24"/>
                <w:szCs w:val="24"/>
                <w:lang w:val="en-US" w:eastAsia="en-GB"/>
              </w:rPr>
              <w:t> </w:t>
            </w:r>
          </w:p>
        </w:tc>
        <w:tc>
          <w:tcPr>
            <w:tcW w:w="1280" w:type="pct"/>
            <w:gridSpan w:val="2"/>
            <w:tcBorders>
              <w:top w:val="nil"/>
              <w:left w:val="nil"/>
              <w:bottom w:val="nil"/>
              <w:right w:val="nil"/>
            </w:tcBorders>
            <w:noWrap/>
            <w:vAlign w:val="bottom"/>
            <w:hideMark/>
          </w:tcPr>
          <w:p w14:paraId="0EAEF656" w14:textId="438C896D"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(0.65)</w:t>
            </w:r>
          </w:p>
        </w:tc>
        <w:tc>
          <w:tcPr>
            <w:tcW w:w="1201" w:type="pct"/>
            <w:tcBorders>
              <w:top w:val="nil"/>
              <w:left w:val="nil"/>
              <w:bottom w:val="nil"/>
              <w:right w:val="nil"/>
            </w:tcBorders>
            <w:noWrap/>
            <w:vAlign w:val="bottom"/>
            <w:hideMark/>
          </w:tcPr>
          <w:p w14:paraId="692CEDAC" w14:textId="4D9282D0"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(1.61)</w:t>
            </w:r>
          </w:p>
        </w:tc>
      </w:tr>
      <w:tr w:rsidR="004A7A5F" w14:paraId="257B7C09" w14:textId="25502842" w:rsidTr="004A7A5F">
        <w:trPr>
          <w:gridAfter w:val="1"/>
          <w:wAfter w:w="179" w:type="pct"/>
          <w:trHeight w:val="57"/>
          <w:jc w:val="center"/>
        </w:trPr>
        <w:tc>
          <w:tcPr>
            <w:tcW w:w="2340" w:type="pct"/>
            <w:gridSpan w:val="2"/>
            <w:tcBorders>
              <w:top w:val="nil"/>
              <w:left w:val="nil"/>
              <w:bottom w:val="nil"/>
              <w:right w:val="nil"/>
            </w:tcBorders>
            <w:shd w:val="clear" w:color="auto" w:fill="FFFFFF"/>
            <w:noWrap/>
            <w:vAlign w:val="bottom"/>
            <w:hideMark/>
          </w:tcPr>
          <w:p w14:paraId="4A39A79F" w14:textId="087FEBF3" w:rsidR="004A7A5F" w:rsidRDefault="004A7A5F">
            <w:pPr>
              <w:spacing w:after="0" w:line="240" w:lineRule="auto"/>
              <w:rPr>
                <w:rFonts w:ascii="Times New Roman" w:eastAsia="Times New Roman" w:hAnsi="Times New Roman" w:cs="Times New Roman"/>
                <w:i/>
                <w:iCs/>
                <w:color w:val="000000"/>
                <w:sz w:val="24"/>
                <w:szCs w:val="24"/>
                <w:lang w:val="en-US" w:eastAsia="en-GB"/>
              </w:rPr>
            </w:pPr>
            <w:proofErr w:type="spellStart"/>
            <w:r>
              <w:rPr>
                <w:rFonts w:ascii="Times New Roman" w:eastAsia="Times New Roman" w:hAnsi="Times New Roman" w:cs="Times New Roman"/>
                <w:i/>
                <w:iCs/>
                <w:color w:val="000000"/>
                <w:sz w:val="24"/>
                <w:szCs w:val="24"/>
                <w:lang w:val="en-US" w:eastAsia="en-GB"/>
              </w:rPr>
              <w:t>CEOtenure</w:t>
            </w:r>
            <w:proofErr w:type="spellEnd"/>
          </w:p>
        </w:tc>
        <w:tc>
          <w:tcPr>
            <w:tcW w:w="1280" w:type="pct"/>
            <w:gridSpan w:val="2"/>
            <w:tcBorders>
              <w:top w:val="nil"/>
              <w:left w:val="nil"/>
              <w:bottom w:val="nil"/>
              <w:right w:val="nil"/>
            </w:tcBorders>
            <w:noWrap/>
            <w:vAlign w:val="bottom"/>
            <w:hideMark/>
          </w:tcPr>
          <w:p w14:paraId="20E05036" w14:textId="3715B71B"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-0.000</w:t>
            </w:r>
          </w:p>
        </w:tc>
        <w:tc>
          <w:tcPr>
            <w:tcW w:w="1201" w:type="pct"/>
            <w:tcBorders>
              <w:top w:val="nil"/>
              <w:left w:val="nil"/>
              <w:bottom w:val="nil"/>
              <w:right w:val="nil"/>
            </w:tcBorders>
            <w:noWrap/>
            <w:vAlign w:val="bottom"/>
            <w:hideMark/>
          </w:tcPr>
          <w:p w14:paraId="5871EC1A" w14:textId="43BC2E7C"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-0.011</w:t>
            </w:r>
          </w:p>
        </w:tc>
      </w:tr>
      <w:tr w:rsidR="004A7A5F" w14:paraId="10A6BDFD" w14:textId="2326A692" w:rsidTr="004A7A5F">
        <w:trPr>
          <w:gridAfter w:val="1"/>
          <w:wAfter w:w="179" w:type="pct"/>
          <w:trHeight w:val="57"/>
          <w:jc w:val="center"/>
        </w:trPr>
        <w:tc>
          <w:tcPr>
            <w:tcW w:w="2340" w:type="pct"/>
            <w:gridSpan w:val="2"/>
            <w:tcBorders>
              <w:top w:val="nil"/>
              <w:left w:val="nil"/>
              <w:bottom w:val="nil"/>
              <w:right w:val="nil"/>
            </w:tcBorders>
            <w:shd w:val="clear" w:color="auto" w:fill="FFFFFF"/>
            <w:noWrap/>
            <w:vAlign w:val="bottom"/>
            <w:hideMark/>
          </w:tcPr>
          <w:p w14:paraId="0D522FE7" w14:textId="23BAB730" w:rsidR="004A7A5F" w:rsidRDefault="004A7A5F">
            <w:pPr>
              <w:spacing w:after="0" w:line="240" w:lineRule="auto"/>
              <w:rPr>
                <w:rFonts w:ascii="Times New Roman" w:eastAsia="Times New Roman" w:hAnsi="Times New Roman" w:cs="Times New Roman"/>
                <w:i/>
                <w:iCs/>
                <w:color w:val="000000"/>
                <w:sz w:val="24"/>
                <w:szCs w:val="24"/>
                <w:lang w:val="en-US" w:eastAsia="en-GB"/>
              </w:rPr>
            </w:pPr>
            <w:r>
              <w:rPr>
                <w:rFonts w:ascii="Times New Roman" w:eastAsia="Times New Roman" w:hAnsi="Times New Roman" w:cs="Times New Roman"/>
                <w:i/>
                <w:iCs/>
                <w:color w:val="000000"/>
                <w:sz w:val="24"/>
                <w:szCs w:val="24"/>
                <w:lang w:val="en-US" w:eastAsia="en-GB"/>
              </w:rPr>
              <w:t> </w:t>
            </w:r>
          </w:p>
        </w:tc>
        <w:tc>
          <w:tcPr>
            <w:tcW w:w="1280" w:type="pct"/>
            <w:gridSpan w:val="2"/>
            <w:tcBorders>
              <w:top w:val="nil"/>
              <w:left w:val="nil"/>
              <w:bottom w:val="nil"/>
              <w:right w:val="nil"/>
            </w:tcBorders>
            <w:noWrap/>
            <w:vAlign w:val="bottom"/>
            <w:hideMark/>
          </w:tcPr>
          <w:p w14:paraId="25046119" w14:textId="55BF9CA0"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(-0.03)</w:t>
            </w:r>
          </w:p>
        </w:tc>
        <w:tc>
          <w:tcPr>
            <w:tcW w:w="1201" w:type="pct"/>
            <w:tcBorders>
              <w:top w:val="nil"/>
              <w:left w:val="nil"/>
              <w:bottom w:val="nil"/>
              <w:right w:val="nil"/>
            </w:tcBorders>
            <w:noWrap/>
            <w:vAlign w:val="bottom"/>
            <w:hideMark/>
          </w:tcPr>
          <w:p w14:paraId="340DCE0E" w14:textId="1F33D95E"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(-0.72)</w:t>
            </w:r>
          </w:p>
        </w:tc>
      </w:tr>
      <w:tr w:rsidR="004A7A5F" w14:paraId="57BADF50" w14:textId="2B8C2A62" w:rsidTr="004A7A5F">
        <w:trPr>
          <w:gridAfter w:val="1"/>
          <w:wAfter w:w="179" w:type="pct"/>
          <w:trHeight w:val="57"/>
          <w:jc w:val="center"/>
        </w:trPr>
        <w:tc>
          <w:tcPr>
            <w:tcW w:w="2340" w:type="pct"/>
            <w:gridSpan w:val="2"/>
            <w:tcBorders>
              <w:top w:val="nil"/>
              <w:left w:val="nil"/>
              <w:bottom w:val="nil"/>
              <w:right w:val="nil"/>
            </w:tcBorders>
            <w:shd w:val="clear" w:color="auto" w:fill="FFFFFF"/>
            <w:noWrap/>
            <w:vAlign w:val="center"/>
            <w:hideMark/>
          </w:tcPr>
          <w:p w14:paraId="67D350A6" w14:textId="14CB10E9" w:rsidR="004A7A5F" w:rsidRDefault="004A7A5F">
            <w:pPr>
              <w:spacing w:after="0" w:line="240" w:lineRule="auto"/>
              <w:rPr>
                <w:rFonts w:ascii="Times New Roman" w:eastAsia="Times New Roman" w:hAnsi="Times New Roman" w:cs="Times New Roman"/>
                <w:i/>
                <w:iCs/>
                <w:color w:val="000000"/>
                <w:sz w:val="24"/>
                <w:szCs w:val="24"/>
                <w:lang w:val="en-US" w:eastAsia="en-GB"/>
              </w:rPr>
            </w:pPr>
            <w:r>
              <w:rPr>
                <w:rFonts w:ascii="Times New Roman" w:eastAsia="Times New Roman" w:hAnsi="Times New Roman" w:cs="Times New Roman"/>
                <w:i/>
                <w:iCs/>
                <w:color w:val="000000"/>
                <w:sz w:val="24"/>
                <w:szCs w:val="24"/>
                <w:lang w:val="en-US" w:eastAsia="en-GB"/>
              </w:rPr>
              <w:t>Constant</w:t>
            </w:r>
          </w:p>
        </w:tc>
        <w:tc>
          <w:tcPr>
            <w:tcW w:w="1280" w:type="pct"/>
            <w:gridSpan w:val="2"/>
            <w:tcBorders>
              <w:top w:val="nil"/>
              <w:left w:val="nil"/>
              <w:bottom w:val="nil"/>
              <w:right w:val="nil"/>
            </w:tcBorders>
            <w:noWrap/>
            <w:vAlign w:val="bottom"/>
            <w:hideMark/>
          </w:tcPr>
          <w:p w14:paraId="30C9E3EC" w14:textId="3F475C70"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-0.104</w:t>
            </w:r>
          </w:p>
        </w:tc>
        <w:tc>
          <w:tcPr>
            <w:tcW w:w="1201" w:type="pct"/>
            <w:tcBorders>
              <w:top w:val="nil"/>
              <w:left w:val="nil"/>
              <w:bottom w:val="nil"/>
              <w:right w:val="nil"/>
            </w:tcBorders>
            <w:noWrap/>
            <w:vAlign w:val="bottom"/>
            <w:hideMark/>
          </w:tcPr>
          <w:p w14:paraId="4C3992A0" w14:textId="5B32163E"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-0.756</w:t>
            </w:r>
          </w:p>
        </w:tc>
      </w:tr>
      <w:tr w:rsidR="004A7A5F" w14:paraId="48E10AFE" w14:textId="306B43DB" w:rsidTr="004A7A5F">
        <w:trPr>
          <w:gridAfter w:val="1"/>
          <w:wAfter w:w="179" w:type="pct"/>
          <w:trHeight w:val="57"/>
          <w:jc w:val="center"/>
        </w:trPr>
        <w:tc>
          <w:tcPr>
            <w:tcW w:w="2340" w:type="pct"/>
            <w:gridSpan w:val="2"/>
            <w:tcBorders>
              <w:top w:val="nil"/>
              <w:left w:val="nil"/>
              <w:bottom w:val="nil"/>
              <w:right w:val="nil"/>
            </w:tcBorders>
            <w:noWrap/>
            <w:vAlign w:val="bottom"/>
            <w:hideMark/>
          </w:tcPr>
          <w:p w14:paraId="3715DC13" w14:textId="3B42AD9F" w:rsidR="004A7A5F" w:rsidRDefault="004A7A5F">
            <w:pPr>
              <w:rPr>
                <w:rFonts w:ascii="Times New Roman" w:eastAsia="Times New Roman" w:hAnsi="Times New Roman" w:cs="Times New Roman"/>
                <w:color w:val="000000"/>
                <w:sz w:val="24"/>
                <w:szCs w:val="24"/>
                <w:lang w:val="en-US" w:eastAsia="en-GB"/>
              </w:rPr>
            </w:pPr>
          </w:p>
        </w:tc>
        <w:tc>
          <w:tcPr>
            <w:tcW w:w="1280" w:type="pct"/>
            <w:gridSpan w:val="2"/>
            <w:tcBorders>
              <w:top w:val="nil"/>
              <w:left w:val="nil"/>
              <w:bottom w:val="nil"/>
              <w:right w:val="nil"/>
            </w:tcBorders>
            <w:noWrap/>
            <w:vAlign w:val="bottom"/>
            <w:hideMark/>
          </w:tcPr>
          <w:p w14:paraId="5CA8A0D7" w14:textId="3A4F151D"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(-0.98)</w:t>
            </w:r>
          </w:p>
        </w:tc>
        <w:tc>
          <w:tcPr>
            <w:tcW w:w="1201" w:type="pct"/>
            <w:tcBorders>
              <w:top w:val="nil"/>
              <w:left w:val="nil"/>
              <w:bottom w:val="nil"/>
              <w:right w:val="nil"/>
            </w:tcBorders>
            <w:noWrap/>
            <w:vAlign w:val="bottom"/>
            <w:hideMark/>
          </w:tcPr>
          <w:p w14:paraId="4C2F2D13" w14:textId="52480817"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(-0.65)</w:t>
            </w:r>
          </w:p>
        </w:tc>
      </w:tr>
      <w:tr w:rsidR="004A7A5F" w14:paraId="1042CD00" w14:textId="4DEF77A4" w:rsidTr="004A7A5F">
        <w:trPr>
          <w:gridAfter w:val="1"/>
          <w:wAfter w:w="179" w:type="pct"/>
          <w:trHeight w:val="57"/>
          <w:jc w:val="center"/>
        </w:trPr>
        <w:tc>
          <w:tcPr>
            <w:tcW w:w="2340" w:type="pct"/>
            <w:gridSpan w:val="2"/>
            <w:tcBorders>
              <w:top w:val="nil"/>
              <w:left w:val="nil"/>
              <w:bottom w:val="nil"/>
              <w:right w:val="nil"/>
            </w:tcBorders>
            <w:noWrap/>
            <w:vAlign w:val="center"/>
            <w:hideMark/>
          </w:tcPr>
          <w:p w14:paraId="7C6F8AFC" w14:textId="7253E547" w:rsidR="004A7A5F" w:rsidRDefault="004A7A5F">
            <w:pPr>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R-squared</w:t>
            </w:r>
          </w:p>
        </w:tc>
        <w:tc>
          <w:tcPr>
            <w:tcW w:w="1280" w:type="pct"/>
            <w:gridSpan w:val="2"/>
            <w:tcBorders>
              <w:top w:val="nil"/>
              <w:left w:val="nil"/>
              <w:bottom w:val="nil"/>
              <w:right w:val="nil"/>
            </w:tcBorders>
            <w:noWrap/>
            <w:vAlign w:val="bottom"/>
            <w:hideMark/>
          </w:tcPr>
          <w:p w14:paraId="5E33E825" w14:textId="0269DDB8"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0.669</w:t>
            </w:r>
          </w:p>
        </w:tc>
        <w:tc>
          <w:tcPr>
            <w:tcW w:w="1201" w:type="pct"/>
            <w:tcBorders>
              <w:top w:val="nil"/>
              <w:left w:val="nil"/>
              <w:bottom w:val="nil"/>
              <w:right w:val="nil"/>
            </w:tcBorders>
            <w:noWrap/>
            <w:vAlign w:val="bottom"/>
            <w:hideMark/>
          </w:tcPr>
          <w:p w14:paraId="085DC45D" w14:textId="60E50B4D"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0.582</w:t>
            </w:r>
          </w:p>
        </w:tc>
      </w:tr>
      <w:tr w:rsidR="004A7A5F" w14:paraId="114EBFD9" w14:textId="5FB81875" w:rsidTr="004A7A5F">
        <w:trPr>
          <w:gridAfter w:val="1"/>
          <w:wAfter w:w="179" w:type="pct"/>
          <w:trHeight w:val="57"/>
          <w:jc w:val="center"/>
        </w:trPr>
        <w:tc>
          <w:tcPr>
            <w:tcW w:w="2340" w:type="pct"/>
            <w:gridSpan w:val="2"/>
            <w:tcBorders>
              <w:top w:val="nil"/>
              <w:left w:val="nil"/>
              <w:bottom w:val="nil"/>
              <w:right w:val="nil"/>
            </w:tcBorders>
            <w:noWrap/>
            <w:vAlign w:val="center"/>
            <w:hideMark/>
          </w:tcPr>
          <w:p w14:paraId="6DBF28BA" w14:textId="4C63AFCA" w:rsidR="004A7A5F" w:rsidRDefault="004A7A5F">
            <w:pPr>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Observations</w:t>
            </w:r>
          </w:p>
        </w:tc>
        <w:tc>
          <w:tcPr>
            <w:tcW w:w="1280" w:type="pct"/>
            <w:gridSpan w:val="2"/>
            <w:tcBorders>
              <w:top w:val="nil"/>
              <w:left w:val="nil"/>
              <w:bottom w:val="nil"/>
              <w:right w:val="nil"/>
            </w:tcBorders>
            <w:noWrap/>
            <w:vAlign w:val="bottom"/>
            <w:hideMark/>
          </w:tcPr>
          <w:p w14:paraId="598A5C75" w14:textId="06326AF7"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8,355</w:t>
            </w:r>
          </w:p>
        </w:tc>
        <w:tc>
          <w:tcPr>
            <w:tcW w:w="1201" w:type="pct"/>
            <w:tcBorders>
              <w:top w:val="nil"/>
              <w:left w:val="nil"/>
              <w:bottom w:val="nil"/>
              <w:right w:val="nil"/>
            </w:tcBorders>
            <w:noWrap/>
            <w:vAlign w:val="bottom"/>
            <w:hideMark/>
          </w:tcPr>
          <w:p w14:paraId="2C09DC22" w14:textId="0A61A9B4"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8,355</w:t>
            </w:r>
          </w:p>
        </w:tc>
      </w:tr>
      <w:tr w:rsidR="004A7A5F" w14:paraId="7748B355" w14:textId="4BF097D9" w:rsidTr="004A7A5F">
        <w:trPr>
          <w:gridAfter w:val="1"/>
          <w:wAfter w:w="179" w:type="pct"/>
          <w:trHeight w:val="57"/>
          <w:jc w:val="center"/>
        </w:trPr>
        <w:tc>
          <w:tcPr>
            <w:tcW w:w="2340" w:type="pct"/>
            <w:gridSpan w:val="2"/>
            <w:tcBorders>
              <w:top w:val="nil"/>
              <w:left w:val="nil"/>
              <w:bottom w:val="nil"/>
              <w:right w:val="nil"/>
            </w:tcBorders>
            <w:noWrap/>
            <w:vAlign w:val="center"/>
            <w:hideMark/>
          </w:tcPr>
          <w:p w14:paraId="1522A3DA" w14:textId="7561E08E" w:rsidR="004A7A5F" w:rsidRDefault="004A7A5F">
            <w:pPr>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Firm fixed effects</w:t>
            </w:r>
          </w:p>
        </w:tc>
        <w:tc>
          <w:tcPr>
            <w:tcW w:w="1280" w:type="pct"/>
            <w:gridSpan w:val="2"/>
            <w:tcBorders>
              <w:top w:val="nil"/>
              <w:left w:val="nil"/>
              <w:bottom w:val="nil"/>
              <w:right w:val="nil"/>
            </w:tcBorders>
            <w:noWrap/>
            <w:vAlign w:val="bottom"/>
            <w:hideMark/>
          </w:tcPr>
          <w:p w14:paraId="6CF4A8A0" w14:textId="16D53F6A"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Yes</w:t>
            </w:r>
          </w:p>
        </w:tc>
        <w:tc>
          <w:tcPr>
            <w:tcW w:w="1201" w:type="pct"/>
            <w:tcBorders>
              <w:top w:val="nil"/>
              <w:left w:val="nil"/>
              <w:bottom w:val="nil"/>
              <w:right w:val="nil"/>
            </w:tcBorders>
            <w:noWrap/>
            <w:vAlign w:val="bottom"/>
            <w:hideMark/>
          </w:tcPr>
          <w:p w14:paraId="00F5F871" w14:textId="12C93485"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Yes</w:t>
            </w:r>
          </w:p>
        </w:tc>
      </w:tr>
      <w:tr w:rsidR="004A7A5F" w14:paraId="5C2BD7A6" w14:textId="603696AD" w:rsidTr="004A7A5F">
        <w:trPr>
          <w:gridAfter w:val="1"/>
          <w:wAfter w:w="179" w:type="pct"/>
          <w:trHeight w:val="57"/>
          <w:jc w:val="center"/>
        </w:trPr>
        <w:tc>
          <w:tcPr>
            <w:tcW w:w="2340" w:type="pct"/>
            <w:gridSpan w:val="2"/>
            <w:tcBorders>
              <w:top w:val="nil"/>
              <w:left w:val="nil"/>
              <w:bottom w:val="nil"/>
              <w:right w:val="nil"/>
            </w:tcBorders>
            <w:noWrap/>
            <w:vAlign w:val="center"/>
            <w:hideMark/>
          </w:tcPr>
          <w:p w14:paraId="3B14AB22" w14:textId="223327EA" w:rsidR="004A7A5F" w:rsidRDefault="004A7A5F">
            <w:pPr>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Year fixed effects</w:t>
            </w:r>
          </w:p>
        </w:tc>
        <w:tc>
          <w:tcPr>
            <w:tcW w:w="1280" w:type="pct"/>
            <w:gridSpan w:val="2"/>
            <w:tcBorders>
              <w:top w:val="nil"/>
              <w:left w:val="nil"/>
              <w:bottom w:val="nil"/>
              <w:right w:val="nil"/>
            </w:tcBorders>
            <w:noWrap/>
            <w:vAlign w:val="bottom"/>
            <w:hideMark/>
          </w:tcPr>
          <w:p w14:paraId="22F601E8" w14:textId="49D0F65B"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Yes</w:t>
            </w:r>
          </w:p>
        </w:tc>
        <w:tc>
          <w:tcPr>
            <w:tcW w:w="1201" w:type="pct"/>
            <w:tcBorders>
              <w:top w:val="nil"/>
              <w:left w:val="nil"/>
              <w:bottom w:val="nil"/>
              <w:right w:val="nil"/>
            </w:tcBorders>
            <w:noWrap/>
            <w:vAlign w:val="bottom"/>
            <w:hideMark/>
          </w:tcPr>
          <w:p w14:paraId="52B3F0DB" w14:textId="2804EE4C"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Yes</w:t>
            </w:r>
          </w:p>
        </w:tc>
      </w:tr>
      <w:tr w:rsidR="004A7A5F" w14:paraId="69BE6685" w14:textId="2CCA005F" w:rsidTr="004A7A5F">
        <w:trPr>
          <w:gridAfter w:val="1"/>
          <w:wAfter w:w="179" w:type="pct"/>
          <w:trHeight w:val="57"/>
          <w:jc w:val="center"/>
        </w:trPr>
        <w:tc>
          <w:tcPr>
            <w:tcW w:w="2340" w:type="pct"/>
            <w:gridSpan w:val="2"/>
            <w:tcBorders>
              <w:top w:val="nil"/>
              <w:left w:val="nil"/>
              <w:bottom w:val="single" w:sz="4" w:space="0" w:color="auto"/>
              <w:right w:val="nil"/>
            </w:tcBorders>
            <w:noWrap/>
            <w:vAlign w:val="center"/>
            <w:hideMark/>
          </w:tcPr>
          <w:p w14:paraId="18FCF032" w14:textId="7B718326" w:rsidR="004A7A5F" w:rsidRDefault="004A7A5F">
            <w:pPr>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Model</w:t>
            </w:r>
          </w:p>
        </w:tc>
        <w:tc>
          <w:tcPr>
            <w:tcW w:w="1280" w:type="pct"/>
            <w:gridSpan w:val="2"/>
            <w:tcBorders>
              <w:top w:val="nil"/>
              <w:left w:val="nil"/>
              <w:bottom w:val="single" w:sz="4" w:space="0" w:color="auto"/>
              <w:right w:val="nil"/>
            </w:tcBorders>
            <w:noWrap/>
            <w:vAlign w:val="bottom"/>
            <w:hideMark/>
          </w:tcPr>
          <w:p w14:paraId="3A976F6D" w14:textId="2DCD06E4"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OLS</w:t>
            </w:r>
          </w:p>
        </w:tc>
        <w:tc>
          <w:tcPr>
            <w:tcW w:w="1201" w:type="pct"/>
            <w:tcBorders>
              <w:top w:val="nil"/>
              <w:left w:val="nil"/>
              <w:bottom w:val="single" w:sz="4" w:space="0" w:color="auto"/>
              <w:right w:val="nil"/>
            </w:tcBorders>
            <w:noWrap/>
            <w:vAlign w:val="bottom"/>
            <w:hideMark/>
          </w:tcPr>
          <w:p w14:paraId="5E9A8A74" w14:textId="4296C32A" w:rsidR="004A7A5F" w:rsidRDefault="004A7A5F">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OLS</w:t>
            </w:r>
          </w:p>
        </w:tc>
      </w:tr>
      <w:tr w:rsidR="004E1124" w:rsidRPr="004C511E" w14:paraId="36ED61FA" w14:textId="40DE8545" w:rsidTr="004A7A5F">
        <w:tblPrEx>
          <w:jc w:val="left"/>
          <w:tblBorders>
            <w:top w:val="none" w:sz="0" w:space="0" w:color="auto"/>
            <w:bottom w:val="none" w:sz="0" w:space="0" w:color="auto"/>
          </w:tblBorders>
        </w:tblPrEx>
        <w:trPr>
          <w:trHeight w:val="300"/>
        </w:trPr>
        <w:tc>
          <w:tcPr>
            <w:tcW w:w="5000" w:type="pct"/>
            <w:gridSpan w:val="6"/>
            <w:tcBorders>
              <w:top w:val="nil"/>
              <w:left w:val="nil"/>
              <w:bottom w:val="nil"/>
              <w:right w:val="nil"/>
            </w:tcBorders>
            <w:shd w:val="clear" w:color="auto" w:fill="auto"/>
            <w:noWrap/>
            <w:vAlign w:val="bottom"/>
            <w:hideMark/>
          </w:tcPr>
          <w:p w14:paraId="061035D2" w14:textId="5C7CF562" w:rsidR="004E1124" w:rsidRPr="004C511E" w:rsidRDefault="004E1124" w:rsidP="00D11B6C">
            <w:pPr>
              <w:spacing w:after="0" w:line="240" w:lineRule="auto"/>
              <w:jc w:val="center"/>
              <w:rPr>
                <w:rFonts w:ascii="Times New Roman" w:eastAsia="Times New Roman" w:hAnsi="Times New Roman" w:cs="Times New Roman"/>
                <w:b/>
                <w:bCs/>
                <w:color w:val="000000"/>
                <w:sz w:val="24"/>
                <w:szCs w:val="24"/>
                <w:lang w:eastAsia="en-GB"/>
              </w:rPr>
            </w:pPr>
          </w:p>
        </w:tc>
      </w:tr>
      <w:tr w:rsidR="004A7A5F" w:rsidRPr="004C511E" w14:paraId="1C4A6837" w14:textId="4BC07FA2" w:rsidTr="004A7A5F">
        <w:tblPrEx>
          <w:jc w:val="left"/>
          <w:tblBorders>
            <w:top w:val="none" w:sz="0" w:space="0" w:color="auto"/>
            <w:bottom w:val="none" w:sz="0" w:space="0" w:color="auto"/>
          </w:tblBorders>
        </w:tblPrEx>
        <w:trPr>
          <w:trHeight w:val="300"/>
        </w:trPr>
        <w:tc>
          <w:tcPr>
            <w:tcW w:w="5000" w:type="pct"/>
            <w:gridSpan w:val="6"/>
            <w:tcBorders>
              <w:top w:val="nil"/>
              <w:left w:val="nil"/>
              <w:bottom w:val="single" w:sz="4" w:space="0" w:color="auto"/>
              <w:right w:val="nil"/>
            </w:tcBorders>
            <w:shd w:val="clear" w:color="auto" w:fill="auto"/>
            <w:noWrap/>
            <w:vAlign w:val="bottom"/>
          </w:tcPr>
          <w:p w14:paraId="6938D7EF" w14:textId="063456D0" w:rsidR="004A7A5F" w:rsidRDefault="004A7A5F" w:rsidP="004A7A5F">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Panel B: </w:t>
            </w:r>
            <w:r w:rsidR="000852A7">
              <w:rPr>
                <w:rFonts w:ascii="Times New Roman" w:eastAsia="Times New Roman" w:hAnsi="Times New Roman" w:cs="Times New Roman"/>
                <w:b/>
                <w:bCs/>
                <w:color w:val="000000"/>
                <w:sz w:val="24"/>
                <w:szCs w:val="24"/>
                <w:lang w:eastAsia="en-GB"/>
              </w:rPr>
              <w:t xml:space="preserve">Production per </w:t>
            </w:r>
            <w:r w:rsidR="000A50EF">
              <w:rPr>
                <w:rFonts w:ascii="Times New Roman" w:eastAsia="Times New Roman" w:hAnsi="Times New Roman" w:cs="Times New Roman"/>
                <w:b/>
                <w:bCs/>
                <w:color w:val="000000"/>
                <w:sz w:val="24"/>
                <w:szCs w:val="24"/>
                <w:lang w:eastAsia="en-GB"/>
              </w:rPr>
              <w:t>E</w:t>
            </w:r>
            <w:r w:rsidR="000852A7">
              <w:rPr>
                <w:rFonts w:ascii="Times New Roman" w:eastAsia="Times New Roman" w:hAnsi="Times New Roman" w:cs="Times New Roman"/>
                <w:b/>
                <w:bCs/>
                <w:color w:val="000000"/>
                <w:sz w:val="24"/>
                <w:szCs w:val="24"/>
                <w:lang w:eastAsia="en-GB"/>
              </w:rPr>
              <w:t>mployee</w:t>
            </w:r>
          </w:p>
          <w:p w14:paraId="5DF85E66" w14:textId="1E2D5271" w:rsidR="004A7A5F" w:rsidRPr="004C511E" w:rsidRDefault="004A7A5F" w:rsidP="004A7A5F">
            <w:pPr>
              <w:spacing w:after="0" w:line="240" w:lineRule="auto"/>
              <w:jc w:val="both"/>
              <w:rPr>
                <w:rFonts w:ascii="Times New Roman" w:eastAsia="Times New Roman" w:hAnsi="Times New Roman" w:cs="Times New Roman"/>
                <w:color w:val="000000"/>
                <w:sz w:val="24"/>
                <w:szCs w:val="24"/>
                <w:lang w:eastAsia="en-GB"/>
              </w:rPr>
            </w:pPr>
          </w:p>
        </w:tc>
      </w:tr>
      <w:tr w:rsidR="004E1124" w:rsidRPr="004C511E" w14:paraId="250448CE" w14:textId="77777777" w:rsidTr="004A7A5F">
        <w:tblPrEx>
          <w:jc w:val="left"/>
          <w:tblBorders>
            <w:top w:val="none" w:sz="0" w:space="0" w:color="auto"/>
            <w:bottom w:val="none" w:sz="0" w:space="0" w:color="auto"/>
          </w:tblBorders>
        </w:tblPrEx>
        <w:trPr>
          <w:trHeight w:val="300"/>
        </w:trPr>
        <w:tc>
          <w:tcPr>
            <w:tcW w:w="1999" w:type="pct"/>
            <w:tcBorders>
              <w:top w:val="single" w:sz="4" w:space="0" w:color="auto"/>
            </w:tcBorders>
            <w:shd w:val="clear" w:color="auto" w:fill="auto"/>
            <w:noWrap/>
            <w:vAlign w:val="bottom"/>
            <w:hideMark/>
          </w:tcPr>
          <w:p w14:paraId="0ABBF3EF" w14:textId="77777777" w:rsidR="004E1124" w:rsidRPr="004C511E" w:rsidRDefault="004E1124" w:rsidP="00D11B6C">
            <w:pPr>
              <w:spacing w:after="0" w:line="240" w:lineRule="auto"/>
              <w:rPr>
                <w:rFonts w:ascii="Times New Roman" w:eastAsia="Times New Roman" w:hAnsi="Times New Roman" w:cs="Times New Roman"/>
                <w:color w:val="000000"/>
                <w:sz w:val="24"/>
                <w:szCs w:val="24"/>
                <w:lang w:eastAsia="en-GB"/>
              </w:rPr>
            </w:pPr>
            <w:r w:rsidRPr="004C511E">
              <w:rPr>
                <w:rFonts w:ascii="Times New Roman" w:eastAsia="Times New Roman" w:hAnsi="Times New Roman" w:cs="Times New Roman"/>
                <w:color w:val="000000"/>
                <w:sz w:val="24"/>
                <w:szCs w:val="24"/>
                <w:lang w:eastAsia="en-GB"/>
              </w:rPr>
              <w:t> </w:t>
            </w:r>
          </w:p>
        </w:tc>
        <w:tc>
          <w:tcPr>
            <w:tcW w:w="1548" w:type="pct"/>
            <w:gridSpan w:val="2"/>
            <w:tcBorders>
              <w:top w:val="single" w:sz="4" w:space="0" w:color="auto"/>
            </w:tcBorders>
            <w:shd w:val="clear" w:color="auto" w:fill="auto"/>
            <w:noWrap/>
            <w:vAlign w:val="bottom"/>
            <w:hideMark/>
          </w:tcPr>
          <w:p w14:paraId="6789D124" w14:textId="77777777" w:rsidR="004E1124" w:rsidRPr="004C511E" w:rsidRDefault="004E1124" w:rsidP="00D11B6C">
            <w:pPr>
              <w:spacing w:after="0" w:line="240" w:lineRule="auto"/>
              <w:rPr>
                <w:rFonts w:ascii="Times New Roman" w:eastAsia="Times New Roman" w:hAnsi="Times New Roman" w:cs="Times New Roman"/>
                <w:i/>
                <w:iCs/>
                <w:color w:val="000000"/>
                <w:sz w:val="24"/>
                <w:szCs w:val="24"/>
                <w:lang w:eastAsia="en-GB"/>
              </w:rPr>
            </w:pPr>
            <w:r w:rsidRPr="004C511E">
              <w:rPr>
                <w:rFonts w:ascii="Times New Roman" w:eastAsia="Times New Roman" w:hAnsi="Times New Roman" w:cs="Times New Roman"/>
                <w:i/>
                <w:iCs/>
                <w:color w:val="000000"/>
                <w:sz w:val="24"/>
                <w:szCs w:val="24"/>
                <w:lang w:eastAsia="en-GB"/>
              </w:rPr>
              <w:t>(1)</w:t>
            </w:r>
          </w:p>
        </w:tc>
        <w:tc>
          <w:tcPr>
            <w:tcW w:w="1453" w:type="pct"/>
            <w:gridSpan w:val="3"/>
            <w:tcBorders>
              <w:top w:val="single" w:sz="4" w:space="0" w:color="auto"/>
            </w:tcBorders>
            <w:shd w:val="clear" w:color="auto" w:fill="auto"/>
            <w:noWrap/>
            <w:vAlign w:val="bottom"/>
            <w:hideMark/>
          </w:tcPr>
          <w:p w14:paraId="2D29508F" w14:textId="77777777" w:rsidR="004E1124" w:rsidRPr="004C511E" w:rsidRDefault="004E1124" w:rsidP="00D11B6C">
            <w:pPr>
              <w:spacing w:after="0" w:line="240" w:lineRule="auto"/>
              <w:rPr>
                <w:rFonts w:ascii="Times New Roman" w:eastAsia="Times New Roman" w:hAnsi="Times New Roman" w:cs="Times New Roman"/>
                <w:i/>
                <w:iCs/>
                <w:color w:val="000000"/>
                <w:sz w:val="24"/>
                <w:szCs w:val="24"/>
                <w:lang w:eastAsia="en-GB"/>
              </w:rPr>
            </w:pPr>
            <w:r w:rsidRPr="004C511E">
              <w:rPr>
                <w:rFonts w:ascii="Times New Roman" w:eastAsia="Times New Roman" w:hAnsi="Times New Roman" w:cs="Times New Roman"/>
                <w:i/>
                <w:iCs/>
                <w:color w:val="000000"/>
                <w:sz w:val="24"/>
                <w:szCs w:val="24"/>
                <w:lang w:eastAsia="en-GB"/>
              </w:rPr>
              <w:t>(2)</w:t>
            </w:r>
          </w:p>
        </w:tc>
      </w:tr>
      <w:tr w:rsidR="004E1124" w:rsidRPr="004C511E" w14:paraId="38C9FED0" w14:textId="77777777" w:rsidTr="004A7A5F">
        <w:tblPrEx>
          <w:jc w:val="left"/>
          <w:tblBorders>
            <w:top w:val="none" w:sz="0" w:space="0" w:color="auto"/>
            <w:bottom w:val="none" w:sz="0" w:space="0" w:color="auto"/>
          </w:tblBorders>
        </w:tblPrEx>
        <w:trPr>
          <w:trHeight w:val="274"/>
        </w:trPr>
        <w:tc>
          <w:tcPr>
            <w:tcW w:w="1999" w:type="pct"/>
            <w:tcBorders>
              <w:bottom w:val="single" w:sz="4" w:space="0" w:color="auto"/>
            </w:tcBorders>
            <w:shd w:val="clear" w:color="auto" w:fill="auto"/>
            <w:noWrap/>
            <w:vAlign w:val="bottom"/>
            <w:hideMark/>
          </w:tcPr>
          <w:p w14:paraId="3069CBEC" w14:textId="77777777" w:rsidR="004E1124" w:rsidRPr="004C511E" w:rsidRDefault="004E1124" w:rsidP="00D11B6C">
            <w:pPr>
              <w:spacing w:after="0" w:line="240" w:lineRule="auto"/>
              <w:jc w:val="right"/>
              <w:rPr>
                <w:rFonts w:ascii="Times New Roman" w:eastAsia="Times New Roman" w:hAnsi="Times New Roman" w:cs="Times New Roman"/>
                <w:i/>
                <w:iCs/>
                <w:color w:val="000000"/>
                <w:sz w:val="24"/>
                <w:szCs w:val="24"/>
                <w:lang w:eastAsia="en-GB"/>
              </w:rPr>
            </w:pPr>
          </w:p>
        </w:tc>
        <w:tc>
          <w:tcPr>
            <w:tcW w:w="1548" w:type="pct"/>
            <w:gridSpan w:val="2"/>
            <w:tcBorders>
              <w:bottom w:val="single" w:sz="4" w:space="0" w:color="auto"/>
            </w:tcBorders>
            <w:shd w:val="clear" w:color="auto" w:fill="auto"/>
            <w:noWrap/>
            <w:vAlign w:val="bottom"/>
            <w:hideMark/>
          </w:tcPr>
          <w:p w14:paraId="65C0E257" w14:textId="77777777" w:rsidR="004E1124" w:rsidRPr="004C511E" w:rsidRDefault="004E1124" w:rsidP="00D11B6C">
            <w:pPr>
              <w:spacing w:after="0" w:line="240" w:lineRule="auto"/>
              <w:rPr>
                <w:rFonts w:ascii="Times New Roman" w:eastAsia="Times New Roman" w:hAnsi="Times New Roman" w:cs="Times New Roman"/>
                <w:i/>
                <w:iCs/>
                <w:color w:val="000000"/>
                <w:sz w:val="24"/>
                <w:szCs w:val="24"/>
                <w:lang w:eastAsia="en-GB"/>
              </w:rPr>
            </w:pPr>
            <w:r w:rsidRPr="004C511E">
              <w:rPr>
                <w:rFonts w:ascii="Times New Roman" w:eastAsia="Times New Roman" w:hAnsi="Times New Roman" w:cs="Times New Roman"/>
                <w:i/>
                <w:iCs/>
                <w:color w:val="000000"/>
                <w:sz w:val="24"/>
                <w:szCs w:val="24"/>
                <w:lang w:eastAsia="en-GB"/>
              </w:rPr>
              <w:t>ln(Violations)</w:t>
            </w:r>
          </w:p>
        </w:tc>
        <w:tc>
          <w:tcPr>
            <w:tcW w:w="1453" w:type="pct"/>
            <w:gridSpan w:val="3"/>
            <w:tcBorders>
              <w:bottom w:val="single" w:sz="4" w:space="0" w:color="auto"/>
            </w:tcBorders>
            <w:shd w:val="clear" w:color="auto" w:fill="auto"/>
            <w:noWrap/>
            <w:vAlign w:val="bottom"/>
            <w:hideMark/>
          </w:tcPr>
          <w:p w14:paraId="33B819FE" w14:textId="77777777" w:rsidR="004E1124" w:rsidRPr="004C511E" w:rsidRDefault="004E1124" w:rsidP="00D11B6C">
            <w:pPr>
              <w:spacing w:after="0" w:line="240" w:lineRule="auto"/>
              <w:rPr>
                <w:rFonts w:ascii="Times New Roman" w:eastAsia="Times New Roman" w:hAnsi="Times New Roman" w:cs="Times New Roman"/>
                <w:i/>
                <w:iCs/>
                <w:color w:val="000000"/>
                <w:sz w:val="24"/>
                <w:szCs w:val="24"/>
                <w:lang w:eastAsia="en-GB"/>
              </w:rPr>
            </w:pPr>
            <w:r w:rsidRPr="004C511E">
              <w:rPr>
                <w:rFonts w:ascii="Times New Roman" w:eastAsia="Times New Roman" w:hAnsi="Times New Roman" w:cs="Times New Roman"/>
                <w:i/>
                <w:iCs/>
                <w:color w:val="000000"/>
                <w:sz w:val="24"/>
                <w:szCs w:val="24"/>
                <w:lang w:eastAsia="en-GB"/>
              </w:rPr>
              <w:t>ln(Penalties)</w:t>
            </w:r>
          </w:p>
        </w:tc>
      </w:tr>
      <w:tr w:rsidR="00625D53" w:rsidRPr="004C511E" w14:paraId="527EE2E6" w14:textId="77777777" w:rsidTr="004A7A5F">
        <w:tblPrEx>
          <w:jc w:val="left"/>
          <w:tblBorders>
            <w:top w:val="none" w:sz="0" w:space="0" w:color="auto"/>
            <w:bottom w:val="none" w:sz="0" w:space="0" w:color="auto"/>
          </w:tblBorders>
        </w:tblPrEx>
        <w:trPr>
          <w:trHeight w:val="300"/>
        </w:trPr>
        <w:tc>
          <w:tcPr>
            <w:tcW w:w="1999" w:type="pct"/>
            <w:tcBorders>
              <w:top w:val="single" w:sz="4" w:space="0" w:color="auto"/>
              <w:left w:val="nil"/>
              <w:bottom w:val="nil"/>
              <w:right w:val="nil"/>
            </w:tcBorders>
            <w:shd w:val="clear" w:color="auto" w:fill="auto"/>
            <w:noWrap/>
            <w:vAlign w:val="bottom"/>
            <w:hideMark/>
          </w:tcPr>
          <w:p w14:paraId="38414DBA"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r w:rsidRPr="004C511E">
              <w:rPr>
                <w:rFonts w:ascii="Times New Roman" w:eastAsia="Times New Roman" w:hAnsi="Times New Roman" w:cs="Times New Roman"/>
                <w:i/>
                <w:iCs/>
                <w:color w:val="000000"/>
                <w:sz w:val="24"/>
                <w:szCs w:val="24"/>
                <w:lang w:eastAsia="en-GB"/>
              </w:rPr>
              <w:t>Vega</w:t>
            </w:r>
          </w:p>
        </w:tc>
        <w:tc>
          <w:tcPr>
            <w:tcW w:w="1548" w:type="pct"/>
            <w:gridSpan w:val="2"/>
            <w:tcBorders>
              <w:top w:val="single" w:sz="4" w:space="0" w:color="auto"/>
              <w:left w:val="nil"/>
              <w:bottom w:val="nil"/>
              <w:right w:val="nil"/>
            </w:tcBorders>
            <w:shd w:val="clear" w:color="auto" w:fill="auto"/>
            <w:noWrap/>
            <w:vAlign w:val="bottom"/>
            <w:hideMark/>
          </w:tcPr>
          <w:p w14:paraId="3C4F9C15" w14:textId="22B61E04"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0.003</w:t>
            </w:r>
          </w:p>
        </w:tc>
        <w:tc>
          <w:tcPr>
            <w:tcW w:w="1453" w:type="pct"/>
            <w:gridSpan w:val="3"/>
            <w:tcBorders>
              <w:top w:val="single" w:sz="4" w:space="0" w:color="auto"/>
              <w:left w:val="nil"/>
              <w:bottom w:val="nil"/>
              <w:right w:val="nil"/>
            </w:tcBorders>
            <w:shd w:val="clear" w:color="auto" w:fill="auto"/>
            <w:noWrap/>
            <w:vAlign w:val="bottom"/>
            <w:hideMark/>
          </w:tcPr>
          <w:p w14:paraId="55239E5B" w14:textId="04392F0B"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0.017</w:t>
            </w:r>
          </w:p>
        </w:tc>
      </w:tr>
      <w:tr w:rsidR="00625D53" w:rsidRPr="004C511E" w14:paraId="66F61678"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68D36339"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p>
        </w:tc>
        <w:tc>
          <w:tcPr>
            <w:tcW w:w="1548" w:type="pct"/>
            <w:gridSpan w:val="2"/>
            <w:tcBorders>
              <w:top w:val="nil"/>
              <w:left w:val="nil"/>
              <w:bottom w:val="nil"/>
              <w:right w:val="nil"/>
            </w:tcBorders>
            <w:shd w:val="clear" w:color="auto" w:fill="auto"/>
            <w:noWrap/>
            <w:vAlign w:val="bottom"/>
            <w:hideMark/>
          </w:tcPr>
          <w:p w14:paraId="10928177" w14:textId="2B71A0A1"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(0.80)</w:t>
            </w:r>
          </w:p>
        </w:tc>
        <w:tc>
          <w:tcPr>
            <w:tcW w:w="1453" w:type="pct"/>
            <w:gridSpan w:val="3"/>
            <w:tcBorders>
              <w:top w:val="nil"/>
              <w:left w:val="nil"/>
              <w:bottom w:val="nil"/>
              <w:right w:val="nil"/>
            </w:tcBorders>
            <w:shd w:val="clear" w:color="auto" w:fill="auto"/>
            <w:noWrap/>
            <w:vAlign w:val="bottom"/>
            <w:hideMark/>
          </w:tcPr>
          <w:p w14:paraId="5F7D5A17" w14:textId="5143397C"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(0.40)</w:t>
            </w:r>
          </w:p>
        </w:tc>
      </w:tr>
      <w:tr w:rsidR="00625D53" w:rsidRPr="004C511E" w14:paraId="1B3F8713"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09C8EBF0" w14:textId="4E64C054"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proofErr w:type="spellStart"/>
            <w:r>
              <w:rPr>
                <w:rFonts w:ascii="Times New Roman" w:eastAsia="Times New Roman" w:hAnsi="Times New Roman" w:cs="Times New Roman"/>
                <w:i/>
                <w:iCs/>
                <w:color w:val="000000"/>
                <w:sz w:val="24"/>
                <w:szCs w:val="24"/>
                <w:lang w:eastAsia="en-GB"/>
              </w:rPr>
              <w:t>ProdperEmp</w:t>
            </w:r>
            <w:proofErr w:type="spellEnd"/>
          </w:p>
        </w:tc>
        <w:tc>
          <w:tcPr>
            <w:tcW w:w="1548" w:type="pct"/>
            <w:gridSpan w:val="2"/>
            <w:tcBorders>
              <w:top w:val="nil"/>
              <w:left w:val="nil"/>
              <w:bottom w:val="nil"/>
              <w:right w:val="nil"/>
            </w:tcBorders>
            <w:shd w:val="clear" w:color="auto" w:fill="auto"/>
            <w:noWrap/>
            <w:vAlign w:val="bottom"/>
            <w:hideMark/>
          </w:tcPr>
          <w:p w14:paraId="7C1010B4" w14:textId="15B38E2D"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-0.042</w:t>
            </w:r>
          </w:p>
        </w:tc>
        <w:tc>
          <w:tcPr>
            <w:tcW w:w="1453" w:type="pct"/>
            <w:gridSpan w:val="3"/>
            <w:tcBorders>
              <w:top w:val="nil"/>
              <w:left w:val="nil"/>
              <w:bottom w:val="nil"/>
              <w:right w:val="nil"/>
            </w:tcBorders>
            <w:shd w:val="clear" w:color="auto" w:fill="auto"/>
            <w:noWrap/>
            <w:vAlign w:val="bottom"/>
            <w:hideMark/>
          </w:tcPr>
          <w:p w14:paraId="0F5DC447" w14:textId="5EF2C569"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-0.576**</w:t>
            </w:r>
          </w:p>
        </w:tc>
      </w:tr>
      <w:tr w:rsidR="00625D53" w:rsidRPr="004C511E" w14:paraId="0031883E"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6F2DAEFA"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p>
        </w:tc>
        <w:tc>
          <w:tcPr>
            <w:tcW w:w="1548" w:type="pct"/>
            <w:gridSpan w:val="2"/>
            <w:tcBorders>
              <w:top w:val="nil"/>
              <w:left w:val="nil"/>
              <w:bottom w:val="nil"/>
              <w:right w:val="nil"/>
            </w:tcBorders>
            <w:shd w:val="clear" w:color="auto" w:fill="auto"/>
            <w:noWrap/>
            <w:vAlign w:val="bottom"/>
            <w:hideMark/>
          </w:tcPr>
          <w:p w14:paraId="469EAD2C" w14:textId="77DCCAE7"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(-1.58)</w:t>
            </w:r>
          </w:p>
        </w:tc>
        <w:tc>
          <w:tcPr>
            <w:tcW w:w="1453" w:type="pct"/>
            <w:gridSpan w:val="3"/>
            <w:tcBorders>
              <w:top w:val="nil"/>
              <w:left w:val="nil"/>
              <w:bottom w:val="nil"/>
              <w:right w:val="nil"/>
            </w:tcBorders>
            <w:shd w:val="clear" w:color="auto" w:fill="auto"/>
            <w:noWrap/>
            <w:vAlign w:val="bottom"/>
            <w:hideMark/>
          </w:tcPr>
          <w:p w14:paraId="506650AB" w14:textId="5F1DC4B7"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(-2.48)</w:t>
            </w:r>
          </w:p>
        </w:tc>
      </w:tr>
      <w:tr w:rsidR="00625D53" w:rsidRPr="004C511E" w14:paraId="6ABC1C34"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D0CECE" w:themeFill="background2" w:themeFillShade="E6"/>
            <w:noWrap/>
            <w:vAlign w:val="bottom"/>
            <w:hideMark/>
          </w:tcPr>
          <w:p w14:paraId="07445704" w14:textId="0F6C2E7E"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r w:rsidRPr="004C511E">
              <w:rPr>
                <w:rFonts w:ascii="Times New Roman" w:eastAsia="Times New Roman" w:hAnsi="Times New Roman" w:cs="Times New Roman"/>
                <w:i/>
                <w:iCs/>
                <w:color w:val="000000"/>
                <w:sz w:val="24"/>
                <w:szCs w:val="24"/>
                <w:lang w:eastAsia="en-GB"/>
              </w:rPr>
              <w:t>Vega*</w:t>
            </w:r>
            <w:proofErr w:type="spellStart"/>
            <w:r>
              <w:rPr>
                <w:rFonts w:ascii="Times New Roman" w:eastAsia="Times New Roman" w:hAnsi="Times New Roman" w:cs="Times New Roman"/>
                <w:i/>
                <w:iCs/>
                <w:color w:val="000000"/>
                <w:sz w:val="24"/>
                <w:szCs w:val="24"/>
                <w:lang w:eastAsia="en-GB"/>
              </w:rPr>
              <w:t>ProdperEmp</w:t>
            </w:r>
            <w:proofErr w:type="spellEnd"/>
          </w:p>
        </w:tc>
        <w:tc>
          <w:tcPr>
            <w:tcW w:w="1548" w:type="pct"/>
            <w:gridSpan w:val="2"/>
            <w:tcBorders>
              <w:top w:val="nil"/>
              <w:left w:val="nil"/>
              <w:bottom w:val="nil"/>
              <w:right w:val="nil"/>
            </w:tcBorders>
            <w:shd w:val="clear" w:color="auto" w:fill="D0CECE" w:themeFill="background2" w:themeFillShade="E6"/>
            <w:noWrap/>
            <w:vAlign w:val="bottom"/>
            <w:hideMark/>
          </w:tcPr>
          <w:p w14:paraId="63CAF989" w14:textId="5A678879"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0.013**</w:t>
            </w:r>
          </w:p>
        </w:tc>
        <w:tc>
          <w:tcPr>
            <w:tcW w:w="1453" w:type="pct"/>
            <w:gridSpan w:val="3"/>
            <w:tcBorders>
              <w:top w:val="nil"/>
              <w:left w:val="nil"/>
              <w:bottom w:val="nil"/>
              <w:right w:val="nil"/>
            </w:tcBorders>
            <w:shd w:val="clear" w:color="auto" w:fill="D0CECE" w:themeFill="background2" w:themeFillShade="E6"/>
            <w:noWrap/>
            <w:vAlign w:val="bottom"/>
            <w:hideMark/>
          </w:tcPr>
          <w:p w14:paraId="7CD3F71D" w14:textId="72E74931"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0.152***</w:t>
            </w:r>
          </w:p>
        </w:tc>
      </w:tr>
      <w:tr w:rsidR="00625D53" w:rsidRPr="004C511E" w14:paraId="6AF087B1"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D0CECE" w:themeFill="background2" w:themeFillShade="E6"/>
            <w:noWrap/>
            <w:vAlign w:val="bottom"/>
            <w:hideMark/>
          </w:tcPr>
          <w:p w14:paraId="4D92DCB8"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p>
        </w:tc>
        <w:tc>
          <w:tcPr>
            <w:tcW w:w="1548" w:type="pct"/>
            <w:gridSpan w:val="2"/>
            <w:tcBorders>
              <w:top w:val="nil"/>
              <w:left w:val="nil"/>
              <w:bottom w:val="nil"/>
              <w:right w:val="nil"/>
            </w:tcBorders>
            <w:shd w:val="clear" w:color="auto" w:fill="D0CECE" w:themeFill="background2" w:themeFillShade="E6"/>
            <w:noWrap/>
            <w:vAlign w:val="bottom"/>
            <w:hideMark/>
          </w:tcPr>
          <w:p w14:paraId="162A52EB" w14:textId="626C2A3C"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(2.07)</w:t>
            </w:r>
          </w:p>
        </w:tc>
        <w:tc>
          <w:tcPr>
            <w:tcW w:w="1453" w:type="pct"/>
            <w:gridSpan w:val="3"/>
            <w:tcBorders>
              <w:top w:val="nil"/>
              <w:left w:val="nil"/>
              <w:bottom w:val="nil"/>
              <w:right w:val="nil"/>
            </w:tcBorders>
            <w:shd w:val="clear" w:color="auto" w:fill="D0CECE" w:themeFill="background2" w:themeFillShade="E6"/>
            <w:noWrap/>
            <w:vAlign w:val="bottom"/>
            <w:hideMark/>
          </w:tcPr>
          <w:p w14:paraId="70BBAD34" w14:textId="29D31E08"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(2.91)</w:t>
            </w:r>
          </w:p>
        </w:tc>
      </w:tr>
      <w:tr w:rsidR="00625D53" w:rsidRPr="004C511E" w14:paraId="2DF77F56"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28928F68"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r w:rsidRPr="004C511E">
              <w:rPr>
                <w:rFonts w:ascii="Times New Roman" w:eastAsia="Times New Roman" w:hAnsi="Times New Roman" w:cs="Times New Roman"/>
                <w:i/>
                <w:iCs/>
                <w:color w:val="000000"/>
                <w:sz w:val="24"/>
                <w:szCs w:val="24"/>
                <w:lang w:eastAsia="en-GB"/>
              </w:rPr>
              <w:t>Delta</w:t>
            </w:r>
          </w:p>
        </w:tc>
        <w:tc>
          <w:tcPr>
            <w:tcW w:w="1548" w:type="pct"/>
            <w:gridSpan w:val="2"/>
            <w:tcBorders>
              <w:top w:val="nil"/>
              <w:left w:val="nil"/>
              <w:bottom w:val="nil"/>
              <w:right w:val="nil"/>
            </w:tcBorders>
            <w:shd w:val="clear" w:color="auto" w:fill="auto"/>
            <w:noWrap/>
            <w:vAlign w:val="bottom"/>
            <w:hideMark/>
          </w:tcPr>
          <w:p w14:paraId="1994573C" w14:textId="1A00060E"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-0.003</w:t>
            </w:r>
          </w:p>
        </w:tc>
        <w:tc>
          <w:tcPr>
            <w:tcW w:w="1453" w:type="pct"/>
            <w:gridSpan w:val="3"/>
            <w:tcBorders>
              <w:top w:val="nil"/>
              <w:left w:val="nil"/>
              <w:bottom w:val="nil"/>
              <w:right w:val="nil"/>
            </w:tcBorders>
            <w:shd w:val="clear" w:color="auto" w:fill="auto"/>
            <w:noWrap/>
            <w:vAlign w:val="bottom"/>
            <w:hideMark/>
          </w:tcPr>
          <w:p w14:paraId="6AE35317" w14:textId="0AEC9019"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-0.030</w:t>
            </w:r>
          </w:p>
        </w:tc>
      </w:tr>
      <w:tr w:rsidR="00625D53" w:rsidRPr="004C511E" w14:paraId="1B071280"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0ADCC1F7"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p>
        </w:tc>
        <w:tc>
          <w:tcPr>
            <w:tcW w:w="1548" w:type="pct"/>
            <w:gridSpan w:val="2"/>
            <w:tcBorders>
              <w:top w:val="nil"/>
              <w:left w:val="nil"/>
              <w:bottom w:val="nil"/>
              <w:right w:val="nil"/>
            </w:tcBorders>
            <w:shd w:val="clear" w:color="auto" w:fill="auto"/>
            <w:noWrap/>
            <w:vAlign w:val="bottom"/>
            <w:hideMark/>
          </w:tcPr>
          <w:p w14:paraId="5209CB4A" w14:textId="0D95BCC9"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(-0.63)</w:t>
            </w:r>
          </w:p>
        </w:tc>
        <w:tc>
          <w:tcPr>
            <w:tcW w:w="1453" w:type="pct"/>
            <w:gridSpan w:val="3"/>
            <w:tcBorders>
              <w:top w:val="nil"/>
              <w:left w:val="nil"/>
              <w:bottom w:val="nil"/>
              <w:right w:val="nil"/>
            </w:tcBorders>
            <w:shd w:val="clear" w:color="auto" w:fill="auto"/>
            <w:noWrap/>
            <w:vAlign w:val="bottom"/>
            <w:hideMark/>
          </w:tcPr>
          <w:p w14:paraId="5CC8B650" w14:textId="4F679D9C"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(-0.57)</w:t>
            </w:r>
          </w:p>
        </w:tc>
      </w:tr>
      <w:tr w:rsidR="00625D53" w:rsidRPr="004C511E" w14:paraId="70177F0A"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795D8081"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proofErr w:type="spellStart"/>
            <w:r w:rsidRPr="004C511E">
              <w:rPr>
                <w:rFonts w:ascii="Times New Roman" w:eastAsia="Times New Roman" w:hAnsi="Times New Roman" w:cs="Times New Roman"/>
                <w:i/>
                <w:iCs/>
                <w:color w:val="000000"/>
                <w:sz w:val="24"/>
                <w:szCs w:val="24"/>
                <w:lang w:eastAsia="en-GB"/>
              </w:rPr>
              <w:t>CashComp</w:t>
            </w:r>
            <w:proofErr w:type="spellEnd"/>
          </w:p>
        </w:tc>
        <w:tc>
          <w:tcPr>
            <w:tcW w:w="1548" w:type="pct"/>
            <w:gridSpan w:val="2"/>
            <w:tcBorders>
              <w:top w:val="nil"/>
              <w:left w:val="nil"/>
              <w:bottom w:val="nil"/>
              <w:right w:val="nil"/>
            </w:tcBorders>
            <w:shd w:val="clear" w:color="auto" w:fill="auto"/>
            <w:noWrap/>
            <w:vAlign w:val="bottom"/>
            <w:hideMark/>
          </w:tcPr>
          <w:p w14:paraId="1317C40F" w14:textId="53175F87"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-0.008</w:t>
            </w:r>
          </w:p>
        </w:tc>
        <w:tc>
          <w:tcPr>
            <w:tcW w:w="1453" w:type="pct"/>
            <w:gridSpan w:val="3"/>
            <w:tcBorders>
              <w:top w:val="nil"/>
              <w:left w:val="nil"/>
              <w:bottom w:val="nil"/>
              <w:right w:val="nil"/>
            </w:tcBorders>
            <w:shd w:val="clear" w:color="auto" w:fill="auto"/>
            <w:noWrap/>
            <w:vAlign w:val="bottom"/>
            <w:hideMark/>
          </w:tcPr>
          <w:p w14:paraId="11C93C35" w14:textId="3F11E5FD"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-0.037</w:t>
            </w:r>
          </w:p>
        </w:tc>
      </w:tr>
      <w:tr w:rsidR="00625D53" w:rsidRPr="004C511E" w14:paraId="6EF9ADBB"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50718EE7"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p>
        </w:tc>
        <w:tc>
          <w:tcPr>
            <w:tcW w:w="1548" w:type="pct"/>
            <w:gridSpan w:val="2"/>
            <w:tcBorders>
              <w:top w:val="nil"/>
              <w:left w:val="nil"/>
              <w:bottom w:val="nil"/>
              <w:right w:val="nil"/>
            </w:tcBorders>
            <w:shd w:val="clear" w:color="auto" w:fill="auto"/>
            <w:noWrap/>
            <w:vAlign w:val="bottom"/>
            <w:hideMark/>
          </w:tcPr>
          <w:p w14:paraId="2F841FE4" w14:textId="1BBE5A85"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(-1.06)</w:t>
            </w:r>
          </w:p>
        </w:tc>
        <w:tc>
          <w:tcPr>
            <w:tcW w:w="1453" w:type="pct"/>
            <w:gridSpan w:val="3"/>
            <w:tcBorders>
              <w:top w:val="nil"/>
              <w:left w:val="nil"/>
              <w:bottom w:val="nil"/>
              <w:right w:val="nil"/>
            </w:tcBorders>
            <w:shd w:val="clear" w:color="auto" w:fill="auto"/>
            <w:noWrap/>
            <w:vAlign w:val="bottom"/>
            <w:hideMark/>
          </w:tcPr>
          <w:p w14:paraId="7AC83DD9" w14:textId="462E34C5"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(-0.49)</w:t>
            </w:r>
          </w:p>
        </w:tc>
      </w:tr>
      <w:tr w:rsidR="00625D53" w:rsidRPr="004C511E" w14:paraId="23E33F89"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7B8AE188"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r w:rsidRPr="004C511E">
              <w:rPr>
                <w:rFonts w:ascii="Times New Roman" w:eastAsia="Times New Roman" w:hAnsi="Times New Roman" w:cs="Times New Roman"/>
                <w:i/>
                <w:iCs/>
                <w:color w:val="000000"/>
                <w:sz w:val="24"/>
                <w:szCs w:val="24"/>
                <w:lang w:eastAsia="en-GB"/>
              </w:rPr>
              <w:t>Leverage</w:t>
            </w:r>
          </w:p>
        </w:tc>
        <w:tc>
          <w:tcPr>
            <w:tcW w:w="1548" w:type="pct"/>
            <w:gridSpan w:val="2"/>
            <w:tcBorders>
              <w:top w:val="nil"/>
              <w:left w:val="nil"/>
              <w:bottom w:val="nil"/>
              <w:right w:val="nil"/>
            </w:tcBorders>
            <w:shd w:val="clear" w:color="auto" w:fill="auto"/>
            <w:noWrap/>
            <w:vAlign w:val="bottom"/>
            <w:hideMark/>
          </w:tcPr>
          <w:p w14:paraId="19FB0F53" w14:textId="463A3EF8"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0.024</w:t>
            </w:r>
          </w:p>
        </w:tc>
        <w:tc>
          <w:tcPr>
            <w:tcW w:w="1453" w:type="pct"/>
            <w:gridSpan w:val="3"/>
            <w:tcBorders>
              <w:top w:val="nil"/>
              <w:left w:val="nil"/>
              <w:bottom w:val="nil"/>
              <w:right w:val="nil"/>
            </w:tcBorders>
            <w:shd w:val="clear" w:color="auto" w:fill="auto"/>
            <w:noWrap/>
            <w:vAlign w:val="bottom"/>
            <w:hideMark/>
          </w:tcPr>
          <w:p w14:paraId="4F87B2CD" w14:textId="50BB4B90"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0.172</w:t>
            </w:r>
          </w:p>
        </w:tc>
      </w:tr>
      <w:tr w:rsidR="00625D53" w:rsidRPr="004C511E" w14:paraId="2920E8E1"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6009352C"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p>
        </w:tc>
        <w:tc>
          <w:tcPr>
            <w:tcW w:w="1548" w:type="pct"/>
            <w:gridSpan w:val="2"/>
            <w:tcBorders>
              <w:top w:val="nil"/>
              <w:left w:val="nil"/>
              <w:bottom w:val="nil"/>
              <w:right w:val="nil"/>
            </w:tcBorders>
            <w:shd w:val="clear" w:color="auto" w:fill="auto"/>
            <w:noWrap/>
            <w:vAlign w:val="bottom"/>
            <w:hideMark/>
          </w:tcPr>
          <w:p w14:paraId="5C49C0FC" w14:textId="30195111"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(1.17)</w:t>
            </w:r>
          </w:p>
        </w:tc>
        <w:tc>
          <w:tcPr>
            <w:tcW w:w="1453" w:type="pct"/>
            <w:gridSpan w:val="3"/>
            <w:tcBorders>
              <w:top w:val="nil"/>
              <w:left w:val="nil"/>
              <w:bottom w:val="nil"/>
              <w:right w:val="nil"/>
            </w:tcBorders>
            <w:shd w:val="clear" w:color="auto" w:fill="auto"/>
            <w:noWrap/>
            <w:vAlign w:val="bottom"/>
            <w:hideMark/>
          </w:tcPr>
          <w:p w14:paraId="147D61E2" w14:textId="1B579F0F"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(0.80)</w:t>
            </w:r>
          </w:p>
        </w:tc>
      </w:tr>
      <w:tr w:rsidR="00625D53" w:rsidRPr="004C511E" w14:paraId="7A41CC0A"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6E92C80B"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proofErr w:type="spellStart"/>
            <w:r w:rsidRPr="004C511E">
              <w:rPr>
                <w:rFonts w:ascii="Times New Roman" w:eastAsia="Times New Roman" w:hAnsi="Times New Roman" w:cs="Times New Roman"/>
                <w:i/>
                <w:iCs/>
                <w:color w:val="000000"/>
                <w:sz w:val="24"/>
                <w:szCs w:val="24"/>
                <w:lang w:eastAsia="en-GB"/>
              </w:rPr>
              <w:t>CashFlow</w:t>
            </w:r>
            <w:proofErr w:type="spellEnd"/>
          </w:p>
        </w:tc>
        <w:tc>
          <w:tcPr>
            <w:tcW w:w="1548" w:type="pct"/>
            <w:gridSpan w:val="2"/>
            <w:tcBorders>
              <w:top w:val="nil"/>
              <w:left w:val="nil"/>
              <w:bottom w:val="nil"/>
              <w:right w:val="nil"/>
            </w:tcBorders>
            <w:shd w:val="clear" w:color="auto" w:fill="auto"/>
            <w:noWrap/>
            <w:vAlign w:val="bottom"/>
            <w:hideMark/>
          </w:tcPr>
          <w:p w14:paraId="101132B4" w14:textId="74EC2666"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-0.011</w:t>
            </w:r>
          </w:p>
        </w:tc>
        <w:tc>
          <w:tcPr>
            <w:tcW w:w="1453" w:type="pct"/>
            <w:gridSpan w:val="3"/>
            <w:tcBorders>
              <w:top w:val="nil"/>
              <w:left w:val="nil"/>
              <w:bottom w:val="nil"/>
              <w:right w:val="nil"/>
            </w:tcBorders>
            <w:shd w:val="clear" w:color="auto" w:fill="auto"/>
            <w:noWrap/>
            <w:vAlign w:val="bottom"/>
            <w:hideMark/>
          </w:tcPr>
          <w:p w14:paraId="7ED2DBA9" w14:textId="25971D24"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-0.100</w:t>
            </w:r>
          </w:p>
        </w:tc>
      </w:tr>
      <w:tr w:rsidR="00625D53" w:rsidRPr="004C511E" w14:paraId="13ABACD7"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493DA055"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p>
        </w:tc>
        <w:tc>
          <w:tcPr>
            <w:tcW w:w="1548" w:type="pct"/>
            <w:gridSpan w:val="2"/>
            <w:tcBorders>
              <w:top w:val="nil"/>
              <w:left w:val="nil"/>
              <w:bottom w:val="nil"/>
              <w:right w:val="nil"/>
            </w:tcBorders>
            <w:shd w:val="clear" w:color="auto" w:fill="auto"/>
            <w:noWrap/>
            <w:vAlign w:val="bottom"/>
            <w:hideMark/>
          </w:tcPr>
          <w:p w14:paraId="5C3CAABA" w14:textId="5A199650"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(-0.96)</w:t>
            </w:r>
          </w:p>
        </w:tc>
        <w:tc>
          <w:tcPr>
            <w:tcW w:w="1453" w:type="pct"/>
            <w:gridSpan w:val="3"/>
            <w:tcBorders>
              <w:top w:val="nil"/>
              <w:left w:val="nil"/>
              <w:bottom w:val="nil"/>
              <w:right w:val="nil"/>
            </w:tcBorders>
            <w:shd w:val="clear" w:color="auto" w:fill="auto"/>
            <w:noWrap/>
            <w:vAlign w:val="bottom"/>
            <w:hideMark/>
          </w:tcPr>
          <w:p w14:paraId="1E6E9736" w14:textId="316BB575"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(-0.69)</w:t>
            </w:r>
          </w:p>
        </w:tc>
      </w:tr>
      <w:tr w:rsidR="00625D53" w:rsidRPr="004C511E" w14:paraId="22D64781"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3C126CC0"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proofErr w:type="spellStart"/>
            <w:r w:rsidRPr="004C511E">
              <w:rPr>
                <w:rFonts w:ascii="Times New Roman" w:eastAsia="Times New Roman" w:hAnsi="Times New Roman" w:cs="Times New Roman"/>
                <w:i/>
                <w:iCs/>
                <w:color w:val="000000"/>
                <w:sz w:val="24"/>
                <w:szCs w:val="24"/>
                <w:lang w:eastAsia="en-GB"/>
              </w:rPr>
              <w:t>DividendPayout</w:t>
            </w:r>
            <w:proofErr w:type="spellEnd"/>
          </w:p>
        </w:tc>
        <w:tc>
          <w:tcPr>
            <w:tcW w:w="1548" w:type="pct"/>
            <w:gridSpan w:val="2"/>
            <w:tcBorders>
              <w:top w:val="nil"/>
              <w:left w:val="nil"/>
              <w:bottom w:val="nil"/>
              <w:right w:val="nil"/>
            </w:tcBorders>
            <w:shd w:val="clear" w:color="auto" w:fill="auto"/>
            <w:noWrap/>
            <w:vAlign w:val="bottom"/>
            <w:hideMark/>
          </w:tcPr>
          <w:p w14:paraId="29E2E7E1" w14:textId="54A55B5B"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-0.002</w:t>
            </w:r>
          </w:p>
        </w:tc>
        <w:tc>
          <w:tcPr>
            <w:tcW w:w="1453" w:type="pct"/>
            <w:gridSpan w:val="3"/>
            <w:tcBorders>
              <w:top w:val="nil"/>
              <w:left w:val="nil"/>
              <w:bottom w:val="nil"/>
              <w:right w:val="nil"/>
            </w:tcBorders>
            <w:shd w:val="clear" w:color="auto" w:fill="auto"/>
            <w:noWrap/>
            <w:vAlign w:val="bottom"/>
            <w:hideMark/>
          </w:tcPr>
          <w:p w14:paraId="00E66C52" w14:textId="52A1180F"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2.386</w:t>
            </w:r>
          </w:p>
        </w:tc>
      </w:tr>
      <w:tr w:rsidR="00625D53" w:rsidRPr="004C511E" w14:paraId="775BC180"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1181DECF"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p>
        </w:tc>
        <w:tc>
          <w:tcPr>
            <w:tcW w:w="1548" w:type="pct"/>
            <w:gridSpan w:val="2"/>
            <w:tcBorders>
              <w:top w:val="nil"/>
              <w:left w:val="nil"/>
              <w:bottom w:val="nil"/>
              <w:right w:val="nil"/>
            </w:tcBorders>
            <w:shd w:val="clear" w:color="auto" w:fill="auto"/>
            <w:noWrap/>
            <w:vAlign w:val="bottom"/>
            <w:hideMark/>
          </w:tcPr>
          <w:p w14:paraId="3E4D59FE" w14:textId="67B6D070"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(-0.01)</w:t>
            </w:r>
          </w:p>
        </w:tc>
        <w:tc>
          <w:tcPr>
            <w:tcW w:w="1453" w:type="pct"/>
            <w:gridSpan w:val="3"/>
            <w:tcBorders>
              <w:top w:val="nil"/>
              <w:left w:val="nil"/>
              <w:bottom w:val="nil"/>
              <w:right w:val="nil"/>
            </w:tcBorders>
            <w:shd w:val="clear" w:color="auto" w:fill="auto"/>
            <w:noWrap/>
            <w:vAlign w:val="bottom"/>
            <w:hideMark/>
          </w:tcPr>
          <w:p w14:paraId="38823C9A" w14:textId="71F30C3D"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(1.09)</w:t>
            </w:r>
          </w:p>
        </w:tc>
      </w:tr>
      <w:tr w:rsidR="00625D53" w:rsidRPr="004C511E" w14:paraId="0893EBB2"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161B3860"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proofErr w:type="spellStart"/>
            <w:r w:rsidRPr="004C511E">
              <w:rPr>
                <w:rFonts w:ascii="Times New Roman" w:eastAsia="Times New Roman" w:hAnsi="Times New Roman" w:cs="Times New Roman"/>
                <w:i/>
                <w:iCs/>
                <w:color w:val="000000"/>
                <w:sz w:val="24"/>
                <w:szCs w:val="24"/>
                <w:lang w:eastAsia="en-GB"/>
              </w:rPr>
              <w:t>FirmSize</w:t>
            </w:r>
            <w:proofErr w:type="spellEnd"/>
          </w:p>
        </w:tc>
        <w:tc>
          <w:tcPr>
            <w:tcW w:w="1548" w:type="pct"/>
            <w:gridSpan w:val="2"/>
            <w:tcBorders>
              <w:top w:val="nil"/>
              <w:left w:val="nil"/>
              <w:bottom w:val="nil"/>
              <w:right w:val="nil"/>
            </w:tcBorders>
            <w:shd w:val="clear" w:color="auto" w:fill="auto"/>
            <w:noWrap/>
            <w:vAlign w:val="bottom"/>
            <w:hideMark/>
          </w:tcPr>
          <w:p w14:paraId="2D4E6B81" w14:textId="1317F09C"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0.023***</w:t>
            </w:r>
          </w:p>
        </w:tc>
        <w:tc>
          <w:tcPr>
            <w:tcW w:w="1453" w:type="pct"/>
            <w:gridSpan w:val="3"/>
            <w:tcBorders>
              <w:top w:val="nil"/>
              <w:left w:val="nil"/>
              <w:bottom w:val="nil"/>
              <w:right w:val="nil"/>
            </w:tcBorders>
            <w:shd w:val="clear" w:color="auto" w:fill="auto"/>
            <w:noWrap/>
            <w:vAlign w:val="bottom"/>
            <w:hideMark/>
          </w:tcPr>
          <w:p w14:paraId="347F0948" w14:textId="0DB0C581"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0.181**</w:t>
            </w:r>
          </w:p>
        </w:tc>
      </w:tr>
      <w:tr w:rsidR="00625D53" w:rsidRPr="004C511E" w14:paraId="19D2692B"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2DC5CBA7"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p>
        </w:tc>
        <w:tc>
          <w:tcPr>
            <w:tcW w:w="1548" w:type="pct"/>
            <w:gridSpan w:val="2"/>
            <w:tcBorders>
              <w:top w:val="nil"/>
              <w:left w:val="nil"/>
              <w:bottom w:val="nil"/>
              <w:right w:val="nil"/>
            </w:tcBorders>
            <w:shd w:val="clear" w:color="auto" w:fill="auto"/>
            <w:noWrap/>
            <w:vAlign w:val="bottom"/>
            <w:hideMark/>
          </w:tcPr>
          <w:p w14:paraId="1822A428" w14:textId="737BCC86"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(3.14)</w:t>
            </w:r>
          </w:p>
        </w:tc>
        <w:tc>
          <w:tcPr>
            <w:tcW w:w="1453" w:type="pct"/>
            <w:gridSpan w:val="3"/>
            <w:tcBorders>
              <w:top w:val="nil"/>
              <w:left w:val="nil"/>
              <w:bottom w:val="nil"/>
              <w:right w:val="nil"/>
            </w:tcBorders>
            <w:shd w:val="clear" w:color="auto" w:fill="auto"/>
            <w:noWrap/>
            <w:vAlign w:val="bottom"/>
            <w:hideMark/>
          </w:tcPr>
          <w:p w14:paraId="040047E2" w14:textId="243F4855"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(2.51)</w:t>
            </w:r>
          </w:p>
        </w:tc>
      </w:tr>
      <w:tr w:rsidR="00625D53" w:rsidRPr="004C511E" w14:paraId="6E5EC584"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381955B6"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proofErr w:type="spellStart"/>
            <w:r w:rsidRPr="004C511E">
              <w:rPr>
                <w:rFonts w:ascii="Times New Roman" w:eastAsia="Times New Roman" w:hAnsi="Times New Roman" w:cs="Times New Roman"/>
                <w:i/>
                <w:iCs/>
                <w:color w:val="000000"/>
                <w:sz w:val="24"/>
                <w:szCs w:val="24"/>
                <w:lang w:eastAsia="en-GB"/>
              </w:rPr>
              <w:t>AssetTurnover</w:t>
            </w:r>
            <w:proofErr w:type="spellEnd"/>
          </w:p>
        </w:tc>
        <w:tc>
          <w:tcPr>
            <w:tcW w:w="1548" w:type="pct"/>
            <w:gridSpan w:val="2"/>
            <w:tcBorders>
              <w:top w:val="nil"/>
              <w:left w:val="nil"/>
              <w:bottom w:val="nil"/>
              <w:right w:val="nil"/>
            </w:tcBorders>
            <w:shd w:val="clear" w:color="auto" w:fill="auto"/>
            <w:noWrap/>
            <w:vAlign w:val="bottom"/>
            <w:hideMark/>
          </w:tcPr>
          <w:p w14:paraId="3EF9FEB5" w14:textId="21BE167D"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0.015</w:t>
            </w:r>
          </w:p>
        </w:tc>
        <w:tc>
          <w:tcPr>
            <w:tcW w:w="1453" w:type="pct"/>
            <w:gridSpan w:val="3"/>
            <w:tcBorders>
              <w:top w:val="nil"/>
              <w:left w:val="nil"/>
              <w:bottom w:val="nil"/>
              <w:right w:val="nil"/>
            </w:tcBorders>
            <w:shd w:val="clear" w:color="auto" w:fill="auto"/>
            <w:noWrap/>
            <w:vAlign w:val="bottom"/>
            <w:hideMark/>
          </w:tcPr>
          <w:p w14:paraId="17AD4C8F" w14:textId="615C3040"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0.062</w:t>
            </w:r>
          </w:p>
        </w:tc>
      </w:tr>
      <w:tr w:rsidR="00625D53" w:rsidRPr="004C511E" w14:paraId="1E6B7F79"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44CC424D"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p>
        </w:tc>
        <w:tc>
          <w:tcPr>
            <w:tcW w:w="1548" w:type="pct"/>
            <w:gridSpan w:val="2"/>
            <w:tcBorders>
              <w:top w:val="nil"/>
              <w:left w:val="nil"/>
              <w:bottom w:val="nil"/>
              <w:right w:val="nil"/>
            </w:tcBorders>
            <w:shd w:val="clear" w:color="auto" w:fill="auto"/>
            <w:noWrap/>
            <w:vAlign w:val="bottom"/>
            <w:hideMark/>
          </w:tcPr>
          <w:p w14:paraId="6B186CCC" w14:textId="1CA8C929"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(1.61)</w:t>
            </w:r>
          </w:p>
        </w:tc>
        <w:tc>
          <w:tcPr>
            <w:tcW w:w="1453" w:type="pct"/>
            <w:gridSpan w:val="3"/>
            <w:tcBorders>
              <w:top w:val="nil"/>
              <w:left w:val="nil"/>
              <w:bottom w:val="nil"/>
              <w:right w:val="nil"/>
            </w:tcBorders>
            <w:shd w:val="clear" w:color="auto" w:fill="auto"/>
            <w:noWrap/>
            <w:vAlign w:val="bottom"/>
            <w:hideMark/>
          </w:tcPr>
          <w:p w14:paraId="2312AC5F" w14:textId="5446F0A5"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(0.73)</w:t>
            </w:r>
          </w:p>
        </w:tc>
      </w:tr>
      <w:tr w:rsidR="00625D53" w:rsidRPr="004C511E" w14:paraId="1FF4FF31"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1D05F8F6"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r w:rsidRPr="004C511E">
              <w:rPr>
                <w:rFonts w:ascii="Times New Roman" w:eastAsia="Times New Roman" w:hAnsi="Times New Roman" w:cs="Times New Roman"/>
                <w:i/>
                <w:iCs/>
                <w:color w:val="000000"/>
                <w:sz w:val="24"/>
                <w:szCs w:val="24"/>
                <w:lang w:eastAsia="en-GB"/>
              </w:rPr>
              <w:t>Market-to-book</w:t>
            </w:r>
          </w:p>
        </w:tc>
        <w:tc>
          <w:tcPr>
            <w:tcW w:w="1548" w:type="pct"/>
            <w:gridSpan w:val="2"/>
            <w:tcBorders>
              <w:top w:val="nil"/>
              <w:left w:val="nil"/>
              <w:bottom w:val="nil"/>
              <w:right w:val="nil"/>
            </w:tcBorders>
            <w:shd w:val="clear" w:color="auto" w:fill="auto"/>
            <w:noWrap/>
            <w:vAlign w:val="bottom"/>
            <w:hideMark/>
          </w:tcPr>
          <w:p w14:paraId="092CAB18" w14:textId="266322E2"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0.009</w:t>
            </w:r>
          </w:p>
        </w:tc>
        <w:tc>
          <w:tcPr>
            <w:tcW w:w="1453" w:type="pct"/>
            <w:gridSpan w:val="3"/>
            <w:tcBorders>
              <w:top w:val="nil"/>
              <w:left w:val="nil"/>
              <w:bottom w:val="nil"/>
              <w:right w:val="nil"/>
            </w:tcBorders>
            <w:shd w:val="clear" w:color="auto" w:fill="auto"/>
            <w:noWrap/>
            <w:vAlign w:val="bottom"/>
            <w:hideMark/>
          </w:tcPr>
          <w:p w14:paraId="11AC7444" w14:textId="181B8C13"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0.044</w:t>
            </w:r>
          </w:p>
        </w:tc>
      </w:tr>
      <w:tr w:rsidR="00625D53" w:rsidRPr="004C511E" w14:paraId="1F0589FA"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14EEADE8"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p>
        </w:tc>
        <w:tc>
          <w:tcPr>
            <w:tcW w:w="1548" w:type="pct"/>
            <w:gridSpan w:val="2"/>
            <w:tcBorders>
              <w:top w:val="nil"/>
              <w:left w:val="nil"/>
              <w:bottom w:val="nil"/>
              <w:right w:val="nil"/>
            </w:tcBorders>
            <w:shd w:val="clear" w:color="auto" w:fill="auto"/>
            <w:noWrap/>
            <w:vAlign w:val="bottom"/>
            <w:hideMark/>
          </w:tcPr>
          <w:p w14:paraId="23924C1D" w14:textId="7ABEF248"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(0.92)</w:t>
            </w:r>
          </w:p>
        </w:tc>
        <w:tc>
          <w:tcPr>
            <w:tcW w:w="1453" w:type="pct"/>
            <w:gridSpan w:val="3"/>
            <w:tcBorders>
              <w:top w:val="nil"/>
              <w:left w:val="nil"/>
              <w:bottom w:val="nil"/>
              <w:right w:val="nil"/>
            </w:tcBorders>
            <w:shd w:val="clear" w:color="auto" w:fill="auto"/>
            <w:noWrap/>
            <w:vAlign w:val="bottom"/>
            <w:hideMark/>
          </w:tcPr>
          <w:p w14:paraId="3E7EBC2B" w14:textId="5F06998D"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(0.48)</w:t>
            </w:r>
          </w:p>
        </w:tc>
      </w:tr>
      <w:tr w:rsidR="00625D53" w:rsidRPr="004C511E" w14:paraId="447E019D"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328AF2D2"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r w:rsidRPr="004C511E">
              <w:rPr>
                <w:rFonts w:ascii="Times New Roman" w:eastAsia="Times New Roman" w:hAnsi="Times New Roman" w:cs="Times New Roman"/>
                <w:i/>
                <w:iCs/>
                <w:color w:val="000000"/>
                <w:sz w:val="24"/>
                <w:szCs w:val="24"/>
                <w:lang w:eastAsia="en-GB"/>
              </w:rPr>
              <w:t>Tangibility</w:t>
            </w:r>
          </w:p>
        </w:tc>
        <w:tc>
          <w:tcPr>
            <w:tcW w:w="1548" w:type="pct"/>
            <w:gridSpan w:val="2"/>
            <w:tcBorders>
              <w:top w:val="nil"/>
              <w:left w:val="nil"/>
              <w:bottom w:val="nil"/>
              <w:right w:val="nil"/>
            </w:tcBorders>
            <w:shd w:val="clear" w:color="auto" w:fill="auto"/>
            <w:noWrap/>
            <w:vAlign w:val="bottom"/>
            <w:hideMark/>
          </w:tcPr>
          <w:p w14:paraId="17922235" w14:textId="244821ED"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0.001</w:t>
            </w:r>
          </w:p>
        </w:tc>
        <w:tc>
          <w:tcPr>
            <w:tcW w:w="1453" w:type="pct"/>
            <w:gridSpan w:val="3"/>
            <w:tcBorders>
              <w:top w:val="nil"/>
              <w:left w:val="nil"/>
              <w:bottom w:val="nil"/>
              <w:right w:val="nil"/>
            </w:tcBorders>
            <w:shd w:val="clear" w:color="auto" w:fill="auto"/>
            <w:noWrap/>
            <w:vAlign w:val="bottom"/>
            <w:hideMark/>
          </w:tcPr>
          <w:p w14:paraId="5C36FC68" w14:textId="01EF04A3"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0.006</w:t>
            </w:r>
          </w:p>
        </w:tc>
      </w:tr>
      <w:tr w:rsidR="00625D53" w:rsidRPr="004C511E" w14:paraId="790F0206"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3110CA17"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p>
        </w:tc>
        <w:tc>
          <w:tcPr>
            <w:tcW w:w="1548" w:type="pct"/>
            <w:gridSpan w:val="2"/>
            <w:tcBorders>
              <w:top w:val="nil"/>
              <w:left w:val="nil"/>
              <w:bottom w:val="nil"/>
              <w:right w:val="nil"/>
            </w:tcBorders>
            <w:shd w:val="clear" w:color="auto" w:fill="auto"/>
            <w:noWrap/>
            <w:vAlign w:val="bottom"/>
            <w:hideMark/>
          </w:tcPr>
          <w:p w14:paraId="6C2596F7" w14:textId="6F3630AA"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(0.76)</w:t>
            </w:r>
          </w:p>
        </w:tc>
        <w:tc>
          <w:tcPr>
            <w:tcW w:w="1453" w:type="pct"/>
            <w:gridSpan w:val="3"/>
            <w:tcBorders>
              <w:top w:val="nil"/>
              <w:left w:val="nil"/>
              <w:bottom w:val="nil"/>
              <w:right w:val="nil"/>
            </w:tcBorders>
            <w:shd w:val="clear" w:color="auto" w:fill="auto"/>
            <w:noWrap/>
            <w:vAlign w:val="bottom"/>
            <w:hideMark/>
          </w:tcPr>
          <w:p w14:paraId="791D6DEC" w14:textId="4FD2C2E9"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(0.50)</w:t>
            </w:r>
          </w:p>
        </w:tc>
      </w:tr>
      <w:tr w:rsidR="00625D53" w:rsidRPr="004C511E" w14:paraId="1775B558"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4FCD93CB"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r w:rsidRPr="004C511E">
              <w:rPr>
                <w:rFonts w:ascii="Times New Roman" w:eastAsia="Times New Roman" w:hAnsi="Times New Roman" w:cs="Times New Roman"/>
                <w:i/>
                <w:iCs/>
                <w:color w:val="000000"/>
                <w:sz w:val="24"/>
                <w:szCs w:val="24"/>
                <w:lang w:eastAsia="en-GB"/>
              </w:rPr>
              <w:t>Capex</w:t>
            </w:r>
          </w:p>
        </w:tc>
        <w:tc>
          <w:tcPr>
            <w:tcW w:w="1548" w:type="pct"/>
            <w:gridSpan w:val="2"/>
            <w:tcBorders>
              <w:top w:val="nil"/>
              <w:left w:val="nil"/>
              <w:bottom w:val="nil"/>
              <w:right w:val="nil"/>
            </w:tcBorders>
            <w:shd w:val="clear" w:color="auto" w:fill="auto"/>
            <w:noWrap/>
            <w:vAlign w:val="bottom"/>
            <w:hideMark/>
          </w:tcPr>
          <w:p w14:paraId="1CABB714" w14:textId="183CF617"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-0.043</w:t>
            </w:r>
          </w:p>
        </w:tc>
        <w:tc>
          <w:tcPr>
            <w:tcW w:w="1453" w:type="pct"/>
            <w:gridSpan w:val="3"/>
            <w:tcBorders>
              <w:top w:val="nil"/>
              <w:left w:val="nil"/>
              <w:bottom w:val="nil"/>
              <w:right w:val="nil"/>
            </w:tcBorders>
            <w:shd w:val="clear" w:color="auto" w:fill="auto"/>
            <w:noWrap/>
            <w:vAlign w:val="bottom"/>
            <w:hideMark/>
          </w:tcPr>
          <w:p w14:paraId="029B3610" w14:textId="6A1A2781"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-0.292</w:t>
            </w:r>
          </w:p>
        </w:tc>
      </w:tr>
      <w:tr w:rsidR="00625D53" w:rsidRPr="004C511E" w14:paraId="3488D4F4"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19BAA6EC"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p>
        </w:tc>
        <w:tc>
          <w:tcPr>
            <w:tcW w:w="1548" w:type="pct"/>
            <w:gridSpan w:val="2"/>
            <w:tcBorders>
              <w:top w:val="nil"/>
              <w:left w:val="nil"/>
              <w:bottom w:val="nil"/>
              <w:right w:val="nil"/>
            </w:tcBorders>
            <w:shd w:val="clear" w:color="auto" w:fill="auto"/>
            <w:noWrap/>
            <w:vAlign w:val="bottom"/>
            <w:hideMark/>
          </w:tcPr>
          <w:p w14:paraId="28A26DD3" w14:textId="76477A4C"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(-0.75)</w:t>
            </w:r>
          </w:p>
        </w:tc>
        <w:tc>
          <w:tcPr>
            <w:tcW w:w="1453" w:type="pct"/>
            <w:gridSpan w:val="3"/>
            <w:tcBorders>
              <w:top w:val="nil"/>
              <w:left w:val="nil"/>
              <w:bottom w:val="nil"/>
              <w:right w:val="nil"/>
            </w:tcBorders>
            <w:shd w:val="clear" w:color="auto" w:fill="auto"/>
            <w:noWrap/>
            <w:vAlign w:val="bottom"/>
            <w:hideMark/>
          </w:tcPr>
          <w:p w14:paraId="7A5BF311" w14:textId="38BD1766"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(-0.55)</w:t>
            </w:r>
          </w:p>
        </w:tc>
      </w:tr>
      <w:tr w:rsidR="00625D53" w:rsidRPr="004C511E" w14:paraId="50E6A106"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005E5F33"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r w:rsidRPr="004C511E">
              <w:rPr>
                <w:rFonts w:ascii="Times New Roman" w:eastAsia="Times New Roman" w:hAnsi="Times New Roman" w:cs="Times New Roman"/>
                <w:i/>
                <w:iCs/>
                <w:color w:val="000000"/>
                <w:sz w:val="24"/>
                <w:szCs w:val="24"/>
                <w:lang w:eastAsia="en-GB"/>
              </w:rPr>
              <w:t>RET</w:t>
            </w:r>
          </w:p>
        </w:tc>
        <w:tc>
          <w:tcPr>
            <w:tcW w:w="1548" w:type="pct"/>
            <w:gridSpan w:val="2"/>
            <w:tcBorders>
              <w:top w:val="nil"/>
              <w:left w:val="nil"/>
              <w:bottom w:val="nil"/>
              <w:right w:val="nil"/>
            </w:tcBorders>
            <w:shd w:val="clear" w:color="auto" w:fill="auto"/>
            <w:noWrap/>
            <w:vAlign w:val="bottom"/>
            <w:hideMark/>
          </w:tcPr>
          <w:p w14:paraId="3F76D0BD" w14:textId="70F3EB37"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-0.082</w:t>
            </w:r>
          </w:p>
        </w:tc>
        <w:tc>
          <w:tcPr>
            <w:tcW w:w="1453" w:type="pct"/>
            <w:gridSpan w:val="3"/>
            <w:tcBorders>
              <w:top w:val="nil"/>
              <w:left w:val="nil"/>
              <w:bottom w:val="nil"/>
              <w:right w:val="nil"/>
            </w:tcBorders>
            <w:shd w:val="clear" w:color="auto" w:fill="auto"/>
            <w:noWrap/>
            <w:vAlign w:val="bottom"/>
            <w:hideMark/>
          </w:tcPr>
          <w:p w14:paraId="4C32B8C1" w14:textId="2EDA2A3D"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-0.606</w:t>
            </w:r>
          </w:p>
        </w:tc>
      </w:tr>
      <w:tr w:rsidR="00625D53" w:rsidRPr="004C511E" w14:paraId="1E6AED08"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3ABC4603"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p>
        </w:tc>
        <w:tc>
          <w:tcPr>
            <w:tcW w:w="1548" w:type="pct"/>
            <w:gridSpan w:val="2"/>
            <w:tcBorders>
              <w:top w:val="nil"/>
              <w:left w:val="nil"/>
              <w:bottom w:val="nil"/>
              <w:right w:val="nil"/>
            </w:tcBorders>
            <w:shd w:val="clear" w:color="auto" w:fill="auto"/>
            <w:noWrap/>
            <w:vAlign w:val="bottom"/>
            <w:hideMark/>
          </w:tcPr>
          <w:p w14:paraId="63D6AAF8" w14:textId="6361D052"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(-0.91)</w:t>
            </w:r>
          </w:p>
        </w:tc>
        <w:tc>
          <w:tcPr>
            <w:tcW w:w="1453" w:type="pct"/>
            <w:gridSpan w:val="3"/>
            <w:tcBorders>
              <w:top w:val="nil"/>
              <w:left w:val="nil"/>
              <w:bottom w:val="nil"/>
              <w:right w:val="nil"/>
            </w:tcBorders>
            <w:shd w:val="clear" w:color="auto" w:fill="auto"/>
            <w:noWrap/>
            <w:vAlign w:val="bottom"/>
            <w:hideMark/>
          </w:tcPr>
          <w:p w14:paraId="3D69C9AE" w14:textId="1F67528D"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(-0.72)</w:t>
            </w:r>
          </w:p>
        </w:tc>
      </w:tr>
      <w:tr w:rsidR="00625D53" w:rsidRPr="004C511E" w14:paraId="410EC897"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07141710"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proofErr w:type="spellStart"/>
            <w:r w:rsidRPr="004C511E">
              <w:rPr>
                <w:rFonts w:ascii="Times New Roman" w:eastAsia="Times New Roman" w:hAnsi="Times New Roman" w:cs="Times New Roman"/>
                <w:i/>
                <w:iCs/>
                <w:color w:val="000000"/>
                <w:sz w:val="24"/>
                <w:szCs w:val="24"/>
                <w:lang w:eastAsia="en-GB"/>
              </w:rPr>
              <w:t>CEOage</w:t>
            </w:r>
            <w:proofErr w:type="spellEnd"/>
          </w:p>
        </w:tc>
        <w:tc>
          <w:tcPr>
            <w:tcW w:w="1548" w:type="pct"/>
            <w:gridSpan w:val="2"/>
            <w:tcBorders>
              <w:top w:val="nil"/>
              <w:left w:val="nil"/>
              <w:bottom w:val="nil"/>
              <w:right w:val="nil"/>
            </w:tcBorders>
            <w:shd w:val="clear" w:color="auto" w:fill="auto"/>
            <w:noWrap/>
            <w:vAlign w:val="bottom"/>
            <w:hideMark/>
          </w:tcPr>
          <w:p w14:paraId="28C57B68" w14:textId="1A73409D"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0.013**</w:t>
            </w:r>
          </w:p>
        </w:tc>
        <w:tc>
          <w:tcPr>
            <w:tcW w:w="1453" w:type="pct"/>
            <w:gridSpan w:val="3"/>
            <w:tcBorders>
              <w:top w:val="nil"/>
              <w:left w:val="nil"/>
              <w:bottom w:val="nil"/>
              <w:right w:val="nil"/>
            </w:tcBorders>
            <w:shd w:val="clear" w:color="auto" w:fill="auto"/>
            <w:noWrap/>
            <w:vAlign w:val="bottom"/>
            <w:hideMark/>
          </w:tcPr>
          <w:p w14:paraId="3B1C2045" w14:textId="76239CE9"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0.092</w:t>
            </w:r>
          </w:p>
        </w:tc>
      </w:tr>
      <w:tr w:rsidR="00625D53" w:rsidRPr="004C511E" w14:paraId="24C291F7"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6F32144E"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p>
        </w:tc>
        <w:tc>
          <w:tcPr>
            <w:tcW w:w="1548" w:type="pct"/>
            <w:gridSpan w:val="2"/>
            <w:tcBorders>
              <w:top w:val="nil"/>
              <w:left w:val="nil"/>
              <w:bottom w:val="nil"/>
              <w:right w:val="nil"/>
            </w:tcBorders>
            <w:shd w:val="clear" w:color="auto" w:fill="auto"/>
            <w:noWrap/>
            <w:vAlign w:val="bottom"/>
            <w:hideMark/>
          </w:tcPr>
          <w:p w14:paraId="6F41F12A" w14:textId="056AB780"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(2.07)</w:t>
            </w:r>
          </w:p>
        </w:tc>
        <w:tc>
          <w:tcPr>
            <w:tcW w:w="1453" w:type="pct"/>
            <w:gridSpan w:val="3"/>
            <w:tcBorders>
              <w:top w:val="nil"/>
              <w:left w:val="nil"/>
              <w:bottom w:val="nil"/>
              <w:right w:val="nil"/>
            </w:tcBorders>
            <w:shd w:val="clear" w:color="auto" w:fill="auto"/>
            <w:noWrap/>
            <w:vAlign w:val="bottom"/>
            <w:hideMark/>
          </w:tcPr>
          <w:p w14:paraId="4FCDC9C6" w14:textId="451188FB"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(1.37)</w:t>
            </w:r>
          </w:p>
        </w:tc>
      </w:tr>
      <w:tr w:rsidR="00625D53" w:rsidRPr="004C511E" w14:paraId="186D9FF5"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57666CD2"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proofErr w:type="spellStart"/>
            <w:r w:rsidRPr="004C511E">
              <w:rPr>
                <w:rFonts w:ascii="Times New Roman" w:eastAsia="Times New Roman" w:hAnsi="Times New Roman" w:cs="Times New Roman"/>
                <w:i/>
                <w:iCs/>
                <w:color w:val="000000"/>
                <w:sz w:val="24"/>
                <w:szCs w:val="24"/>
                <w:lang w:eastAsia="en-GB"/>
              </w:rPr>
              <w:lastRenderedPageBreak/>
              <w:t>CEOtenure</w:t>
            </w:r>
            <w:proofErr w:type="spellEnd"/>
          </w:p>
        </w:tc>
        <w:tc>
          <w:tcPr>
            <w:tcW w:w="1548" w:type="pct"/>
            <w:gridSpan w:val="2"/>
            <w:tcBorders>
              <w:top w:val="nil"/>
              <w:left w:val="nil"/>
              <w:bottom w:val="nil"/>
              <w:right w:val="nil"/>
            </w:tcBorders>
            <w:shd w:val="clear" w:color="auto" w:fill="auto"/>
            <w:noWrap/>
            <w:vAlign w:val="bottom"/>
            <w:hideMark/>
          </w:tcPr>
          <w:p w14:paraId="0F69A80E" w14:textId="20AE3E88"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0.000</w:t>
            </w:r>
          </w:p>
        </w:tc>
        <w:tc>
          <w:tcPr>
            <w:tcW w:w="1453" w:type="pct"/>
            <w:gridSpan w:val="3"/>
            <w:tcBorders>
              <w:top w:val="nil"/>
              <w:left w:val="nil"/>
              <w:bottom w:val="nil"/>
              <w:right w:val="nil"/>
            </w:tcBorders>
            <w:shd w:val="clear" w:color="auto" w:fill="auto"/>
            <w:noWrap/>
            <w:vAlign w:val="bottom"/>
            <w:hideMark/>
          </w:tcPr>
          <w:p w14:paraId="6360ECE9" w14:textId="7068E31F"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0.002</w:t>
            </w:r>
          </w:p>
        </w:tc>
      </w:tr>
      <w:tr w:rsidR="00625D53" w:rsidRPr="004C511E" w14:paraId="6DCD6EE8"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409E3067"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p>
        </w:tc>
        <w:tc>
          <w:tcPr>
            <w:tcW w:w="1548" w:type="pct"/>
            <w:gridSpan w:val="2"/>
            <w:tcBorders>
              <w:top w:val="nil"/>
              <w:left w:val="nil"/>
              <w:bottom w:val="nil"/>
              <w:right w:val="nil"/>
            </w:tcBorders>
            <w:shd w:val="clear" w:color="auto" w:fill="auto"/>
            <w:noWrap/>
            <w:vAlign w:val="bottom"/>
            <w:hideMark/>
          </w:tcPr>
          <w:p w14:paraId="0FB3B451" w14:textId="1B421239"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(0.31)</w:t>
            </w:r>
          </w:p>
        </w:tc>
        <w:tc>
          <w:tcPr>
            <w:tcW w:w="1453" w:type="pct"/>
            <w:gridSpan w:val="3"/>
            <w:tcBorders>
              <w:top w:val="nil"/>
              <w:left w:val="nil"/>
              <w:bottom w:val="nil"/>
              <w:right w:val="nil"/>
            </w:tcBorders>
            <w:shd w:val="clear" w:color="auto" w:fill="auto"/>
            <w:noWrap/>
            <w:vAlign w:val="bottom"/>
            <w:hideMark/>
          </w:tcPr>
          <w:p w14:paraId="7C19332E" w14:textId="368B2BD8"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(0.29)</w:t>
            </w:r>
          </w:p>
        </w:tc>
      </w:tr>
      <w:tr w:rsidR="00625D53" w:rsidRPr="004C511E" w14:paraId="486BCF76"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7D24BC94"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r w:rsidRPr="004C511E">
              <w:rPr>
                <w:rFonts w:ascii="Times New Roman" w:eastAsia="Times New Roman" w:hAnsi="Times New Roman" w:cs="Times New Roman"/>
                <w:i/>
                <w:iCs/>
                <w:color w:val="000000"/>
                <w:sz w:val="24"/>
                <w:szCs w:val="24"/>
                <w:lang w:eastAsia="en-GB"/>
              </w:rPr>
              <w:t>Constant</w:t>
            </w:r>
          </w:p>
        </w:tc>
        <w:tc>
          <w:tcPr>
            <w:tcW w:w="1548" w:type="pct"/>
            <w:gridSpan w:val="2"/>
            <w:tcBorders>
              <w:top w:val="nil"/>
              <w:left w:val="nil"/>
              <w:bottom w:val="nil"/>
              <w:right w:val="nil"/>
            </w:tcBorders>
            <w:shd w:val="clear" w:color="auto" w:fill="auto"/>
            <w:noWrap/>
            <w:vAlign w:val="bottom"/>
            <w:hideMark/>
          </w:tcPr>
          <w:p w14:paraId="0563752D" w14:textId="553361E4"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0.000</w:t>
            </w:r>
          </w:p>
        </w:tc>
        <w:tc>
          <w:tcPr>
            <w:tcW w:w="1453" w:type="pct"/>
            <w:gridSpan w:val="3"/>
            <w:tcBorders>
              <w:top w:val="nil"/>
              <w:left w:val="nil"/>
              <w:bottom w:val="nil"/>
              <w:right w:val="nil"/>
            </w:tcBorders>
            <w:shd w:val="clear" w:color="auto" w:fill="auto"/>
            <w:noWrap/>
            <w:vAlign w:val="bottom"/>
            <w:hideMark/>
          </w:tcPr>
          <w:p w14:paraId="5392F91E" w14:textId="2ABB384B"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0.003</w:t>
            </w:r>
          </w:p>
        </w:tc>
      </w:tr>
      <w:tr w:rsidR="00625D53" w:rsidRPr="004C511E" w14:paraId="06B1AA7D"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6B02BA5B" w14:textId="77777777" w:rsidR="00625D53" w:rsidRPr="004C511E" w:rsidRDefault="00625D53" w:rsidP="00625D53">
            <w:pPr>
              <w:spacing w:after="0" w:line="240" w:lineRule="auto"/>
              <w:rPr>
                <w:rFonts w:ascii="Times New Roman" w:eastAsia="Times New Roman" w:hAnsi="Times New Roman" w:cs="Times New Roman"/>
                <w:i/>
                <w:iCs/>
                <w:color w:val="000000"/>
                <w:sz w:val="24"/>
                <w:szCs w:val="24"/>
                <w:lang w:eastAsia="en-GB"/>
              </w:rPr>
            </w:pPr>
          </w:p>
        </w:tc>
        <w:tc>
          <w:tcPr>
            <w:tcW w:w="1548" w:type="pct"/>
            <w:gridSpan w:val="2"/>
            <w:tcBorders>
              <w:top w:val="nil"/>
              <w:left w:val="nil"/>
              <w:bottom w:val="nil"/>
              <w:right w:val="nil"/>
            </w:tcBorders>
            <w:shd w:val="clear" w:color="auto" w:fill="auto"/>
            <w:noWrap/>
            <w:vAlign w:val="bottom"/>
            <w:hideMark/>
          </w:tcPr>
          <w:p w14:paraId="62B422C0" w14:textId="0F869F3A"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(0.05)</w:t>
            </w:r>
          </w:p>
        </w:tc>
        <w:tc>
          <w:tcPr>
            <w:tcW w:w="1453" w:type="pct"/>
            <w:gridSpan w:val="3"/>
            <w:tcBorders>
              <w:top w:val="nil"/>
              <w:left w:val="nil"/>
              <w:bottom w:val="nil"/>
              <w:right w:val="nil"/>
            </w:tcBorders>
            <w:shd w:val="clear" w:color="auto" w:fill="auto"/>
            <w:noWrap/>
            <w:vAlign w:val="bottom"/>
            <w:hideMark/>
          </w:tcPr>
          <w:p w14:paraId="33A61CF5" w14:textId="51E68DC6"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(0.32)</w:t>
            </w:r>
          </w:p>
        </w:tc>
      </w:tr>
      <w:tr w:rsidR="004E1124" w:rsidRPr="004C511E" w14:paraId="097C45A4"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68E63BD3" w14:textId="77777777" w:rsidR="004E1124" w:rsidRPr="00A705CD" w:rsidRDefault="004E1124" w:rsidP="00D11B6C">
            <w:pPr>
              <w:spacing w:after="0" w:line="240" w:lineRule="auto"/>
              <w:rPr>
                <w:rFonts w:ascii="Times New Roman" w:eastAsia="Times New Roman" w:hAnsi="Times New Roman" w:cs="Times New Roman"/>
                <w:color w:val="000000"/>
                <w:sz w:val="24"/>
                <w:szCs w:val="24"/>
                <w:lang w:eastAsia="en-GB"/>
              </w:rPr>
            </w:pPr>
            <w:r w:rsidRPr="00A705CD">
              <w:rPr>
                <w:rFonts w:ascii="Times New Roman" w:eastAsia="Times New Roman" w:hAnsi="Times New Roman" w:cs="Times New Roman"/>
                <w:color w:val="000000"/>
                <w:sz w:val="24"/>
                <w:szCs w:val="24"/>
                <w:lang w:eastAsia="en-GB"/>
              </w:rPr>
              <w:t>R-squared</w:t>
            </w:r>
          </w:p>
        </w:tc>
        <w:tc>
          <w:tcPr>
            <w:tcW w:w="1548" w:type="pct"/>
            <w:gridSpan w:val="2"/>
            <w:tcBorders>
              <w:top w:val="nil"/>
              <w:left w:val="nil"/>
              <w:bottom w:val="nil"/>
              <w:right w:val="nil"/>
            </w:tcBorders>
            <w:shd w:val="clear" w:color="auto" w:fill="auto"/>
            <w:noWrap/>
            <w:vAlign w:val="bottom"/>
            <w:hideMark/>
          </w:tcPr>
          <w:p w14:paraId="6391F341" w14:textId="5EA809D8" w:rsidR="004E1124" w:rsidRPr="00625D53" w:rsidRDefault="004E1124"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0.6</w:t>
            </w:r>
            <w:r w:rsidR="00625D53" w:rsidRPr="00625D53">
              <w:rPr>
                <w:rFonts w:ascii="Times New Roman" w:eastAsia="Times New Roman" w:hAnsi="Times New Roman" w:cs="Times New Roman"/>
                <w:color w:val="000000"/>
                <w:sz w:val="24"/>
                <w:szCs w:val="24"/>
                <w:lang w:val="en-US" w:eastAsia="en-GB"/>
              </w:rPr>
              <w:t>5</w:t>
            </w:r>
            <w:r w:rsidRPr="00625D53">
              <w:rPr>
                <w:rFonts w:ascii="Times New Roman" w:eastAsia="Times New Roman" w:hAnsi="Times New Roman" w:cs="Times New Roman"/>
                <w:color w:val="000000"/>
                <w:sz w:val="24"/>
                <w:szCs w:val="24"/>
                <w:lang w:val="en-US" w:eastAsia="en-GB"/>
              </w:rPr>
              <w:t>3</w:t>
            </w:r>
          </w:p>
        </w:tc>
        <w:tc>
          <w:tcPr>
            <w:tcW w:w="1453" w:type="pct"/>
            <w:gridSpan w:val="3"/>
            <w:tcBorders>
              <w:top w:val="nil"/>
              <w:left w:val="nil"/>
              <w:bottom w:val="nil"/>
              <w:right w:val="nil"/>
            </w:tcBorders>
            <w:shd w:val="clear" w:color="auto" w:fill="auto"/>
            <w:noWrap/>
            <w:vAlign w:val="bottom"/>
            <w:hideMark/>
          </w:tcPr>
          <w:p w14:paraId="712DEA23" w14:textId="06CE3F0B" w:rsidR="004E1124" w:rsidRPr="00625D53" w:rsidRDefault="004E1124"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0.5</w:t>
            </w:r>
            <w:r w:rsidR="00625D53" w:rsidRPr="00625D53">
              <w:rPr>
                <w:rFonts w:ascii="Times New Roman" w:eastAsia="Times New Roman" w:hAnsi="Times New Roman" w:cs="Times New Roman"/>
                <w:color w:val="000000"/>
                <w:sz w:val="24"/>
                <w:szCs w:val="24"/>
                <w:lang w:val="en-US" w:eastAsia="en-GB"/>
              </w:rPr>
              <w:t>5</w:t>
            </w:r>
            <w:r w:rsidRPr="00625D53">
              <w:rPr>
                <w:rFonts w:ascii="Times New Roman" w:eastAsia="Times New Roman" w:hAnsi="Times New Roman" w:cs="Times New Roman"/>
                <w:color w:val="000000"/>
                <w:sz w:val="24"/>
                <w:szCs w:val="24"/>
                <w:lang w:val="en-US" w:eastAsia="en-GB"/>
              </w:rPr>
              <w:t>2</w:t>
            </w:r>
          </w:p>
        </w:tc>
      </w:tr>
      <w:tr w:rsidR="00625D53" w:rsidRPr="004C511E" w14:paraId="1FF73BF3"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7F88610B" w14:textId="77777777" w:rsidR="00625D53" w:rsidRPr="00A705CD" w:rsidRDefault="00625D53" w:rsidP="00625D53">
            <w:pPr>
              <w:spacing w:after="0" w:line="240" w:lineRule="auto"/>
              <w:rPr>
                <w:rFonts w:ascii="Times New Roman" w:eastAsia="Times New Roman" w:hAnsi="Times New Roman" w:cs="Times New Roman"/>
                <w:color w:val="000000"/>
                <w:sz w:val="24"/>
                <w:szCs w:val="24"/>
                <w:lang w:eastAsia="en-GB"/>
              </w:rPr>
            </w:pPr>
            <w:r w:rsidRPr="00A705CD">
              <w:rPr>
                <w:rFonts w:ascii="Times New Roman" w:eastAsia="Times New Roman" w:hAnsi="Times New Roman" w:cs="Times New Roman"/>
                <w:color w:val="000000"/>
                <w:sz w:val="24"/>
                <w:szCs w:val="24"/>
                <w:lang w:eastAsia="en-GB"/>
              </w:rPr>
              <w:t>Observations</w:t>
            </w:r>
          </w:p>
        </w:tc>
        <w:tc>
          <w:tcPr>
            <w:tcW w:w="1548" w:type="pct"/>
            <w:gridSpan w:val="2"/>
            <w:tcBorders>
              <w:top w:val="nil"/>
              <w:left w:val="nil"/>
              <w:bottom w:val="nil"/>
              <w:right w:val="nil"/>
            </w:tcBorders>
            <w:shd w:val="clear" w:color="auto" w:fill="auto"/>
            <w:noWrap/>
            <w:vAlign w:val="bottom"/>
            <w:hideMark/>
          </w:tcPr>
          <w:p w14:paraId="2DFFD33D" w14:textId="7D40D3F9"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17,477</w:t>
            </w:r>
          </w:p>
        </w:tc>
        <w:tc>
          <w:tcPr>
            <w:tcW w:w="1453" w:type="pct"/>
            <w:gridSpan w:val="3"/>
            <w:tcBorders>
              <w:top w:val="nil"/>
              <w:left w:val="nil"/>
              <w:bottom w:val="nil"/>
              <w:right w:val="nil"/>
            </w:tcBorders>
            <w:shd w:val="clear" w:color="auto" w:fill="auto"/>
            <w:noWrap/>
            <w:vAlign w:val="bottom"/>
            <w:hideMark/>
          </w:tcPr>
          <w:p w14:paraId="4A57A8E5" w14:textId="377F13FE"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17,477</w:t>
            </w:r>
          </w:p>
        </w:tc>
      </w:tr>
      <w:tr w:rsidR="00625D53" w:rsidRPr="004C511E" w14:paraId="68714D36"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6AC39C30" w14:textId="77777777" w:rsidR="00625D53" w:rsidRPr="00A705CD" w:rsidRDefault="00625D53" w:rsidP="00625D53">
            <w:pPr>
              <w:spacing w:after="0" w:line="240" w:lineRule="auto"/>
              <w:rPr>
                <w:rFonts w:ascii="Times New Roman" w:eastAsia="Times New Roman" w:hAnsi="Times New Roman" w:cs="Times New Roman"/>
                <w:color w:val="000000"/>
                <w:sz w:val="24"/>
                <w:szCs w:val="24"/>
                <w:lang w:eastAsia="en-GB"/>
              </w:rPr>
            </w:pPr>
            <w:r w:rsidRPr="00A705CD">
              <w:rPr>
                <w:rFonts w:ascii="Times New Roman" w:eastAsia="Times New Roman" w:hAnsi="Times New Roman" w:cs="Times New Roman"/>
                <w:color w:val="000000"/>
                <w:sz w:val="24"/>
                <w:szCs w:val="24"/>
                <w:lang w:eastAsia="en-GB"/>
              </w:rPr>
              <w:t>Firm fixed effects</w:t>
            </w:r>
          </w:p>
        </w:tc>
        <w:tc>
          <w:tcPr>
            <w:tcW w:w="1548" w:type="pct"/>
            <w:gridSpan w:val="2"/>
            <w:tcBorders>
              <w:top w:val="nil"/>
              <w:left w:val="nil"/>
              <w:bottom w:val="nil"/>
              <w:right w:val="nil"/>
            </w:tcBorders>
            <w:shd w:val="clear" w:color="auto" w:fill="auto"/>
            <w:noWrap/>
            <w:vAlign w:val="bottom"/>
            <w:hideMark/>
          </w:tcPr>
          <w:p w14:paraId="6D4BBF24" w14:textId="77777777"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Yes</w:t>
            </w:r>
          </w:p>
        </w:tc>
        <w:tc>
          <w:tcPr>
            <w:tcW w:w="1453" w:type="pct"/>
            <w:gridSpan w:val="3"/>
            <w:tcBorders>
              <w:top w:val="nil"/>
              <w:left w:val="nil"/>
              <w:bottom w:val="nil"/>
              <w:right w:val="nil"/>
            </w:tcBorders>
            <w:shd w:val="clear" w:color="auto" w:fill="auto"/>
            <w:noWrap/>
            <w:vAlign w:val="bottom"/>
            <w:hideMark/>
          </w:tcPr>
          <w:p w14:paraId="0DF0C2E4" w14:textId="77777777"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Yes</w:t>
            </w:r>
          </w:p>
        </w:tc>
      </w:tr>
      <w:tr w:rsidR="00625D53" w:rsidRPr="004C511E" w14:paraId="2B2845C5"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nil"/>
              <w:right w:val="nil"/>
            </w:tcBorders>
            <w:shd w:val="clear" w:color="auto" w:fill="auto"/>
            <w:noWrap/>
            <w:vAlign w:val="bottom"/>
            <w:hideMark/>
          </w:tcPr>
          <w:p w14:paraId="5DAC0D26" w14:textId="77777777" w:rsidR="00625D53" w:rsidRPr="00A705CD" w:rsidRDefault="00625D53" w:rsidP="00625D53">
            <w:pPr>
              <w:spacing w:after="0" w:line="240" w:lineRule="auto"/>
              <w:rPr>
                <w:rFonts w:ascii="Times New Roman" w:eastAsia="Times New Roman" w:hAnsi="Times New Roman" w:cs="Times New Roman"/>
                <w:color w:val="000000"/>
                <w:sz w:val="24"/>
                <w:szCs w:val="24"/>
                <w:lang w:eastAsia="en-GB"/>
              </w:rPr>
            </w:pPr>
            <w:r w:rsidRPr="00A705CD">
              <w:rPr>
                <w:rFonts w:ascii="Times New Roman" w:eastAsia="Times New Roman" w:hAnsi="Times New Roman" w:cs="Times New Roman"/>
                <w:color w:val="000000"/>
                <w:sz w:val="24"/>
                <w:szCs w:val="24"/>
                <w:lang w:eastAsia="en-GB"/>
              </w:rPr>
              <w:t>Year fixed effects</w:t>
            </w:r>
          </w:p>
        </w:tc>
        <w:tc>
          <w:tcPr>
            <w:tcW w:w="1548" w:type="pct"/>
            <w:gridSpan w:val="2"/>
            <w:tcBorders>
              <w:top w:val="nil"/>
              <w:left w:val="nil"/>
              <w:bottom w:val="nil"/>
              <w:right w:val="nil"/>
            </w:tcBorders>
            <w:shd w:val="clear" w:color="auto" w:fill="auto"/>
            <w:noWrap/>
            <w:vAlign w:val="bottom"/>
            <w:hideMark/>
          </w:tcPr>
          <w:p w14:paraId="2C81404D" w14:textId="77777777"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Yes</w:t>
            </w:r>
          </w:p>
        </w:tc>
        <w:tc>
          <w:tcPr>
            <w:tcW w:w="1453" w:type="pct"/>
            <w:gridSpan w:val="3"/>
            <w:tcBorders>
              <w:top w:val="nil"/>
              <w:left w:val="nil"/>
              <w:bottom w:val="nil"/>
              <w:right w:val="nil"/>
            </w:tcBorders>
            <w:shd w:val="clear" w:color="auto" w:fill="auto"/>
            <w:noWrap/>
            <w:vAlign w:val="bottom"/>
            <w:hideMark/>
          </w:tcPr>
          <w:p w14:paraId="758C871C" w14:textId="77777777"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Yes</w:t>
            </w:r>
          </w:p>
        </w:tc>
      </w:tr>
      <w:tr w:rsidR="00625D53" w:rsidRPr="004C511E" w14:paraId="528A939A" w14:textId="77777777" w:rsidTr="004A7A5F">
        <w:tblPrEx>
          <w:jc w:val="left"/>
          <w:tblBorders>
            <w:top w:val="none" w:sz="0" w:space="0" w:color="auto"/>
            <w:bottom w:val="none" w:sz="0" w:space="0" w:color="auto"/>
          </w:tblBorders>
        </w:tblPrEx>
        <w:trPr>
          <w:trHeight w:val="300"/>
        </w:trPr>
        <w:tc>
          <w:tcPr>
            <w:tcW w:w="1999" w:type="pct"/>
            <w:tcBorders>
              <w:top w:val="nil"/>
              <w:left w:val="nil"/>
              <w:bottom w:val="single" w:sz="4" w:space="0" w:color="auto"/>
              <w:right w:val="nil"/>
            </w:tcBorders>
            <w:shd w:val="clear" w:color="auto" w:fill="auto"/>
            <w:noWrap/>
            <w:vAlign w:val="bottom"/>
            <w:hideMark/>
          </w:tcPr>
          <w:p w14:paraId="43094F23" w14:textId="77777777" w:rsidR="00625D53" w:rsidRPr="00A705CD" w:rsidRDefault="00625D53" w:rsidP="00625D53">
            <w:pPr>
              <w:spacing w:after="0" w:line="240" w:lineRule="auto"/>
              <w:rPr>
                <w:rFonts w:ascii="Times New Roman" w:eastAsia="Times New Roman" w:hAnsi="Times New Roman" w:cs="Times New Roman"/>
                <w:color w:val="000000"/>
                <w:sz w:val="24"/>
                <w:szCs w:val="24"/>
                <w:lang w:eastAsia="en-GB"/>
              </w:rPr>
            </w:pPr>
            <w:r w:rsidRPr="00A705CD">
              <w:rPr>
                <w:rFonts w:ascii="Times New Roman" w:eastAsia="Times New Roman" w:hAnsi="Times New Roman" w:cs="Times New Roman"/>
                <w:color w:val="000000"/>
                <w:sz w:val="24"/>
                <w:szCs w:val="24"/>
                <w:lang w:eastAsia="en-GB"/>
              </w:rPr>
              <w:t>Model</w:t>
            </w:r>
          </w:p>
        </w:tc>
        <w:tc>
          <w:tcPr>
            <w:tcW w:w="1548" w:type="pct"/>
            <w:gridSpan w:val="2"/>
            <w:tcBorders>
              <w:top w:val="nil"/>
              <w:left w:val="nil"/>
              <w:bottom w:val="single" w:sz="4" w:space="0" w:color="auto"/>
              <w:right w:val="nil"/>
            </w:tcBorders>
            <w:shd w:val="clear" w:color="auto" w:fill="auto"/>
            <w:noWrap/>
            <w:vAlign w:val="bottom"/>
            <w:hideMark/>
          </w:tcPr>
          <w:p w14:paraId="572DD0DF" w14:textId="77777777"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OLS</w:t>
            </w:r>
          </w:p>
        </w:tc>
        <w:tc>
          <w:tcPr>
            <w:tcW w:w="1453" w:type="pct"/>
            <w:gridSpan w:val="3"/>
            <w:tcBorders>
              <w:top w:val="nil"/>
              <w:left w:val="nil"/>
              <w:bottom w:val="single" w:sz="4" w:space="0" w:color="auto"/>
              <w:right w:val="nil"/>
            </w:tcBorders>
            <w:shd w:val="clear" w:color="auto" w:fill="auto"/>
            <w:noWrap/>
            <w:vAlign w:val="bottom"/>
            <w:hideMark/>
          </w:tcPr>
          <w:p w14:paraId="13B2EF14" w14:textId="77777777" w:rsidR="00625D53" w:rsidRPr="00625D53" w:rsidRDefault="00625D53" w:rsidP="00625D53">
            <w:pPr>
              <w:spacing w:after="0" w:line="240" w:lineRule="auto"/>
              <w:jc w:val="center"/>
              <w:rPr>
                <w:rFonts w:ascii="Times New Roman" w:eastAsia="Times New Roman" w:hAnsi="Times New Roman" w:cs="Times New Roman"/>
                <w:color w:val="000000"/>
                <w:sz w:val="24"/>
                <w:szCs w:val="24"/>
                <w:lang w:val="en-US" w:eastAsia="en-GB"/>
              </w:rPr>
            </w:pPr>
            <w:r w:rsidRPr="00625D53">
              <w:rPr>
                <w:rFonts w:ascii="Times New Roman" w:eastAsia="Times New Roman" w:hAnsi="Times New Roman" w:cs="Times New Roman"/>
                <w:color w:val="000000"/>
                <w:sz w:val="24"/>
                <w:szCs w:val="24"/>
                <w:lang w:val="en-US" w:eastAsia="en-GB"/>
              </w:rPr>
              <w:t>OLS</w:t>
            </w:r>
          </w:p>
        </w:tc>
      </w:tr>
    </w:tbl>
    <w:p w14:paraId="0237DD9C" w14:textId="77777777" w:rsidR="00E57A11" w:rsidRPr="00DA1D07" w:rsidRDefault="00E57A11" w:rsidP="00E57A11">
      <w:pPr>
        <w:spacing w:line="240" w:lineRule="auto"/>
        <w:jc w:val="both"/>
        <w:rPr>
          <w:rFonts w:asciiTheme="majorBidi" w:eastAsia="Times New Roman" w:hAnsiTheme="majorBidi" w:cstheme="majorBidi"/>
          <w:sz w:val="24"/>
          <w:szCs w:val="24"/>
          <w:lang w:val="en-US"/>
        </w:rPr>
      </w:pPr>
    </w:p>
    <w:bookmarkEnd w:id="16"/>
    <w:p w14:paraId="343D5090" w14:textId="09805111" w:rsidR="004A7A5F" w:rsidRDefault="004A7A5F">
      <w:pPr>
        <w:rPr>
          <w:rFonts w:asciiTheme="majorBidi" w:eastAsia="Times New Roman" w:hAnsiTheme="majorBidi" w:cstheme="majorBidi"/>
          <w:b/>
          <w:bCs/>
          <w:sz w:val="24"/>
          <w:szCs w:val="24"/>
          <w:lang w:val="en-US"/>
        </w:rPr>
      </w:pPr>
      <w:r>
        <w:rPr>
          <w:rFonts w:asciiTheme="majorBidi" w:eastAsia="Times New Roman" w:hAnsiTheme="majorBidi" w:cstheme="majorBidi"/>
          <w:b/>
          <w:bCs/>
          <w:sz w:val="24"/>
          <w:szCs w:val="24"/>
          <w:lang w:val="en-US"/>
        </w:rPr>
        <w:br w:type="page"/>
      </w:r>
    </w:p>
    <w:p w14:paraId="2F486235" w14:textId="6658B989" w:rsidR="00E57A11" w:rsidRPr="00DA1D07" w:rsidRDefault="00E57A11" w:rsidP="00E57A11">
      <w:pPr>
        <w:jc w:val="center"/>
        <w:rPr>
          <w:rFonts w:ascii="Times New Roman" w:hAnsi="Times New Roman" w:cs="Times New Roman"/>
          <w:b/>
          <w:bCs/>
          <w:sz w:val="24"/>
          <w:szCs w:val="24"/>
          <w:lang w:val="en-US"/>
        </w:rPr>
      </w:pPr>
      <w:r w:rsidRPr="00DA1D07">
        <w:rPr>
          <w:rFonts w:ascii="Times New Roman" w:hAnsi="Times New Roman" w:cs="Times New Roman"/>
          <w:b/>
          <w:bCs/>
          <w:sz w:val="24"/>
          <w:szCs w:val="24"/>
          <w:lang w:val="en-US"/>
        </w:rPr>
        <w:lastRenderedPageBreak/>
        <w:t>TABLE 1</w:t>
      </w:r>
      <w:r w:rsidR="00A85564">
        <w:rPr>
          <w:rFonts w:ascii="Times New Roman" w:hAnsi="Times New Roman" w:cs="Times New Roman"/>
          <w:b/>
          <w:bCs/>
          <w:sz w:val="24"/>
          <w:szCs w:val="24"/>
          <w:lang w:val="en-US"/>
        </w:rPr>
        <w:t>0</w:t>
      </w:r>
    </w:p>
    <w:p w14:paraId="06EC5716" w14:textId="77777777" w:rsidR="00E57A11" w:rsidRPr="00DA1D07" w:rsidRDefault="00E57A11" w:rsidP="00E57A11">
      <w:pPr>
        <w:spacing w:line="240" w:lineRule="auto"/>
        <w:jc w:val="center"/>
        <w:rPr>
          <w:rFonts w:ascii="Times New Roman" w:hAnsi="Times New Roman" w:cs="Times New Roman"/>
          <w:b/>
          <w:bCs/>
          <w:sz w:val="24"/>
          <w:szCs w:val="24"/>
          <w:lang w:val="en-US"/>
        </w:rPr>
      </w:pPr>
      <w:r w:rsidRPr="00DA1D07">
        <w:rPr>
          <w:rFonts w:ascii="Times New Roman" w:hAnsi="Times New Roman" w:cs="Times New Roman"/>
          <w:b/>
          <w:bCs/>
          <w:sz w:val="24"/>
          <w:szCs w:val="24"/>
          <w:lang w:val="en-US"/>
        </w:rPr>
        <w:t>Robustness Tests</w:t>
      </w:r>
    </w:p>
    <w:p w14:paraId="33D59393" w14:textId="413F2070" w:rsidR="00E57A11" w:rsidRPr="00DA1D07" w:rsidRDefault="00E57A11" w:rsidP="00CE1268">
      <w:pPr>
        <w:spacing w:line="240" w:lineRule="auto"/>
        <w:jc w:val="both"/>
        <w:rPr>
          <w:rFonts w:asciiTheme="majorBidi" w:eastAsia="Times New Roman" w:hAnsiTheme="majorBidi" w:cstheme="majorBidi"/>
          <w:sz w:val="24"/>
          <w:szCs w:val="24"/>
          <w:lang w:val="en-US"/>
        </w:rPr>
      </w:pPr>
      <w:r w:rsidRPr="00DA1D07">
        <w:rPr>
          <w:rFonts w:asciiTheme="majorBidi" w:hAnsiTheme="majorBidi" w:cstheme="majorBidi"/>
          <w:sz w:val="24"/>
          <w:szCs w:val="24"/>
          <w:lang w:val="en-US"/>
        </w:rPr>
        <w:t xml:space="preserve">This table reports robustness tests. Panel A presents OLS regressions where the dependent </w:t>
      </w:r>
      <w:r w:rsidRPr="00CE1268">
        <w:rPr>
          <w:rFonts w:asciiTheme="majorBidi" w:hAnsiTheme="majorBidi" w:cstheme="majorBidi"/>
          <w:sz w:val="24"/>
          <w:szCs w:val="24"/>
          <w:lang w:val="en-US"/>
        </w:rPr>
        <w:t xml:space="preserve">variables are </w:t>
      </w:r>
      <w:r w:rsidR="00CE1268" w:rsidRPr="00AE3F87">
        <w:rPr>
          <w:rFonts w:asciiTheme="majorBidi" w:eastAsia="Times New Roman" w:hAnsiTheme="majorBidi" w:cstheme="majorBidi"/>
          <w:color w:val="000000"/>
          <w:sz w:val="24"/>
          <w:szCs w:val="24"/>
          <w:lang w:val="en-US" w:eastAsia="en-GB"/>
        </w:rPr>
        <w:t>scaled by total assets</w:t>
      </w:r>
      <w:r w:rsidRPr="00AE3F87">
        <w:rPr>
          <w:rFonts w:asciiTheme="majorBidi" w:hAnsiTheme="majorBidi" w:cstheme="majorBidi"/>
          <w:i/>
          <w:iCs/>
          <w:sz w:val="24"/>
          <w:szCs w:val="24"/>
          <w:lang w:val="en-US"/>
        </w:rPr>
        <w:t>.</w:t>
      </w:r>
      <w:r w:rsidRPr="00DA1D07">
        <w:rPr>
          <w:rFonts w:asciiTheme="majorBidi" w:hAnsiTheme="majorBidi" w:cstheme="majorBidi"/>
          <w:sz w:val="24"/>
          <w:szCs w:val="24"/>
          <w:lang w:val="en-US"/>
        </w:rPr>
        <w:t xml:space="preserve"> Panel B reports coefficients from OLS</w:t>
      </w:r>
      <w:r w:rsidR="00E30534">
        <w:rPr>
          <w:rFonts w:asciiTheme="majorBidi" w:hAnsiTheme="majorBidi" w:cstheme="majorBidi"/>
          <w:sz w:val="24"/>
          <w:szCs w:val="24"/>
          <w:lang w:val="en-US"/>
        </w:rPr>
        <w:t xml:space="preserve"> and Poisson</w:t>
      </w:r>
      <w:r w:rsidRPr="00DA1D07">
        <w:rPr>
          <w:rFonts w:asciiTheme="majorBidi" w:hAnsiTheme="majorBidi" w:cstheme="majorBidi"/>
          <w:sz w:val="24"/>
          <w:szCs w:val="24"/>
          <w:lang w:val="en-US"/>
        </w:rPr>
        <w:t xml:space="preserve"> regressions </w:t>
      </w:r>
      <w:r w:rsidRPr="00DA1D07">
        <w:rPr>
          <w:rFonts w:asciiTheme="majorBidi" w:eastAsia="Times New Roman" w:hAnsiTheme="majorBidi" w:cstheme="majorBidi"/>
          <w:color w:val="000000"/>
          <w:sz w:val="24"/>
          <w:szCs w:val="24"/>
          <w:lang w:val="en-US" w:eastAsia="zh-CN"/>
        </w:rPr>
        <w:t>on a subsample matched on size</w:t>
      </w:r>
      <w:r w:rsidR="00F15FC4">
        <w:rPr>
          <w:rFonts w:asciiTheme="majorBidi" w:eastAsia="Times New Roman" w:hAnsiTheme="majorBidi" w:cstheme="majorBidi"/>
          <w:color w:val="000000"/>
          <w:sz w:val="24"/>
          <w:szCs w:val="24"/>
          <w:lang w:val="en-US" w:eastAsia="zh-CN"/>
        </w:rPr>
        <w:t xml:space="preserve">, </w:t>
      </w:r>
      <w:r w:rsidR="00967855" w:rsidRPr="00DA1D07">
        <w:rPr>
          <w:rFonts w:asciiTheme="majorBidi" w:eastAsia="Times New Roman" w:hAnsiTheme="majorBidi" w:cstheme="majorBidi"/>
          <w:color w:val="000000"/>
          <w:sz w:val="24"/>
          <w:szCs w:val="24"/>
          <w:lang w:val="en-US" w:eastAsia="zh-CN"/>
        </w:rPr>
        <w:t>industry,</w:t>
      </w:r>
      <w:r w:rsidR="00F15FC4">
        <w:rPr>
          <w:rFonts w:asciiTheme="majorBidi" w:eastAsia="Times New Roman" w:hAnsiTheme="majorBidi" w:cstheme="majorBidi"/>
          <w:color w:val="000000"/>
          <w:sz w:val="24"/>
          <w:szCs w:val="24"/>
          <w:lang w:val="en-US" w:eastAsia="zh-CN"/>
        </w:rPr>
        <w:t xml:space="preserve"> and year</w:t>
      </w:r>
      <w:r w:rsidRPr="00DA1D07">
        <w:rPr>
          <w:rFonts w:asciiTheme="majorBidi" w:eastAsia="Times New Roman" w:hAnsiTheme="majorBidi" w:cstheme="majorBidi"/>
          <w:color w:val="000000"/>
          <w:sz w:val="24"/>
          <w:szCs w:val="24"/>
          <w:lang w:val="en-US" w:eastAsia="zh-CN"/>
        </w:rPr>
        <w:t xml:space="preserve">. Panel C reports </w:t>
      </w:r>
      <w:r w:rsidRPr="00DA1D07">
        <w:rPr>
          <w:rFonts w:asciiTheme="majorBidi" w:eastAsia="Times New Roman" w:hAnsiTheme="majorBidi" w:cstheme="majorBidi"/>
          <w:sz w:val="24"/>
          <w:szCs w:val="24"/>
          <w:lang w:val="en-US"/>
        </w:rPr>
        <w:t>the estimation results from OLS regressions</w:t>
      </w:r>
      <w:r w:rsidRPr="00DA1D07">
        <w:rPr>
          <w:rFonts w:asciiTheme="majorBidi" w:eastAsia="Times New Roman" w:hAnsiTheme="majorBidi" w:cstheme="majorBidi"/>
          <w:color w:val="000000"/>
          <w:sz w:val="24"/>
          <w:szCs w:val="24"/>
          <w:lang w:val="en-US" w:eastAsia="zh-CN"/>
        </w:rPr>
        <w:t xml:space="preserve"> testing the indirect mechanisms on subsample of firms </w:t>
      </w:r>
      <w:r w:rsidRPr="00DA1D07">
        <w:rPr>
          <w:rFonts w:asciiTheme="majorBidi" w:hAnsiTheme="majorBidi" w:cstheme="majorBidi"/>
          <w:sz w:val="24"/>
          <w:szCs w:val="24"/>
          <w:lang w:val="en-US"/>
        </w:rPr>
        <w:t xml:space="preserve">not subject to M&amp;A transactions. </w:t>
      </w:r>
      <w:r w:rsidR="00E30534">
        <w:rPr>
          <w:rFonts w:asciiTheme="majorBidi" w:hAnsiTheme="majorBidi" w:cstheme="majorBidi"/>
          <w:sz w:val="24"/>
          <w:szCs w:val="24"/>
          <w:lang w:val="en-US"/>
        </w:rPr>
        <w:t xml:space="preserve">Panel D reports estimation results from OLS regressions with controls for alternative CEO </w:t>
      </w:r>
      <w:r w:rsidR="00CE1268">
        <w:rPr>
          <w:rFonts w:asciiTheme="majorBidi" w:hAnsiTheme="majorBidi" w:cstheme="majorBidi"/>
          <w:sz w:val="24"/>
          <w:szCs w:val="24"/>
          <w:lang w:val="en-US"/>
        </w:rPr>
        <w:t>i</w:t>
      </w:r>
      <w:r w:rsidR="00E30534">
        <w:rPr>
          <w:rFonts w:asciiTheme="majorBidi" w:hAnsiTheme="majorBidi" w:cstheme="majorBidi"/>
          <w:sz w:val="24"/>
          <w:szCs w:val="24"/>
          <w:lang w:val="en-US"/>
        </w:rPr>
        <w:t xml:space="preserve">ncentives. </w:t>
      </w:r>
      <w:r w:rsidR="00CE1268">
        <w:rPr>
          <w:rFonts w:asciiTheme="majorBidi" w:hAnsiTheme="majorBidi" w:cstheme="majorBidi"/>
          <w:sz w:val="24"/>
          <w:szCs w:val="24"/>
          <w:lang w:val="en-US"/>
        </w:rPr>
        <w:t>All models include the set of controls used in our baseline regression (i.e.</w:t>
      </w:r>
      <w:r w:rsidR="00C01AEC">
        <w:rPr>
          <w:rFonts w:asciiTheme="majorBidi" w:hAnsiTheme="majorBidi" w:cstheme="majorBidi"/>
          <w:sz w:val="24"/>
          <w:szCs w:val="24"/>
          <w:lang w:val="en-US"/>
        </w:rPr>
        <w:t xml:space="preserve"> </w:t>
      </w:r>
      <w:r w:rsidR="00CE1268" w:rsidRPr="00AE3F87">
        <w:rPr>
          <w:rFonts w:asciiTheme="majorBidi" w:hAnsiTheme="majorBidi" w:cstheme="majorBidi"/>
          <w:i/>
          <w:iCs/>
          <w:sz w:val="24"/>
          <w:szCs w:val="24"/>
          <w:lang w:val="en-US"/>
        </w:rPr>
        <w:t>Leverage, Employees, Market-to-Book, Tangibility</w:t>
      </w:r>
      <w:r w:rsidR="00CE1268">
        <w:rPr>
          <w:rFonts w:asciiTheme="majorBidi" w:hAnsiTheme="majorBidi" w:cstheme="majorBidi"/>
          <w:i/>
          <w:iCs/>
          <w:sz w:val="24"/>
          <w:szCs w:val="24"/>
          <w:lang w:val="en-US"/>
        </w:rPr>
        <w:t xml:space="preserve">, </w:t>
      </w:r>
      <w:proofErr w:type="spellStart"/>
      <w:r w:rsidR="00CE1268" w:rsidRPr="00AE3F87">
        <w:rPr>
          <w:rFonts w:asciiTheme="majorBidi" w:hAnsiTheme="majorBidi" w:cstheme="majorBidi"/>
          <w:i/>
          <w:iCs/>
          <w:sz w:val="24"/>
          <w:szCs w:val="24"/>
          <w:lang w:val="en-US"/>
        </w:rPr>
        <w:t>CashFlow</w:t>
      </w:r>
      <w:proofErr w:type="spellEnd"/>
      <w:r w:rsidR="00CE1268" w:rsidRPr="00AE3F87">
        <w:rPr>
          <w:rFonts w:asciiTheme="majorBidi" w:hAnsiTheme="majorBidi" w:cstheme="majorBidi"/>
          <w:i/>
          <w:iCs/>
          <w:sz w:val="24"/>
          <w:szCs w:val="24"/>
          <w:lang w:val="en-US"/>
        </w:rPr>
        <w:t xml:space="preserve">, </w:t>
      </w:r>
      <w:proofErr w:type="spellStart"/>
      <w:r w:rsidR="00CE1268" w:rsidRPr="00AE3F87">
        <w:rPr>
          <w:rFonts w:asciiTheme="majorBidi" w:hAnsiTheme="majorBidi" w:cstheme="majorBidi"/>
          <w:i/>
          <w:iCs/>
          <w:sz w:val="24"/>
          <w:szCs w:val="24"/>
          <w:lang w:val="en-US"/>
        </w:rPr>
        <w:t>DividendsPayout</w:t>
      </w:r>
      <w:proofErr w:type="spellEnd"/>
      <w:r w:rsidR="00CE1268" w:rsidRPr="00AE3F87">
        <w:rPr>
          <w:rFonts w:asciiTheme="majorBidi" w:hAnsiTheme="majorBidi" w:cstheme="majorBidi"/>
          <w:i/>
          <w:iCs/>
          <w:sz w:val="24"/>
          <w:szCs w:val="24"/>
          <w:lang w:val="en-US"/>
        </w:rPr>
        <w:t xml:space="preserve">, </w:t>
      </w:r>
      <w:proofErr w:type="spellStart"/>
      <w:r w:rsidR="00CE1268" w:rsidRPr="00AE3F87">
        <w:rPr>
          <w:rFonts w:asciiTheme="majorBidi" w:hAnsiTheme="majorBidi" w:cstheme="majorBidi"/>
          <w:i/>
          <w:iCs/>
          <w:sz w:val="24"/>
          <w:szCs w:val="24"/>
          <w:lang w:val="en-US"/>
        </w:rPr>
        <w:t>AssetTurnover</w:t>
      </w:r>
      <w:proofErr w:type="spellEnd"/>
      <w:r w:rsidR="00CE1268" w:rsidRPr="00AE3F87">
        <w:rPr>
          <w:rFonts w:asciiTheme="majorBidi" w:hAnsiTheme="majorBidi" w:cstheme="majorBidi"/>
          <w:i/>
          <w:iCs/>
          <w:sz w:val="24"/>
          <w:szCs w:val="24"/>
          <w:lang w:val="en-US"/>
        </w:rPr>
        <w:t xml:space="preserve">, Capex, RET, </w:t>
      </w:r>
      <w:proofErr w:type="spellStart"/>
      <w:r w:rsidR="00CE1268" w:rsidRPr="00AE3F87">
        <w:rPr>
          <w:rFonts w:asciiTheme="majorBidi" w:hAnsiTheme="majorBidi" w:cstheme="majorBidi"/>
          <w:i/>
          <w:iCs/>
          <w:sz w:val="24"/>
          <w:szCs w:val="24"/>
          <w:lang w:val="en-US"/>
        </w:rPr>
        <w:t>CEOage</w:t>
      </w:r>
      <w:proofErr w:type="spellEnd"/>
      <w:r w:rsidR="00CE1268" w:rsidRPr="00AE3F87">
        <w:rPr>
          <w:rFonts w:asciiTheme="majorBidi" w:hAnsiTheme="majorBidi" w:cstheme="majorBidi"/>
          <w:i/>
          <w:iCs/>
          <w:sz w:val="24"/>
          <w:szCs w:val="24"/>
          <w:lang w:val="en-US"/>
        </w:rPr>
        <w:t xml:space="preserve">, </w:t>
      </w:r>
      <w:r w:rsidR="00CE1268" w:rsidRPr="00CE1268">
        <w:rPr>
          <w:rFonts w:asciiTheme="majorBidi" w:hAnsiTheme="majorBidi" w:cstheme="majorBidi"/>
          <w:sz w:val="24"/>
          <w:szCs w:val="24"/>
          <w:lang w:val="en-US"/>
        </w:rPr>
        <w:t>and</w:t>
      </w:r>
      <w:r w:rsidR="00CE1268" w:rsidRPr="00AE3F87">
        <w:rPr>
          <w:rFonts w:asciiTheme="majorBidi" w:hAnsiTheme="majorBidi" w:cstheme="majorBidi"/>
          <w:i/>
          <w:iCs/>
          <w:sz w:val="24"/>
          <w:szCs w:val="24"/>
          <w:lang w:val="en-US"/>
        </w:rPr>
        <w:t xml:space="preserve"> </w:t>
      </w:r>
      <w:proofErr w:type="spellStart"/>
      <w:r w:rsidR="00CE1268" w:rsidRPr="00AE3F87">
        <w:rPr>
          <w:rFonts w:asciiTheme="majorBidi" w:hAnsiTheme="majorBidi" w:cstheme="majorBidi"/>
          <w:i/>
          <w:iCs/>
          <w:sz w:val="24"/>
          <w:szCs w:val="24"/>
          <w:lang w:val="en-US"/>
        </w:rPr>
        <w:t>CEOtenure</w:t>
      </w:r>
      <w:proofErr w:type="spellEnd"/>
      <w:r w:rsidR="00CE1268">
        <w:rPr>
          <w:rFonts w:asciiTheme="majorBidi" w:hAnsiTheme="majorBidi" w:cstheme="majorBidi"/>
          <w:sz w:val="24"/>
          <w:szCs w:val="24"/>
          <w:lang w:val="en-US"/>
        </w:rPr>
        <w:t>),</w:t>
      </w:r>
      <w:r w:rsidR="00CE1268" w:rsidRPr="00CE1268">
        <w:rPr>
          <w:rFonts w:asciiTheme="majorBidi" w:eastAsia="Times New Roman" w:hAnsiTheme="majorBidi" w:cstheme="majorBidi"/>
          <w:sz w:val="24"/>
          <w:szCs w:val="24"/>
          <w:lang w:val="en-US"/>
        </w:rPr>
        <w:t xml:space="preserve"> </w:t>
      </w:r>
      <w:r w:rsidR="006D0CE5">
        <w:rPr>
          <w:rFonts w:asciiTheme="majorBidi" w:eastAsia="Times New Roman" w:hAnsiTheme="majorBidi" w:cstheme="majorBidi"/>
          <w:sz w:val="24"/>
          <w:szCs w:val="24"/>
          <w:lang w:val="en-US"/>
        </w:rPr>
        <w:t xml:space="preserve">as well as </w:t>
      </w:r>
      <w:r w:rsidR="00CE1268" w:rsidRPr="00DA1D07">
        <w:rPr>
          <w:rFonts w:asciiTheme="majorBidi" w:eastAsia="Times New Roman" w:hAnsiTheme="majorBidi" w:cstheme="majorBidi"/>
          <w:sz w:val="24"/>
          <w:szCs w:val="24"/>
          <w:lang w:val="en-US"/>
        </w:rPr>
        <w:t>firm and year fixed effects</w:t>
      </w:r>
      <w:r w:rsidR="00CE1268">
        <w:rPr>
          <w:rFonts w:asciiTheme="majorBidi" w:eastAsia="Times New Roman" w:hAnsiTheme="majorBidi" w:cstheme="majorBidi"/>
          <w:sz w:val="24"/>
          <w:szCs w:val="24"/>
          <w:lang w:val="en-US"/>
        </w:rPr>
        <w:t>.</w:t>
      </w:r>
      <w:r w:rsidR="00CE1268">
        <w:rPr>
          <w:rFonts w:asciiTheme="majorBidi" w:hAnsiTheme="majorBidi" w:cstheme="majorBidi"/>
          <w:sz w:val="24"/>
          <w:szCs w:val="24"/>
          <w:lang w:val="en-US"/>
        </w:rPr>
        <w:t xml:space="preserve"> </w:t>
      </w:r>
      <w:r w:rsidRPr="00DA1D07">
        <w:rPr>
          <w:rFonts w:asciiTheme="majorBidi" w:eastAsia="Times New Roman" w:hAnsiTheme="majorBidi" w:cstheme="majorBidi"/>
          <w:sz w:val="24"/>
          <w:szCs w:val="24"/>
          <w:lang w:val="en-US"/>
        </w:rPr>
        <w:t xml:space="preserve">The definitions of all variables are provided in Appendix </w:t>
      </w:r>
      <w:r w:rsidR="006B635B">
        <w:rPr>
          <w:rFonts w:asciiTheme="majorBidi" w:eastAsia="Times New Roman" w:hAnsiTheme="majorBidi" w:cstheme="majorBidi"/>
          <w:sz w:val="24"/>
          <w:szCs w:val="24"/>
          <w:lang w:val="en-US"/>
        </w:rPr>
        <w:t>1</w:t>
      </w:r>
      <w:r w:rsidRPr="00DA1D07">
        <w:rPr>
          <w:rFonts w:asciiTheme="majorBidi" w:eastAsia="Times New Roman" w:hAnsiTheme="majorBidi" w:cstheme="majorBidi"/>
          <w:sz w:val="24"/>
          <w:szCs w:val="24"/>
          <w:lang w:val="en-US"/>
        </w:rPr>
        <w:t xml:space="preserve">. The values reported in parentheses below coefficients represent t-statistics. Standard errors are clustered at </w:t>
      </w:r>
      <w:r w:rsidR="003C0260">
        <w:rPr>
          <w:rFonts w:asciiTheme="majorBidi" w:eastAsia="Times New Roman" w:hAnsiTheme="majorBidi" w:cstheme="majorBidi"/>
          <w:sz w:val="24"/>
          <w:szCs w:val="24"/>
          <w:lang w:val="en-US"/>
        </w:rPr>
        <w:t xml:space="preserve">the </w:t>
      </w:r>
      <w:r w:rsidRPr="00DA1D07">
        <w:rPr>
          <w:rFonts w:asciiTheme="majorBidi" w:eastAsia="Times New Roman" w:hAnsiTheme="majorBidi" w:cstheme="majorBidi"/>
          <w:sz w:val="24"/>
          <w:szCs w:val="24"/>
          <w:lang w:val="en-US"/>
        </w:rPr>
        <w:t>firm level.  *, **, *** represent significance at 1</w:t>
      </w:r>
      <w:r w:rsidR="003C0260">
        <w:rPr>
          <w:rFonts w:asciiTheme="majorBidi" w:eastAsia="Times New Roman" w:hAnsiTheme="majorBidi" w:cstheme="majorBidi"/>
          <w:sz w:val="24"/>
          <w:szCs w:val="24"/>
          <w:lang w:val="en-US"/>
        </w:rPr>
        <w:t>0</w:t>
      </w:r>
      <w:r w:rsidRPr="00DA1D07">
        <w:rPr>
          <w:rFonts w:asciiTheme="majorBidi" w:eastAsia="Times New Roman" w:hAnsiTheme="majorBidi" w:cstheme="majorBidi"/>
          <w:sz w:val="24"/>
          <w:szCs w:val="24"/>
          <w:lang w:val="en-US"/>
        </w:rPr>
        <w:t xml:space="preserve">%, 5%, and 1% respectively.  </w:t>
      </w:r>
    </w:p>
    <w:p w14:paraId="238B4B2A" w14:textId="77777777" w:rsidR="00E57A11" w:rsidRPr="00DA1D07" w:rsidRDefault="00E57A11" w:rsidP="00E57A11">
      <w:pPr>
        <w:spacing w:line="240" w:lineRule="auto"/>
        <w:rPr>
          <w:rFonts w:ascii="Times New Roman" w:hAnsi="Times New Roman" w:cs="Times New Roman"/>
          <w:b/>
          <w:bCs/>
          <w:sz w:val="24"/>
          <w:szCs w:val="24"/>
          <w:lang w:val="en-US"/>
        </w:rPr>
      </w:pPr>
      <w:r w:rsidRPr="00DA1D07">
        <w:rPr>
          <w:rFonts w:ascii="Times New Roman" w:hAnsi="Times New Roman" w:cs="Times New Roman"/>
          <w:b/>
          <w:bCs/>
          <w:sz w:val="24"/>
          <w:szCs w:val="24"/>
          <w:lang w:val="en-US"/>
        </w:rPr>
        <w:t>Panel A: Dependent Variables Scaled by Total Assets</w:t>
      </w:r>
    </w:p>
    <w:tbl>
      <w:tblPr>
        <w:tblW w:w="5000" w:type="pct"/>
        <w:jc w:val="center"/>
        <w:tblLook w:val="04A0" w:firstRow="1" w:lastRow="0" w:firstColumn="1" w:lastColumn="0" w:noHBand="0" w:noVBand="1"/>
      </w:tblPr>
      <w:tblGrid>
        <w:gridCol w:w="3172"/>
        <w:gridCol w:w="2991"/>
        <w:gridCol w:w="2863"/>
      </w:tblGrid>
      <w:tr w:rsidR="00E57A11" w:rsidRPr="00F62082" w14:paraId="285C0AC8" w14:textId="77777777" w:rsidTr="002753C1">
        <w:trPr>
          <w:trHeight w:val="57"/>
          <w:jc w:val="center"/>
        </w:trPr>
        <w:tc>
          <w:tcPr>
            <w:tcW w:w="1757" w:type="pct"/>
            <w:tcBorders>
              <w:top w:val="single" w:sz="4" w:space="0" w:color="auto"/>
              <w:left w:val="nil"/>
              <w:right w:val="nil"/>
            </w:tcBorders>
            <w:shd w:val="clear" w:color="000000" w:fill="FFFFFF"/>
            <w:noWrap/>
            <w:vAlign w:val="bottom"/>
            <w:hideMark/>
          </w:tcPr>
          <w:p w14:paraId="31CF5F27" w14:textId="77777777" w:rsidR="00E57A11" w:rsidRPr="00DA1D07" w:rsidRDefault="00E57A11" w:rsidP="002753C1">
            <w:pPr>
              <w:spacing w:after="0" w:line="240" w:lineRule="auto"/>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 </w:t>
            </w:r>
          </w:p>
        </w:tc>
        <w:tc>
          <w:tcPr>
            <w:tcW w:w="1657" w:type="pct"/>
            <w:tcBorders>
              <w:top w:val="single" w:sz="4" w:space="0" w:color="auto"/>
              <w:left w:val="nil"/>
              <w:right w:val="nil"/>
            </w:tcBorders>
            <w:shd w:val="clear" w:color="000000" w:fill="FFFFFF" w:themeFill="background1"/>
            <w:noWrap/>
            <w:vAlign w:val="bottom"/>
            <w:hideMark/>
          </w:tcPr>
          <w:p w14:paraId="7B822D49"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w:t>
            </w:r>
          </w:p>
        </w:tc>
        <w:tc>
          <w:tcPr>
            <w:tcW w:w="1586" w:type="pct"/>
            <w:tcBorders>
              <w:top w:val="single" w:sz="4" w:space="0" w:color="auto"/>
              <w:left w:val="nil"/>
              <w:right w:val="nil"/>
            </w:tcBorders>
            <w:shd w:val="clear" w:color="000000" w:fill="FFFFFF" w:themeFill="background1"/>
            <w:noWrap/>
            <w:vAlign w:val="bottom"/>
            <w:hideMark/>
          </w:tcPr>
          <w:p w14:paraId="4C104CB8"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(2)</w:t>
            </w:r>
          </w:p>
        </w:tc>
      </w:tr>
      <w:tr w:rsidR="00E57A11" w:rsidRPr="00F62082" w14:paraId="29F03CD9" w14:textId="77777777" w:rsidTr="002753C1">
        <w:trPr>
          <w:trHeight w:val="57"/>
          <w:jc w:val="center"/>
        </w:trPr>
        <w:tc>
          <w:tcPr>
            <w:tcW w:w="1757" w:type="pct"/>
            <w:tcBorders>
              <w:top w:val="nil"/>
              <w:left w:val="nil"/>
              <w:bottom w:val="single" w:sz="4" w:space="0" w:color="auto"/>
              <w:right w:val="nil"/>
            </w:tcBorders>
            <w:shd w:val="clear" w:color="000000" w:fill="FFFFFF"/>
            <w:noWrap/>
            <w:vAlign w:val="bottom"/>
          </w:tcPr>
          <w:p w14:paraId="6E166F9F" w14:textId="77777777" w:rsidR="00E57A11" w:rsidRPr="00DA1D07" w:rsidRDefault="00E57A11" w:rsidP="002753C1">
            <w:pPr>
              <w:spacing w:line="240" w:lineRule="auto"/>
              <w:rPr>
                <w:rFonts w:asciiTheme="majorBidi" w:eastAsia="Times New Roman" w:hAnsiTheme="majorBidi" w:cstheme="majorBidi"/>
                <w:color w:val="000000"/>
                <w:sz w:val="24"/>
                <w:szCs w:val="24"/>
                <w:lang w:val="en-US" w:eastAsia="en-GB"/>
              </w:rPr>
            </w:pPr>
          </w:p>
        </w:tc>
        <w:tc>
          <w:tcPr>
            <w:tcW w:w="1657" w:type="pct"/>
            <w:tcBorders>
              <w:top w:val="nil"/>
              <w:left w:val="nil"/>
              <w:bottom w:val="single" w:sz="4" w:space="0" w:color="auto"/>
              <w:right w:val="nil"/>
            </w:tcBorders>
            <w:shd w:val="clear" w:color="000000" w:fill="FFFFFF"/>
            <w:noWrap/>
            <w:hideMark/>
          </w:tcPr>
          <w:p w14:paraId="6DC52636" w14:textId="77777777" w:rsidR="00E57A11" w:rsidRPr="00DA1D07" w:rsidRDefault="00E57A11" w:rsidP="002753C1">
            <w:pPr>
              <w:spacing w:line="240" w:lineRule="auto"/>
              <w:jc w:val="center"/>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ln(</w:t>
            </w:r>
            <w:proofErr w:type="spellStart"/>
            <w:r w:rsidRPr="00DA1D07">
              <w:rPr>
                <w:rFonts w:asciiTheme="majorBidi" w:eastAsia="Times New Roman" w:hAnsiTheme="majorBidi" w:cstheme="majorBidi"/>
                <w:i/>
                <w:iCs/>
                <w:color w:val="000000"/>
                <w:sz w:val="24"/>
                <w:szCs w:val="24"/>
                <w:lang w:val="en-US" w:eastAsia="en-GB"/>
              </w:rPr>
              <w:t>Scaled_Violations</w:t>
            </w:r>
            <w:proofErr w:type="spellEnd"/>
            <w:r w:rsidRPr="00DA1D07">
              <w:rPr>
                <w:rFonts w:asciiTheme="majorBidi" w:eastAsia="Times New Roman" w:hAnsiTheme="majorBidi" w:cstheme="majorBidi"/>
                <w:i/>
                <w:iCs/>
                <w:color w:val="000000"/>
                <w:sz w:val="24"/>
                <w:szCs w:val="24"/>
                <w:lang w:val="en-US" w:eastAsia="en-GB"/>
              </w:rPr>
              <w:t>)</w:t>
            </w:r>
          </w:p>
        </w:tc>
        <w:tc>
          <w:tcPr>
            <w:tcW w:w="1586" w:type="pct"/>
            <w:tcBorders>
              <w:top w:val="nil"/>
              <w:left w:val="nil"/>
              <w:bottom w:val="single" w:sz="4" w:space="0" w:color="auto"/>
              <w:right w:val="nil"/>
            </w:tcBorders>
            <w:shd w:val="clear" w:color="auto" w:fill="auto"/>
            <w:noWrap/>
            <w:vAlign w:val="bottom"/>
            <w:hideMark/>
          </w:tcPr>
          <w:p w14:paraId="3F57E4C5" w14:textId="77777777" w:rsidR="00E57A11" w:rsidRPr="00DA1D07" w:rsidRDefault="00E57A11" w:rsidP="002753C1">
            <w:pPr>
              <w:spacing w:line="240" w:lineRule="auto"/>
              <w:jc w:val="center"/>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ln(</w:t>
            </w:r>
            <w:proofErr w:type="spellStart"/>
            <w:r w:rsidRPr="00DA1D07">
              <w:rPr>
                <w:rFonts w:asciiTheme="majorBidi" w:eastAsia="Times New Roman" w:hAnsiTheme="majorBidi" w:cstheme="majorBidi"/>
                <w:i/>
                <w:iCs/>
                <w:color w:val="000000"/>
                <w:sz w:val="24"/>
                <w:szCs w:val="24"/>
                <w:lang w:val="en-US" w:eastAsia="en-GB"/>
              </w:rPr>
              <w:t>Scaled_Penalties</w:t>
            </w:r>
            <w:proofErr w:type="spellEnd"/>
            <w:r w:rsidRPr="00DA1D07">
              <w:rPr>
                <w:rFonts w:asciiTheme="majorBidi" w:eastAsia="Times New Roman" w:hAnsiTheme="majorBidi" w:cstheme="majorBidi"/>
                <w:i/>
                <w:iCs/>
                <w:color w:val="000000"/>
                <w:sz w:val="24"/>
                <w:szCs w:val="24"/>
                <w:lang w:val="en-US" w:eastAsia="en-GB"/>
              </w:rPr>
              <w:t>)</w:t>
            </w:r>
          </w:p>
        </w:tc>
      </w:tr>
      <w:tr w:rsidR="00E57A11" w:rsidRPr="00F62082" w14:paraId="26472D7C" w14:textId="77777777" w:rsidTr="00306538">
        <w:trPr>
          <w:trHeight w:val="57"/>
          <w:jc w:val="center"/>
        </w:trPr>
        <w:tc>
          <w:tcPr>
            <w:tcW w:w="1757" w:type="pct"/>
            <w:tcBorders>
              <w:top w:val="single" w:sz="4" w:space="0" w:color="auto"/>
              <w:left w:val="nil"/>
              <w:bottom w:val="nil"/>
              <w:right w:val="nil"/>
            </w:tcBorders>
            <w:shd w:val="clear" w:color="auto" w:fill="D9D9D9" w:themeFill="background1" w:themeFillShade="D9"/>
            <w:noWrap/>
            <w:vAlign w:val="center"/>
            <w:hideMark/>
          </w:tcPr>
          <w:p w14:paraId="005B1E2A"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Vega</w:t>
            </w:r>
          </w:p>
        </w:tc>
        <w:tc>
          <w:tcPr>
            <w:tcW w:w="1657" w:type="pct"/>
            <w:tcBorders>
              <w:top w:val="single" w:sz="4" w:space="0" w:color="auto"/>
              <w:left w:val="nil"/>
              <w:bottom w:val="nil"/>
              <w:right w:val="nil"/>
            </w:tcBorders>
            <w:shd w:val="clear" w:color="auto" w:fill="D9D9D9" w:themeFill="background1" w:themeFillShade="D9"/>
            <w:noWrap/>
            <w:vAlign w:val="bottom"/>
            <w:hideMark/>
          </w:tcPr>
          <w:p w14:paraId="42A0CFC1"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0.053*</w:t>
            </w:r>
          </w:p>
        </w:tc>
        <w:tc>
          <w:tcPr>
            <w:tcW w:w="1586" w:type="pct"/>
            <w:tcBorders>
              <w:top w:val="single" w:sz="4" w:space="0" w:color="auto"/>
              <w:left w:val="nil"/>
              <w:bottom w:val="nil"/>
              <w:right w:val="nil"/>
            </w:tcBorders>
            <w:shd w:val="clear" w:color="auto" w:fill="D9D9D9" w:themeFill="background1" w:themeFillShade="D9"/>
            <w:noWrap/>
            <w:vAlign w:val="bottom"/>
            <w:hideMark/>
          </w:tcPr>
          <w:p w14:paraId="2E4EF62F"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0.069*</w:t>
            </w:r>
          </w:p>
        </w:tc>
      </w:tr>
      <w:tr w:rsidR="00E57A11" w:rsidRPr="00F62082" w14:paraId="66FD7A34" w14:textId="77777777" w:rsidTr="00306538">
        <w:trPr>
          <w:trHeight w:val="57"/>
          <w:jc w:val="center"/>
        </w:trPr>
        <w:tc>
          <w:tcPr>
            <w:tcW w:w="1757" w:type="pct"/>
            <w:tcBorders>
              <w:top w:val="nil"/>
              <w:left w:val="nil"/>
              <w:bottom w:val="nil"/>
              <w:right w:val="nil"/>
            </w:tcBorders>
            <w:shd w:val="clear" w:color="auto" w:fill="D9D9D9" w:themeFill="background1" w:themeFillShade="D9"/>
            <w:noWrap/>
            <w:vAlign w:val="bottom"/>
            <w:hideMark/>
          </w:tcPr>
          <w:p w14:paraId="13A8C1AB"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 </w:t>
            </w:r>
          </w:p>
        </w:tc>
        <w:tc>
          <w:tcPr>
            <w:tcW w:w="1657" w:type="pct"/>
            <w:tcBorders>
              <w:top w:val="nil"/>
              <w:left w:val="nil"/>
              <w:bottom w:val="nil"/>
              <w:right w:val="nil"/>
            </w:tcBorders>
            <w:shd w:val="clear" w:color="auto" w:fill="D9D9D9" w:themeFill="background1" w:themeFillShade="D9"/>
            <w:noWrap/>
            <w:vAlign w:val="bottom"/>
            <w:hideMark/>
          </w:tcPr>
          <w:p w14:paraId="4C1A8BDF"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(1.88)</w:t>
            </w:r>
          </w:p>
        </w:tc>
        <w:tc>
          <w:tcPr>
            <w:tcW w:w="1586" w:type="pct"/>
            <w:tcBorders>
              <w:top w:val="nil"/>
              <w:left w:val="nil"/>
              <w:bottom w:val="nil"/>
              <w:right w:val="nil"/>
            </w:tcBorders>
            <w:shd w:val="clear" w:color="auto" w:fill="D9D9D9" w:themeFill="background1" w:themeFillShade="D9"/>
            <w:noWrap/>
            <w:vAlign w:val="bottom"/>
            <w:hideMark/>
          </w:tcPr>
          <w:p w14:paraId="3174C02E"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(1.66)</w:t>
            </w:r>
          </w:p>
        </w:tc>
      </w:tr>
      <w:tr w:rsidR="00E57A11" w:rsidRPr="00F62082" w14:paraId="02E28F6A" w14:textId="77777777" w:rsidTr="002753C1">
        <w:trPr>
          <w:trHeight w:val="57"/>
          <w:jc w:val="center"/>
        </w:trPr>
        <w:tc>
          <w:tcPr>
            <w:tcW w:w="1757" w:type="pct"/>
            <w:tcBorders>
              <w:top w:val="nil"/>
              <w:left w:val="nil"/>
              <w:bottom w:val="nil"/>
              <w:right w:val="nil"/>
            </w:tcBorders>
            <w:shd w:val="clear" w:color="000000" w:fill="FFFFFF"/>
            <w:noWrap/>
            <w:vAlign w:val="center"/>
            <w:hideMark/>
          </w:tcPr>
          <w:p w14:paraId="25460066"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Delta</w:t>
            </w:r>
          </w:p>
        </w:tc>
        <w:tc>
          <w:tcPr>
            <w:tcW w:w="1657" w:type="pct"/>
            <w:tcBorders>
              <w:top w:val="nil"/>
              <w:left w:val="nil"/>
              <w:bottom w:val="nil"/>
              <w:right w:val="nil"/>
            </w:tcBorders>
            <w:shd w:val="clear" w:color="000000" w:fill="FFFFFF"/>
            <w:noWrap/>
            <w:vAlign w:val="bottom"/>
            <w:hideMark/>
          </w:tcPr>
          <w:p w14:paraId="098A04ED"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-0.335***</w:t>
            </w:r>
          </w:p>
        </w:tc>
        <w:tc>
          <w:tcPr>
            <w:tcW w:w="1586" w:type="pct"/>
            <w:tcBorders>
              <w:top w:val="nil"/>
              <w:left w:val="nil"/>
              <w:bottom w:val="nil"/>
              <w:right w:val="nil"/>
            </w:tcBorders>
            <w:shd w:val="clear" w:color="000000" w:fill="FFFFFF"/>
            <w:noWrap/>
            <w:vAlign w:val="bottom"/>
            <w:hideMark/>
          </w:tcPr>
          <w:p w14:paraId="0EEBB099"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-0.324***</w:t>
            </w:r>
          </w:p>
        </w:tc>
      </w:tr>
      <w:tr w:rsidR="00E57A11" w:rsidRPr="00F62082" w14:paraId="26A9BB20" w14:textId="77777777" w:rsidTr="002753C1">
        <w:trPr>
          <w:trHeight w:val="57"/>
          <w:jc w:val="center"/>
        </w:trPr>
        <w:tc>
          <w:tcPr>
            <w:tcW w:w="1757" w:type="pct"/>
            <w:tcBorders>
              <w:top w:val="nil"/>
              <w:left w:val="nil"/>
              <w:bottom w:val="nil"/>
              <w:right w:val="nil"/>
            </w:tcBorders>
            <w:shd w:val="clear" w:color="000000" w:fill="FFFFFF"/>
            <w:noWrap/>
            <w:vAlign w:val="bottom"/>
            <w:hideMark/>
          </w:tcPr>
          <w:p w14:paraId="48A480F7"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 </w:t>
            </w:r>
          </w:p>
        </w:tc>
        <w:tc>
          <w:tcPr>
            <w:tcW w:w="1657" w:type="pct"/>
            <w:tcBorders>
              <w:top w:val="nil"/>
              <w:left w:val="nil"/>
              <w:bottom w:val="nil"/>
              <w:right w:val="nil"/>
            </w:tcBorders>
            <w:shd w:val="clear" w:color="000000" w:fill="FFFFFF"/>
            <w:noWrap/>
            <w:vAlign w:val="bottom"/>
            <w:hideMark/>
          </w:tcPr>
          <w:p w14:paraId="69F46B0F"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(-10.03)</w:t>
            </w:r>
          </w:p>
        </w:tc>
        <w:tc>
          <w:tcPr>
            <w:tcW w:w="1586" w:type="pct"/>
            <w:tcBorders>
              <w:top w:val="nil"/>
              <w:left w:val="nil"/>
              <w:bottom w:val="nil"/>
              <w:right w:val="nil"/>
            </w:tcBorders>
            <w:shd w:val="clear" w:color="000000" w:fill="FFFFFF"/>
            <w:noWrap/>
            <w:vAlign w:val="bottom"/>
            <w:hideMark/>
          </w:tcPr>
          <w:p w14:paraId="60BBFB6F"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(-6.70)</w:t>
            </w:r>
          </w:p>
        </w:tc>
      </w:tr>
      <w:tr w:rsidR="00E57A11" w:rsidRPr="00F62082" w14:paraId="62CA2395" w14:textId="77777777" w:rsidTr="002753C1">
        <w:trPr>
          <w:trHeight w:val="57"/>
          <w:jc w:val="center"/>
        </w:trPr>
        <w:tc>
          <w:tcPr>
            <w:tcW w:w="1757" w:type="pct"/>
            <w:tcBorders>
              <w:top w:val="nil"/>
              <w:left w:val="nil"/>
              <w:bottom w:val="nil"/>
              <w:right w:val="nil"/>
            </w:tcBorders>
            <w:shd w:val="clear" w:color="000000" w:fill="FFFFFF"/>
            <w:noWrap/>
            <w:vAlign w:val="center"/>
            <w:hideMark/>
          </w:tcPr>
          <w:p w14:paraId="587C8062"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proofErr w:type="spellStart"/>
            <w:r w:rsidRPr="00DA1D07">
              <w:rPr>
                <w:rFonts w:asciiTheme="majorBidi" w:eastAsia="Times New Roman" w:hAnsiTheme="majorBidi" w:cstheme="majorBidi"/>
                <w:i/>
                <w:iCs/>
                <w:color w:val="000000"/>
                <w:sz w:val="24"/>
                <w:szCs w:val="24"/>
                <w:lang w:val="en-US" w:eastAsia="en-GB"/>
              </w:rPr>
              <w:t>CashComp</w:t>
            </w:r>
            <w:proofErr w:type="spellEnd"/>
          </w:p>
        </w:tc>
        <w:tc>
          <w:tcPr>
            <w:tcW w:w="1657" w:type="pct"/>
            <w:tcBorders>
              <w:top w:val="nil"/>
              <w:left w:val="nil"/>
              <w:bottom w:val="nil"/>
              <w:right w:val="nil"/>
            </w:tcBorders>
            <w:shd w:val="clear" w:color="000000" w:fill="FFFFFF"/>
            <w:noWrap/>
            <w:vAlign w:val="bottom"/>
            <w:hideMark/>
          </w:tcPr>
          <w:p w14:paraId="3B560D90"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-0.088*</w:t>
            </w:r>
          </w:p>
        </w:tc>
        <w:tc>
          <w:tcPr>
            <w:tcW w:w="1586" w:type="pct"/>
            <w:tcBorders>
              <w:top w:val="nil"/>
              <w:left w:val="nil"/>
              <w:bottom w:val="nil"/>
              <w:right w:val="nil"/>
            </w:tcBorders>
            <w:shd w:val="clear" w:color="000000" w:fill="FFFFFF"/>
            <w:noWrap/>
            <w:vAlign w:val="bottom"/>
            <w:hideMark/>
          </w:tcPr>
          <w:p w14:paraId="6F531E9B"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-0.105</w:t>
            </w:r>
          </w:p>
        </w:tc>
      </w:tr>
      <w:tr w:rsidR="00E57A11" w:rsidRPr="00F62082" w14:paraId="4415CC84" w14:textId="77777777" w:rsidTr="002753C1">
        <w:trPr>
          <w:trHeight w:val="57"/>
          <w:jc w:val="center"/>
        </w:trPr>
        <w:tc>
          <w:tcPr>
            <w:tcW w:w="1757" w:type="pct"/>
            <w:tcBorders>
              <w:top w:val="nil"/>
              <w:left w:val="nil"/>
              <w:bottom w:val="nil"/>
              <w:right w:val="nil"/>
            </w:tcBorders>
            <w:shd w:val="clear" w:color="000000" w:fill="FFFFFF"/>
            <w:noWrap/>
            <w:vAlign w:val="bottom"/>
            <w:hideMark/>
          </w:tcPr>
          <w:p w14:paraId="7FC3EDF5"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 </w:t>
            </w:r>
          </w:p>
        </w:tc>
        <w:tc>
          <w:tcPr>
            <w:tcW w:w="1657" w:type="pct"/>
            <w:tcBorders>
              <w:top w:val="nil"/>
              <w:left w:val="nil"/>
              <w:bottom w:val="nil"/>
              <w:right w:val="nil"/>
            </w:tcBorders>
            <w:shd w:val="clear" w:color="000000" w:fill="FFFFFF"/>
            <w:noWrap/>
            <w:vAlign w:val="bottom"/>
            <w:hideMark/>
          </w:tcPr>
          <w:p w14:paraId="1A8CC040"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(-1.78)</w:t>
            </w:r>
          </w:p>
        </w:tc>
        <w:tc>
          <w:tcPr>
            <w:tcW w:w="1586" w:type="pct"/>
            <w:tcBorders>
              <w:top w:val="nil"/>
              <w:left w:val="nil"/>
              <w:bottom w:val="nil"/>
              <w:right w:val="nil"/>
            </w:tcBorders>
            <w:shd w:val="clear" w:color="000000" w:fill="FFFFFF"/>
            <w:noWrap/>
            <w:vAlign w:val="bottom"/>
            <w:hideMark/>
          </w:tcPr>
          <w:p w14:paraId="24B80EA0"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(-1.39)</w:t>
            </w:r>
          </w:p>
        </w:tc>
      </w:tr>
      <w:tr w:rsidR="00E57A11" w:rsidRPr="00F62082" w14:paraId="2269E431" w14:textId="77777777" w:rsidTr="002753C1">
        <w:trPr>
          <w:trHeight w:val="57"/>
          <w:jc w:val="center"/>
        </w:trPr>
        <w:tc>
          <w:tcPr>
            <w:tcW w:w="1757" w:type="pct"/>
            <w:tcBorders>
              <w:top w:val="nil"/>
              <w:left w:val="nil"/>
              <w:bottom w:val="nil"/>
              <w:right w:val="nil"/>
            </w:tcBorders>
            <w:shd w:val="clear" w:color="000000" w:fill="FFFFFF"/>
            <w:noWrap/>
            <w:vAlign w:val="bottom"/>
            <w:hideMark/>
          </w:tcPr>
          <w:p w14:paraId="28800923" w14:textId="77777777" w:rsidR="00E57A11" w:rsidRPr="00DA1D07" w:rsidRDefault="00E57A11" w:rsidP="002753C1">
            <w:pPr>
              <w:spacing w:after="0" w:line="240" w:lineRule="auto"/>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R-squared</w:t>
            </w:r>
          </w:p>
        </w:tc>
        <w:tc>
          <w:tcPr>
            <w:tcW w:w="1657" w:type="pct"/>
            <w:tcBorders>
              <w:top w:val="nil"/>
              <w:left w:val="nil"/>
              <w:bottom w:val="nil"/>
              <w:right w:val="nil"/>
            </w:tcBorders>
            <w:shd w:val="clear" w:color="000000" w:fill="FFFFFF"/>
            <w:noWrap/>
            <w:vAlign w:val="bottom"/>
            <w:hideMark/>
          </w:tcPr>
          <w:p w14:paraId="52EB5623"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0.539</w:t>
            </w:r>
          </w:p>
        </w:tc>
        <w:tc>
          <w:tcPr>
            <w:tcW w:w="1586" w:type="pct"/>
            <w:tcBorders>
              <w:top w:val="nil"/>
              <w:left w:val="nil"/>
              <w:bottom w:val="nil"/>
              <w:right w:val="nil"/>
            </w:tcBorders>
            <w:shd w:val="clear" w:color="000000" w:fill="FFFFFF"/>
            <w:noWrap/>
            <w:vAlign w:val="bottom"/>
            <w:hideMark/>
          </w:tcPr>
          <w:p w14:paraId="29544F10"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0.491</w:t>
            </w:r>
          </w:p>
        </w:tc>
      </w:tr>
      <w:tr w:rsidR="00E57A11" w:rsidRPr="00F62082" w14:paraId="2A923BD3" w14:textId="77777777" w:rsidTr="002753C1">
        <w:trPr>
          <w:trHeight w:val="57"/>
          <w:jc w:val="center"/>
        </w:trPr>
        <w:tc>
          <w:tcPr>
            <w:tcW w:w="1757" w:type="pct"/>
            <w:tcBorders>
              <w:top w:val="nil"/>
              <w:left w:val="nil"/>
              <w:bottom w:val="nil"/>
              <w:right w:val="nil"/>
            </w:tcBorders>
            <w:shd w:val="clear" w:color="000000" w:fill="FFFFFF"/>
            <w:noWrap/>
            <w:vAlign w:val="bottom"/>
            <w:hideMark/>
          </w:tcPr>
          <w:p w14:paraId="5363FB4D" w14:textId="77777777" w:rsidR="00E57A11" w:rsidRPr="00872AE2" w:rsidRDefault="00E57A11" w:rsidP="002753C1">
            <w:pPr>
              <w:spacing w:after="0" w:line="240" w:lineRule="auto"/>
              <w:rPr>
                <w:rFonts w:asciiTheme="majorBidi" w:eastAsia="Times New Roman" w:hAnsiTheme="majorBidi" w:cstheme="majorBidi"/>
                <w:color w:val="000000"/>
                <w:sz w:val="24"/>
                <w:szCs w:val="24"/>
                <w:lang w:val="en-US" w:eastAsia="en-GB"/>
              </w:rPr>
            </w:pPr>
            <w:r w:rsidRPr="00872AE2">
              <w:rPr>
                <w:rFonts w:asciiTheme="majorBidi" w:eastAsia="Times New Roman" w:hAnsiTheme="majorBidi" w:cstheme="majorBidi"/>
                <w:color w:val="000000"/>
                <w:sz w:val="24"/>
                <w:szCs w:val="24"/>
                <w:lang w:val="en-US" w:eastAsia="en-GB"/>
              </w:rPr>
              <w:t>Observations</w:t>
            </w:r>
          </w:p>
        </w:tc>
        <w:tc>
          <w:tcPr>
            <w:tcW w:w="1657" w:type="pct"/>
            <w:tcBorders>
              <w:top w:val="nil"/>
              <w:left w:val="nil"/>
              <w:bottom w:val="nil"/>
              <w:right w:val="nil"/>
            </w:tcBorders>
            <w:shd w:val="clear" w:color="000000" w:fill="FFFFFF"/>
            <w:noWrap/>
            <w:vAlign w:val="bottom"/>
            <w:hideMark/>
          </w:tcPr>
          <w:p w14:paraId="3DAC8819"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r w:rsidRPr="00DA1D07">
              <w:rPr>
                <w:rFonts w:asciiTheme="majorBidi" w:eastAsia="Times New Roman" w:hAnsiTheme="majorBidi" w:cstheme="majorBidi"/>
                <w:sz w:val="24"/>
                <w:szCs w:val="24"/>
                <w:lang w:val="en-US" w:eastAsia="en-GB"/>
              </w:rPr>
              <w:t>17,820</w:t>
            </w:r>
          </w:p>
        </w:tc>
        <w:tc>
          <w:tcPr>
            <w:tcW w:w="1586" w:type="pct"/>
            <w:tcBorders>
              <w:top w:val="nil"/>
              <w:left w:val="nil"/>
              <w:bottom w:val="nil"/>
              <w:right w:val="nil"/>
            </w:tcBorders>
            <w:shd w:val="clear" w:color="000000" w:fill="FFFFFF"/>
            <w:noWrap/>
            <w:vAlign w:val="bottom"/>
            <w:hideMark/>
          </w:tcPr>
          <w:p w14:paraId="1EEDF9BB" w14:textId="77777777" w:rsidR="00E57A11" w:rsidRPr="00DA1D07" w:rsidRDefault="00E57A11" w:rsidP="002753C1">
            <w:pPr>
              <w:spacing w:after="0" w:line="240" w:lineRule="auto"/>
              <w:jc w:val="center"/>
              <w:rPr>
                <w:rFonts w:asciiTheme="majorBidi" w:eastAsia="Times New Roman" w:hAnsiTheme="majorBidi" w:cstheme="majorBidi"/>
                <w:sz w:val="24"/>
                <w:szCs w:val="24"/>
                <w:lang w:val="en-US" w:eastAsia="en-GB"/>
              </w:rPr>
            </w:pPr>
            <w:r w:rsidRPr="00DA1D07">
              <w:rPr>
                <w:rFonts w:asciiTheme="majorBidi" w:eastAsia="Times New Roman" w:hAnsiTheme="majorBidi" w:cstheme="majorBidi"/>
                <w:sz w:val="24"/>
                <w:szCs w:val="24"/>
                <w:lang w:val="en-US" w:eastAsia="en-GB"/>
              </w:rPr>
              <w:t>17,820</w:t>
            </w:r>
          </w:p>
        </w:tc>
      </w:tr>
      <w:tr w:rsidR="002356B5" w:rsidRPr="00F62082" w14:paraId="77A8D096" w14:textId="77777777" w:rsidTr="002753C1">
        <w:trPr>
          <w:trHeight w:val="57"/>
          <w:jc w:val="center"/>
        </w:trPr>
        <w:tc>
          <w:tcPr>
            <w:tcW w:w="1757" w:type="pct"/>
            <w:tcBorders>
              <w:top w:val="nil"/>
              <w:left w:val="nil"/>
              <w:bottom w:val="nil"/>
              <w:right w:val="nil"/>
            </w:tcBorders>
            <w:shd w:val="clear" w:color="000000" w:fill="FFFFFF"/>
            <w:noWrap/>
            <w:vAlign w:val="bottom"/>
          </w:tcPr>
          <w:p w14:paraId="31C0AE7E" w14:textId="1C8734AA" w:rsidR="002356B5" w:rsidRPr="00872AE2" w:rsidRDefault="00E35F0F" w:rsidP="002753C1">
            <w:pPr>
              <w:spacing w:after="0" w:line="240" w:lineRule="auto"/>
              <w:rPr>
                <w:rFonts w:asciiTheme="majorBidi" w:eastAsia="Times New Roman" w:hAnsiTheme="majorBidi" w:cstheme="majorBidi"/>
                <w:color w:val="000000"/>
                <w:sz w:val="24"/>
                <w:szCs w:val="24"/>
                <w:lang w:val="en-US" w:eastAsia="en-GB"/>
              </w:rPr>
            </w:pPr>
            <w:r w:rsidRPr="00872AE2">
              <w:rPr>
                <w:rFonts w:asciiTheme="majorBidi" w:eastAsia="Times New Roman" w:hAnsiTheme="majorBidi" w:cstheme="majorBidi"/>
                <w:color w:val="000000"/>
                <w:sz w:val="24"/>
                <w:szCs w:val="24"/>
                <w:lang w:val="en-US" w:eastAsia="en-GB"/>
              </w:rPr>
              <w:t>Constant</w:t>
            </w:r>
          </w:p>
        </w:tc>
        <w:tc>
          <w:tcPr>
            <w:tcW w:w="1657" w:type="pct"/>
            <w:tcBorders>
              <w:top w:val="nil"/>
              <w:left w:val="nil"/>
              <w:bottom w:val="nil"/>
              <w:right w:val="nil"/>
            </w:tcBorders>
            <w:shd w:val="clear" w:color="000000" w:fill="FFFFFF"/>
            <w:noWrap/>
            <w:vAlign w:val="bottom"/>
          </w:tcPr>
          <w:p w14:paraId="47F2E39A" w14:textId="008F6C2D" w:rsidR="002356B5" w:rsidRPr="00DA1D07" w:rsidRDefault="00E35F0F" w:rsidP="002753C1">
            <w:pPr>
              <w:spacing w:after="0" w:line="240" w:lineRule="auto"/>
              <w:jc w:val="center"/>
              <w:rPr>
                <w:rFonts w:asciiTheme="majorBidi" w:eastAsia="Times New Roman" w:hAnsiTheme="majorBidi" w:cstheme="majorBidi"/>
                <w:color w:val="000000"/>
                <w:sz w:val="24"/>
                <w:szCs w:val="24"/>
                <w:lang w:val="en-US" w:eastAsia="en-GB"/>
              </w:rPr>
            </w:pPr>
            <w:r>
              <w:rPr>
                <w:rFonts w:asciiTheme="majorBidi" w:eastAsia="Times New Roman" w:hAnsiTheme="majorBidi" w:cstheme="majorBidi"/>
                <w:color w:val="000000"/>
                <w:sz w:val="24"/>
                <w:szCs w:val="24"/>
                <w:lang w:val="en-US" w:eastAsia="en-GB"/>
              </w:rPr>
              <w:t>Yes</w:t>
            </w:r>
          </w:p>
        </w:tc>
        <w:tc>
          <w:tcPr>
            <w:tcW w:w="1586" w:type="pct"/>
            <w:tcBorders>
              <w:top w:val="nil"/>
              <w:left w:val="nil"/>
              <w:bottom w:val="nil"/>
              <w:right w:val="nil"/>
            </w:tcBorders>
            <w:shd w:val="clear" w:color="000000" w:fill="FFFFFF"/>
            <w:noWrap/>
            <w:vAlign w:val="bottom"/>
          </w:tcPr>
          <w:p w14:paraId="4C125DE4" w14:textId="51C37B8E" w:rsidR="002356B5" w:rsidRPr="00DA1D07" w:rsidRDefault="00E35F0F" w:rsidP="002753C1">
            <w:pPr>
              <w:spacing w:after="0" w:line="240" w:lineRule="auto"/>
              <w:jc w:val="center"/>
              <w:rPr>
                <w:rFonts w:asciiTheme="majorBidi" w:eastAsia="Times New Roman" w:hAnsiTheme="majorBidi" w:cstheme="majorBidi"/>
                <w:color w:val="000000"/>
                <w:sz w:val="24"/>
                <w:szCs w:val="24"/>
                <w:lang w:val="en-US" w:eastAsia="en-GB"/>
              </w:rPr>
            </w:pPr>
            <w:r>
              <w:rPr>
                <w:rFonts w:asciiTheme="majorBidi" w:eastAsia="Times New Roman" w:hAnsiTheme="majorBidi" w:cstheme="majorBidi"/>
                <w:color w:val="000000"/>
                <w:sz w:val="24"/>
                <w:szCs w:val="24"/>
                <w:lang w:val="en-US" w:eastAsia="en-GB"/>
              </w:rPr>
              <w:t>Yes</w:t>
            </w:r>
          </w:p>
        </w:tc>
      </w:tr>
      <w:tr w:rsidR="002356B5" w:rsidRPr="00F62082" w14:paraId="3F8B3D96" w14:textId="77777777" w:rsidTr="002753C1">
        <w:trPr>
          <w:trHeight w:val="57"/>
          <w:jc w:val="center"/>
        </w:trPr>
        <w:tc>
          <w:tcPr>
            <w:tcW w:w="1757" w:type="pct"/>
            <w:tcBorders>
              <w:top w:val="nil"/>
              <w:left w:val="nil"/>
              <w:bottom w:val="nil"/>
              <w:right w:val="nil"/>
            </w:tcBorders>
            <w:shd w:val="clear" w:color="000000" w:fill="FFFFFF"/>
            <w:noWrap/>
            <w:vAlign w:val="bottom"/>
          </w:tcPr>
          <w:p w14:paraId="225705C0" w14:textId="62FF1221" w:rsidR="002356B5" w:rsidRPr="00DA1D07" w:rsidRDefault="00E35F0F" w:rsidP="002753C1">
            <w:pPr>
              <w:spacing w:after="0" w:line="240" w:lineRule="auto"/>
              <w:rPr>
                <w:rFonts w:asciiTheme="majorBidi" w:eastAsia="Times New Roman" w:hAnsiTheme="majorBidi" w:cstheme="majorBidi"/>
                <w:color w:val="000000"/>
                <w:sz w:val="24"/>
                <w:szCs w:val="24"/>
                <w:lang w:val="en-US" w:eastAsia="en-GB"/>
              </w:rPr>
            </w:pPr>
            <w:r>
              <w:rPr>
                <w:rFonts w:asciiTheme="majorBidi" w:eastAsia="Times New Roman" w:hAnsiTheme="majorBidi" w:cstheme="majorBidi"/>
                <w:color w:val="000000"/>
                <w:sz w:val="24"/>
                <w:szCs w:val="24"/>
                <w:lang w:val="en-US" w:eastAsia="en-GB"/>
              </w:rPr>
              <w:t>Controls</w:t>
            </w:r>
          </w:p>
        </w:tc>
        <w:tc>
          <w:tcPr>
            <w:tcW w:w="1657" w:type="pct"/>
            <w:tcBorders>
              <w:top w:val="nil"/>
              <w:left w:val="nil"/>
              <w:bottom w:val="nil"/>
              <w:right w:val="nil"/>
            </w:tcBorders>
            <w:shd w:val="clear" w:color="000000" w:fill="FFFFFF"/>
            <w:noWrap/>
            <w:vAlign w:val="bottom"/>
          </w:tcPr>
          <w:p w14:paraId="7F8468F1" w14:textId="57FD2FFA" w:rsidR="002356B5" w:rsidRPr="00DA1D07" w:rsidRDefault="00E35F0F" w:rsidP="002753C1">
            <w:pPr>
              <w:spacing w:after="0" w:line="240" w:lineRule="auto"/>
              <w:jc w:val="center"/>
              <w:rPr>
                <w:rFonts w:asciiTheme="majorBidi" w:eastAsia="Times New Roman" w:hAnsiTheme="majorBidi" w:cstheme="majorBidi"/>
                <w:color w:val="000000"/>
                <w:sz w:val="24"/>
                <w:szCs w:val="24"/>
                <w:lang w:val="en-US" w:eastAsia="en-GB"/>
              </w:rPr>
            </w:pPr>
            <w:r>
              <w:rPr>
                <w:rFonts w:asciiTheme="majorBidi" w:eastAsia="Times New Roman" w:hAnsiTheme="majorBidi" w:cstheme="majorBidi"/>
                <w:color w:val="000000"/>
                <w:sz w:val="24"/>
                <w:szCs w:val="24"/>
                <w:lang w:val="en-US" w:eastAsia="en-GB"/>
              </w:rPr>
              <w:t>Yes</w:t>
            </w:r>
          </w:p>
        </w:tc>
        <w:tc>
          <w:tcPr>
            <w:tcW w:w="1586" w:type="pct"/>
            <w:tcBorders>
              <w:top w:val="nil"/>
              <w:left w:val="nil"/>
              <w:bottom w:val="nil"/>
              <w:right w:val="nil"/>
            </w:tcBorders>
            <w:shd w:val="clear" w:color="000000" w:fill="FFFFFF"/>
            <w:noWrap/>
            <w:vAlign w:val="bottom"/>
          </w:tcPr>
          <w:p w14:paraId="15BAEFB9" w14:textId="153013D9" w:rsidR="002356B5" w:rsidRPr="00DA1D07" w:rsidRDefault="00E35F0F" w:rsidP="002753C1">
            <w:pPr>
              <w:spacing w:after="0" w:line="240" w:lineRule="auto"/>
              <w:jc w:val="center"/>
              <w:rPr>
                <w:rFonts w:asciiTheme="majorBidi" w:eastAsia="Times New Roman" w:hAnsiTheme="majorBidi" w:cstheme="majorBidi"/>
                <w:color w:val="000000"/>
                <w:sz w:val="24"/>
                <w:szCs w:val="24"/>
                <w:lang w:val="en-US" w:eastAsia="en-GB"/>
              </w:rPr>
            </w:pPr>
            <w:r>
              <w:rPr>
                <w:rFonts w:asciiTheme="majorBidi" w:eastAsia="Times New Roman" w:hAnsiTheme="majorBidi" w:cstheme="majorBidi"/>
                <w:color w:val="000000"/>
                <w:sz w:val="24"/>
                <w:szCs w:val="24"/>
                <w:lang w:val="en-US" w:eastAsia="en-GB"/>
              </w:rPr>
              <w:t>Yes</w:t>
            </w:r>
          </w:p>
        </w:tc>
      </w:tr>
      <w:tr w:rsidR="00E57A11" w:rsidRPr="00F62082" w14:paraId="2E6F088C" w14:textId="77777777" w:rsidTr="002753C1">
        <w:trPr>
          <w:trHeight w:val="57"/>
          <w:jc w:val="center"/>
        </w:trPr>
        <w:tc>
          <w:tcPr>
            <w:tcW w:w="1757" w:type="pct"/>
            <w:tcBorders>
              <w:top w:val="nil"/>
              <w:left w:val="nil"/>
              <w:bottom w:val="nil"/>
              <w:right w:val="nil"/>
            </w:tcBorders>
            <w:shd w:val="clear" w:color="000000" w:fill="FFFFFF"/>
            <w:noWrap/>
            <w:vAlign w:val="bottom"/>
            <w:hideMark/>
          </w:tcPr>
          <w:p w14:paraId="470DCCAB" w14:textId="77777777" w:rsidR="00E57A11" w:rsidRPr="00DA1D07" w:rsidRDefault="00E57A11" w:rsidP="002753C1">
            <w:pPr>
              <w:spacing w:after="0" w:line="240" w:lineRule="auto"/>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Firm fixed effects</w:t>
            </w:r>
          </w:p>
        </w:tc>
        <w:tc>
          <w:tcPr>
            <w:tcW w:w="1657" w:type="pct"/>
            <w:tcBorders>
              <w:top w:val="nil"/>
              <w:left w:val="nil"/>
              <w:bottom w:val="nil"/>
              <w:right w:val="nil"/>
            </w:tcBorders>
            <w:shd w:val="clear" w:color="000000" w:fill="FFFFFF"/>
            <w:noWrap/>
            <w:vAlign w:val="bottom"/>
            <w:hideMark/>
          </w:tcPr>
          <w:p w14:paraId="77718CBE"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Yes</w:t>
            </w:r>
          </w:p>
        </w:tc>
        <w:tc>
          <w:tcPr>
            <w:tcW w:w="1586" w:type="pct"/>
            <w:tcBorders>
              <w:top w:val="nil"/>
              <w:left w:val="nil"/>
              <w:bottom w:val="nil"/>
              <w:right w:val="nil"/>
            </w:tcBorders>
            <w:shd w:val="clear" w:color="000000" w:fill="FFFFFF"/>
            <w:noWrap/>
            <w:vAlign w:val="bottom"/>
            <w:hideMark/>
          </w:tcPr>
          <w:p w14:paraId="5A313FF2"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Yes</w:t>
            </w:r>
          </w:p>
        </w:tc>
      </w:tr>
      <w:tr w:rsidR="00E57A11" w:rsidRPr="00F62082" w14:paraId="743BF182" w14:textId="77777777" w:rsidTr="002753C1">
        <w:trPr>
          <w:trHeight w:val="57"/>
          <w:jc w:val="center"/>
        </w:trPr>
        <w:tc>
          <w:tcPr>
            <w:tcW w:w="1757" w:type="pct"/>
            <w:tcBorders>
              <w:top w:val="nil"/>
              <w:left w:val="nil"/>
              <w:bottom w:val="nil"/>
              <w:right w:val="nil"/>
            </w:tcBorders>
            <w:shd w:val="clear" w:color="000000" w:fill="FFFFFF"/>
            <w:noWrap/>
            <w:vAlign w:val="bottom"/>
            <w:hideMark/>
          </w:tcPr>
          <w:p w14:paraId="74A7B055" w14:textId="77777777" w:rsidR="00E57A11" w:rsidRPr="00DA1D07" w:rsidRDefault="00E57A11" w:rsidP="002753C1">
            <w:pPr>
              <w:spacing w:after="0" w:line="240" w:lineRule="auto"/>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Year fixed effects</w:t>
            </w:r>
          </w:p>
        </w:tc>
        <w:tc>
          <w:tcPr>
            <w:tcW w:w="1657" w:type="pct"/>
            <w:tcBorders>
              <w:top w:val="nil"/>
              <w:left w:val="nil"/>
              <w:bottom w:val="nil"/>
              <w:right w:val="nil"/>
            </w:tcBorders>
            <w:shd w:val="clear" w:color="000000" w:fill="FFFFFF"/>
            <w:noWrap/>
            <w:vAlign w:val="bottom"/>
            <w:hideMark/>
          </w:tcPr>
          <w:p w14:paraId="6024A609"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Yes</w:t>
            </w:r>
          </w:p>
        </w:tc>
        <w:tc>
          <w:tcPr>
            <w:tcW w:w="1586" w:type="pct"/>
            <w:tcBorders>
              <w:top w:val="nil"/>
              <w:left w:val="nil"/>
              <w:bottom w:val="nil"/>
              <w:right w:val="nil"/>
            </w:tcBorders>
            <w:shd w:val="clear" w:color="000000" w:fill="FFFFFF"/>
            <w:noWrap/>
            <w:vAlign w:val="bottom"/>
            <w:hideMark/>
          </w:tcPr>
          <w:p w14:paraId="79029C87"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Yes</w:t>
            </w:r>
          </w:p>
        </w:tc>
      </w:tr>
      <w:tr w:rsidR="00E57A11" w:rsidRPr="00F62082" w14:paraId="09001D94" w14:textId="77777777" w:rsidTr="002753C1">
        <w:trPr>
          <w:trHeight w:val="57"/>
          <w:jc w:val="center"/>
        </w:trPr>
        <w:tc>
          <w:tcPr>
            <w:tcW w:w="1757" w:type="pct"/>
            <w:tcBorders>
              <w:top w:val="nil"/>
              <w:left w:val="nil"/>
              <w:bottom w:val="single" w:sz="4" w:space="0" w:color="auto"/>
              <w:right w:val="nil"/>
            </w:tcBorders>
            <w:shd w:val="clear" w:color="000000" w:fill="FFFFFF"/>
            <w:noWrap/>
            <w:vAlign w:val="bottom"/>
            <w:hideMark/>
          </w:tcPr>
          <w:p w14:paraId="3AACFBD7" w14:textId="77777777" w:rsidR="00E57A11" w:rsidRPr="00DA1D07" w:rsidRDefault="00E57A11" w:rsidP="002753C1">
            <w:pPr>
              <w:spacing w:after="0" w:line="240" w:lineRule="auto"/>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Model</w:t>
            </w:r>
          </w:p>
        </w:tc>
        <w:tc>
          <w:tcPr>
            <w:tcW w:w="1657" w:type="pct"/>
            <w:tcBorders>
              <w:top w:val="nil"/>
              <w:left w:val="nil"/>
              <w:bottom w:val="single" w:sz="4" w:space="0" w:color="auto"/>
              <w:right w:val="nil"/>
            </w:tcBorders>
            <w:shd w:val="clear" w:color="000000" w:fill="FFFFFF"/>
            <w:noWrap/>
            <w:vAlign w:val="bottom"/>
            <w:hideMark/>
          </w:tcPr>
          <w:p w14:paraId="19464B70"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OLS</w:t>
            </w:r>
          </w:p>
        </w:tc>
        <w:tc>
          <w:tcPr>
            <w:tcW w:w="1586" w:type="pct"/>
            <w:tcBorders>
              <w:top w:val="nil"/>
              <w:left w:val="nil"/>
              <w:bottom w:val="single" w:sz="4" w:space="0" w:color="auto"/>
              <w:right w:val="nil"/>
            </w:tcBorders>
            <w:shd w:val="clear" w:color="000000" w:fill="FFFFFF"/>
            <w:noWrap/>
            <w:vAlign w:val="bottom"/>
            <w:hideMark/>
          </w:tcPr>
          <w:p w14:paraId="38C8C37B"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OLS</w:t>
            </w:r>
          </w:p>
        </w:tc>
      </w:tr>
    </w:tbl>
    <w:p w14:paraId="647B6CB6" w14:textId="77777777" w:rsidR="00E57A11" w:rsidRPr="00DA1D07" w:rsidRDefault="00E57A11" w:rsidP="00E57A11">
      <w:pPr>
        <w:spacing w:line="240" w:lineRule="auto"/>
        <w:rPr>
          <w:rFonts w:ascii="Times New Roman" w:hAnsi="Times New Roman" w:cs="Times New Roman"/>
          <w:b/>
          <w:bCs/>
          <w:sz w:val="24"/>
          <w:szCs w:val="24"/>
          <w:lang w:val="en-US"/>
        </w:rPr>
      </w:pPr>
    </w:p>
    <w:p w14:paraId="572BB4F9" w14:textId="77777777" w:rsidR="00E35F0F" w:rsidRDefault="00E35F0F" w:rsidP="00E57A11">
      <w:pPr>
        <w:spacing w:line="240" w:lineRule="auto"/>
        <w:rPr>
          <w:rFonts w:ascii="Times New Roman" w:hAnsi="Times New Roman" w:cs="Times New Roman"/>
          <w:b/>
          <w:bCs/>
          <w:sz w:val="24"/>
          <w:szCs w:val="24"/>
          <w:lang w:val="en-US"/>
        </w:rPr>
        <w:sectPr w:rsidR="00E35F0F" w:rsidSect="00B437C7">
          <w:pgSz w:w="11906" w:h="16838"/>
          <w:pgMar w:top="1440" w:right="1440" w:bottom="1440" w:left="1440" w:header="708" w:footer="708" w:gutter="0"/>
          <w:cols w:space="708"/>
          <w:docGrid w:linePitch="360"/>
        </w:sectPr>
      </w:pPr>
    </w:p>
    <w:p w14:paraId="098063F3" w14:textId="4FAA2F5C" w:rsidR="00E57A11" w:rsidRPr="00DA1D07" w:rsidRDefault="00E57A11" w:rsidP="00E57A11">
      <w:pPr>
        <w:spacing w:line="240" w:lineRule="auto"/>
        <w:rPr>
          <w:rFonts w:ascii="Times New Roman" w:hAnsi="Times New Roman" w:cs="Times New Roman"/>
          <w:b/>
          <w:bCs/>
          <w:sz w:val="24"/>
          <w:szCs w:val="24"/>
          <w:lang w:val="en-US"/>
        </w:rPr>
      </w:pPr>
      <w:r w:rsidRPr="00DA1D07">
        <w:rPr>
          <w:rFonts w:ascii="Times New Roman" w:hAnsi="Times New Roman" w:cs="Times New Roman"/>
          <w:b/>
          <w:bCs/>
          <w:sz w:val="24"/>
          <w:szCs w:val="24"/>
          <w:lang w:val="en-US"/>
        </w:rPr>
        <w:lastRenderedPageBreak/>
        <w:t>Panel B: Size</w:t>
      </w:r>
      <w:r w:rsidR="00967855">
        <w:rPr>
          <w:rFonts w:ascii="Times New Roman" w:hAnsi="Times New Roman" w:cs="Times New Roman"/>
          <w:b/>
          <w:bCs/>
          <w:sz w:val="24"/>
          <w:szCs w:val="24"/>
          <w:lang w:val="en-US"/>
        </w:rPr>
        <w:t xml:space="preserve">, </w:t>
      </w:r>
      <w:r w:rsidRPr="00DA1D07">
        <w:rPr>
          <w:rFonts w:ascii="Times New Roman" w:hAnsi="Times New Roman" w:cs="Times New Roman"/>
          <w:b/>
          <w:bCs/>
          <w:sz w:val="24"/>
          <w:szCs w:val="24"/>
          <w:lang w:val="en-US"/>
        </w:rPr>
        <w:t>Industry</w:t>
      </w:r>
      <w:r w:rsidR="00967855">
        <w:rPr>
          <w:rFonts w:ascii="Times New Roman" w:hAnsi="Times New Roman" w:cs="Times New Roman"/>
          <w:b/>
          <w:bCs/>
          <w:sz w:val="24"/>
          <w:szCs w:val="24"/>
          <w:lang w:val="en-US"/>
        </w:rPr>
        <w:t xml:space="preserve"> and Year</w:t>
      </w:r>
      <w:r w:rsidRPr="00DA1D07">
        <w:rPr>
          <w:rFonts w:ascii="Times New Roman" w:hAnsi="Times New Roman" w:cs="Times New Roman"/>
          <w:b/>
          <w:bCs/>
          <w:sz w:val="24"/>
          <w:szCs w:val="24"/>
          <w:lang w:val="en-US"/>
        </w:rPr>
        <w:t xml:space="preserve"> Matched Sample</w:t>
      </w:r>
    </w:p>
    <w:tbl>
      <w:tblPr>
        <w:tblW w:w="9073" w:type="dxa"/>
        <w:tblLayout w:type="fixed"/>
        <w:tblLook w:val="04A0" w:firstRow="1" w:lastRow="0" w:firstColumn="1" w:lastColumn="0" w:noHBand="0" w:noVBand="1"/>
      </w:tblPr>
      <w:tblGrid>
        <w:gridCol w:w="2694"/>
        <w:gridCol w:w="1701"/>
        <w:gridCol w:w="1276"/>
        <w:gridCol w:w="1701"/>
        <w:gridCol w:w="1701"/>
      </w:tblGrid>
      <w:tr w:rsidR="00E57A11" w:rsidRPr="00F62082" w14:paraId="67A10A8E" w14:textId="77777777" w:rsidTr="00E35F0F">
        <w:trPr>
          <w:trHeight w:val="57"/>
        </w:trPr>
        <w:tc>
          <w:tcPr>
            <w:tcW w:w="2694" w:type="dxa"/>
            <w:tcBorders>
              <w:top w:val="single" w:sz="4" w:space="0" w:color="auto"/>
              <w:left w:val="nil"/>
              <w:right w:val="nil"/>
            </w:tcBorders>
            <w:shd w:val="clear" w:color="000000" w:fill="FFFFFF"/>
            <w:noWrap/>
            <w:vAlign w:val="bottom"/>
            <w:hideMark/>
          </w:tcPr>
          <w:p w14:paraId="1D8715A8"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 </w:t>
            </w:r>
          </w:p>
        </w:tc>
        <w:tc>
          <w:tcPr>
            <w:tcW w:w="1701" w:type="dxa"/>
            <w:tcBorders>
              <w:top w:val="single" w:sz="4" w:space="0" w:color="auto"/>
              <w:left w:val="nil"/>
              <w:right w:val="nil"/>
            </w:tcBorders>
            <w:shd w:val="clear" w:color="000000" w:fill="FFFFFF"/>
            <w:noWrap/>
            <w:vAlign w:val="bottom"/>
            <w:hideMark/>
          </w:tcPr>
          <w:p w14:paraId="6256803B" w14:textId="77777777" w:rsidR="00E57A11" w:rsidRPr="00306538" w:rsidRDefault="00E57A11" w:rsidP="002753C1">
            <w:pPr>
              <w:spacing w:after="0" w:line="240" w:lineRule="auto"/>
              <w:jc w:val="center"/>
              <w:rPr>
                <w:rFonts w:asciiTheme="majorBidi" w:eastAsia="Times New Roman" w:hAnsiTheme="majorBidi" w:cstheme="majorBidi"/>
                <w:iCs/>
                <w:color w:val="000000"/>
                <w:sz w:val="24"/>
                <w:szCs w:val="24"/>
                <w:lang w:val="en-US" w:eastAsia="en-GB"/>
              </w:rPr>
            </w:pPr>
            <w:r w:rsidRPr="00306538">
              <w:rPr>
                <w:rFonts w:asciiTheme="majorBidi" w:eastAsia="Times New Roman" w:hAnsiTheme="majorBidi" w:cstheme="majorBidi"/>
                <w:iCs/>
                <w:color w:val="000000"/>
                <w:sz w:val="24"/>
                <w:szCs w:val="24"/>
                <w:lang w:val="en-US" w:eastAsia="en-GB"/>
              </w:rPr>
              <w:t>(1)</w:t>
            </w:r>
          </w:p>
        </w:tc>
        <w:tc>
          <w:tcPr>
            <w:tcW w:w="1276" w:type="dxa"/>
            <w:tcBorders>
              <w:top w:val="single" w:sz="4" w:space="0" w:color="auto"/>
              <w:left w:val="nil"/>
              <w:right w:val="nil"/>
            </w:tcBorders>
            <w:shd w:val="clear" w:color="000000" w:fill="FFFFFF"/>
            <w:noWrap/>
            <w:vAlign w:val="bottom"/>
            <w:hideMark/>
          </w:tcPr>
          <w:p w14:paraId="2B824C19" w14:textId="77777777" w:rsidR="00E57A11" w:rsidRPr="00306538" w:rsidRDefault="00E57A11" w:rsidP="002753C1">
            <w:pPr>
              <w:spacing w:after="0" w:line="240" w:lineRule="auto"/>
              <w:jc w:val="center"/>
              <w:rPr>
                <w:rFonts w:asciiTheme="majorBidi" w:eastAsia="Times New Roman" w:hAnsiTheme="majorBidi" w:cstheme="majorBidi"/>
                <w:iCs/>
                <w:color w:val="000000"/>
                <w:sz w:val="24"/>
                <w:szCs w:val="24"/>
                <w:lang w:val="en-US" w:eastAsia="en-GB"/>
              </w:rPr>
            </w:pPr>
            <w:r w:rsidRPr="00306538">
              <w:rPr>
                <w:rFonts w:asciiTheme="majorBidi" w:eastAsia="Times New Roman" w:hAnsiTheme="majorBidi" w:cstheme="majorBidi"/>
                <w:iCs/>
                <w:color w:val="000000"/>
                <w:sz w:val="24"/>
                <w:szCs w:val="24"/>
                <w:lang w:val="en-US" w:eastAsia="en-GB"/>
              </w:rPr>
              <w:t>(2)</w:t>
            </w:r>
          </w:p>
        </w:tc>
        <w:tc>
          <w:tcPr>
            <w:tcW w:w="1701" w:type="dxa"/>
            <w:tcBorders>
              <w:top w:val="single" w:sz="4" w:space="0" w:color="auto"/>
              <w:left w:val="nil"/>
              <w:right w:val="nil"/>
            </w:tcBorders>
            <w:shd w:val="clear" w:color="000000" w:fill="FFFFFF"/>
            <w:noWrap/>
            <w:vAlign w:val="bottom"/>
            <w:hideMark/>
          </w:tcPr>
          <w:p w14:paraId="40AE2DCE" w14:textId="4AD3C3CC" w:rsidR="00E57A11" w:rsidRPr="00AC376E"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AC376E">
              <w:rPr>
                <w:rFonts w:asciiTheme="majorBidi" w:eastAsia="Times New Roman" w:hAnsiTheme="majorBidi" w:cstheme="majorBidi"/>
                <w:color w:val="000000"/>
                <w:sz w:val="24"/>
                <w:szCs w:val="24"/>
                <w:lang w:val="en-US" w:eastAsia="en-GB"/>
              </w:rPr>
              <w:t>(</w:t>
            </w:r>
            <w:r w:rsidR="00A171A2">
              <w:rPr>
                <w:rFonts w:asciiTheme="majorBidi" w:eastAsia="Times New Roman" w:hAnsiTheme="majorBidi" w:cstheme="majorBidi"/>
                <w:color w:val="000000"/>
                <w:sz w:val="24"/>
                <w:szCs w:val="24"/>
                <w:lang w:val="en-US" w:eastAsia="en-GB"/>
              </w:rPr>
              <w:t>3</w:t>
            </w:r>
            <w:r w:rsidRPr="00AC376E">
              <w:rPr>
                <w:rFonts w:asciiTheme="majorBidi" w:eastAsia="Times New Roman" w:hAnsiTheme="majorBidi" w:cstheme="majorBidi"/>
                <w:color w:val="000000"/>
                <w:sz w:val="24"/>
                <w:szCs w:val="24"/>
                <w:lang w:val="en-US" w:eastAsia="en-GB"/>
              </w:rPr>
              <w:t>)</w:t>
            </w:r>
          </w:p>
        </w:tc>
        <w:tc>
          <w:tcPr>
            <w:tcW w:w="1701" w:type="dxa"/>
            <w:tcBorders>
              <w:top w:val="single" w:sz="4" w:space="0" w:color="auto"/>
              <w:left w:val="nil"/>
              <w:right w:val="nil"/>
            </w:tcBorders>
            <w:shd w:val="clear" w:color="000000" w:fill="FFFFFF"/>
            <w:noWrap/>
            <w:vAlign w:val="bottom"/>
            <w:hideMark/>
          </w:tcPr>
          <w:p w14:paraId="751FFFB0" w14:textId="390B33E3" w:rsidR="00E57A11" w:rsidRPr="00A948CE"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A948CE">
              <w:rPr>
                <w:rFonts w:asciiTheme="majorBidi" w:eastAsia="Times New Roman" w:hAnsiTheme="majorBidi" w:cstheme="majorBidi"/>
                <w:color w:val="000000"/>
                <w:sz w:val="24"/>
                <w:szCs w:val="24"/>
                <w:lang w:val="en-US" w:eastAsia="en-GB"/>
              </w:rPr>
              <w:t>(</w:t>
            </w:r>
            <w:r w:rsidR="00A171A2">
              <w:rPr>
                <w:rFonts w:asciiTheme="majorBidi" w:eastAsia="Times New Roman" w:hAnsiTheme="majorBidi" w:cstheme="majorBidi"/>
                <w:color w:val="000000"/>
                <w:sz w:val="24"/>
                <w:szCs w:val="24"/>
                <w:lang w:val="en-US" w:eastAsia="en-GB"/>
              </w:rPr>
              <w:t>4</w:t>
            </w:r>
            <w:r w:rsidRPr="00A948CE">
              <w:rPr>
                <w:rFonts w:asciiTheme="majorBidi" w:eastAsia="Times New Roman" w:hAnsiTheme="majorBidi" w:cstheme="majorBidi"/>
                <w:color w:val="000000"/>
                <w:sz w:val="24"/>
                <w:szCs w:val="24"/>
                <w:lang w:val="en-US" w:eastAsia="en-GB"/>
              </w:rPr>
              <w:t>)</w:t>
            </w:r>
          </w:p>
        </w:tc>
      </w:tr>
      <w:tr w:rsidR="00E57A11" w:rsidRPr="00F62082" w14:paraId="18A06BF1" w14:textId="77777777" w:rsidTr="00E35F0F">
        <w:trPr>
          <w:trHeight w:val="57"/>
        </w:trPr>
        <w:tc>
          <w:tcPr>
            <w:tcW w:w="2694" w:type="dxa"/>
            <w:tcBorders>
              <w:top w:val="nil"/>
              <w:left w:val="nil"/>
              <w:bottom w:val="single" w:sz="4" w:space="0" w:color="auto"/>
              <w:right w:val="nil"/>
            </w:tcBorders>
            <w:shd w:val="clear" w:color="000000" w:fill="FFFFFF"/>
            <w:noWrap/>
            <w:vAlign w:val="bottom"/>
            <w:hideMark/>
          </w:tcPr>
          <w:p w14:paraId="281EE119"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Dependent variable</w:t>
            </w:r>
          </w:p>
        </w:tc>
        <w:tc>
          <w:tcPr>
            <w:tcW w:w="1701" w:type="dxa"/>
            <w:tcBorders>
              <w:top w:val="nil"/>
              <w:left w:val="nil"/>
              <w:bottom w:val="single" w:sz="4" w:space="0" w:color="auto"/>
              <w:right w:val="nil"/>
            </w:tcBorders>
            <w:shd w:val="clear" w:color="000000" w:fill="FFFFFF"/>
            <w:noWrap/>
            <w:hideMark/>
          </w:tcPr>
          <w:p w14:paraId="43AE4B0E" w14:textId="77777777" w:rsidR="00E57A11" w:rsidRPr="00DA1D07" w:rsidRDefault="00E57A11" w:rsidP="002753C1">
            <w:pPr>
              <w:spacing w:after="0" w:line="240" w:lineRule="auto"/>
              <w:jc w:val="center"/>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ln(Violations)</w:t>
            </w:r>
          </w:p>
        </w:tc>
        <w:tc>
          <w:tcPr>
            <w:tcW w:w="1276" w:type="dxa"/>
            <w:tcBorders>
              <w:top w:val="nil"/>
              <w:left w:val="nil"/>
              <w:bottom w:val="single" w:sz="4" w:space="0" w:color="auto"/>
              <w:right w:val="nil"/>
            </w:tcBorders>
            <w:shd w:val="clear" w:color="000000" w:fill="FFFFFF"/>
            <w:noWrap/>
            <w:hideMark/>
          </w:tcPr>
          <w:p w14:paraId="10824329" w14:textId="77777777" w:rsidR="00E57A11" w:rsidRPr="00DA1D07" w:rsidRDefault="00E57A11" w:rsidP="002753C1">
            <w:pPr>
              <w:spacing w:after="0" w:line="240" w:lineRule="auto"/>
              <w:jc w:val="center"/>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Violations</w:t>
            </w:r>
          </w:p>
        </w:tc>
        <w:tc>
          <w:tcPr>
            <w:tcW w:w="1701" w:type="dxa"/>
            <w:tcBorders>
              <w:top w:val="nil"/>
              <w:left w:val="nil"/>
              <w:bottom w:val="single" w:sz="4" w:space="0" w:color="auto"/>
              <w:right w:val="nil"/>
            </w:tcBorders>
            <w:shd w:val="clear" w:color="000000" w:fill="FFFFFF"/>
            <w:hideMark/>
          </w:tcPr>
          <w:p w14:paraId="70574506" w14:textId="77777777" w:rsidR="00E57A11" w:rsidRPr="00DA1D07" w:rsidRDefault="00E57A11" w:rsidP="002753C1">
            <w:pPr>
              <w:spacing w:after="0" w:line="240" w:lineRule="auto"/>
              <w:jc w:val="center"/>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ln(Penalties)</w:t>
            </w:r>
          </w:p>
        </w:tc>
        <w:tc>
          <w:tcPr>
            <w:tcW w:w="1701" w:type="dxa"/>
            <w:tcBorders>
              <w:top w:val="nil"/>
              <w:left w:val="nil"/>
              <w:bottom w:val="single" w:sz="4" w:space="0" w:color="auto"/>
              <w:right w:val="nil"/>
            </w:tcBorders>
            <w:shd w:val="clear" w:color="000000" w:fill="FFFFFF"/>
            <w:noWrap/>
            <w:hideMark/>
          </w:tcPr>
          <w:p w14:paraId="5EFFDBCF" w14:textId="77777777" w:rsidR="00E57A11" w:rsidRPr="00DA1D07" w:rsidRDefault="00E57A11" w:rsidP="002753C1">
            <w:pPr>
              <w:spacing w:after="0" w:line="240" w:lineRule="auto"/>
              <w:jc w:val="center"/>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Q(Penalties)</w:t>
            </w:r>
          </w:p>
        </w:tc>
      </w:tr>
      <w:tr w:rsidR="00E57A11" w:rsidRPr="00F62082" w14:paraId="19D5C2C5" w14:textId="77777777" w:rsidTr="00E35F0F">
        <w:trPr>
          <w:trHeight w:val="57"/>
        </w:trPr>
        <w:tc>
          <w:tcPr>
            <w:tcW w:w="2694" w:type="dxa"/>
            <w:tcBorders>
              <w:top w:val="single" w:sz="4" w:space="0" w:color="auto"/>
              <w:left w:val="nil"/>
              <w:bottom w:val="nil"/>
              <w:right w:val="nil"/>
            </w:tcBorders>
            <w:shd w:val="clear" w:color="auto" w:fill="D9D9D9" w:themeFill="background1" w:themeFillShade="D9"/>
            <w:noWrap/>
            <w:vAlign w:val="center"/>
            <w:hideMark/>
          </w:tcPr>
          <w:p w14:paraId="5D59CAED"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Vega</w:t>
            </w:r>
          </w:p>
        </w:tc>
        <w:tc>
          <w:tcPr>
            <w:tcW w:w="1701" w:type="dxa"/>
            <w:tcBorders>
              <w:top w:val="single" w:sz="4" w:space="0" w:color="auto"/>
              <w:left w:val="nil"/>
              <w:bottom w:val="nil"/>
              <w:right w:val="nil"/>
            </w:tcBorders>
            <w:shd w:val="clear" w:color="auto" w:fill="D9D9D9" w:themeFill="background1" w:themeFillShade="D9"/>
            <w:noWrap/>
            <w:vAlign w:val="bottom"/>
            <w:hideMark/>
          </w:tcPr>
          <w:p w14:paraId="58CABFC9"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0.010**</w:t>
            </w:r>
          </w:p>
        </w:tc>
        <w:tc>
          <w:tcPr>
            <w:tcW w:w="1276" w:type="dxa"/>
            <w:tcBorders>
              <w:top w:val="single" w:sz="4" w:space="0" w:color="auto"/>
              <w:left w:val="nil"/>
              <w:bottom w:val="nil"/>
              <w:right w:val="nil"/>
            </w:tcBorders>
            <w:shd w:val="clear" w:color="auto" w:fill="D9D9D9" w:themeFill="background1" w:themeFillShade="D9"/>
            <w:noWrap/>
            <w:vAlign w:val="bottom"/>
            <w:hideMark/>
          </w:tcPr>
          <w:p w14:paraId="752C6C1D"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0.055**</w:t>
            </w:r>
          </w:p>
        </w:tc>
        <w:tc>
          <w:tcPr>
            <w:tcW w:w="1701" w:type="dxa"/>
            <w:tcBorders>
              <w:top w:val="single" w:sz="4" w:space="0" w:color="auto"/>
              <w:left w:val="nil"/>
              <w:bottom w:val="nil"/>
              <w:right w:val="nil"/>
            </w:tcBorders>
            <w:shd w:val="clear" w:color="auto" w:fill="D9D9D9" w:themeFill="background1" w:themeFillShade="D9"/>
            <w:noWrap/>
            <w:vAlign w:val="bottom"/>
            <w:hideMark/>
          </w:tcPr>
          <w:p w14:paraId="443C9C88"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0.103*</w:t>
            </w:r>
          </w:p>
        </w:tc>
        <w:tc>
          <w:tcPr>
            <w:tcW w:w="1701" w:type="dxa"/>
            <w:tcBorders>
              <w:top w:val="single" w:sz="4" w:space="0" w:color="auto"/>
              <w:left w:val="nil"/>
              <w:bottom w:val="nil"/>
              <w:right w:val="nil"/>
            </w:tcBorders>
            <w:shd w:val="clear" w:color="auto" w:fill="D9D9D9" w:themeFill="background1" w:themeFillShade="D9"/>
            <w:noWrap/>
            <w:vAlign w:val="bottom"/>
            <w:hideMark/>
          </w:tcPr>
          <w:p w14:paraId="644DDAF5"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0.026**</w:t>
            </w:r>
          </w:p>
        </w:tc>
      </w:tr>
      <w:tr w:rsidR="00E57A11" w:rsidRPr="00F62082" w14:paraId="3F25CF2F" w14:textId="77777777" w:rsidTr="00E35F0F">
        <w:trPr>
          <w:trHeight w:val="57"/>
        </w:trPr>
        <w:tc>
          <w:tcPr>
            <w:tcW w:w="2694" w:type="dxa"/>
            <w:tcBorders>
              <w:top w:val="nil"/>
              <w:left w:val="nil"/>
              <w:bottom w:val="nil"/>
              <w:right w:val="nil"/>
            </w:tcBorders>
            <w:shd w:val="clear" w:color="auto" w:fill="D9D9D9" w:themeFill="background1" w:themeFillShade="D9"/>
            <w:noWrap/>
            <w:vAlign w:val="bottom"/>
            <w:hideMark/>
          </w:tcPr>
          <w:p w14:paraId="389DCA45"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 </w:t>
            </w:r>
          </w:p>
        </w:tc>
        <w:tc>
          <w:tcPr>
            <w:tcW w:w="1701" w:type="dxa"/>
            <w:tcBorders>
              <w:top w:val="nil"/>
              <w:left w:val="nil"/>
              <w:bottom w:val="nil"/>
              <w:right w:val="nil"/>
            </w:tcBorders>
            <w:shd w:val="clear" w:color="auto" w:fill="D9D9D9" w:themeFill="background1" w:themeFillShade="D9"/>
            <w:noWrap/>
            <w:vAlign w:val="bottom"/>
            <w:hideMark/>
          </w:tcPr>
          <w:p w14:paraId="18659694"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(1.99)</w:t>
            </w:r>
          </w:p>
        </w:tc>
        <w:tc>
          <w:tcPr>
            <w:tcW w:w="1276" w:type="dxa"/>
            <w:tcBorders>
              <w:top w:val="nil"/>
              <w:left w:val="nil"/>
              <w:bottom w:val="nil"/>
              <w:right w:val="nil"/>
            </w:tcBorders>
            <w:shd w:val="clear" w:color="auto" w:fill="D9D9D9" w:themeFill="background1" w:themeFillShade="D9"/>
            <w:noWrap/>
            <w:vAlign w:val="bottom"/>
            <w:hideMark/>
          </w:tcPr>
          <w:p w14:paraId="0C4E799F"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(2.50)</w:t>
            </w:r>
          </w:p>
        </w:tc>
        <w:tc>
          <w:tcPr>
            <w:tcW w:w="1701" w:type="dxa"/>
            <w:tcBorders>
              <w:top w:val="nil"/>
              <w:left w:val="nil"/>
              <w:bottom w:val="nil"/>
              <w:right w:val="nil"/>
            </w:tcBorders>
            <w:shd w:val="clear" w:color="auto" w:fill="D9D9D9" w:themeFill="background1" w:themeFillShade="D9"/>
            <w:noWrap/>
            <w:vAlign w:val="bottom"/>
            <w:hideMark/>
          </w:tcPr>
          <w:p w14:paraId="399C71AC"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(1.94)</w:t>
            </w:r>
          </w:p>
        </w:tc>
        <w:tc>
          <w:tcPr>
            <w:tcW w:w="1701" w:type="dxa"/>
            <w:tcBorders>
              <w:top w:val="nil"/>
              <w:left w:val="nil"/>
              <w:bottom w:val="nil"/>
              <w:right w:val="nil"/>
            </w:tcBorders>
            <w:shd w:val="clear" w:color="auto" w:fill="D9D9D9" w:themeFill="background1" w:themeFillShade="D9"/>
            <w:noWrap/>
            <w:vAlign w:val="bottom"/>
            <w:hideMark/>
          </w:tcPr>
          <w:p w14:paraId="41C1B411"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(2.21)</w:t>
            </w:r>
          </w:p>
        </w:tc>
      </w:tr>
      <w:tr w:rsidR="00E57A11" w:rsidRPr="00F62082" w14:paraId="5B52CD4B" w14:textId="77777777" w:rsidTr="00E35F0F">
        <w:trPr>
          <w:trHeight w:val="57"/>
        </w:trPr>
        <w:tc>
          <w:tcPr>
            <w:tcW w:w="2694" w:type="dxa"/>
            <w:tcBorders>
              <w:top w:val="nil"/>
              <w:left w:val="nil"/>
              <w:bottom w:val="nil"/>
              <w:right w:val="nil"/>
            </w:tcBorders>
            <w:shd w:val="clear" w:color="000000" w:fill="FFFFFF"/>
            <w:noWrap/>
            <w:vAlign w:val="center"/>
            <w:hideMark/>
          </w:tcPr>
          <w:p w14:paraId="288A2434"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Delta</w:t>
            </w:r>
          </w:p>
        </w:tc>
        <w:tc>
          <w:tcPr>
            <w:tcW w:w="1701" w:type="dxa"/>
            <w:tcBorders>
              <w:top w:val="nil"/>
              <w:left w:val="nil"/>
              <w:bottom w:val="nil"/>
              <w:right w:val="nil"/>
            </w:tcBorders>
            <w:shd w:val="clear" w:color="000000" w:fill="FFFFFF"/>
            <w:noWrap/>
            <w:vAlign w:val="bottom"/>
            <w:hideMark/>
          </w:tcPr>
          <w:p w14:paraId="569BA878"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-0.006</w:t>
            </w:r>
          </w:p>
        </w:tc>
        <w:tc>
          <w:tcPr>
            <w:tcW w:w="1276" w:type="dxa"/>
            <w:tcBorders>
              <w:top w:val="nil"/>
              <w:left w:val="nil"/>
              <w:bottom w:val="nil"/>
              <w:right w:val="nil"/>
            </w:tcBorders>
            <w:shd w:val="clear" w:color="000000" w:fill="FFFFFF"/>
            <w:noWrap/>
            <w:vAlign w:val="bottom"/>
            <w:hideMark/>
          </w:tcPr>
          <w:p w14:paraId="2C9AEBAC"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-0.036</w:t>
            </w:r>
          </w:p>
        </w:tc>
        <w:tc>
          <w:tcPr>
            <w:tcW w:w="1701" w:type="dxa"/>
            <w:tcBorders>
              <w:top w:val="nil"/>
              <w:left w:val="nil"/>
              <w:bottom w:val="nil"/>
              <w:right w:val="nil"/>
            </w:tcBorders>
            <w:shd w:val="clear" w:color="000000" w:fill="FFFFFF"/>
            <w:noWrap/>
            <w:vAlign w:val="bottom"/>
            <w:hideMark/>
          </w:tcPr>
          <w:p w14:paraId="4E4FE46C"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-0.061</w:t>
            </w:r>
          </w:p>
        </w:tc>
        <w:tc>
          <w:tcPr>
            <w:tcW w:w="1701" w:type="dxa"/>
            <w:tcBorders>
              <w:top w:val="nil"/>
              <w:left w:val="nil"/>
              <w:bottom w:val="nil"/>
              <w:right w:val="nil"/>
            </w:tcBorders>
            <w:shd w:val="clear" w:color="000000" w:fill="FFFFFF"/>
            <w:noWrap/>
            <w:vAlign w:val="bottom"/>
            <w:hideMark/>
          </w:tcPr>
          <w:p w14:paraId="69FAF340"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-0.027*</w:t>
            </w:r>
          </w:p>
        </w:tc>
      </w:tr>
      <w:tr w:rsidR="00E57A11" w:rsidRPr="00F62082" w14:paraId="545D1E34" w14:textId="77777777" w:rsidTr="00E35F0F">
        <w:trPr>
          <w:trHeight w:val="57"/>
        </w:trPr>
        <w:tc>
          <w:tcPr>
            <w:tcW w:w="2694" w:type="dxa"/>
            <w:tcBorders>
              <w:top w:val="nil"/>
              <w:left w:val="nil"/>
              <w:bottom w:val="nil"/>
              <w:right w:val="nil"/>
            </w:tcBorders>
            <w:shd w:val="clear" w:color="000000" w:fill="FFFFFF"/>
            <w:noWrap/>
            <w:vAlign w:val="bottom"/>
            <w:hideMark/>
          </w:tcPr>
          <w:p w14:paraId="129A976E"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 </w:t>
            </w:r>
          </w:p>
        </w:tc>
        <w:tc>
          <w:tcPr>
            <w:tcW w:w="1701" w:type="dxa"/>
            <w:tcBorders>
              <w:top w:val="nil"/>
              <w:left w:val="nil"/>
              <w:bottom w:val="nil"/>
              <w:right w:val="nil"/>
            </w:tcBorders>
            <w:shd w:val="clear" w:color="000000" w:fill="FFFFFF"/>
            <w:noWrap/>
            <w:vAlign w:val="bottom"/>
            <w:hideMark/>
          </w:tcPr>
          <w:p w14:paraId="4FB020FD"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(-0.89)</w:t>
            </w:r>
          </w:p>
        </w:tc>
        <w:tc>
          <w:tcPr>
            <w:tcW w:w="1276" w:type="dxa"/>
            <w:tcBorders>
              <w:top w:val="nil"/>
              <w:left w:val="nil"/>
              <w:bottom w:val="nil"/>
              <w:right w:val="nil"/>
            </w:tcBorders>
            <w:shd w:val="clear" w:color="000000" w:fill="FFFFFF"/>
            <w:noWrap/>
            <w:vAlign w:val="bottom"/>
            <w:hideMark/>
          </w:tcPr>
          <w:p w14:paraId="32EE756F"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(-1.37)</w:t>
            </w:r>
          </w:p>
        </w:tc>
        <w:tc>
          <w:tcPr>
            <w:tcW w:w="1701" w:type="dxa"/>
            <w:tcBorders>
              <w:top w:val="nil"/>
              <w:left w:val="nil"/>
              <w:bottom w:val="nil"/>
              <w:right w:val="nil"/>
            </w:tcBorders>
            <w:shd w:val="clear" w:color="000000" w:fill="FFFFFF"/>
            <w:noWrap/>
            <w:vAlign w:val="bottom"/>
            <w:hideMark/>
          </w:tcPr>
          <w:p w14:paraId="011BEFE8"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(-0.83)</w:t>
            </w:r>
          </w:p>
        </w:tc>
        <w:tc>
          <w:tcPr>
            <w:tcW w:w="1701" w:type="dxa"/>
            <w:tcBorders>
              <w:top w:val="nil"/>
              <w:left w:val="nil"/>
              <w:bottom w:val="nil"/>
              <w:right w:val="nil"/>
            </w:tcBorders>
            <w:shd w:val="clear" w:color="000000" w:fill="FFFFFF"/>
            <w:noWrap/>
            <w:vAlign w:val="bottom"/>
            <w:hideMark/>
          </w:tcPr>
          <w:p w14:paraId="27CF3CD2"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(-1.66)</w:t>
            </w:r>
          </w:p>
        </w:tc>
      </w:tr>
      <w:tr w:rsidR="00E57A11" w:rsidRPr="00F62082" w14:paraId="6C411372" w14:textId="77777777" w:rsidTr="00E35F0F">
        <w:trPr>
          <w:trHeight w:val="57"/>
        </w:trPr>
        <w:tc>
          <w:tcPr>
            <w:tcW w:w="2694" w:type="dxa"/>
            <w:tcBorders>
              <w:top w:val="nil"/>
              <w:left w:val="nil"/>
              <w:bottom w:val="nil"/>
              <w:right w:val="nil"/>
            </w:tcBorders>
            <w:shd w:val="clear" w:color="000000" w:fill="FFFFFF"/>
            <w:noWrap/>
            <w:vAlign w:val="center"/>
            <w:hideMark/>
          </w:tcPr>
          <w:p w14:paraId="135C9509"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proofErr w:type="spellStart"/>
            <w:r w:rsidRPr="00DA1D07">
              <w:rPr>
                <w:rFonts w:asciiTheme="majorBidi" w:eastAsia="Times New Roman" w:hAnsiTheme="majorBidi" w:cstheme="majorBidi"/>
                <w:i/>
                <w:iCs/>
                <w:color w:val="000000"/>
                <w:sz w:val="24"/>
                <w:szCs w:val="24"/>
                <w:lang w:val="en-US" w:eastAsia="en-GB"/>
              </w:rPr>
              <w:t>CashComp</w:t>
            </w:r>
            <w:proofErr w:type="spellEnd"/>
          </w:p>
        </w:tc>
        <w:tc>
          <w:tcPr>
            <w:tcW w:w="1701" w:type="dxa"/>
            <w:tcBorders>
              <w:top w:val="nil"/>
              <w:left w:val="nil"/>
              <w:bottom w:val="nil"/>
              <w:right w:val="nil"/>
            </w:tcBorders>
            <w:shd w:val="clear" w:color="000000" w:fill="FFFFFF"/>
            <w:noWrap/>
            <w:vAlign w:val="bottom"/>
            <w:hideMark/>
          </w:tcPr>
          <w:p w14:paraId="61CE37DC"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-0.010</w:t>
            </w:r>
          </w:p>
        </w:tc>
        <w:tc>
          <w:tcPr>
            <w:tcW w:w="1276" w:type="dxa"/>
            <w:tcBorders>
              <w:top w:val="nil"/>
              <w:left w:val="nil"/>
              <w:bottom w:val="nil"/>
              <w:right w:val="nil"/>
            </w:tcBorders>
            <w:shd w:val="clear" w:color="000000" w:fill="FFFFFF"/>
            <w:noWrap/>
            <w:vAlign w:val="bottom"/>
            <w:hideMark/>
          </w:tcPr>
          <w:p w14:paraId="3F41D89A"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-0.011</w:t>
            </w:r>
          </w:p>
        </w:tc>
        <w:tc>
          <w:tcPr>
            <w:tcW w:w="1701" w:type="dxa"/>
            <w:tcBorders>
              <w:top w:val="nil"/>
              <w:left w:val="nil"/>
              <w:bottom w:val="nil"/>
              <w:right w:val="nil"/>
            </w:tcBorders>
            <w:shd w:val="clear" w:color="000000" w:fill="FFFFFF"/>
            <w:noWrap/>
            <w:vAlign w:val="bottom"/>
            <w:hideMark/>
          </w:tcPr>
          <w:p w14:paraId="5C1F5214"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-0.029</w:t>
            </w:r>
          </w:p>
        </w:tc>
        <w:tc>
          <w:tcPr>
            <w:tcW w:w="1701" w:type="dxa"/>
            <w:tcBorders>
              <w:top w:val="nil"/>
              <w:left w:val="nil"/>
              <w:bottom w:val="nil"/>
              <w:right w:val="nil"/>
            </w:tcBorders>
            <w:shd w:val="clear" w:color="000000" w:fill="FFFFFF"/>
            <w:noWrap/>
            <w:vAlign w:val="bottom"/>
            <w:hideMark/>
          </w:tcPr>
          <w:p w14:paraId="389CA3B4"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0.011</w:t>
            </w:r>
          </w:p>
        </w:tc>
      </w:tr>
      <w:tr w:rsidR="00E57A11" w:rsidRPr="00F62082" w14:paraId="14BD2261" w14:textId="77777777" w:rsidTr="00E35F0F">
        <w:trPr>
          <w:trHeight w:val="57"/>
        </w:trPr>
        <w:tc>
          <w:tcPr>
            <w:tcW w:w="2694" w:type="dxa"/>
            <w:tcBorders>
              <w:top w:val="nil"/>
              <w:left w:val="nil"/>
              <w:bottom w:val="nil"/>
              <w:right w:val="nil"/>
            </w:tcBorders>
            <w:shd w:val="clear" w:color="000000" w:fill="FFFFFF"/>
            <w:noWrap/>
            <w:vAlign w:val="bottom"/>
            <w:hideMark/>
          </w:tcPr>
          <w:p w14:paraId="1793DB33" w14:textId="77777777" w:rsidR="00E57A11" w:rsidRPr="00DA1D07" w:rsidRDefault="00E57A11" w:rsidP="002753C1">
            <w:pPr>
              <w:spacing w:after="0" w:line="240" w:lineRule="auto"/>
              <w:rPr>
                <w:rFonts w:asciiTheme="majorBidi" w:eastAsia="Times New Roman" w:hAnsiTheme="majorBidi" w:cstheme="majorBidi"/>
                <w:i/>
                <w:iCs/>
                <w:color w:val="000000"/>
                <w:sz w:val="24"/>
                <w:szCs w:val="24"/>
                <w:lang w:val="en-US" w:eastAsia="en-GB"/>
              </w:rPr>
            </w:pPr>
            <w:r w:rsidRPr="00DA1D07">
              <w:rPr>
                <w:rFonts w:asciiTheme="majorBidi" w:eastAsia="Times New Roman" w:hAnsiTheme="majorBidi" w:cstheme="majorBidi"/>
                <w:i/>
                <w:iCs/>
                <w:color w:val="000000"/>
                <w:sz w:val="24"/>
                <w:szCs w:val="24"/>
                <w:lang w:val="en-US" w:eastAsia="en-GB"/>
              </w:rPr>
              <w:t> </w:t>
            </w:r>
          </w:p>
        </w:tc>
        <w:tc>
          <w:tcPr>
            <w:tcW w:w="1701" w:type="dxa"/>
            <w:tcBorders>
              <w:top w:val="nil"/>
              <w:left w:val="nil"/>
              <w:bottom w:val="nil"/>
              <w:right w:val="nil"/>
            </w:tcBorders>
            <w:shd w:val="clear" w:color="000000" w:fill="FFFFFF"/>
            <w:noWrap/>
            <w:vAlign w:val="bottom"/>
            <w:hideMark/>
          </w:tcPr>
          <w:p w14:paraId="1E4D04D4"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(-0.88)</w:t>
            </w:r>
          </w:p>
        </w:tc>
        <w:tc>
          <w:tcPr>
            <w:tcW w:w="1276" w:type="dxa"/>
            <w:tcBorders>
              <w:top w:val="nil"/>
              <w:left w:val="nil"/>
              <w:bottom w:val="nil"/>
              <w:right w:val="nil"/>
            </w:tcBorders>
            <w:shd w:val="clear" w:color="000000" w:fill="FFFFFF"/>
            <w:noWrap/>
            <w:vAlign w:val="bottom"/>
            <w:hideMark/>
          </w:tcPr>
          <w:p w14:paraId="0BBEEF91"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(-0.21)</w:t>
            </w:r>
          </w:p>
        </w:tc>
        <w:tc>
          <w:tcPr>
            <w:tcW w:w="1701" w:type="dxa"/>
            <w:tcBorders>
              <w:top w:val="nil"/>
              <w:left w:val="nil"/>
              <w:bottom w:val="nil"/>
              <w:right w:val="nil"/>
            </w:tcBorders>
            <w:shd w:val="clear" w:color="000000" w:fill="FFFFFF"/>
            <w:noWrap/>
            <w:vAlign w:val="bottom"/>
            <w:hideMark/>
          </w:tcPr>
          <w:p w14:paraId="36F94A25"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(-0.26)</w:t>
            </w:r>
          </w:p>
        </w:tc>
        <w:tc>
          <w:tcPr>
            <w:tcW w:w="1701" w:type="dxa"/>
            <w:tcBorders>
              <w:top w:val="nil"/>
              <w:left w:val="nil"/>
              <w:bottom w:val="nil"/>
              <w:right w:val="nil"/>
            </w:tcBorders>
            <w:shd w:val="clear" w:color="000000" w:fill="FFFFFF"/>
            <w:noWrap/>
            <w:vAlign w:val="bottom"/>
            <w:hideMark/>
          </w:tcPr>
          <w:p w14:paraId="149E3753"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(0.41)</w:t>
            </w:r>
          </w:p>
        </w:tc>
      </w:tr>
      <w:tr w:rsidR="00E57A11" w:rsidRPr="00F62082" w14:paraId="15292E0D" w14:textId="77777777" w:rsidTr="00E35F0F">
        <w:trPr>
          <w:trHeight w:val="57"/>
        </w:trPr>
        <w:tc>
          <w:tcPr>
            <w:tcW w:w="2694" w:type="dxa"/>
            <w:tcBorders>
              <w:top w:val="nil"/>
              <w:left w:val="nil"/>
              <w:bottom w:val="nil"/>
              <w:right w:val="nil"/>
            </w:tcBorders>
            <w:shd w:val="clear" w:color="000000" w:fill="FFFFFF"/>
            <w:noWrap/>
            <w:vAlign w:val="bottom"/>
            <w:hideMark/>
          </w:tcPr>
          <w:p w14:paraId="41FF68A9" w14:textId="77777777" w:rsidR="00E57A11" w:rsidRPr="00DA1D07" w:rsidRDefault="00E57A11" w:rsidP="002753C1">
            <w:pPr>
              <w:spacing w:after="0" w:line="240" w:lineRule="auto"/>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R-squared</w:t>
            </w:r>
          </w:p>
        </w:tc>
        <w:tc>
          <w:tcPr>
            <w:tcW w:w="1701" w:type="dxa"/>
            <w:tcBorders>
              <w:top w:val="nil"/>
              <w:left w:val="nil"/>
              <w:bottom w:val="nil"/>
              <w:right w:val="nil"/>
            </w:tcBorders>
            <w:shd w:val="clear" w:color="000000" w:fill="FFFFFF"/>
            <w:noWrap/>
            <w:vAlign w:val="bottom"/>
            <w:hideMark/>
          </w:tcPr>
          <w:p w14:paraId="7E5EE74B"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0.610</w:t>
            </w:r>
          </w:p>
        </w:tc>
        <w:tc>
          <w:tcPr>
            <w:tcW w:w="1276" w:type="dxa"/>
            <w:tcBorders>
              <w:top w:val="nil"/>
              <w:left w:val="nil"/>
              <w:bottom w:val="nil"/>
              <w:right w:val="nil"/>
            </w:tcBorders>
            <w:shd w:val="clear" w:color="000000" w:fill="FFFFFF"/>
            <w:noWrap/>
            <w:vAlign w:val="bottom"/>
            <w:hideMark/>
          </w:tcPr>
          <w:p w14:paraId="19DC2887"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p>
        </w:tc>
        <w:tc>
          <w:tcPr>
            <w:tcW w:w="1701" w:type="dxa"/>
            <w:tcBorders>
              <w:top w:val="nil"/>
              <w:left w:val="nil"/>
              <w:bottom w:val="nil"/>
              <w:right w:val="nil"/>
            </w:tcBorders>
            <w:shd w:val="clear" w:color="000000" w:fill="FFFFFF"/>
            <w:noWrap/>
            <w:vAlign w:val="bottom"/>
            <w:hideMark/>
          </w:tcPr>
          <w:p w14:paraId="2E0B7552"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0.494</w:t>
            </w:r>
          </w:p>
        </w:tc>
        <w:tc>
          <w:tcPr>
            <w:tcW w:w="1701" w:type="dxa"/>
            <w:tcBorders>
              <w:top w:val="nil"/>
              <w:left w:val="nil"/>
              <w:bottom w:val="nil"/>
              <w:right w:val="nil"/>
            </w:tcBorders>
            <w:shd w:val="clear" w:color="000000" w:fill="FFFFFF"/>
            <w:noWrap/>
            <w:vAlign w:val="bottom"/>
            <w:hideMark/>
          </w:tcPr>
          <w:p w14:paraId="08A0A010"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p>
        </w:tc>
      </w:tr>
      <w:tr w:rsidR="00E57A11" w:rsidRPr="00F62082" w14:paraId="353BFD16" w14:textId="77777777" w:rsidTr="00E35F0F">
        <w:trPr>
          <w:trHeight w:val="57"/>
        </w:trPr>
        <w:tc>
          <w:tcPr>
            <w:tcW w:w="2694" w:type="dxa"/>
            <w:tcBorders>
              <w:top w:val="nil"/>
              <w:left w:val="nil"/>
              <w:bottom w:val="nil"/>
              <w:right w:val="nil"/>
            </w:tcBorders>
            <w:shd w:val="clear" w:color="000000" w:fill="FFFFFF"/>
            <w:noWrap/>
            <w:vAlign w:val="bottom"/>
            <w:hideMark/>
          </w:tcPr>
          <w:p w14:paraId="67D870F4" w14:textId="77777777" w:rsidR="00E57A11" w:rsidRPr="00872AE2" w:rsidRDefault="00E57A11" w:rsidP="002753C1">
            <w:pPr>
              <w:spacing w:after="0" w:line="240" w:lineRule="auto"/>
              <w:rPr>
                <w:rFonts w:asciiTheme="majorBidi" w:eastAsia="Times New Roman" w:hAnsiTheme="majorBidi" w:cstheme="majorBidi"/>
                <w:color w:val="000000"/>
                <w:sz w:val="24"/>
                <w:szCs w:val="24"/>
                <w:lang w:val="en-US" w:eastAsia="en-GB"/>
              </w:rPr>
            </w:pPr>
            <w:r w:rsidRPr="00872AE2">
              <w:rPr>
                <w:rFonts w:asciiTheme="majorBidi" w:eastAsia="Times New Roman" w:hAnsiTheme="majorBidi" w:cstheme="majorBidi"/>
                <w:color w:val="000000"/>
                <w:sz w:val="24"/>
                <w:szCs w:val="24"/>
                <w:lang w:val="en-US" w:eastAsia="en-GB"/>
              </w:rPr>
              <w:t>Log-likelihood</w:t>
            </w:r>
          </w:p>
        </w:tc>
        <w:tc>
          <w:tcPr>
            <w:tcW w:w="1701" w:type="dxa"/>
            <w:tcBorders>
              <w:top w:val="nil"/>
              <w:left w:val="nil"/>
              <w:bottom w:val="nil"/>
              <w:right w:val="nil"/>
            </w:tcBorders>
            <w:shd w:val="clear" w:color="000000" w:fill="FFFFFF"/>
            <w:noWrap/>
            <w:vAlign w:val="bottom"/>
            <w:hideMark/>
          </w:tcPr>
          <w:p w14:paraId="75721E5F"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p>
        </w:tc>
        <w:tc>
          <w:tcPr>
            <w:tcW w:w="1276" w:type="dxa"/>
            <w:tcBorders>
              <w:top w:val="nil"/>
              <w:left w:val="nil"/>
              <w:bottom w:val="nil"/>
              <w:right w:val="nil"/>
            </w:tcBorders>
            <w:shd w:val="clear" w:color="000000" w:fill="FFFFFF"/>
            <w:noWrap/>
            <w:vAlign w:val="bottom"/>
            <w:hideMark/>
          </w:tcPr>
          <w:p w14:paraId="36042BA2"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-7,077.948</w:t>
            </w:r>
          </w:p>
        </w:tc>
        <w:tc>
          <w:tcPr>
            <w:tcW w:w="1701" w:type="dxa"/>
            <w:tcBorders>
              <w:top w:val="nil"/>
              <w:left w:val="nil"/>
              <w:bottom w:val="nil"/>
              <w:right w:val="nil"/>
            </w:tcBorders>
            <w:shd w:val="clear" w:color="000000" w:fill="FFFFFF"/>
            <w:noWrap/>
            <w:vAlign w:val="bottom"/>
            <w:hideMark/>
          </w:tcPr>
          <w:p w14:paraId="590AA8E9"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p>
        </w:tc>
        <w:tc>
          <w:tcPr>
            <w:tcW w:w="1701" w:type="dxa"/>
            <w:tcBorders>
              <w:top w:val="nil"/>
              <w:left w:val="nil"/>
              <w:bottom w:val="nil"/>
              <w:right w:val="nil"/>
            </w:tcBorders>
            <w:shd w:val="clear" w:color="000000" w:fill="FFFFFF"/>
            <w:noWrap/>
            <w:vAlign w:val="bottom"/>
            <w:hideMark/>
          </w:tcPr>
          <w:p w14:paraId="08FEE24B"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-24,929.389</w:t>
            </w:r>
          </w:p>
        </w:tc>
      </w:tr>
      <w:tr w:rsidR="00E57A11" w:rsidRPr="00F62082" w14:paraId="24C5A813" w14:textId="77777777" w:rsidTr="00E35F0F">
        <w:trPr>
          <w:trHeight w:val="57"/>
        </w:trPr>
        <w:tc>
          <w:tcPr>
            <w:tcW w:w="2694" w:type="dxa"/>
            <w:tcBorders>
              <w:top w:val="nil"/>
              <w:left w:val="nil"/>
              <w:bottom w:val="nil"/>
              <w:right w:val="nil"/>
            </w:tcBorders>
            <w:shd w:val="clear" w:color="000000" w:fill="FFFFFF"/>
            <w:noWrap/>
            <w:vAlign w:val="bottom"/>
            <w:hideMark/>
          </w:tcPr>
          <w:p w14:paraId="5969046A" w14:textId="77777777" w:rsidR="00E57A11" w:rsidRPr="00872AE2" w:rsidRDefault="00E57A11" w:rsidP="002753C1">
            <w:pPr>
              <w:spacing w:after="0" w:line="240" w:lineRule="auto"/>
              <w:rPr>
                <w:rFonts w:asciiTheme="majorBidi" w:eastAsia="Times New Roman" w:hAnsiTheme="majorBidi" w:cstheme="majorBidi"/>
                <w:color w:val="000000"/>
                <w:sz w:val="24"/>
                <w:szCs w:val="24"/>
                <w:lang w:val="en-US" w:eastAsia="en-GB"/>
              </w:rPr>
            </w:pPr>
            <w:r w:rsidRPr="00872AE2">
              <w:rPr>
                <w:rFonts w:asciiTheme="majorBidi" w:eastAsia="Times New Roman" w:hAnsiTheme="majorBidi" w:cstheme="majorBidi"/>
                <w:color w:val="000000"/>
                <w:sz w:val="24"/>
                <w:szCs w:val="24"/>
                <w:lang w:val="en-US" w:eastAsia="en-GB"/>
              </w:rPr>
              <w:t>Observations</w:t>
            </w:r>
          </w:p>
        </w:tc>
        <w:tc>
          <w:tcPr>
            <w:tcW w:w="1701" w:type="dxa"/>
            <w:tcBorders>
              <w:top w:val="nil"/>
              <w:left w:val="nil"/>
              <w:bottom w:val="nil"/>
              <w:right w:val="nil"/>
            </w:tcBorders>
            <w:shd w:val="clear" w:color="000000" w:fill="FFFFFF"/>
            <w:noWrap/>
            <w:vAlign w:val="bottom"/>
            <w:hideMark/>
          </w:tcPr>
          <w:p w14:paraId="2CDB4507"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11,675</w:t>
            </w:r>
          </w:p>
        </w:tc>
        <w:tc>
          <w:tcPr>
            <w:tcW w:w="1276" w:type="dxa"/>
            <w:tcBorders>
              <w:top w:val="nil"/>
              <w:left w:val="nil"/>
              <w:bottom w:val="nil"/>
              <w:right w:val="nil"/>
            </w:tcBorders>
            <w:shd w:val="clear" w:color="000000" w:fill="FFFFFF"/>
            <w:noWrap/>
            <w:vAlign w:val="bottom"/>
            <w:hideMark/>
          </w:tcPr>
          <w:p w14:paraId="72F3F44F"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11,675</w:t>
            </w:r>
          </w:p>
        </w:tc>
        <w:tc>
          <w:tcPr>
            <w:tcW w:w="1701" w:type="dxa"/>
            <w:tcBorders>
              <w:top w:val="nil"/>
              <w:left w:val="nil"/>
              <w:bottom w:val="nil"/>
              <w:right w:val="nil"/>
            </w:tcBorders>
            <w:shd w:val="clear" w:color="000000" w:fill="FFFFFF"/>
            <w:noWrap/>
            <w:vAlign w:val="bottom"/>
            <w:hideMark/>
          </w:tcPr>
          <w:p w14:paraId="13F06194"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11,675</w:t>
            </w:r>
          </w:p>
        </w:tc>
        <w:tc>
          <w:tcPr>
            <w:tcW w:w="1701" w:type="dxa"/>
            <w:tcBorders>
              <w:top w:val="nil"/>
              <w:left w:val="nil"/>
              <w:bottom w:val="nil"/>
              <w:right w:val="nil"/>
            </w:tcBorders>
            <w:shd w:val="clear" w:color="000000" w:fill="FFFFFF"/>
            <w:noWrap/>
            <w:vAlign w:val="bottom"/>
            <w:hideMark/>
          </w:tcPr>
          <w:p w14:paraId="07DC2D61"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11,675</w:t>
            </w:r>
          </w:p>
        </w:tc>
      </w:tr>
      <w:tr w:rsidR="002356B5" w:rsidRPr="00F62082" w14:paraId="5038017A" w14:textId="77777777" w:rsidTr="00E35F0F">
        <w:trPr>
          <w:trHeight w:val="57"/>
        </w:trPr>
        <w:tc>
          <w:tcPr>
            <w:tcW w:w="2694" w:type="dxa"/>
            <w:tcBorders>
              <w:top w:val="nil"/>
              <w:left w:val="nil"/>
              <w:bottom w:val="nil"/>
              <w:right w:val="nil"/>
            </w:tcBorders>
            <w:shd w:val="clear" w:color="000000" w:fill="FFFFFF"/>
            <w:noWrap/>
            <w:vAlign w:val="bottom"/>
          </w:tcPr>
          <w:p w14:paraId="4178183B" w14:textId="40CF1527" w:rsidR="002356B5" w:rsidRPr="00872AE2" w:rsidRDefault="002356B5" w:rsidP="002753C1">
            <w:pPr>
              <w:spacing w:after="0" w:line="240" w:lineRule="auto"/>
              <w:rPr>
                <w:rFonts w:asciiTheme="majorBidi" w:eastAsia="Times New Roman" w:hAnsiTheme="majorBidi" w:cstheme="majorBidi"/>
                <w:color w:val="000000"/>
                <w:sz w:val="24"/>
                <w:szCs w:val="24"/>
                <w:lang w:val="en-US" w:eastAsia="en-GB"/>
              </w:rPr>
            </w:pPr>
            <w:r w:rsidRPr="00872AE2">
              <w:rPr>
                <w:rFonts w:asciiTheme="majorBidi" w:eastAsia="Times New Roman" w:hAnsiTheme="majorBidi" w:cstheme="majorBidi"/>
                <w:color w:val="000000"/>
                <w:sz w:val="24"/>
                <w:szCs w:val="24"/>
                <w:lang w:val="en-US" w:eastAsia="en-GB"/>
              </w:rPr>
              <w:t>Constant</w:t>
            </w:r>
          </w:p>
        </w:tc>
        <w:tc>
          <w:tcPr>
            <w:tcW w:w="1701" w:type="dxa"/>
            <w:tcBorders>
              <w:top w:val="nil"/>
              <w:left w:val="nil"/>
              <w:bottom w:val="nil"/>
              <w:right w:val="nil"/>
            </w:tcBorders>
            <w:shd w:val="clear" w:color="000000" w:fill="FFFFFF"/>
            <w:noWrap/>
            <w:vAlign w:val="bottom"/>
          </w:tcPr>
          <w:p w14:paraId="37466D3F" w14:textId="3965D418" w:rsidR="002356B5" w:rsidRPr="00DA1D07" w:rsidRDefault="002356B5" w:rsidP="002753C1">
            <w:pPr>
              <w:spacing w:after="0" w:line="240" w:lineRule="auto"/>
              <w:jc w:val="center"/>
              <w:rPr>
                <w:rFonts w:asciiTheme="majorBidi" w:eastAsia="Times New Roman" w:hAnsiTheme="majorBidi" w:cstheme="majorBidi"/>
                <w:color w:val="000000"/>
                <w:sz w:val="24"/>
                <w:szCs w:val="24"/>
                <w:lang w:val="en-US" w:eastAsia="en-GB"/>
              </w:rPr>
            </w:pPr>
            <w:r>
              <w:rPr>
                <w:rFonts w:asciiTheme="majorBidi" w:eastAsia="Times New Roman" w:hAnsiTheme="majorBidi" w:cstheme="majorBidi"/>
                <w:color w:val="000000"/>
                <w:sz w:val="24"/>
                <w:szCs w:val="24"/>
                <w:lang w:val="en-US" w:eastAsia="en-GB"/>
              </w:rPr>
              <w:t>Yes</w:t>
            </w:r>
          </w:p>
        </w:tc>
        <w:tc>
          <w:tcPr>
            <w:tcW w:w="1276" w:type="dxa"/>
            <w:tcBorders>
              <w:top w:val="nil"/>
              <w:left w:val="nil"/>
              <w:bottom w:val="nil"/>
              <w:right w:val="nil"/>
            </w:tcBorders>
            <w:shd w:val="clear" w:color="000000" w:fill="FFFFFF"/>
            <w:noWrap/>
            <w:vAlign w:val="bottom"/>
          </w:tcPr>
          <w:p w14:paraId="23D9CD40" w14:textId="3FC73656" w:rsidR="002356B5" w:rsidRPr="00DA1D07" w:rsidRDefault="002356B5" w:rsidP="002753C1">
            <w:pPr>
              <w:spacing w:after="0" w:line="240" w:lineRule="auto"/>
              <w:jc w:val="center"/>
              <w:rPr>
                <w:rFonts w:asciiTheme="majorBidi" w:eastAsia="Times New Roman" w:hAnsiTheme="majorBidi" w:cstheme="majorBidi"/>
                <w:color w:val="000000"/>
                <w:sz w:val="24"/>
                <w:szCs w:val="24"/>
                <w:lang w:val="en-US" w:eastAsia="en-GB"/>
              </w:rPr>
            </w:pPr>
            <w:r>
              <w:rPr>
                <w:rFonts w:asciiTheme="majorBidi" w:eastAsia="Times New Roman" w:hAnsiTheme="majorBidi" w:cstheme="majorBidi"/>
                <w:color w:val="000000"/>
                <w:sz w:val="24"/>
                <w:szCs w:val="24"/>
                <w:lang w:val="en-US" w:eastAsia="en-GB"/>
              </w:rPr>
              <w:t>Yes</w:t>
            </w:r>
          </w:p>
        </w:tc>
        <w:tc>
          <w:tcPr>
            <w:tcW w:w="1701" w:type="dxa"/>
            <w:tcBorders>
              <w:top w:val="nil"/>
              <w:left w:val="nil"/>
              <w:bottom w:val="nil"/>
              <w:right w:val="nil"/>
            </w:tcBorders>
            <w:shd w:val="clear" w:color="000000" w:fill="FFFFFF"/>
            <w:noWrap/>
            <w:vAlign w:val="bottom"/>
          </w:tcPr>
          <w:p w14:paraId="75A3CF09" w14:textId="33D888B3" w:rsidR="002356B5" w:rsidRPr="00DA1D07" w:rsidRDefault="002356B5" w:rsidP="002753C1">
            <w:pPr>
              <w:spacing w:after="0" w:line="240" w:lineRule="auto"/>
              <w:jc w:val="center"/>
              <w:rPr>
                <w:rFonts w:asciiTheme="majorBidi" w:eastAsia="Times New Roman" w:hAnsiTheme="majorBidi" w:cstheme="majorBidi"/>
                <w:color w:val="000000"/>
                <w:sz w:val="24"/>
                <w:szCs w:val="24"/>
                <w:lang w:val="en-US" w:eastAsia="en-GB"/>
              </w:rPr>
            </w:pPr>
            <w:r>
              <w:rPr>
                <w:rFonts w:asciiTheme="majorBidi" w:eastAsia="Times New Roman" w:hAnsiTheme="majorBidi" w:cstheme="majorBidi"/>
                <w:color w:val="000000"/>
                <w:sz w:val="24"/>
                <w:szCs w:val="24"/>
                <w:lang w:val="en-US" w:eastAsia="en-GB"/>
              </w:rPr>
              <w:t>Yes</w:t>
            </w:r>
          </w:p>
        </w:tc>
        <w:tc>
          <w:tcPr>
            <w:tcW w:w="1701" w:type="dxa"/>
            <w:tcBorders>
              <w:top w:val="nil"/>
              <w:left w:val="nil"/>
              <w:bottom w:val="nil"/>
              <w:right w:val="nil"/>
            </w:tcBorders>
            <w:shd w:val="clear" w:color="000000" w:fill="FFFFFF"/>
            <w:noWrap/>
            <w:vAlign w:val="bottom"/>
          </w:tcPr>
          <w:p w14:paraId="284A94B7" w14:textId="044AAB0D" w:rsidR="002356B5" w:rsidRPr="00DA1D07" w:rsidRDefault="002356B5" w:rsidP="002753C1">
            <w:pPr>
              <w:spacing w:after="0" w:line="240" w:lineRule="auto"/>
              <w:jc w:val="center"/>
              <w:rPr>
                <w:rFonts w:asciiTheme="majorBidi" w:eastAsia="Times New Roman" w:hAnsiTheme="majorBidi" w:cstheme="majorBidi"/>
                <w:color w:val="000000"/>
                <w:sz w:val="24"/>
                <w:szCs w:val="24"/>
                <w:lang w:val="en-US" w:eastAsia="en-GB"/>
              </w:rPr>
            </w:pPr>
            <w:r>
              <w:rPr>
                <w:rFonts w:asciiTheme="majorBidi" w:eastAsia="Times New Roman" w:hAnsiTheme="majorBidi" w:cstheme="majorBidi"/>
                <w:color w:val="000000"/>
                <w:sz w:val="24"/>
                <w:szCs w:val="24"/>
                <w:lang w:val="en-US" w:eastAsia="en-GB"/>
              </w:rPr>
              <w:t>Yes</w:t>
            </w:r>
          </w:p>
        </w:tc>
      </w:tr>
      <w:tr w:rsidR="002356B5" w:rsidRPr="00F62082" w14:paraId="02B81808" w14:textId="77777777" w:rsidTr="00E35F0F">
        <w:trPr>
          <w:trHeight w:val="57"/>
        </w:trPr>
        <w:tc>
          <w:tcPr>
            <w:tcW w:w="2694" w:type="dxa"/>
            <w:tcBorders>
              <w:top w:val="nil"/>
              <w:left w:val="nil"/>
              <w:bottom w:val="nil"/>
              <w:right w:val="nil"/>
            </w:tcBorders>
            <w:shd w:val="clear" w:color="000000" w:fill="FFFFFF"/>
            <w:noWrap/>
            <w:vAlign w:val="bottom"/>
          </w:tcPr>
          <w:p w14:paraId="0F9D8CBA" w14:textId="75521781" w:rsidR="002356B5" w:rsidRPr="00DA1D07" w:rsidRDefault="002356B5" w:rsidP="002753C1">
            <w:pPr>
              <w:spacing w:after="0" w:line="240" w:lineRule="auto"/>
              <w:rPr>
                <w:rFonts w:asciiTheme="majorBidi" w:eastAsia="Times New Roman" w:hAnsiTheme="majorBidi" w:cstheme="majorBidi"/>
                <w:color w:val="000000"/>
                <w:sz w:val="24"/>
                <w:szCs w:val="24"/>
                <w:lang w:val="en-US" w:eastAsia="en-GB"/>
              </w:rPr>
            </w:pPr>
            <w:r>
              <w:rPr>
                <w:rFonts w:asciiTheme="majorBidi" w:eastAsia="Times New Roman" w:hAnsiTheme="majorBidi" w:cstheme="majorBidi"/>
                <w:color w:val="000000"/>
                <w:sz w:val="24"/>
                <w:szCs w:val="24"/>
                <w:lang w:val="en-US" w:eastAsia="en-GB"/>
              </w:rPr>
              <w:t>Controls</w:t>
            </w:r>
          </w:p>
        </w:tc>
        <w:tc>
          <w:tcPr>
            <w:tcW w:w="1701" w:type="dxa"/>
            <w:tcBorders>
              <w:top w:val="nil"/>
              <w:left w:val="nil"/>
              <w:bottom w:val="nil"/>
              <w:right w:val="nil"/>
            </w:tcBorders>
            <w:shd w:val="clear" w:color="000000" w:fill="FFFFFF"/>
            <w:noWrap/>
            <w:vAlign w:val="bottom"/>
          </w:tcPr>
          <w:p w14:paraId="2A2C6229" w14:textId="029F0EE7" w:rsidR="002356B5" w:rsidRPr="00DA1D07" w:rsidRDefault="002356B5" w:rsidP="002753C1">
            <w:pPr>
              <w:spacing w:after="0" w:line="240" w:lineRule="auto"/>
              <w:jc w:val="center"/>
              <w:rPr>
                <w:rFonts w:asciiTheme="majorBidi" w:eastAsia="Times New Roman" w:hAnsiTheme="majorBidi" w:cstheme="majorBidi"/>
                <w:color w:val="000000"/>
                <w:sz w:val="24"/>
                <w:szCs w:val="24"/>
                <w:lang w:val="en-US" w:eastAsia="en-GB"/>
              </w:rPr>
            </w:pPr>
            <w:r>
              <w:rPr>
                <w:rFonts w:asciiTheme="majorBidi" w:eastAsia="Times New Roman" w:hAnsiTheme="majorBidi" w:cstheme="majorBidi"/>
                <w:color w:val="000000"/>
                <w:sz w:val="24"/>
                <w:szCs w:val="24"/>
                <w:lang w:val="en-US" w:eastAsia="en-GB"/>
              </w:rPr>
              <w:t>Yes</w:t>
            </w:r>
          </w:p>
        </w:tc>
        <w:tc>
          <w:tcPr>
            <w:tcW w:w="1276" w:type="dxa"/>
            <w:tcBorders>
              <w:top w:val="nil"/>
              <w:left w:val="nil"/>
              <w:bottom w:val="nil"/>
              <w:right w:val="nil"/>
            </w:tcBorders>
            <w:shd w:val="clear" w:color="000000" w:fill="FFFFFF"/>
            <w:noWrap/>
            <w:vAlign w:val="bottom"/>
          </w:tcPr>
          <w:p w14:paraId="03BE8747" w14:textId="3E9807CB" w:rsidR="002356B5" w:rsidRPr="00DA1D07" w:rsidRDefault="002356B5" w:rsidP="002753C1">
            <w:pPr>
              <w:spacing w:after="0" w:line="240" w:lineRule="auto"/>
              <w:jc w:val="center"/>
              <w:rPr>
                <w:rFonts w:asciiTheme="majorBidi" w:eastAsia="Times New Roman" w:hAnsiTheme="majorBidi" w:cstheme="majorBidi"/>
                <w:color w:val="000000"/>
                <w:sz w:val="24"/>
                <w:szCs w:val="24"/>
                <w:lang w:val="en-US" w:eastAsia="en-GB"/>
              </w:rPr>
            </w:pPr>
            <w:r>
              <w:rPr>
                <w:rFonts w:asciiTheme="majorBidi" w:eastAsia="Times New Roman" w:hAnsiTheme="majorBidi" w:cstheme="majorBidi"/>
                <w:color w:val="000000"/>
                <w:sz w:val="24"/>
                <w:szCs w:val="24"/>
                <w:lang w:val="en-US" w:eastAsia="en-GB"/>
              </w:rPr>
              <w:t>Yes</w:t>
            </w:r>
          </w:p>
        </w:tc>
        <w:tc>
          <w:tcPr>
            <w:tcW w:w="1701" w:type="dxa"/>
            <w:tcBorders>
              <w:top w:val="nil"/>
              <w:left w:val="nil"/>
              <w:bottom w:val="nil"/>
              <w:right w:val="nil"/>
            </w:tcBorders>
            <w:shd w:val="clear" w:color="000000" w:fill="FFFFFF"/>
            <w:noWrap/>
            <w:vAlign w:val="bottom"/>
          </w:tcPr>
          <w:p w14:paraId="3F58741A" w14:textId="2BF91A50" w:rsidR="002356B5" w:rsidRPr="00DA1D07" w:rsidRDefault="002356B5" w:rsidP="002753C1">
            <w:pPr>
              <w:spacing w:after="0" w:line="240" w:lineRule="auto"/>
              <w:jc w:val="center"/>
              <w:rPr>
                <w:rFonts w:asciiTheme="majorBidi" w:eastAsia="Times New Roman" w:hAnsiTheme="majorBidi" w:cstheme="majorBidi"/>
                <w:color w:val="000000"/>
                <w:sz w:val="24"/>
                <w:szCs w:val="24"/>
                <w:lang w:val="en-US" w:eastAsia="en-GB"/>
              </w:rPr>
            </w:pPr>
            <w:r>
              <w:rPr>
                <w:rFonts w:asciiTheme="majorBidi" w:eastAsia="Times New Roman" w:hAnsiTheme="majorBidi" w:cstheme="majorBidi"/>
                <w:color w:val="000000"/>
                <w:sz w:val="24"/>
                <w:szCs w:val="24"/>
                <w:lang w:val="en-US" w:eastAsia="en-GB"/>
              </w:rPr>
              <w:t>Yes</w:t>
            </w:r>
          </w:p>
        </w:tc>
        <w:tc>
          <w:tcPr>
            <w:tcW w:w="1701" w:type="dxa"/>
            <w:tcBorders>
              <w:top w:val="nil"/>
              <w:left w:val="nil"/>
              <w:bottom w:val="nil"/>
              <w:right w:val="nil"/>
            </w:tcBorders>
            <w:shd w:val="clear" w:color="000000" w:fill="FFFFFF"/>
            <w:noWrap/>
            <w:vAlign w:val="bottom"/>
          </w:tcPr>
          <w:p w14:paraId="3F6AE3F6" w14:textId="4190F171" w:rsidR="002356B5" w:rsidRPr="00DA1D07" w:rsidRDefault="002356B5" w:rsidP="002753C1">
            <w:pPr>
              <w:spacing w:after="0" w:line="240" w:lineRule="auto"/>
              <w:jc w:val="center"/>
              <w:rPr>
                <w:rFonts w:asciiTheme="majorBidi" w:eastAsia="Times New Roman" w:hAnsiTheme="majorBidi" w:cstheme="majorBidi"/>
                <w:color w:val="000000"/>
                <w:sz w:val="24"/>
                <w:szCs w:val="24"/>
                <w:lang w:val="en-US" w:eastAsia="en-GB"/>
              </w:rPr>
            </w:pPr>
            <w:r>
              <w:rPr>
                <w:rFonts w:asciiTheme="majorBidi" w:eastAsia="Times New Roman" w:hAnsiTheme="majorBidi" w:cstheme="majorBidi"/>
                <w:color w:val="000000"/>
                <w:sz w:val="24"/>
                <w:szCs w:val="24"/>
                <w:lang w:val="en-US" w:eastAsia="en-GB"/>
              </w:rPr>
              <w:t>Yes</w:t>
            </w:r>
          </w:p>
        </w:tc>
      </w:tr>
      <w:tr w:rsidR="00E57A11" w:rsidRPr="00F62082" w14:paraId="33B23CF6" w14:textId="77777777" w:rsidTr="00E35F0F">
        <w:trPr>
          <w:trHeight w:val="57"/>
        </w:trPr>
        <w:tc>
          <w:tcPr>
            <w:tcW w:w="2694" w:type="dxa"/>
            <w:tcBorders>
              <w:top w:val="nil"/>
              <w:left w:val="nil"/>
              <w:bottom w:val="nil"/>
              <w:right w:val="nil"/>
            </w:tcBorders>
            <w:shd w:val="clear" w:color="000000" w:fill="FFFFFF"/>
            <w:noWrap/>
            <w:vAlign w:val="bottom"/>
            <w:hideMark/>
          </w:tcPr>
          <w:p w14:paraId="4DCD9F78" w14:textId="77777777" w:rsidR="00E57A11" w:rsidRPr="00DA1D07" w:rsidRDefault="00E57A11" w:rsidP="002753C1">
            <w:pPr>
              <w:spacing w:after="0" w:line="240" w:lineRule="auto"/>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Firm fixed effects</w:t>
            </w:r>
          </w:p>
        </w:tc>
        <w:tc>
          <w:tcPr>
            <w:tcW w:w="1701" w:type="dxa"/>
            <w:tcBorders>
              <w:top w:val="nil"/>
              <w:left w:val="nil"/>
              <w:bottom w:val="nil"/>
              <w:right w:val="nil"/>
            </w:tcBorders>
            <w:shd w:val="clear" w:color="000000" w:fill="FFFFFF"/>
            <w:noWrap/>
            <w:vAlign w:val="bottom"/>
            <w:hideMark/>
          </w:tcPr>
          <w:p w14:paraId="646B8BC5"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Yes</w:t>
            </w:r>
          </w:p>
        </w:tc>
        <w:tc>
          <w:tcPr>
            <w:tcW w:w="1276" w:type="dxa"/>
            <w:tcBorders>
              <w:top w:val="nil"/>
              <w:left w:val="nil"/>
              <w:bottom w:val="nil"/>
              <w:right w:val="nil"/>
            </w:tcBorders>
            <w:shd w:val="clear" w:color="000000" w:fill="FFFFFF"/>
            <w:noWrap/>
            <w:vAlign w:val="bottom"/>
            <w:hideMark/>
          </w:tcPr>
          <w:p w14:paraId="0CDDE1DB"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Yes</w:t>
            </w:r>
          </w:p>
        </w:tc>
        <w:tc>
          <w:tcPr>
            <w:tcW w:w="1701" w:type="dxa"/>
            <w:tcBorders>
              <w:top w:val="nil"/>
              <w:left w:val="nil"/>
              <w:bottom w:val="nil"/>
              <w:right w:val="nil"/>
            </w:tcBorders>
            <w:shd w:val="clear" w:color="000000" w:fill="FFFFFF"/>
            <w:noWrap/>
            <w:vAlign w:val="bottom"/>
            <w:hideMark/>
          </w:tcPr>
          <w:p w14:paraId="372E4781"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Yes</w:t>
            </w:r>
          </w:p>
        </w:tc>
        <w:tc>
          <w:tcPr>
            <w:tcW w:w="1701" w:type="dxa"/>
            <w:tcBorders>
              <w:top w:val="nil"/>
              <w:left w:val="nil"/>
              <w:bottom w:val="nil"/>
              <w:right w:val="nil"/>
            </w:tcBorders>
            <w:shd w:val="clear" w:color="000000" w:fill="FFFFFF"/>
            <w:noWrap/>
            <w:vAlign w:val="bottom"/>
            <w:hideMark/>
          </w:tcPr>
          <w:p w14:paraId="0579FB81"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Yes</w:t>
            </w:r>
          </w:p>
        </w:tc>
      </w:tr>
      <w:tr w:rsidR="00E57A11" w:rsidRPr="00F62082" w14:paraId="28786B54" w14:textId="77777777" w:rsidTr="00E35F0F">
        <w:trPr>
          <w:trHeight w:val="57"/>
        </w:trPr>
        <w:tc>
          <w:tcPr>
            <w:tcW w:w="2694" w:type="dxa"/>
            <w:tcBorders>
              <w:top w:val="nil"/>
              <w:left w:val="nil"/>
              <w:right w:val="nil"/>
            </w:tcBorders>
            <w:shd w:val="clear" w:color="000000" w:fill="FFFFFF"/>
            <w:noWrap/>
            <w:vAlign w:val="bottom"/>
            <w:hideMark/>
          </w:tcPr>
          <w:p w14:paraId="57D96C94" w14:textId="77777777" w:rsidR="00E57A11" w:rsidRPr="00DA1D07" w:rsidRDefault="00E57A11" w:rsidP="002753C1">
            <w:pPr>
              <w:spacing w:after="0" w:line="240" w:lineRule="auto"/>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Year fixed effects</w:t>
            </w:r>
          </w:p>
        </w:tc>
        <w:tc>
          <w:tcPr>
            <w:tcW w:w="1701" w:type="dxa"/>
            <w:tcBorders>
              <w:top w:val="nil"/>
              <w:left w:val="nil"/>
              <w:right w:val="nil"/>
            </w:tcBorders>
            <w:shd w:val="clear" w:color="000000" w:fill="FFFFFF"/>
            <w:noWrap/>
            <w:vAlign w:val="bottom"/>
            <w:hideMark/>
          </w:tcPr>
          <w:p w14:paraId="4B2740FB"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Yes</w:t>
            </w:r>
          </w:p>
        </w:tc>
        <w:tc>
          <w:tcPr>
            <w:tcW w:w="1276" w:type="dxa"/>
            <w:tcBorders>
              <w:top w:val="nil"/>
              <w:left w:val="nil"/>
              <w:right w:val="nil"/>
            </w:tcBorders>
            <w:shd w:val="clear" w:color="000000" w:fill="FFFFFF"/>
            <w:noWrap/>
            <w:vAlign w:val="bottom"/>
            <w:hideMark/>
          </w:tcPr>
          <w:p w14:paraId="3BF4C782"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Yes</w:t>
            </w:r>
          </w:p>
        </w:tc>
        <w:tc>
          <w:tcPr>
            <w:tcW w:w="1701" w:type="dxa"/>
            <w:tcBorders>
              <w:top w:val="nil"/>
              <w:left w:val="nil"/>
              <w:right w:val="nil"/>
            </w:tcBorders>
            <w:shd w:val="clear" w:color="000000" w:fill="FFFFFF"/>
            <w:noWrap/>
            <w:vAlign w:val="bottom"/>
            <w:hideMark/>
          </w:tcPr>
          <w:p w14:paraId="38969667"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Yes</w:t>
            </w:r>
          </w:p>
        </w:tc>
        <w:tc>
          <w:tcPr>
            <w:tcW w:w="1701" w:type="dxa"/>
            <w:tcBorders>
              <w:top w:val="nil"/>
              <w:left w:val="nil"/>
              <w:right w:val="nil"/>
            </w:tcBorders>
            <w:shd w:val="clear" w:color="000000" w:fill="FFFFFF"/>
            <w:noWrap/>
            <w:vAlign w:val="bottom"/>
            <w:hideMark/>
          </w:tcPr>
          <w:p w14:paraId="0414AE89"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Yes</w:t>
            </w:r>
          </w:p>
        </w:tc>
      </w:tr>
      <w:tr w:rsidR="00E57A11" w:rsidRPr="00F62082" w14:paraId="09ECFB33" w14:textId="77777777" w:rsidTr="00E35F0F">
        <w:trPr>
          <w:trHeight w:val="57"/>
        </w:trPr>
        <w:tc>
          <w:tcPr>
            <w:tcW w:w="2694" w:type="dxa"/>
            <w:tcBorders>
              <w:top w:val="nil"/>
              <w:left w:val="nil"/>
              <w:bottom w:val="single" w:sz="4" w:space="0" w:color="auto"/>
              <w:right w:val="nil"/>
            </w:tcBorders>
            <w:shd w:val="clear" w:color="000000" w:fill="FFFFFF"/>
            <w:noWrap/>
            <w:vAlign w:val="bottom"/>
            <w:hideMark/>
          </w:tcPr>
          <w:p w14:paraId="2EBA39C7" w14:textId="77777777" w:rsidR="00E57A11" w:rsidRPr="00DA1D07" w:rsidRDefault="00E57A11" w:rsidP="002753C1">
            <w:pPr>
              <w:spacing w:after="0" w:line="240" w:lineRule="auto"/>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Model</w:t>
            </w:r>
          </w:p>
        </w:tc>
        <w:tc>
          <w:tcPr>
            <w:tcW w:w="1701" w:type="dxa"/>
            <w:tcBorders>
              <w:top w:val="nil"/>
              <w:left w:val="nil"/>
              <w:bottom w:val="single" w:sz="4" w:space="0" w:color="auto"/>
              <w:right w:val="nil"/>
            </w:tcBorders>
            <w:shd w:val="clear" w:color="000000" w:fill="FFFFFF"/>
            <w:noWrap/>
            <w:vAlign w:val="bottom"/>
            <w:hideMark/>
          </w:tcPr>
          <w:p w14:paraId="39474CFA"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OLS</w:t>
            </w:r>
          </w:p>
        </w:tc>
        <w:tc>
          <w:tcPr>
            <w:tcW w:w="1276" w:type="dxa"/>
            <w:tcBorders>
              <w:top w:val="nil"/>
              <w:left w:val="nil"/>
              <w:bottom w:val="single" w:sz="4" w:space="0" w:color="auto"/>
              <w:right w:val="nil"/>
            </w:tcBorders>
            <w:shd w:val="clear" w:color="000000" w:fill="FFFFFF"/>
            <w:noWrap/>
            <w:vAlign w:val="bottom"/>
            <w:hideMark/>
          </w:tcPr>
          <w:p w14:paraId="7F60E9CF"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Poisson</w:t>
            </w:r>
          </w:p>
        </w:tc>
        <w:tc>
          <w:tcPr>
            <w:tcW w:w="1701" w:type="dxa"/>
            <w:tcBorders>
              <w:top w:val="nil"/>
              <w:left w:val="nil"/>
              <w:bottom w:val="single" w:sz="4" w:space="0" w:color="auto"/>
              <w:right w:val="nil"/>
            </w:tcBorders>
            <w:shd w:val="clear" w:color="000000" w:fill="FFFFFF"/>
            <w:noWrap/>
            <w:vAlign w:val="bottom"/>
            <w:hideMark/>
          </w:tcPr>
          <w:p w14:paraId="43F6A5FB"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OLS</w:t>
            </w:r>
          </w:p>
        </w:tc>
        <w:tc>
          <w:tcPr>
            <w:tcW w:w="1701" w:type="dxa"/>
            <w:tcBorders>
              <w:top w:val="nil"/>
              <w:left w:val="nil"/>
              <w:bottom w:val="single" w:sz="4" w:space="0" w:color="auto"/>
              <w:right w:val="nil"/>
            </w:tcBorders>
            <w:shd w:val="clear" w:color="000000" w:fill="FFFFFF"/>
            <w:noWrap/>
            <w:vAlign w:val="bottom"/>
            <w:hideMark/>
          </w:tcPr>
          <w:p w14:paraId="684A6AB8" w14:textId="77777777" w:rsidR="00E57A11" w:rsidRPr="00DA1D07" w:rsidRDefault="00E57A11" w:rsidP="002753C1">
            <w:pPr>
              <w:spacing w:after="0" w:line="240" w:lineRule="auto"/>
              <w:jc w:val="center"/>
              <w:rPr>
                <w:rFonts w:asciiTheme="majorBidi" w:eastAsia="Times New Roman" w:hAnsiTheme="majorBidi" w:cstheme="majorBidi"/>
                <w:color w:val="000000"/>
                <w:sz w:val="24"/>
                <w:szCs w:val="24"/>
                <w:lang w:val="en-US" w:eastAsia="en-GB"/>
              </w:rPr>
            </w:pPr>
            <w:r w:rsidRPr="00DA1D07">
              <w:rPr>
                <w:rFonts w:asciiTheme="majorBidi" w:eastAsia="Times New Roman" w:hAnsiTheme="majorBidi" w:cstheme="majorBidi"/>
                <w:color w:val="000000"/>
                <w:sz w:val="24"/>
                <w:szCs w:val="24"/>
                <w:lang w:val="en-US" w:eastAsia="en-GB"/>
              </w:rPr>
              <w:t>Poisson</w:t>
            </w:r>
          </w:p>
        </w:tc>
      </w:tr>
    </w:tbl>
    <w:p w14:paraId="636D8BA6" w14:textId="3E190BD0" w:rsidR="00E57A11" w:rsidRDefault="00E57A11" w:rsidP="00E57A11">
      <w:pPr>
        <w:spacing w:line="240" w:lineRule="auto"/>
        <w:rPr>
          <w:rFonts w:asciiTheme="majorBidi" w:eastAsia="Times New Roman" w:hAnsiTheme="majorBidi" w:cstheme="majorBidi"/>
          <w:b/>
          <w:bCs/>
          <w:sz w:val="24"/>
          <w:szCs w:val="24"/>
          <w:lang w:val="en-US"/>
        </w:rPr>
      </w:pPr>
    </w:p>
    <w:p w14:paraId="61E701B4" w14:textId="0D97A8C4" w:rsidR="00E35F0F" w:rsidRPr="00DA1D07" w:rsidRDefault="00E35F0F" w:rsidP="00E57A11">
      <w:pPr>
        <w:spacing w:line="240" w:lineRule="auto"/>
        <w:rPr>
          <w:rFonts w:asciiTheme="majorBidi" w:eastAsia="Times New Roman" w:hAnsiTheme="majorBidi" w:cstheme="majorBidi"/>
          <w:b/>
          <w:bCs/>
          <w:sz w:val="24"/>
          <w:szCs w:val="24"/>
          <w:lang w:val="en-US"/>
        </w:rPr>
      </w:pPr>
    </w:p>
    <w:p w14:paraId="77181343" w14:textId="3BE02C3C" w:rsidR="00E57A11" w:rsidRDefault="00E57A11" w:rsidP="00E57A11">
      <w:pPr>
        <w:spacing w:line="240" w:lineRule="auto"/>
        <w:rPr>
          <w:rFonts w:asciiTheme="majorBidi" w:eastAsia="Times New Roman" w:hAnsiTheme="majorBidi" w:cstheme="majorBidi"/>
          <w:b/>
          <w:bCs/>
          <w:sz w:val="24"/>
          <w:szCs w:val="24"/>
          <w:lang w:val="en-US"/>
        </w:rPr>
      </w:pPr>
      <w:r w:rsidRPr="00DA1D07">
        <w:rPr>
          <w:rFonts w:asciiTheme="majorBidi" w:eastAsia="Times New Roman" w:hAnsiTheme="majorBidi" w:cstheme="majorBidi"/>
          <w:b/>
          <w:bCs/>
          <w:sz w:val="24"/>
          <w:szCs w:val="24"/>
          <w:lang w:val="en-US"/>
        </w:rPr>
        <w:t xml:space="preserve">Panel C: Indirect Mechanism: </w:t>
      </w:r>
      <w:r w:rsidR="00A705CD">
        <w:rPr>
          <w:rFonts w:asciiTheme="majorBidi" w:eastAsia="Times New Roman" w:hAnsiTheme="majorBidi" w:cstheme="majorBidi"/>
          <w:b/>
          <w:bCs/>
          <w:sz w:val="24"/>
          <w:szCs w:val="24"/>
          <w:lang w:val="en-US"/>
        </w:rPr>
        <w:t xml:space="preserve">Employee layoffs </w:t>
      </w:r>
      <w:r w:rsidRPr="00DA1D07">
        <w:rPr>
          <w:rFonts w:asciiTheme="majorBidi" w:eastAsia="Times New Roman" w:hAnsiTheme="majorBidi" w:cstheme="majorBidi"/>
          <w:b/>
          <w:bCs/>
          <w:sz w:val="24"/>
          <w:szCs w:val="24"/>
          <w:lang w:val="en-US"/>
        </w:rPr>
        <w:t>without M&amp;As</w:t>
      </w:r>
    </w:p>
    <w:tbl>
      <w:tblPr>
        <w:tblW w:w="5000" w:type="pct"/>
        <w:tblLook w:val="04A0" w:firstRow="1" w:lastRow="0" w:firstColumn="1" w:lastColumn="0" w:noHBand="0" w:noVBand="1"/>
      </w:tblPr>
      <w:tblGrid>
        <w:gridCol w:w="3623"/>
        <w:gridCol w:w="2785"/>
        <w:gridCol w:w="2618"/>
      </w:tblGrid>
      <w:tr w:rsidR="00A744B0" w:rsidRPr="00A744B0" w14:paraId="3D66899F" w14:textId="42CBB358" w:rsidTr="009F5A3D">
        <w:trPr>
          <w:trHeight w:val="57"/>
        </w:trPr>
        <w:tc>
          <w:tcPr>
            <w:tcW w:w="2007" w:type="pct"/>
            <w:tcBorders>
              <w:top w:val="single" w:sz="8" w:space="0" w:color="auto"/>
              <w:left w:val="nil"/>
              <w:bottom w:val="nil"/>
              <w:right w:val="nil"/>
            </w:tcBorders>
            <w:shd w:val="clear" w:color="auto" w:fill="auto"/>
            <w:noWrap/>
            <w:vAlign w:val="bottom"/>
            <w:hideMark/>
          </w:tcPr>
          <w:p w14:paraId="46180376" w14:textId="612F0548" w:rsidR="00A744B0" w:rsidRPr="00A744B0" w:rsidRDefault="00A744B0" w:rsidP="00A744B0">
            <w:pPr>
              <w:spacing w:after="0" w:line="240" w:lineRule="auto"/>
              <w:rPr>
                <w:rFonts w:ascii="Calibri" w:eastAsia="Times New Roman" w:hAnsi="Calibri" w:cs="Calibri"/>
                <w:color w:val="000000"/>
                <w:lang w:eastAsia="en-GB"/>
              </w:rPr>
            </w:pPr>
            <w:r w:rsidRPr="00A744B0">
              <w:rPr>
                <w:rFonts w:ascii="Calibri" w:eastAsia="Times New Roman" w:hAnsi="Calibri" w:cs="Calibri"/>
                <w:color w:val="000000"/>
                <w:lang w:eastAsia="en-GB"/>
              </w:rPr>
              <w:t> </w:t>
            </w:r>
          </w:p>
        </w:tc>
        <w:tc>
          <w:tcPr>
            <w:tcW w:w="1543" w:type="pct"/>
            <w:tcBorders>
              <w:top w:val="single" w:sz="8" w:space="0" w:color="auto"/>
              <w:left w:val="nil"/>
              <w:bottom w:val="nil"/>
              <w:right w:val="nil"/>
            </w:tcBorders>
            <w:shd w:val="clear" w:color="auto" w:fill="auto"/>
            <w:noWrap/>
            <w:vAlign w:val="center"/>
            <w:hideMark/>
          </w:tcPr>
          <w:p w14:paraId="2249B117" w14:textId="6E157CAC"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val="en-US" w:eastAsia="en-GB"/>
              </w:rPr>
              <w:t>(</w:t>
            </w:r>
            <w:r w:rsidRPr="00A744B0">
              <w:rPr>
                <w:rFonts w:ascii="Times New Roman" w:eastAsia="Times New Roman" w:hAnsi="Times New Roman" w:cs="Times New Roman"/>
                <w:color w:val="000000"/>
                <w:sz w:val="24"/>
                <w:szCs w:val="24"/>
                <w:lang w:val="en-US" w:eastAsia="en-GB"/>
              </w:rPr>
              <w:t>1</w:t>
            </w:r>
            <w:r>
              <w:rPr>
                <w:rFonts w:ascii="Times New Roman" w:eastAsia="Times New Roman" w:hAnsi="Times New Roman" w:cs="Times New Roman"/>
                <w:color w:val="000000"/>
                <w:sz w:val="24"/>
                <w:szCs w:val="24"/>
                <w:lang w:val="en-US" w:eastAsia="en-GB"/>
              </w:rPr>
              <w:t>)</w:t>
            </w:r>
          </w:p>
        </w:tc>
        <w:tc>
          <w:tcPr>
            <w:tcW w:w="1450" w:type="pct"/>
            <w:tcBorders>
              <w:top w:val="single" w:sz="8" w:space="0" w:color="auto"/>
              <w:left w:val="nil"/>
              <w:bottom w:val="nil"/>
              <w:right w:val="nil"/>
            </w:tcBorders>
            <w:shd w:val="clear" w:color="auto" w:fill="auto"/>
            <w:noWrap/>
            <w:vAlign w:val="center"/>
            <w:hideMark/>
          </w:tcPr>
          <w:p w14:paraId="001B966D" w14:textId="6A831BBB"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val="en-US" w:eastAsia="en-GB"/>
              </w:rPr>
              <w:t>(</w:t>
            </w:r>
            <w:r w:rsidRPr="00A744B0">
              <w:rPr>
                <w:rFonts w:ascii="Times New Roman" w:eastAsia="Times New Roman" w:hAnsi="Times New Roman" w:cs="Times New Roman"/>
                <w:color w:val="000000"/>
                <w:sz w:val="24"/>
                <w:szCs w:val="24"/>
                <w:lang w:val="en-US" w:eastAsia="en-GB"/>
              </w:rPr>
              <w:t>2</w:t>
            </w:r>
            <w:r>
              <w:rPr>
                <w:rFonts w:ascii="Times New Roman" w:eastAsia="Times New Roman" w:hAnsi="Times New Roman" w:cs="Times New Roman"/>
                <w:color w:val="000000"/>
                <w:sz w:val="24"/>
                <w:szCs w:val="24"/>
                <w:lang w:val="en-US" w:eastAsia="en-GB"/>
              </w:rPr>
              <w:t>)</w:t>
            </w:r>
          </w:p>
        </w:tc>
      </w:tr>
      <w:tr w:rsidR="00A744B0" w:rsidRPr="00A744B0" w14:paraId="4B6D3FC3" w14:textId="2B53B1D4" w:rsidTr="009F5A3D">
        <w:trPr>
          <w:trHeight w:val="57"/>
        </w:trPr>
        <w:tc>
          <w:tcPr>
            <w:tcW w:w="2007" w:type="pct"/>
            <w:tcBorders>
              <w:top w:val="nil"/>
              <w:left w:val="nil"/>
              <w:bottom w:val="single" w:sz="8" w:space="0" w:color="auto"/>
              <w:right w:val="nil"/>
            </w:tcBorders>
            <w:shd w:val="clear" w:color="auto" w:fill="auto"/>
            <w:noWrap/>
            <w:vAlign w:val="bottom"/>
            <w:hideMark/>
          </w:tcPr>
          <w:p w14:paraId="21BA712E" w14:textId="324A2FAB" w:rsidR="00A744B0" w:rsidRPr="00A744B0" w:rsidRDefault="00A744B0" w:rsidP="00A744B0">
            <w:pPr>
              <w:spacing w:after="0" w:line="240" w:lineRule="auto"/>
              <w:rPr>
                <w:rFonts w:ascii="Calibri" w:eastAsia="Times New Roman" w:hAnsi="Calibri" w:cs="Calibri"/>
                <w:color w:val="000000"/>
                <w:lang w:eastAsia="en-GB"/>
              </w:rPr>
            </w:pPr>
            <w:r w:rsidRPr="00A744B0">
              <w:rPr>
                <w:rFonts w:ascii="Calibri" w:eastAsia="Times New Roman" w:hAnsi="Calibri" w:cs="Calibri"/>
                <w:color w:val="000000"/>
                <w:lang w:eastAsia="en-GB"/>
              </w:rPr>
              <w:t> </w:t>
            </w:r>
          </w:p>
        </w:tc>
        <w:tc>
          <w:tcPr>
            <w:tcW w:w="1543" w:type="pct"/>
            <w:tcBorders>
              <w:top w:val="nil"/>
              <w:left w:val="nil"/>
              <w:bottom w:val="single" w:sz="8" w:space="0" w:color="auto"/>
              <w:right w:val="nil"/>
            </w:tcBorders>
            <w:shd w:val="clear" w:color="auto" w:fill="auto"/>
            <w:noWrap/>
            <w:vAlign w:val="center"/>
            <w:hideMark/>
          </w:tcPr>
          <w:p w14:paraId="0894C077" w14:textId="7C02F9DA" w:rsidR="00A744B0" w:rsidRPr="00A744B0" w:rsidRDefault="00A744B0" w:rsidP="00A744B0">
            <w:pPr>
              <w:spacing w:after="0" w:line="240" w:lineRule="auto"/>
              <w:jc w:val="center"/>
              <w:rPr>
                <w:rFonts w:ascii="Times New Roman" w:eastAsia="Times New Roman" w:hAnsi="Times New Roman" w:cs="Times New Roman"/>
                <w:i/>
                <w:iCs/>
                <w:color w:val="000000"/>
                <w:sz w:val="24"/>
                <w:szCs w:val="24"/>
                <w:lang w:eastAsia="en-GB"/>
              </w:rPr>
            </w:pPr>
            <w:r w:rsidRPr="00A744B0">
              <w:rPr>
                <w:rFonts w:ascii="Times New Roman" w:eastAsia="Times New Roman" w:hAnsi="Times New Roman" w:cs="Times New Roman"/>
                <w:i/>
                <w:iCs/>
                <w:color w:val="000000"/>
                <w:sz w:val="24"/>
                <w:szCs w:val="24"/>
                <w:lang w:val="en-US" w:eastAsia="en-GB"/>
              </w:rPr>
              <w:t>ln(Violations)</w:t>
            </w:r>
          </w:p>
        </w:tc>
        <w:tc>
          <w:tcPr>
            <w:tcW w:w="1450" w:type="pct"/>
            <w:tcBorders>
              <w:top w:val="nil"/>
              <w:left w:val="nil"/>
              <w:bottom w:val="single" w:sz="8" w:space="0" w:color="auto"/>
              <w:right w:val="nil"/>
            </w:tcBorders>
            <w:shd w:val="clear" w:color="auto" w:fill="auto"/>
            <w:noWrap/>
            <w:vAlign w:val="center"/>
            <w:hideMark/>
          </w:tcPr>
          <w:p w14:paraId="4DA84509" w14:textId="1887C315" w:rsidR="00A744B0" w:rsidRPr="00A744B0" w:rsidRDefault="00A744B0" w:rsidP="00A744B0">
            <w:pPr>
              <w:spacing w:after="0" w:line="240" w:lineRule="auto"/>
              <w:jc w:val="center"/>
              <w:rPr>
                <w:rFonts w:ascii="Times New Roman" w:eastAsia="Times New Roman" w:hAnsi="Times New Roman" w:cs="Times New Roman"/>
                <w:i/>
                <w:iCs/>
                <w:color w:val="000000"/>
                <w:sz w:val="24"/>
                <w:szCs w:val="24"/>
                <w:lang w:eastAsia="en-GB"/>
              </w:rPr>
            </w:pPr>
            <w:r w:rsidRPr="00A744B0">
              <w:rPr>
                <w:rFonts w:ascii="Times New Roman" w:eastAsia="Times New Roman" w:hAnsi="Times New Roman" w:cs="Times New Roman"/>
                <w:i/>
                <w:iCs/>
                <w:color w:val="000000"/>
                <w:sz w:val="24"/>
                <w:szCs w:val="24"/>
                <w:lang w:val="en-US" w:eastAsia="en-GB"/>
              </w:rPr>
              <w:t>ln(Penalties)</w:t>
            </w:r>
          </w:p>
        </w:tc>
      </w:tr>
      <w:tr w:rsidR="00A744B0" w:rsidRPr="00A744B0" w14:paraId="5BFF6227" w14:textId="5D5ACE21" w:rsidTr="009F5A3D">
        <w:trPr>
          <w:trHeight w:val="57"/>
        </w:trPr>
        <w:tc>
          <w:tcPr>
            <w:tcW w:w="2007" w:type="pct"/>
            <w:tcBorders>
              <w:top w:val="nil"/>
              <w:left w:val="nil"/>
              <w:bottom w:val="nil"/>
              <w:right w:val="nil"/>
            </w:tcBorders>
            <w:shd w:val="clear" w:color="auto" w:fill="auto"/>
            <w:noWrap/>
            <w:vAlign w:val="center"/>
            <w:hideMark/>
          </w:tcPr>
          <w:p w14:paraId="3933FF58" w14:textId="7706448E" w:rsidR="00A744B0" w:rsidRPr="00A744B0" w:rsidRDefault="00A744B0" w:rsidP="00A744B0">
            <w:pPr>
              <w:spacing w:after="0" w:line="240" w:lineRule="auto"/>
              <w:rPr>
                <w:rFonts w:ascii="Times New Roman" w:eastAsia="Times New Roman" w:hAnsi="Times New Roman" w:cs="Times New Roman"/>
                <w:i/>
                <w:iCs/>
                <w:color w:val="000000"/>
                <w:sz w:val="24"/>
                <w:szCs w:val="24"/>
                <w:lang w:eastAsia="en-GB"/>
              </w:rPr>
            </w:pPr>
            <w:r w:rsidRPr="00A744B0">
              <w:rPr>
                <w:rFonts w:ascii="Times New Roman" w:eastAsia="Times New Roman" w:hAnsi="Times New Roman" w:cs="Times New Roman"/>
                <w:i/>
                <w:iCs/>
                <w:color w:val="000000"/>
                <w:sz w:val="24"/>
                <w:szCs w:val="24"/>
                <w:lang w:val="en-US" w:eastAsia="en-GB"/>
              </w:rPr>
              <w:t>Vega</w:t>
            </w:r>
          </w:p>
        </w:tc>
        <w:tc>
          <w:tcPr>
            <w:tcW w:w="1543" w:type="pct"/>
            <w:tcBorders>
              <w:top w:val="nil"/>
              <w:left w:val="nil"/>
              <w:bottom w:val="nil"/>
              <w:right w:val="nil"/>
            </w:tcBorders>
            <w:shd w:val="clear" w:color="auto" w:fill="auto"/>
            <w:noWrap/>
            <w:vAlign w:val="center"/>
            <w:hideMark/>
          </w:tcPr>
          <w:p w14:paraId="1AD7B534" w14:textId="5CD54B4D"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eastAsia="en-GB"/>
              </w:rPr>
              <w:t>0.010</w:t>
            </w:r>
          </w:p>
        </w:tc>
        <w:tc>
          <w:tcPr>
            <w:tcW w:w="1450" w:type="pct"/>
            <w:tcBorders>
              <w:top w:val="nil"/>
              <w:left w:val="nil"/>
              <w:bottom w:val="nil"/>
              <w:right w:val="nil"/>
            </w:tcBorders>
            <w:shd w:val="clear" w:color="auto" w:fill="auto"/>
            <w:noWrap/>
            <w:vAlign w:val="center"/>
            <w:hideMark/>
          </w:tcPr>
          <w:p w14:paraId="604F4463" w14:textId="653FD853"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eastAsia="en-GB"/>
              </w:rPr>
              <w:t>0.074</w:t>
            </w:r>
          </w:p>
        </w:tc>
      </w:tr>
      <w:tr w:rsidR="00A744B0" w:rsidRPr="00A744B0" w14:paraId="1BED09A2" w14:textId="1EB80305" w:rsidTr="009F5A3D">
        <w:trPr>
          <w:trHeight w:val="57"/>
        </w:trPr>
        <w:tc>
          <w:tcPr>
            <w:tcW w:w="2007" w:type="pct"/>
            <w:tcBorders>
              <w:top w:val="nil"/>
              <w:left w:val="nil"/>
              <w:bottom w:val="nil"/>
              <w:right w:val="nil"/>
            </w:tcBorders>
            <w:shd w:val="clear" w:color="auto" w:fill="auto"/>
            <w:noWrap/>
            <w:vAlign w:val="center"/>
            <w:hideMark/>
          </w:tcPr>
          <w:p w14:paraId="6F656A5A" w14:textId="7FA2A9FE"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p>
        </w:tc>
        <w:tc>
          <w:tcPr>
            <w:tcW w:w="1543" w:type="pct"/>
            <w:tcBorders>
              <w:top w:val="nil"/>
              <w:left w:val="nil"/>
              <w:bottom w:val="nil"/>
              <w:right w:val="nil"/>
            </w:tcBorders>
            <w:shd w:val="clear" w:color="auto" w:fill="auto"/>
            <w:noWrap/>
            <w:vAlign w:val="center"/>
            <w:hideMark/>
          </w:tcPr>
          <w:p w14:paraId="20ADE606" w14:textId="7326367B"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eastAsia="en-GB"/>
              </w:rPr>
              <w:t>(1.16)</w:t>
            </w:r>
          </w:p>
        </w:tc>
        <w:tc>
          <w:tcPr>
            <w:tcW w:w="1450" w:type="pct"/>
            <w:tcBorders>
              <w:top w:val="nil"/>
              <w:left w:val="nil"/>
              <w:bottom w:val="nil"/>
              <w:right w:val="nil"/>
            </w:tcBorders>
            <w:shd w:val="clear" w:color="auto" w:fill="auto"/>
            <w:noWrap/>
            <w:vAlign w:val="center"/>
            <w:hideMark/>
          </w:tcPr>
          <w:p w14:paraId="4A5E3A3D" w14:textId="0878D60A"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eastAsia="en-GB"/>
              </w:rPr>
              <w:t>(0.77)</w:t>
            </w:r>
          </w:p>
        </w:tc>
      </w:tr>
      <w:tr w:rsidR="00A744B0" w:rsidRPr="00A744B0" w14:paraId="1AE6DC56" w14:textId="40110953" w:rsidTr="009F5A3D">
        <w:trPr>
          <w:trHeight w:val="57"/>
        </w:trPr>
        <w:tc>
          <w:tcPr>
            <w:tcW w:w="2007" w:type="pct"/>
            <w:tcBorders>
              <w:top w:val="nil"/>
              <w:left w:val="nil"/>
              <w:bottom w:val="nil"/>
              <w:right w:val="nil"/>
            </w:tcBorders>
            <w:shd w:val="clear" w:color="auto" w:fill="auto"/>
            <w:noWrap/>
            <w:vAlign w:val="center"/>
            <w:hideMark/>
          </w:tcPr>
          <w:p w14:paraId="6F974CA9" w14:textId="24E363BB" w:rsidR="00A744B0" w:rsidRPr="00A744B0" w:rsidRDefault="00A744B0" w:rsidP="00A744B0">
            <w:pPr>
              <w:spacing w:after="0" w:line="240" w:lineRule="auto"/>
              <w:rPr>
                <w:rFonts w:ascii="Times New Roman" w:eastAsia="Times New Roman" w:hAnsi="Times New Roman" w:cs="Times New Roman"/>
                <w:i/>
                <w:iCs/>
                <w:color w:val="000000"/>
                <w:sz w:val="24"/>
                <w:szCs w:val="24"/>
                <w:lang w:eastAsia="en-GB"/>
              </w:rPr>
            </w:pPr>
            <w:proofErr w:type="spellStart"/>
            <w:r w:rsidRPr="00A744B0">
              <w:rPr>
                <w:rFonts w:ascii="Times New Roman" w:eastAsia="Times New Roman" w:hAnsi="Times New Roman" w:cs="Times New Roman"/>
                <w:i/>
                <w:iCs/>
                <w:color w:val="000000"/>
                <w:sz w:val="24"/>
                <w:szCs w:val="24"/>
                <w:lang w:val="en-US" w:eastAsia="en-GB"/>
              </w:rPr>
              <w:t>HighLayoffs</w:t>
            </w:r>
            <w:proofErr w:type="spellEnd"/>
          </w:p>
        </w:tc>
        <w:tc>
          <w:tcPr>
            <w:tcW w:w="1543" w:type="pct"/>
            <w:tcBorders>
              <w:top w:val="nil"/>
              <w:left w:val="nil"/>
              <w:bottom w:val="nil"/>
              <w:right w:val="nil"/>
            </w:tcBorders>
            <w:shd w:val="clear" w:color="auto" w:fill="auto"/>
            <w:noWrap/>
            <w:vAlign w:val="center"/>
            <w:hideMark/>
          </w:tcPr>
          <w:p w14:paraId="1A64F42C" w14:textId="382B7BBF"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eastAsia="en-GB"/>
              </w:rPr>
              <w:t>-0.065*</w:t>
            </w:r>
          </w:p>
        </w:tc>
        <w:tc>
          <w:tcPr>
            <w:tcW w:w="1450" w:type="pct"/>
            <w:tcBorders>
              <w:top w:val="nil"/>
              <w:left w:val="nil"/>
              <w:bottom w:val="nil"/>
              <w:right w:val="nil"/>
            </w:tcBorders>
            <w:shd w:val="clear" w:color="auto" w:fill="auto"/>
            <w:noWrap/>
            <w:vAlign w:val="center"/>
            <w:hideMark/>
          </w:tcPr>
          <w:p w14:paraId="2DF7EA5E" w14:textId="1B9BB8E6"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eastAsia="en-GB"/>
              </w:rPr>
              <w:t>-0.811**</w:t>
            </w:r>
          </w:p>
        </w:tc>
      </w:tr>
      <w:tr w:rsidR="00A744B0" w:rsidRPr="00A744B0" w14:paraId="7CC987AE" w14:textId="15E9E101" w:rsidTr="009F5A3D">
        <w:trPr>
          <w:trHeight w:val="57"/>
        </w:trPr>
        <w:tc>
          <w:tcPr>
            <w:tcW w:w="2007" w:type="pct"/>
            <w:tcBorders>
              <w:top w:val="nil"/>
              <w:left w:val="nil"/>
              <w:bottom w:val="nil"/>
              <w:right w:val="nil"/>
            </w:tcBorders>
            <w:shd w:val="clear" w:color="auto" w:fill="auto"/>
            <w:noWrap/>
            <w:vAlign w:val="bottom"/>
            <w:hideMark/>
          </w:tcPr>
          <w:p w14:paraId="259F8DF6" w14:textId="689F90B6"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p>
        </w:tc>
        <w:tc>
          <w:tcPr>
            <w:tcW w:w="1543" w:type="pct"/>
            <w:tcBorders>
              <w:top w:val="nil"/>
              <w:left w:val="nil"/>
              <w:bottom w:val="nil"/>
              <w:right w:val="nil"/>
            </w:tcBorders>
            <w:shd w:val="clear" w:color="auto" w:fill="auto"/>
            <w:noWrap/>
            <w:vAlign w:val="center"/>
            <w:hideMark/>
          </w:tcPr>
          <w:p w14:paraId="7515CB1D" w14:textId="5582DBCA"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eastAsia="en-GB"/>
              </w:rPr>
              <w:t>(-1.82)</w:t>
            </w:r>
          </w:p>
        </w:tc>
        <w:tc>
          <w:tcPr>
            <w:tcW w:w="1450" w:type="pct"/>
            <w:tcBorders>
              <w:top w:val="nil"/>
              <w:left w:val="nil"/>
              <w:bottom w:val="nil"/>
              <w:right w:val="nil"/>
            </w:tcBorders>
            <w:shd w:val="clear" w:color="auto" w:fill="auto"/>
            <w:noWrap/>
            <w:vAlign w:val="center"/>
            <w:hideMark/>
          </w:tcPr>
          <w:p w14:paraId="601E12F1" w14:textId="0453978E"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eastAsia="en-GB"/>
              </w:rPr>
              <w:t>(-2.17)</w:t>
            </w:r>
          </w:p>
        </w:tc>
      </w:tr>
      <w:tr w:rsidR="00A744B0" w:rsidRPr="00A744B0" w14:paraId="5BB9AC1D" w14:textId="361E4B7E" w:rsidTr="00E35F0F">
        <w:trPr>
          <w:trHeight w:val="57"/>
        </w:trPr>
        <w:tc>
          <w:tcPr>
            <w:tcW w:w="2007" w:type="pct"/>
            <w:tcBorders>
              <w:top w:val="nil"/>
              <w:left w:val="nil"/>
              <w:bottom w:val="nil"/>
              <w:right w:val="nil"/>
            </w:tcBorders>
            <w:shd w:val="clear" w:color="auto" w:fill="D9D9D9" w:themeFill="background1" w:themeFillShade="D9"/>
            <w:noWrap/>
            <w:vAlign w:val="center"/>
            <w:hideMark/>
          </w:tcPr>
          <w:p w14:paraId="5A672023" w14:textId="178FD37A" w:rsidR="00A744B0" w:rsidRPr="00A744B0" w:rsidRDefault="00A744B0" w:rsidP="00A744B0">
            <w:pPr>
              <w:spacing w:after="0" w:line="240" w:lineRule="auto"/>
              <w:rPr>
                <w:rFonts w:ascii="Times New Roman" w:eastAsia="Times New Roman" w:hAnsi="Times New Roman" w:cs="Times New Roman"/>
                <w:i/>
                <w:iCs/>
                <w:color w:val="000000"/>
                <w:sz w:val="24"/>
                <w:szCs w:val="24"/>
                <w:lang w:eastAsia="en-GB"/>
              </w:rPr>
            </w:pPr>
            <w:r w:rsidRPr="00A744B0">
              <w:rPr>
                <w:rFonts w:ascii="Times New Roman" w:eastAsia="Times New Roman" w:hAnsi="Times New Roman" w:cs="Times New Roman"/>
                <w:i/>
                <w:iCs/>
                <w:color w:val="000000"/>
                <w:sz w:val="24"/>
                <w:szCs w:val="24"/>
                <w:lang w:val="en-US" w:eastAsia="en-GB"/>
              </w:rPr>
              <w:t>Vega*</w:t>
            </w:r>
            <w:proofErr w:type="spellStart"/>
            <w:r w:rsidRPr="00A744B0">
              <w:rPr>
                <w:rFonts w:ascii="Times New Roman" w:eastAsia="Times New Roman" w:hAnsi="Times New Roman" w:cs="Times New Roman"/>
                <w:i/>
                <w:iCs/>
                <w:color w:val="000000"/>
                <w:sz w:val="24"/>
                <w:szCs w:val="24"/>
                <w:lang w:val="en-US" w:eastAsia="en-GB"/>
              </w:rPr>
              <w:t>HighLayoffs</w:t>
            </w:r>
            <w:proofErr w:type="spellEnd"/>
          </w:p>
        </w:tc>
        <w:tc>
          <w:tcPr>
            <w:tcW w:w="1543" w:type="pct"/>
            <w:tcBorders>
              <w:top w:val="nil"/>
              <w:left w:val="nil"/>
              <w:bottom w:val="nil"/>
              <w:right w:val="nil"/>
            </w:tcBorders>
            <w:shd w:val="clear" w:color="auto" w:fill="D9D9D9" w:themeFill="background1" w:themeFillShade="D9"/>
            <w:noWrap/>
            <w:vAlign w:val="center"/>
            <w:hideMark/>
          </w:tcPr>
          <w:p w14:paraId="4148B75B" w14:textId="2B1755A3"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eastAsia="en-GB"/>
              </w:rPr>
              <w:t>0.017*</w:t>
            </w:r>
          </w:p>
        </w:tc>
        <w:tc>
          <w:tcPr>
            <w:tcW w:w="1450" w:type="pct"/>
            <w:tcBorders>
              <w:top w:val="nil"/>
              <w:left w:val="nil"/>
              <w:bottom w:val="nil"/>
              <w:right w:val="nil"/>
            </w:tcBorders>
            <w:shd w:val="clear" w:color="auto" w:fill="D9D9D9" w:themeFill="background1" w:themeFillShade="D9"/>
            <w:noWrap/>
            <w:vAlign w:val="center"/>
            <w:hideMark/>
          </w:tcPr>
          <w:p w14:paraId="1DAEF354" w14:textId="75BB865B"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eastAsia="en-GB"/>
              </w:rPr>
              <w:t>0.204**</w:t>
            </w:r>
          </w:p>
        </w:tc>
      </w:tr>
      <w:tr w:rsidR="00A744B0" w:rsidRPr="00A744B0" w14:paraId="7A5D4B95" w14:textId="67BF5255" w:rsidTr="00E35F0F">
        <w:trPr>
          <w:trHeight w:val="57"/>
        </w:trPr>
        <w:tc>
          <w:tcPr>
            <w:tcW w:w="2007" w:type="pct"/>
            <w:tcBorders>
              <w:top w:val="nil"/>
              <w:left w:val="nil"/>
              <w:bottom w:val="nil"/>
              <w:right w:val="nil"/>
            </w:tcBorders>
            <w:shd w:val="clear" w:color="auto" w:fill="D9D9D9" w:themeFill="background1" w:themeFillShade="D9"/>
            <w:noWrap/>
            <w:vAlign w:val="center"/>
            <w:hideMark/>
          </w:tcPr>
          <w:p w14:paraId="7D0CC320" w14:textId="7A75B7A3" w:rsidR="00A744B0" w:rsidRPr="00A744B0" w:rsidRDefault="00A744B0" w:rsidP="00A744B0">
            <w:pPr>
              <w:spacing w:after="0" w:line="240" w:lineRule="auto"/>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val="en-US" w:eastAsia="en-GB"/>
              </w:rPr>
              <w:t> </w:t>
            </w:r>
          </w:p>
        </w:tc>
        <w:tc>
          <w:tcPr>
            <w:tcW w:w="1543" w:type="pct"/>
            <w:tcBorders>
              <w:top w:val="nil"/>
              <w:left w:val="nil"/>
              <w:bottom w:val="nil"/>
              <w:right w:val="nil"/>
            </w:tcBorders>
            <w:shd w:val="clear" w:color="auto" w:fill="D9D9D9" w:themeFill="background1" w:themeFillShade="D9"/>
            <w:noWrap/>
            <w:vAlign w:val="center"/>
            <w:hideMark/>
          </w:tcPr>
          <w:p w14:paraId="6DA6A6B9" w14:textId="1BDE7478"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eastAsia="en-GB"/>
              </w:rPr>
              <w:t>(1.77)</w:t>
            </w:r>
          </w:p>
        </w:tc>
        <w:tc>
          <w:tcPr>
            <w:tcW w:w="1450" w:type="pct"/>
            <w:tcBorders>
              <w:top w:val="nil"/>
              <w:left w:val="nil"/>
              <w:bottom w:val="nil"/>
              <w:right w:val="nil"/>
            </w:tcBorders>
            <w:shd w:val="clear" w:color="auto" w:fill="D9D9D9" w:themeFill="background1" w:themeFillShade="D9"/>
            <w:noWrap/>
            <w:vAlign w:val="center"/>
            <w:hideMark/>
          </w:tcPr>
          <w:p w14:paraId="2D56EA0A" w14:textId="2C738B9A"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eastAsia="en-GB"/>
              </w:rPr>
              <w:t>(2.19)</w:t>
            </w:r>
          </w:p>
        </w:tc>
      </w:tr>
      <w:tr w:rsidR="00A744B0" w:rsidRPr="00A744B0" w14:paraId="79542509" w14:textId="60A582D1" w:rsidTr="009F5A3D">
        <w:trPr>
          <w:trHeight w:val="57"/>
        </w:trPr>
        <w:tc>
          <w:tcPr>
            <w:tcW w:w="2007" w:type="pct"/>
            <w:tcBorders>
              <w:top w:val="nil"/>
              <w:left w:val="nil"/>
              <w:bottom w:val="nil"/>
              <w:right w:val="nil"/>
            </w:tcBorders>
            <w:shd w:val="clear" w:color="auto" w:fill="auto"/>
            <w:noWrap/>
            <w:vAlign w:val="center"/>
            <w:hideMark/>
          </w:tcPr>
          <w:p w14:paraId="68299E0B" w14:textId="2650584A" w:rsidR="00A744B0" w:rsidRPr="00A744B0" w:rsidRDefault="00A744B0" w:rsidP="00A744B0">
            <w:pPr>
              <w:spacing w:after="0" w:line="240" w:lineRule="auto"/>
              <w:rPr>
                <w:rFonts w:ascii="Times New Roman" w:eastAsia="Times New Roman" w:hAnsi="Times New Roman" w:cs="Times New Roman"/>
                <w:i/>
                <w:iCs/>
                <w:color w:val="000000"/>
                <w:sz w:val="24"/>
                <w:szCs w:val="24"/>
                <w:lang w:eastAsia="en-GB"/>
              </w:rPr>
            </w:pPr>
            <w:r w:rsidRPr="00A744B0">
              <w:rPr>
                <w:rFonts w:ascii="Times New Roman" w:eastAsia="Times New Roman" w:hAnsi="Times New Roman" w:cs="Times New Roman"/>
                <w:i/>
                <w:iCs/>
                <w:color w:val="000000"/>
                <w:sz w:val="24"/>
                <w:szCs w:val="24"/>
                <w:lang w:val="en-US" w:eastAsia="en-GB"/>
              </w:rPr>
              <w:t>Delta</w:t>
            </w:r>
          </w:p>
        </w:tc>
        <w:tc>
          <w:tcPr>
            <w:tcW w:w="1543" w:type="pct"/>
            <w:tcBorders>
              <w:top w:val="nil"/>
              <w:left w:val="nil"/>
              <w:bottom w:val="nil"/>
              <w:right w:val="nil"/>
            </w:tcBorders>
            <w:shd w:val="clear" w:color="auto" w:fill="auto"/>
            <w:noWrap/>
            <w:vAlign w:val="center"/>
            <w:hideMark/>
          </w:tcPr>
          <w:p w14:paraId="1FA10336" w14:textId="0A38048B"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eastAsia="en-GB"/>
              </w:rPr>
              <w:t>-0.028***</w:t>
            </w:r>
          </w:p>
        </w:tc>
        <w:tc>
          <w:tcPr>
            <w:tcW w:w="1450" w:type="pct"/>
            <w:tcBorders>
              <w:top w:val="nil"/>
              <w:left w:val="nil"/>
              <w:bottom w:val="nil"/>
              <w:right w:val="nil"/>
            </w:tcBorders>
            <w:shd w:val="clear" w:color="auto" w:fill="auto"/>
            <w:noWrap/>
            <w:vAlign w:val="center"/>
            <w:hideMark/>
          </w:tcPr>
          <w:p w14:paraId="7F04E1B7" w14:textId="4EBDC118"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eastAsia="en-GB"/>
              </w:rPr>
              <w:t>-0.232**</w:t>
            </w:r>
          </w:p>
        </w:tc>
      </w:tr>
      <w:tr w:rsidR="00A744B0" w:rsidRPr="00A744B0" w14:paraId="56CE50C9" w14:textId="6E25A2F3" w:rsidTr="009F5A3D">
        <w:trPr>
          <w:trHeight w:val="57"/>
        </w:trPr>
        <w:tc>
          <w:tcPr>
            <w:tcW w:w="2007" w:type="pct"/>
            <w:tcBorders>
              <w:top w:val="nil"/>
              <w:left w:val="nil"/>
              <w:bottom w:val="nil"/>
              <w:right w:val="nil"/>
            </w:tcBorders>
            <w:shd w:val="clear" w:color="auto" w:fill="auto"/>
            <w:noWrap/>
            <w:vAlign w:val="bottom"/>
            <w:hideMark/>
          </w:tcPr>
          <w:p w14:paraId="2C1DB857" w14:textId="4898889B"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p>
        </w:tc>
        <w:tc>
          <w:tcPr>
            <w:tcW w:w="1543" w:type="pct"/>
            <w:tcBorders>
              <w:top w:val="nil"/>
              <w:left w:val="nil"/>
              <w:bottom w:val="nil"/>
              <w:right w:val="nil"/>
            </w:tcBorders>
            <w:shd w:val="clear" w:color="auto" w:fill="auto"/>
            <w:noWrap/>
            <w:vAlign w:val="center"/>
            <w:hideMark/>
          </w:tcPr>
          <w:p w14:paraId="0B35B501" w14:textId="67C07EEC"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eastAsia="en-GB"/>
              </w:rPr>
              <w:t>(-2.90)</w:t>
            </w:r>
          </w:p>
        </w:tc>
        <w:tc>
          <w:tcPr>
            <w:tcW w:w="1450" w:type="pct"/>
            <w:tcBorders>
              <w:top w:val="nil"/>
              <w:left w:val="nil"/>
              <w:bottom w:val="nil"/>
              <w:right w:val="nil"/>
            </w:tcBorders>
            <w:shd w:val="clear" w:color="auto" w:fill="auto"/>
            <w:noWrap/>
            <w:vAlign w:val="center"/>
            <w:hideMark/>
          </w:tcPr>
          <w:p w14:paraId="266DA136" w14:textId="3A58724C"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eastAsia="en-GB"/>
              </w:rPr>
              <w:t>(-2.24)</w:t>
            </w:r>
          </w:p>
        </w:tc>
      </w:tr>
      <w:tr w:rsidR="00A744B0" w:rsidRPr="00A744B0" w14:paraId="4DA06919" w14:textId="25F1C56A" w:rsidTr="009F5A3D">
        <w:trPr>
          <w:trHeight w:val="57"/>
        </w:trPr>
        <w:tc>
          <w:tcPr>
            <w:tcW w:w="2007" w:type="pct"/>
            <w:tcBorders>
              <w:top w:val="nil"/>
              <w:left w:val="nil"/>
              <w:bottom w:val="nil"/>
              <w:right w:val="nil"/>
            </w:tcBorders>
            <w:shd w:val="clear" w:color="auto" w:fill="auto"/>
            <w:noWrap/>
            <w:vAlign w:val="center"/>
            <w:hideMark/>
          </w:tcPr>
          <w:p w14:paraId="43FE0364" w14:textId="73511BE0" w:rsidR="00A744B0" w:rsidRPr="00A744B0" w:rsidRDefault="00A744B0" w:rsidP="00A744B0">
            <w:pPr>
              <w:spacing w:after="0" w:line="240" w:lineRule="auto"/>
              <w:rPr>
                <w:rFonts w:ascii="Times New Roman" w:eastAsia="Times New Roman" w:hAnsi="Times New Roman" w:cs="Times New Roman"/>
                <w:i/>
                <w:iCs/>
                <w:color w:val="000000"/>
                <w:sz w:val="24"/>
                <w:szCs w:val="24"/>
                <w:lang w:eastAsia="en-GB"/>
              </w:rPr>
            </w:pPr>
            <w:proofErr w:type="spellStart"/>
            <w:r w:rsidRPr="00A744B0">
              <w:rPr>
                <w:rFonts w:ascii="Times New Roman" w:eastAsia="Times New Roman" w:hAnsi="Times New Roman" w:cs="Times New Roman"/>
                <w:i/>
                <w:iCs/>
                <w:color w:val="000000"/>
                <w:sz w:val="24"/>
                <w:szCs w:val="24"/>
                <w:lang w:val="en-US" w:eastAsia="en-GB"/>
              </w:rPr>
              <w:t>CashComp</w:t>
            </w:r>
            <w:proofErr w:type="spellEnd"/>
          </w:p>
        </w:tc>
        <w:tc>
          <w:tcPr>
            <w:tcW w:w="1543" w:type="pct"/>
            <w:tcBorders>
              <w:top w:val="nil"/>
              <w:left w:val="nil"/>
              <w:bottom w:val="nil"/>
              <w:right w:val="nil"/>
            </w:tcBorders>
            <w:shd w:val="clear" w:color="auto" w:fill="auto"/>
            <w:noWrap/>
            <w:vAlign w:val="center"/>
            <w:hideMark/>
          </w:tcPr>
          <w:p w14:paraId="02D4DB0A" w14:textId="722BA260"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eastAsia="en-GB"/>
              </w:rPr>
              <w:t>0.009</w:t>
            </w:r>
          </w:p>
        </w:tc>
        <w:tc>
          <w:tcPr>
            <w:tcW w:w="1450" w:type="pct"/>
            <w:tcBorders>
              <w:top w:val="nil"/>
              <w:left w:val="nil"/>
              <w:bottom w:val="nil"/>
              <w:right w:val="nil"/>
            </w:tcBorders>
            <w:shd w:val="clear" w:color="auto" w:fill="auto"/>
            <w:noWrap/>
            <w:vAlign w:val="center"/>
            <w:hideMark/>
          </w:tcPr>
          <w:p w14:paraId="3AE3BB97" w14:textId="393E4BE1"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eastAsia="en-GB"/>
              </w:rPr>
              <w:t>0.164</w:t>
            </w:r>
          </w:p>
        </w:tc>
      </w:tr>
      <w:tr w:rsidR="00A744B0" w:rsidRPr="00A744B0" w14:paraId="098EAA52" w14:textId="72021971" w:rsidTr="009F5A3D">
        <w:trPr>
          <w:trHeight w:val="57"/>
        </w:trPr>
        <w:tc>
          <w:tcPr>
            <w:tcW w:w="2007" w:type="pct"/>
            <w:tcBorders>
              <w:top w:val="nil"/>
              <w:left w:val="nil"/>
              <w:bottom w:val="nil"/>
              <w:right w:val="nil"/>
            </w:tcBorders>
            <w:shd w:val="clear" w:color="auto" w:fill="auto"/>
            <w:noWrap/>
            <w:vAlign w:val="bottom"/>
            <w:hideMark/>
          </w:tcPr>
          <w:p w14:paraId="1DECBB60" w14:textId="472F42B5"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p>
        </w:tc>
        <w:tc>
          <w:tcPr>
            <w:tcW w:w="1543" w:type="pct"/>
            <w:tcBorders>
              <w:top w:val="nil"/>
              <w:left w:val="nil"/>
              <w:bottom w:val="nil"/>
              <w:right w:val="nil"/>
            </w:tcBorders>
            <w:shd w:val="clear" w:color="auto" w:fill="auto"/>
            <w:noWrap/>
            <w:vAlign w:val="center"/>
            <w:hideMark/>
          </w:tcPr>
          <w:p w14:paraId="1DDD1CCE" w14:textId="6D6B4047"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eastAsia="en-GB"/>
              </w:rPr>
              <w:t>(0.89)</w:t>
            </w:r>
          </w:p>
        </w:tc>
        <w:tc>
          <w:tcPr>
            <w:tcW w:w="1450" w:type="pct"/>
            <w:tcBorders>
              <w:top w:val="nil"/>
              <w:left w:val="nil"/>
              <w:bottom w:val="nil"/>
              <w:right w:val="nil"/>
            </w:tcBorders>
            <w:shd w:val="clear" w:color="auto" w:fill="auto"/>
            <w:noWrap/>
            <w:vAlign w:val="center"/>
            <w:hideMark/>
          </w:tcPr>
          <w:p w14:paraId="46A6D6E3" w14:textId="487CACE8"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eastAsia="en-GB"/>
              </w:rPr>
              <w:t>(1.58)</w:t>
            </w:r>
          </w:p>
        </w:tc>
      </w:tr>
      <w:tr w:rsidR="00A744B0" w:rsidRPr="00A744B0" w14:paraId="54B5F4AE" w14:textId="058AD14B" w:rsidTr="009F5A3D">
        <w:trPr>
          <w:trHeight w:val="57"/>
        </w:trPr>
        <w:tc>
          <w:tcPr>
            <w:tcW w:w="2007" w:type="pct"/>
            <w:tcBorders>
              <w:top w:val="nil"/>
              <w:left w:val="nil"/>
              <w:bottom w:val="nil"/>
              <w:right w:val="nil"/>
            </w:tcBorders>
            <w:shd w:val="clear" w:color="auto" w:fill="auto"/>
            <w:noWrap/>
            <w:vAlign w:val="center"/>
            <w:hideMark/>
          </w:tcPr>
          <w:p w14:paraId="37A4A995" w14:textId="1E6B3946" w:rsidR="00A744B0" w:rsidRPr="00A744B0" w:rsidRDefault="00A744B0" w:rsidP="00A744B0">
            <w:pPr>
              <w:spacing w:after="0" w:line="240" w:lineRule="auto"/>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val="en-US" w:eastAsia="en-GB"/>
              </w:rPr>
              <w:t>R-squared</w:t>
            </w:r>
          </w:p>
        </w:tc>
        <w:tc>
          <w:tcPr>
            <w:tcW w:w="1543" w:type="pct"/>
            <w:tcBorders>
              <w:top w:val="nil"/>
              <w:left w:val="nil"/>
              <w:bottom w:val="nil"/>
              <w:right w:val="nil"/>
            </w:tcBorders>
            <w:shd w:val="clear" w:color="auto" w:fill="auto"/>
            <w:noWrap/>
            <w:vAlign w:val="center"/>
            <w:hideMark/>
          </w:tcPr>
          <w:p w14:paraId="430A88A1" w14:textId="7A8CF293"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eastAsia="en-GB"/>
              </w:rPr>
              <w:t>0.693</w:t>
            </w:r>
          </w:p>
        </w:tc>
        <w:tc>
          <w:tcPr>
            <w:tcW w:w="1450" w:type="pct"/>
            <w:tcBorders>
              <w:top w:val="nil"/>
              <w:left w:val="nil"/>
              <w:bottom w:val="nil"/>
              <w:right w:val="nil"/>
            </w:tcBorders>
            <w:shd w:val="clear" w:color="auto" w:fill="auto"/>
            <w:noWrap/>
            <w:vAlign w:val="center"/>
            <w:hideMark/>
          </w:tcPr>
          <w:p w14:paraId="0628579E" w14:textId="7C41DB66"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eastAsia="en-GB"/>
              </w:rPr>
              <w:t>0.613</w:t>
            </w:r>
          </w:p>
        </w:tc>
      </w:tr>
      <w:tr w:rsidR="00A744B0" w:rsidRPr="00A744B0" w14:paraId="70ED4D26" w14:textId="0B8AD73B" w:rsidTr="009F5A3D">
        <w:trPr>
          <w:trHeight w:val="57"/>
        </w:trPr>
        <w:tc>
          <w:tcPr>
            <w:tcW w:w="2007" w:type="pct"/>
            <w:tcBorders>
              <w:top w:val="nil"/>
              <w:left w:val="nil"/>
              <w:bottom w:val="nil"/>
              <w:right w:val="nil"/>
            </w:tcBorders>
            <w:shd w:val="clear" w:color="auto" w:fill="auto"/>
            <w:noWrap/>
            <w:vAlign w:val="center"/>
            <w:hideMark/>
          </w:tcPr>
          <w:p w14:paraId="63789E76" w14:textId="45305A9B" w:rsidR="00A744B0" w:rsidRPr="00A744B0" w:rsidRDefault="00A744B0" w:rsidP="00A744B0">
            <w:pPr>
              <w:spacing w:after="0" w:line="240" w:lineRule="auto"/>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val="en-US" w:eastAsia="en-GB"/>
              </w:rPr>
              <w:t>Observations</w:t>
            </w:r>
          </w:p>
        </w:tc>
        <w:tc>
          <w:tcPr>
            <w:tcW w:w="1543" w:type="pct"/>
            <w:tcBorders>
              <w:top w:val="nil"/>
              <w:left w:val="nil"/>
              <w:bottom w:val="nil"/>
              <w:right w:val="nil"/>
            </w:tcBorders>
            <w:shd w:val="clear" w:color="auto" w:fill="auto"/>
            <w:noWrap/>
            <w:vAlign w:val="center"/>
            <w:hideMark/>
          </w:tcPr>
          <w:p w14:paraId="2563FA3F" w14:textId="7B1BCDAB"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eastAsia="en-GB"/>
              </w:rPr>
              <w:t>6,379</w:t>
            </w:r>
          </w:p>
        </w:tc>
        <w:tc>
          <w:tcPr>
            <w:tcW w:w="1450" w:type="pct"/>
            <w:tcBorders>
              <w:top w:val="nil"/>
              <w:left w:val="nil"/>
              <w:bottom w:val="nil"/>
              <w:right w:val="nil"/>
            </w:tcBorders>
            <w:shd w:val="clear" w:color="auto" w:fill="auto"/>
            <w:noWrap/>
            <w:vAlign w:val="center"/>
            <w:hideMark/>
          </w:tcPr>
          <w:p w14:paraId="07841383" w14:textId="52A47E37"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eastAsia="en-GB"/>
              </w:rPr>
              <w:t>6,379</w:t>
            </w:r>
          </w:p>
        </w:tc>
      </w:tr>
      <w:tr w:rsidR="002356B5" w:rsidRPr="00A744B0" w14:paraId="63184D61" w14:textId="646A7C24" w:rsidTr="009F5A3D">
        <w:trPr>
          <w:trHeight w:val="57"/>
        </w:trPr>
        <w:tc>
          <w:tcPr>
            <w:tcW w:w="2007" w:type="pct"/>
            <w:tcBorders>
              <w:top w:val="nil"/>
              <w:left w:val="nil"/>
              <w:bottom w:val="nil"/>
              <w:right w:val="nil"/>
            </w:tcBorders>
            <w:shd w:val="clear" w:color="auto" w:fill="auto"/>
            <w:noWrap/>
            <w:vAlign w:val="center"/>
          </w:tcPr>
          <w:p w14:paraId="574EB93D" w14:textId="1D1A5A61" w:rsidR="002356B5" w:rsidRPr="00872AE2" w:rsidRDefault="002356B5" w:rsidP="00A744B0">
            <w:pPr>
              <w:spacing w:after="0" w:line="240" w:lineRule="auto"/>
              <w:rPr>
                <w:rFonts w:ascii="Times New Roman" w:eastAsia="Times New Roman" w:hAnsi="Times New Roman" w:cs="Times New Roman"/>
                <w:color w:val="000000"/>
                <w:sz w:val="24"/>
                <w:szCs w:val="24"/>
                <w:lang w:val="en-US" w:eastAsia="en-GB"/>
              </w:rPr>
            </w:pPr>
            <w:r w:rsidRPr="00872AE2">
              <w:rPr>
                <w:rFonts w:ascii="Times New Roman" w:eastAsia="Times New Roman" w:hAnsi="Times New Roman" w:cs="Times New Roman"/>
                <w:color w:val="000000"/>
                <w:sz w:val="24"/>
                <w:szCs w:val="24"/>
                <w:lang w:val="en-US" w:eastAsia="en-GB"/>
              </w:rPr>
              <w:t>Constant</w:t>
            </w:r>
          </w:p>
        </w:tc>
        <w:tc>
          <w:tcPr>
            <w:tcW w:w="1543" w:type="pct"/>
            <w:tcBorders>
              <w:top w:val="nil"/>
              <w:left w:val="nil"/>
              <w:bottom w:val="nil"/>
              <w:right w:val="nil"/>
            </w:tcBorders>
            <w:shd w:val="clear" w:color="auto" w:fill="auto"/>
            <w:noWrap/>
            <w:vAlign w:val="center"/>
          </w:tcPr>
          <w:p w14:paraId="02253A32" w14:textId="77E8DCAB" w:rsidR="002356B5" w:rsidRPr="00A744B0" w:rsidRDefault="002356B5" w:rsidP="00A744B0">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Yes</w:t>
            </w:r>
          </w:p>
        </w:tc>
        <w:tc>
          <w:tcPr>
            <w:tcW w:w="1450" w:type="pct"/>
            <w:tcBorders>
              <w:top w:val="nil"/>
              <w:left w:val="nil"/>
              <w:bottom w:val="nil"/>
              <w:right w:val="nil"/>
            </w:tcBorders>
            <w:shd w:val="clear" w:color="auto" w:fill="auto"/>
            <w:noWrap/>
            <w:vAlign w:val="center"/>
          </w:tcPr>
          <w:p w14:paraId="69364C41" w14:textId="6795444F" w:rsidR="002356B5" w:rsidRPr="00A744B0" w:rsidRDefault="002356B5" w:rsidP="00A744B0">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Yes</w:t>
            </w:r>
          </w:p>
        </w:tc>
      </w:tr>
      <w:tr w:rsidR="002356B5" w:rsidRPr="00A744B0" w14:paraId="36314053" w14:textId="26FAC981" w:rsidTr="009F5A3D">
        <w:trPr>
          <w:trHeight w:val="57"/>
        </w:trPr>
        <w:tc>
          <w:tcPr>
            <w:tcW w:w="2007" w:type="pct"/>
            <w:tcBorders>
              <w:top w:val="nil"/>
              <w:left w:val="nil"/>
              <w:bottom w:val="nil"/>
              <w:right w:val="nil"/>
            </w:tcBorders>
            <w:shd w:val="clear" w:color="auto" w:fill="auto"/>
            <w:noWrap/>
            <w:vAlign w:val="center"/>
          </w:tcPr>
          <w:p w14:paraId="365D6512" w14:textId="1F31AAC9" w:rsidR="002356B5" w:rsidRPr="00872AE2" w:rsidRDefault="002356B5" w:rsidP="00A744B0">
            <w:pPr>
              <w:spacing w:after="0" w:line="240" w:lineRule="auto"/>
              <w:rPr>
                <w:rFonts w:ascii="Times New Roman" w:eastAsia="Times New Roman" w:hAnsi="Times New Roman" w:cs="Times New Roman"/>
                <w:color w:val="000000"/>
                <w:sz w:val="24"/>
                <w:szCs w:val="24"/>
                <w:lang w:val="en-US" w:eastAsia="en-GB"/>
              </w:rPr>
            </w:pPr>
            <w:r w:rsidRPr="00872AE2">
              <w:rPr>
                <w:rFonts w:ascii="Times New Roman" w:eastAsia="Times New Roman" w:hAnsi="Times New Roman" w:cs="Times New Roman"/>
                <w:color w:val="000000"/>
                <w:sz w:val="24"/>
                <w:szCs w:val="24"/>
                <w:lang w:val="en-US" w:eastAsia="en-GB"/>
              </w:rPr>
              <w:t>Controls</w:t>
            </w:r>
          </w:p>
        </w:tc>
        <w:tc>
          <w:tcPr>
            <w:tcW w:w="1543" w:type="pct"/>
            <w:tcBorders>
              <w:top w:val="nil"/>
              <w:left w:val="nil"/>
              <w:bottom w:val="nil"/>
              <w:right w:val="nil"/>
            </w:tcBorders>
            <w:shd w:val="clear" w:color="auto" w:fill="auto"/>
            <w:noWrap/>
            <w:vAlign w:val="center"/>
          </w:tcPr>
          <w:p w14:paraId="37FB2D6B" w14:textId="57CCEA98" w:rsidR="002356B5" w:rsidRPr="00A744B0" w:rsidRDefault="002356B5" w:rsidP="00A744B0">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Yes</w:t>
            </w:r>
          </w:p>
        </w:tc>
        <w:tc>
          <w:tcPr>
            <w:tcW w:w="1450" w:type="pct"/>
            <w:tcBorders>
              <w:top w:val="nil"/>
              <w:left w:val="nil"/>
              <w:bottom w:val="nil"/>
              <w:right w:val="nil"/>
            </w:tcBorders>
            <w:shd w:val="clear" w:color="auto" w:fill="auto"/>
            <w:noWrap/>
            <w:vAlign w:val="center"/>
          </w:tcPr>
          <w:p w14:paraId="3A0A3F75" w14:textId="12216A61" w:rsidR="002356B5" w:rsidRPr="00A744B0" w:rsidRDefault="002356B5" w:rsidP="00A744B0">
            <w:pPr>
              <w:spacing w:after="0" w:line="240" w:lineRule="auto"/>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Yes</w:t>
            </w:r>
          </w:p>
        </w:tc>
      </w:tr>
      <w:tr w:rsidR="00A744B0" w:rsidRPr="00A744B0" w14:paraId="2B99D37E" w14:textId="5A9AB7EA" w:rsidTr="009F5A3D">
        <w:trPr>
          <w:trHeight w:val="57"/>
        </w:trPr>
        <w:tc>
          <w:tcPr>
            <w:tcW w:w="2007" w:type="pct"/>
            <w:tcBorders>
              <w:top w:val="nil"/>
              <w:left w:val="nil"/>
              <w:bottom w:val="nil"/>
              <w:right w:val="nil"/>
            </w:tcBorders>
            <w:shd w:val="clear" w:color="auto" w:fill="auto"/>
            <w:noWrap/>
            <w:vAlign w:val="center"/>
            <w:hideMark/>
          </w:tcPr>
          <w:p w14:paraId="5AB58C5C" w14:textId="74A5F5CF" w:rsidR="00A744B0" w:rsidRPr="00A744B0" w:rsidRDefault="00A744B0" w:rsidP="00A744B0">
            <w:pPr>
              <w:spacing w:after="0" w:line="240" w:lineRule="auto"/>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val="en-US" w:eastAsia="en-GB"/>
              </w:rPr>
              <w:t>Firm fixed effects</w:t>
            </w:r>
          </w:p>
        </w:tc>
        <w:tc>
          <w:tcPr>
            <w:tcW w:w="1543" w:type="pct"/>
            <w:tcBorders>
              <w:top w:val="nil"/>
              <w:left w:val="nil"/>
              <w:bottom w:val="nil"/>
              <w:right w:val="nil"/>
            </w:tcBorders>
            <w:shd w:val="clear" w:color="auto" w:fill="auto"/>
            <w:noWrap/>
            <w:vAlign w:val="center"/>
            <w:hideMark/>
          </w:tcPr>
          <w:p w14:paraId="01D69272" w14:textId="6AA1A82E"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val="en-US" w:eastAsia="en-GB"/>
              </w:rPr>
              <w:t>Yes</w:t>
            </w:r>
          </w:p>
        </w:tc>
        <w:tc>
          <w:tcPr>
            <w:tcW w:w="1450" w:type="pct"/>
            <w:tcBorders>
              <w:top w:val="nil"/>
              <w:left w:val="nil"/>
              <w:bottom w:val="nil"/>
              <w:right w:val="nil"/>
            </w:tcBorders>
            <w:shd w:val="clear" w:color="auto" w:fill="auto"/>
            <w:noWrap/>
            <w:vAlign w:val="center"/>
            <w:hideMark/>
          </w:tcPr>
          <w:p w14:paraId="1FBCDDE8" w14:textId="4B962874"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val="en-US" w:eastAsia="en-GB"/>
              </w:rPr>
              <w:t>Yes</w:t>
            </w:r>
          </w:p>
        </w:tc>
      </w:tr>
      <w:tr w:rsidR="00A744B0" w:rsidRPr="00A744B0" w14:paraId="2C3F3B95" w14:textId="6ED63EA5" w:rsidTr="009F5A3D">
        <w:trPr>
          <w:trHeight w:val="57"/>
        </w:trPr>
        <w:tc>
          <w:tcPr>
            <w:tcW w:w="2007" w:type="pct"/>
            <w:tcBorders>
              <w:top w:val="nil"/>
              <w:left w:val="nil"/>
              <w:bottom w:val="nil"/>
              <w:right w:val="nil"/>
            </w:tcBorders>
            <w:shd w:val="clear" w:color="auto" w:fill="auto"/>
            <w:noWrap/>
            <w:vAlign w:val="center"/>
            <w:hideMark/>
          </w:tcPr>
          <w:p w14:paraId="47535AD2" w14:textId="0105238E" w:rsidR="00A744B0" w:rsidRPr="00A744B0" w:rsidRDefault="00A744B0" w:rsidP="00A744B0">
            <w:pPr>
              <w:spacing w:after="0" w:line="240" w:lineRule="auto"/>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val="en-US" w:eastAsia="en-GB"/>
              </w:rPr>
              <w:t>Year fixed effects</w:t>
            </w:r>
          </w:p>
        </w:tc>
        <w:tc>
          <w:tcPr>
            <w:tcW w:w="1543" w:type="pct"/>
            <w:tcBorders>
              <w:top w:val="nil"/>
              <w:left w:val="nil"/>
              <w:bottom w:val="nil"/>
              <w:right w:val="nil"/>
            </w:tcBorders>
            <w:shd w:val="clear" w:color="auto" w:fill="auto"/>
            <w:noWrap/>
            <w:vAlign w:val="center"/>
            <w:hideMark/>
          </w:tcPr>
          <w:p w14:paraId="63D00028" w14:textId="3740D936"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val="en-US" w:eastAsia="en-GB"/>
              </w:rPr>
              <w:t>Yes</w:t>
            </w:r>
          </w:p>
        </w:tc>
        <w:tc>
          <w:tcPr>
            <w:tcW w:w="1450" w:type="pct"/>
            <w:tcBorders>
              <w:top w:val="nil"/>
              <w:left w:val="nil"/>
              <w:bottom w:val="nil"/>
              <w:right w:val="nil"/>
            </w:tcBorders>
            <w:shd w:val="clear" w:color="auto" w:fill="auto"/>
            <w:noWrap/>
            <w:vAlign w:val="center"/>
            <w:hideMark/>
          </w:tcPr>
          <w:p w14:paraId="3DA2DE84" w14:textId="333E0F1B"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val="en-US" w:eastAsia="en-GB"/>
              </w:rPr>
              <w:t>Yes</w:t>
            </w:r>
          </w:p>
        </w:tc>
      </w:tr>
      <w:tr w:rsidR="00A744B0" w:rsidRPr="00A744B0" w14:paraId="64577748" w14:textId="0A078B9E" w:rsidTr="009F5A3D">
        <w:trPr>
          <w:trHeight w:val="57"/>
        </w:trPr>
        <w:tc>
          <w:tcPr>
            <w:tcW w:w="2007" w:type="pct"/>
            <w:tcBorders>
              <w:top w:val="nil"/>
              <w:left w:val="nil"/>
              <w:bottom w:val="single" w:sz="8" w:space="0" w:color="auto"/>
              <w:right w:val="nil"/>
            </w:tcBorders>
            <w:shd w:val="clear" w:color="auto" w:fill="auto"/>
            <w:noWrap/>
            <w:vAlign w:val="center"/>
            <w:hideMark/>
          </w:tcPr>
          <w:p w14:paraId="10DD7D80" w14:textId="03FB2D3B" w:rsidR="00A744B0" w:rsidRPr="00A744B0" w:rsidRDefault="00A744B0" w:rsidP="00A744B0">
            <w:pPr>
              <w:spacing w:after="0" w:line="240" w:lineRule="auto"/>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val="en-US" w:eastAsia="en-GB"/>
              </w:rPr>
              <w:t>Model</w:t>
            </w:r>
          </w:p>
        </w:tc>
        <w:tc>
          <w:tcPr>
            <w:tcW w:w="1543" w:type="pct"/>
            <w:tcBorders>
              <w:top w:val="nil"/>
              <w:left w:val="nil"/>
              <w:bottom w:val="single" w:sz="8" w:space="0" w:color="auto"/>
              <w:right w:val="nil"/>
            </w:tcBorders>
            <w:shd w:val="clear" w:color="auto" w:fill="auto"/>
            <w:noWrap/>
            <w:vAlign w:val="center"/>
            <w:hideMark/>
          </w:tcPr>
          <w:p w14:paraId="1C245E16" w14:textId="44FFF512"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val="en-US" w:eastAsia="en-GB"/>
              </w:rPr>
              <w:t>OLS</w:t>
            </w:r>
          </w:p>
        </w:tc>
        <w:tc>
          <w:tcPr>
            <w:tcW w:w="1450" w:type="pct"/>
            <w:tcBorders>
              <w:top w:val="nil"/>
              <w:left w:val="nil"/>
              <w:bottom w:val="single" w:sz="8" w:space="0" w:color="auto"/>
              <w:right w:val="nil"/>
            </w:tcBorders>
            <w:shd w:val="clear" w:color="auto" w:fill="auto"/>
            <w:noWrap/>
            <w:vAlign w:val="center"/>
            <w:hideMark/>
          </w:tcPr>
          <w:p w14:paraId="3A3A2984" w14:textId="2E86F23B" w:rsidR="00A744B0" w:rsidRPr="00A744B0" w:rsidRDefault="00A744B0" w:rsidP="00A744B0">
            <w:pPr>
              <w:spacing w:after="0" w:line="240" w:lineRule="auto"/>
              <w:jc w:val="center"/>
              <w:rPr>
                <w:rFonts w:ascii="Times New Roman" w:eastAsia="Times New Roman" w:hAnsi="Times New Roman" w:cs="Times New Roman"/>
                <w:color w:val="000000"/>
                <w:sz w:val="24"/>
                <w:szCs w:val="24"/>
                <w:lang w:eastAsia="en-GB"/>
              </w:rPr>
            </w:pPr>
            <w:r w:rsidRPr="00A744B0">
              <w:rPr>
                <w:rFonts w:ascii="Times New Roman" w:eastAsia="Times New Roman" w:hAnsi="Times New Roman" w:cs="Times New Roman"/>
                <w:color w:val="000000"/>
                <w:sz w:val="24"/>
                <w:szCs w:val="24"/>
                <w:lang w:val="en-US" w:eastAsia="en-GB"/>
              </w:rPr>
              <w:t>OLS</w:t>
            </w:r>
          </w:p>
        </w:tc>
      </w:tr>
    </w:tbl>
    <w:p w14:paraId="6760B93F" w14:textId="5E83D921" w:rsidR="00E35F0F" w:rsidRDefault="00E35F0F">
      <w:pPr>
        <w:sectPr w:rsidR="00E35F0F" w:rsidSect="00B437C7">
          <w:pgSz w:w="11906" w:h="16838"/>
          <w:pgMar w:top="1440" w:right="1440" w:bottom="1440" w:left="1440" w:header="708" w:footer="708" w:gutter="0"/>
          <w:cols w:space="708"/>
          <w:docGrid w:linePitch="360"/>
        </w:sectPr>
      </w:pPr>
    </w:p>
    <w:tbl>
      <w:tblPr>
        <w:tblW w:w="5000" w:type="pct"/>
        <w:jc w:val="center"/>
        <w:tblLook w:val="04A0" w:firstRow="1" w:lastRow="0" w:firstColumn="1" w:lastColumn="0" w:noHBand="0" w:noVBand="1"/>
      </w:tblPr>
      <w:tblGrid>
        <w:gridCol w:w="2407"/>
        <w:gridCol w:w="1661"/>
        <w:gridCol w:w="1979"/>
        <w:gridCol w:w="1979"/>
        <w:gridCol w:w="1979"/>
        <w:gridCol w:w="1979"/>
        <w:gridCol w:w="1974"/>
      </w:tblGrid>
      <w:tr w:rsidR="00E35F0F" w:rsidRPr="00DA1D07" w14:paraId="483FDA4F" w14:textId="77777777" w:rsidTr="00AE3F87">
        <w:trPr>
          <w:trHeight w:val="57"/>
          <w:jc w:val="center"/>
        </w:trPr>
        <w:tc>
          <w:tcPr>
            <w:tcW w:w="2166" w:type="pct"/>
            <w:gridSpan w:val="3"/>
            <w:tcBorders>
              <w:top w:val="nil"/>
              <w:left w:val="nil"/>
              <w:bottom w:val="single" w:sz="4" w:space="0" w:color="auto"/>
              <w:right w:val="nil"/>
            </w:tcBorders>
            <w:shd w:val="clear" w:color="000000" w:fill="FFFFFF"/>
            <w:noWrap/>
            <w:vAlign w:val="bottom"/>
          </w:tcPr>
          <w:p w14:paraId="0B0A3686" w14:textId="1D8B296E" w:rsidR="00E35F0F" w:rsidRPr="00E35F0F" w:rsidRDefault="00E35F0F" w:rsidP="00E35F0F">
            <w:pPr>
              <w:spacing w:line="240" w:lineRule="auto"/>
              <w:rPr>
                <w:rFonts w:asciiTheme="majorBidi" w:eastAsia="Times New Roman" w:hAnsiTheme="majorBidi" w:cstheme="majorBidi"/>
                <w:b/>
                <w:bCs/>
                <w:sz w:val="24"/>
                <w:szCs w:val="24"/>
                <w:lang w:val="en-US"/>
              </w:rPr>
            </w:pPr>
            <w:r w:rsidRPr="00DA1D07">
              <w:rPr>
                <w:rFonts w:asciiTheme="majorBidi" w:eastAsia="Times New Roman" w:hAnsiTheme="majorBidi" w:cstheme="majorBidi"/>
                <w:b/>
                <w:bCs/>
                <w:sz w:val="24"/>
                <w:szCs w:val="24"/>
                <w:lang w:val="en-US"/>
              </w:rPr>
              <w:lastRenderedPageBreak/>
              <w:t xml:space="preserve">Panel </w:t>
            </w:r>
            <w:r>
              <w:rPr>
                <w:rFonts w:asciiTheme="majorBidi" w:eastAsia="Times New Roman" w:hAnsiTheme="majorBidi" w:cstheme="majorBidi"/>
                <w:b/>
                <w:bCs/>
                <w:sz w:val="24"/>
                <w:szCs w:val="24"/>
                <w:lang w:val="en-US"/>
              </w:rPr>
              <w:t>D</w:t>
            </w:r>
            <w:r w:rsidRPr="00DA1D07">
              <w:rPr>
                <w:rFonts w:asciiTheme="majorBidi" w:eastAsia="Times New Roman" w:hAnsiTheme="majorBidi" w:cstheme="majorBidi"/>
                <w:b/>
                <w:bCs/>
                <w:sz w:val="24"/>
                <w:szCs w:val="24"/>
                <w:lang w:val="en-US"/>
              </w:rPr>
              <w:t xml:space="preserve">: </w:t>
            </w:r>
            <w:r>
              <w:rPr>
                <w:rFonts w:asciiTheme="majorBidi" w:eastAsia="Times New Roman" w:hAnsiTheme="majorBidi" w:cstheme="majorBidi"/>
                <w:b/>
                <w:bCs/>
                <w:sz w:val="24"/>
                <w:szCs w:val="24"/>
                <w:lang w:val="en-US"/>
              </w:rPr>
              <w:t xml:space="preserve">Controlling for </w:t>
            </w:r>
            <w:r w:rsidR="0006511B">
              <w:rPr>
                <w:rFonts w:asciiTheme="majorBidi" w:eastAsia="Times New Roman" w:hAnsiTheme="majorBidi" w:cstheme="majorBidi"/>
                <w:b/>
                <w:bCs/>
                <w:sz w:val="24"/>
                <w:szCs w:val="24"/>
                <w:lang w:val="en-US"/>
              </w:rPr>
              <w:t>Alternative</w:t>
            </w:r>
            <w:r>
              <w:rPr>
                <w:rFonts w:asciiTheme="majorBidi" w:eastAsia="Times New Roman" w:hAnsiTheme="majorBidi" w:cstheme="majorBidi"/>
                <w:b/>
                <w:bCs/>
                <w:sz w:val="24"/>
                <w:szCs w:val="24"/>
                <w:lang w:val="en-US"/>
              </w:rPr>
              <w:t xml:space="preserve"> CEO </w:t>
            </w:r>
            <w:r w:rsidR="0006511B">
              <w:rPr>
                <w:rFonts w:asciiTheme="majorBidi" w:eastAsia="Times New Roman" w:hAnsiTheme="majorBidi" w:cstheme="majorBidi"/>
                <w:b/>
                <w:bCs/>
                <w:sz w:val="24"/>
                <w:szCs w:val="24"/>
                <w:lang w:val="en-US"/>
              </w:rPr>
              <w:t>Incentives</w:t>
            </w:r>
          </w:p>
        </w:tc>
        <w:tc>
          <w:tcPr>
            <w:tcW w:w="709" w:type="pct"/>
            <w:tcBorders>
              <w:top w:val="nil"/>
              <w:left w:val="nil"/>
              <w:bottom w:val="single" w:sz="4" w:space="0" w:color="auto"/>
              <w:right w:val="nil"/>
            </w:tcBorders>
            <w:shd w:val="clear" w:color="000000" w:fill="FFFFFF"/>
          </w:tcPr>
          <w:p w14:paraId="21DA74C5" w14:textId="77777777" w:rsidR="00E35F0F" w:rsidRPr="00C16D3F" w:rsidRDefault="00E35F0F" w:rsidP="003D5BAD">
            <w:pPr>
              <w:rPr>
                <w:rFonts w:eastAsia="Times New Roman"/>
                <w:b/>
                <w:color w:val="000000"/>
                <w:lang w:val="en-US"/>
              </w:rPr>
            </w:pPr>
          </w:p>
        </w:tc>
        <w:tc>
          <w:tcPr>
            <w:tcW w:w="709" w:type="pct"/>
            <w:tcBorders>
              <w:top w:val="nil"/>
              <w:left w:val="nil"/>
              <w:bottom w:val="single" w:sz="4" w:space="0" w:color="auto"/>
              <w:right w:val="nil"/>
            </w:tcBorders>
            <w:shd w:val="clear" w:color="000000" w:fill="FFFFFF"/>
          </w:tcPr>
          <w:p w14:paraId="54BE64FC" w14:textId="77777777" w:rsidR="00E35F0F" w:rsidRPr="00C16D3F" w:rsidRDefault="00E35F0F" w:rsidP="003D5BAD">
            <w:pPr>
              <w:rPr>
                <w:rFonts w:eastAsia="Times New Roman"/>
                <w:b/>
                <w:color w:val="000000"/>
                <w:lang w:val="en-US"/>
              </w:rPr>
            </w:pPr>
          </w:p>
        </w:tc>
        <w:tc>
          <w:tcPr>
            <w:tcW w:w="709" w:type="pct"/>
            <w:tcBorders>
              <w:top w:val="nil"/>
              <w:left w:val="nil"/>
              <w:bottom w:val="single" w:sz="4" w:space="0" w:color="auto"/>
              <w:right w:val="nil"/>
            </w:tcBorders>
            <w:shd w:val="clear" w:color="000000" w:fill="FFFFFF"/>
          </w:tcPr>
          <w:p w14:paraId="2734F2F6" w14:textId="77777777" w:rsidR="00E35F0F" w:rsidRPr="00C16D3F" w:rsidRDefault="00E35F0F" w:rsidP="003D5BAD">
            <w:pPr>
              <w:rPr>
                <w:rFonts w:eastAsia="Times New Roman"/>
                <w:b/>
                <w:color w:val="000000"/>
                <w:lang w:val="en-US"/>
              </w:rPr>
            </w:pPr>
          </w:p>
        </w:tc>
        <w:tc>
          <w:tcPr>
            <w:tcW w:w="707" w:type="pct"/>
            <w:tcBorders>
              <w:top w:val="nil"/>
              <w:left w:val="nil"/>
              <w:bottom w:val="single" w:sz="4" w:space="0" w:color="auto"/>
              <w:right w:val="nil"/>
            </w:tcBorders>
            <w:shd w:val="clear" w:color="000000" w:fill="FFFFFF"/>
          </w:tcPr>
          <w:p w14:paraId="355991EC" w14:textId="77777777" w:rsidR="00E35F0F" w:rsidRPr="00C16D3F" w:rsidRDefault="00E35F0F" w:rsidP="003D5BAD">
            <w:pPr>
              <w:rPr>
                <w:rFonts w:eastAsia="Times New Roman"/>
                <w:b/>
                <w:color w:val="000000"/>
                <w:lang w:val="en-US"/>
              </w:rPr>
            </w:pPr>
          </w:p>
        </w:tc>
      </w:tr>
      <w:tr w:rsidR="00E35F0F" w:rsidRPr="00DA1D07" w14:paraId="309682CB" w14:textId="77777777" w:rsidTr="00AE3F87">
        <w:trPr>
          <w:trHeight w:val="57"/>
          <w:jc w:val="center"/>
        </w:trPr>
        <w:tc>
          <w:tcPr>
            <w:tcW w:w="862" w:type="pct"/>
            <w:tcBorders>
              <w:top w:val="single" w:sz="4" w:space="0" w:color="auto"/>
              <w:left w:val="nil"/>
              <w:right w:val="nil"/>
            </w:tcBorders>
            <w:shd w:val="clear" w:color="000000" w:fill="FFFFFF"/>
            <w:noWrap/>
            <w:vAlign w:val="bottom"/>
          </w:tcPr>
          <w:p w14:paraId="68B9ED9C" w14:textId="77777777" w:rsidR="00E35F0F" w:rsidRPr="00E35F0F" w:rsidRDefault="00E35F0F" w:rsidP="00E35F0F">
            <w:pPr>
              <w:spacing w:after="0" w:line="240" w:lineRule="auto"/>
              <w:jc w:val="center"/>
              <w:rPr>
                <w:rFonts w:ascii="Times New Roman" w:eastAsia="Times New Roman" w:hAnsi="Times New Roman" w:cs="Times New Roman"/>
                <w:color w:val="000000"/>
                <w:sz w:val="24"/>
                <w:szCs w:val="24"/>
                <w:lang w:eastAsia="en-GB"/>
              </w:rPr>
            </w:pPr>
          </w:p>
        </w:tc>
        <w:tc>
          <w:tcPr>
            <w:tcW w:w="595" w:type="pct"/>
            <w:tcBorders>
              <w:top w:val="single" w:sz="4" w:space="0" w:color="auto"/>
              <w:left w:val="nil"/>
              <w:right w:val="nil"/>
            </w:tcBorders>
            <w:shd w:val="clear" w:color="000000" w:fill="FFFFFF"/>
            <w:noWrap/>
            <w:vAlign w:val="bottom"/>
          </w:tcPr>
          <w:p w14:paraId="3FDD645F" w14:textId="54F82A8C" w:rsidR="00E35F0F" w:rsidRPr="00E35F0F" w:rsidRDefault="00A171A2" w:rsidP="00E35F0F">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w:t>
            </w:r>
          </w:p>
        </w:tc>
        <w:tc>
          <w:tcPr>
            <w:tcW w:w="709" w:type="pct"/>
            <w:tcBorders>
              <w:top w:val="single" w:sz="4" w:space="0" w:color="auto"/>
              <w:left w:val="nil"/>
              <w:right w:val="nil"/>
            </w:tcBorders>
            <w:shd w:val="clear" w:color="000000" w:fill="FFFFFF"/>
            <w:noWrap/>
          </w:tcPr>
          <w:p w14:paraId="2B605D2A" w14:textId="3333CA4B" w:rsidR="00E35F0F" w:rsidRPr="00E35F0F" w:rsidRDefault="00A171A2" w:rsidP="00E35F0F">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w:t>
            </w:r>
          </w:p>
        </w:tc>
        <w:tc>
          <w:tcPr>
            <w:tcW w:w="709" w:type="pct"/>
            <w:tcBorders>
              <w:top w:val="single" w:sz="4" w:space="0" w:color="auto"/>
              <w:left w:val="nil"/>
              <w:right w:val="nil"/>
            </w:tcBorders>
            <w:shd w:val="clear" w:color="000000" w:fill="FFFFFF"/>
            <w:vAlign w:val="bottom"/>
          </w:tcPr>
          <w:p w14:paraId="2AE2E721" w14:textId="7A3313D8" w:rsidR="00E35F0F" w:rsidRPr="00E35F0F" w:rsidRDefault="00A171A2" w:rsidP="00E35F0F">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w:t>
            </w:r>
          </w:p>
        </w:tc>
        <w:tc>
          <w:tcPr>
            <w:tcW w:w="709" w:type="pct"/>
            <w:tcBorders>
              <w:top w:val="single" w:sz="4" w:space="0" w:color="auto"/>
              <w:left w:val="nil"/>
              <w:right w:val="nil"/>
            </w:tcBorders>
            <w:shd w:val="clear" w:color="000000" w:fill="FFFFFF"/>
          </w:tcPr>
          <w:p w14:paraId="5DC9B2C8" w14:textId="4795D944" w:rsidR="00E35F0F" w:rsidRPr="00E35F0F" w:rsidRDefault="00A171A2" w:rsidP="00E35F0F">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w:t>
            </w:r>
          </w:p>
        </w:tc>
        <w:tc>
          <w:tcPr>
            <w:tcW w:w="709" w:type="pct"/>
            <w:tcBorders>
              <w:top w:val="single" w:sz="4" w:space="0" w:color="auto"/>
              <w:left w:val="nil"/>
              <w:right w:val="nil"/>
            </w:tcBorders>
            <w:shd w:val="clear" w:color="000000" w:fill="FFFFFF"/>
            <w:vAlign w:val="bottom"/>
          </w:tcPr>
          <w:p w14:paraId="1DDC7BAC" w14:textId="5991B952" w:rsidR="00E35F0F" w:rsidRPr="00E35F0F" w:rsidRDefault="00A171A2" w:rsidP="00E35F0F">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(5)</w:t>
            </w:r>
          </w:p>
        </w:tc>
        <w:tc>
          <w:tcPr>
            <w:tcW w:w="707" w:type="pct"/>
            <w:tcBorders>
              <w:top w:val="single" w:sz="4" w:space="0" w:color="auto"/>
              <w:left w:val="nil"/>
              <w:right w:val="nil"/>
            </w:tcBorders>
            <w:shd w:val="clear" w:color="000000" w:fill="FFFFFF"/>
          </w:tcPr>
          <w:p w14:paraId="2E81473C" w14:textId="690FD9CF" w:rsidR="00E35F0F" w:rsidRPr="00E35F0F" w:rsidRDefault="00A171A2" w:rsidP="00E35F0F">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w:t>
            </w:r>
          </w:p>
        </w:tc>
      </w:tr>
      <w:tr w:rsidR="00E35F0F" w:rsidRPr="00DA1D07" w14:paraId="01799293" w14:textId="77777777" w:rsidTr="00AE3F87">
        <w:trPr>
          <w:trHeight w:val="57"/>
          <w:jc w:val="center"/>
        </w:trPr>
        <w:tc>
          <w:tcPr>
            <w:tcW w:w="862" w:type="pct"/>
            <w:tcBorders>
              <w:top w:val="nil"/>
              <w:left w:val="nil"/>
              <w:bottom w:val="single" w:sz="4" w:space="0" w:color="auto"/>
              <w:right w:val="nil"/>
            </w:tcBorders>
            <w:shd w:val="clear" w:color="000000" w:fill="FFFFFF"/>
            <w:noWrap/>
            <w:vAlign w:val="bottom"/>
            <w:hideMark/>
          </w:tcPr>
          <w:p w14:paraId="54A6DECA" w14:textId="77777777" w:rsidR="00E35F0F" w:rsidRPr="00E35F0F" w:rsidRDefault="00E35F0F" w:rsidP="00E35F0F">
            <w:pPr>
              <w:spacing w:after="0" w:line="240" w:lineRule="auto"/>
              <w:jc w:val="center"/>
              <w:rPr>
                <w:rFonts w:ascii="Times New Roman" w:eastAsia="Times New Roman" w:hAnsi="Times New Roman" w:cs="Times New Roman"/>
                <w:color w:val="000000"/>
                <w:sz w:val="24"/>
                <w:szCs w:val="24"/>
                <w:lang w:eastAsia="en-GB"/>
              </w:rPr>
            </w:pPr>
          </w:p>
        </w:tc>
        <w:tc>
          <w:tcPr>
            <w:tcW w:w="595" w:type="pct"/>
            <w:tcBorders>
              <w:top w:val="nil"/>
              <w:left w:val="nil"/>
              <w:bottom w:val="single" w:sz="4" w:space="0" w:color="auto"/>
              <w:right w:val="nil"/>
            </w:tcBorders>
            <w:shd w:val="clear" w:color="000000" w:fill="FFFFFF"/>
            <w:noWrap/>
            <w:vAlign w:val="bottom"/>
            <w:hideMark/>
          </w:tcPr>
          <w:p w14:paraId="20BDE046" w14:textId="77777777" w:rsidR="00E35F0F" w:rsidRPr="00AE3F87" w:rsidRDefault="00E35F0F" w:rsidP="00E35F0F">
            <w:pPr>
              <w:spacing w:after="0" w:line="240" w:lineRule="auto"/>
              <w:jc w:val="center"/>
              <w:rPr>
                <w:rFonts w:ascii="Times New Roman" w:eastAsia="Times New Roman" w:hAnsi="Times New Roman" w:cs="Times New Roman"/>
                <w:i/>
                <w:iCs/>
                <w:color w:val="000000"/>
                <w:sz w:val="24"/>
                <w:szCs w:val="24"/>
                <w:lang w:eastAsia="en-GB"/>
              </w:rPr>
            </w:pPr>
            <w:r w:rsidRPr="00AE3F87">
              <w:rPr>
                <w:rFonts w:ascii="Times New Roman" w:eastAsia="Times New Roman" w:hAnsi="Times New Roman" w:cs="Times New Roman"/>
                <w:i/>
                <w:iCs/>
                <w:color w:val="000000"/>
                <w:sz w:val="24"/>
                <w:szCs w:val="24"/>
                <w:lang w:eastAsia="en-GB"/>
              </w:rPr>
              <w:t>ln(Violations)</w:t>
            </w:r>
          </w:p>
        </w:tc>
        <w:tc>
          <w:tcPr>
            <w:tcW w:w="709" w:type="pct"/>
            <w:tcBorders>
              <w:top w:val="nil"/>
              <w:left w:val="nil"/>
              <w:bottom w:val="single" w:sz="4" w:space="0" w:color="auto"/>
              <w:right w:val="nil"/>
            </w:tcBorders>
            <w:shd w:val="clear" w:color="000000" w:fill="FFFFFF"/>
            <w:noWrap/>
            <w:hideMark/>
          </w:tcPr>
          <w:p w14:paraId="2F519EB2" w14:textId="77777777" w:rsidR="00E35F0F" w:rsidRPr="00AE3F87" w:rsidRDefault="00E35F0F" w:rsidP="00E35F0F">
            <w:pPr>
              <w:spacing w:after="0" w:line="240" w:lineRule="auto"/>
              <w:jc w:val="center"/>
              <w:rPr>
                <w:rFonts w:ascii="Times New Roman" w:eastAsia="Times New Roman" w:hAnsi="Times New Roman" w:cs="Times New Roman"/>
                <w:i/>
                <w:iCs/>
                <w:color w:val="000000"/>
                <w:sz w:val="24"/>
                <w:szCs w:val="24"/>
                <w:lang w:eastAsia="en-GB"/>
              </w:rPr>
            </w:pPr>
            <w:r w:rsidRPr="00AE3F87">
              <w:rPr>
                <w:rFonts w:ascii="Times New Roman" w:eastAsia="Times New Roman" w:hAnsi="Times New Roman" w:cs="Times New Roman"/>
                <w:i/>
                <w:iCs/>
                <w:color w:val="000000"/>
                <w:sz w:val="24"/>
                <w:szCs w:val="24"/>
                <w:lang w:eastAsia="en-GB"/>
              </w:rPr>
              <w:t>ln(Penalties)</w:t>
            </w:r>
          </w:p>
        </w:tc>
        <w:tc>
          <w:tcPr>
            <w:tcW w:w="709" w:type="pct"/>
            <w:tcBorders>
              <w:top w:val="nil"/>
              <w:left w:val="nil"/>
              <w:bottom w:val="single" w:sz="4" w:space="0" w:color="auto"/>
              <w:right w:val="nil"/>
            </w:tcBorders>
            <w:shd w:val="clear" w:color="000000" w:fill="FFFFFF"/>
            <w:vAlign w:val="bottom"/>
          </w:tcPr>
          <w:p w14:paraId="6941CE28" w14:textId="77777777" w:rsidR="00E35F0F" w:rsidRPr="00AE3F87" w:rsidRDefault="00E35F0F" w:rsidP="00E35F0F">
            <w:pPr>
              <w:spacing w:after="0" w:line="240" w:lineRule="auto"/>
              <w:jc w:val="center"/>
              <w:rPr>
                <w:rFonts w:ascii="Times New Roman" w:eastAsia="Times New Roman" w:hAnsi="Times New Roman" w:cs="Times New Roman"/>
                <w:i/>
                <w:iCs/>
                <w:color w:val="000000"/>
                <w:sz w:val="24"/>
                <w:szCs w:val="24"/>
                <w:lang w:eastAsia="en-GB"/>
              </w:rPr>
            </w:pPr>
            <w:r w:rsidRPr="00AE3F87">
              <w:rPr>
                <w:rFonts w:ascii="Times New Roman" w:eastAsia="Times New Roman" w:hAnsi="Times New Roman" w:cs="Times New Roman"/>
                <w:i/>
                <w:iCs/>
                <w:color w:val="000000"/>
                <w:sz w:val="24"/>
                <w:szCs w:val="24"/>
                <w:lang w:eastAsia="en-GB"/>
              </w:rPr>
              <w:t>ln(Violations)</w:t>
            </w:r>
          </w:p>
        </w:tc>
        <w:tc>
          <w:tcPr>
            <w:tcW w:w="709" w:type="pct"/>
            <w:tcBorders>
              <w:top w:val="nil"/>
              <w:left w:val="nil"/>
              <w:bottom w:val="single" w:sz="4" w:space="0" w:color="auto"/>
              <w:right w:val="nil"/>
            </w:tcBorders>
            <w:shd w:val="clear" w:color="000000" w:fill="FFFFFF"/>
          </w:tcPr>
          <w:p w14:paraId="1C8EB6EA" w14:textId="77777777" w:rsidR="00E35F0F" w:rsidRPr="00AE3F87" w:rsidRDefault="00E35F0F" w:rsidP="00E35F0F">
            <w:pPr>
              <w:spacing w:after="0" w:line="240" w:lineRule="auto"/>
              <w:jc w:val="center"/>
              <w:rPr>
                <w:rFonts w:ascii="Times New Roman" w:eastAsia="Times New Roman" w:hAnsi="Times New Roman" w:cs="Times New Roman"/>
                <w:i/>
                <w:iCs/>
                <w:color w:val="000000"/>
                <w:sz w:val="24"/>
                <w:szCs w:val="24"/>
                <w:lang w:eastAsia="en-GB"/>
              </w:rPr>
            </w:pPr>
            <w:r w:rsidRPr="00AE3F87">
              <w:rPr>
                <w:rFonts w:ascii="Times New Roman" w:eastAsia="Times New Roman" w:hAnsi="Times New Roman" w:cs="Times New Roman"/>
                <w:i/>
                <w:iCs/>
                <w:color w:val="000000"/>
                <w:sz w:val="24"/>
                <w:szCs w:val="24"/>
                <w:lang w:eastAsia="en-GB"/>
              </w:rPr>
              <w:t>ln(Penalties)</w:t>
            </w:r>
          </w:p>
        </w:tc>
        <w:tc>
          <w:tcPr>
            <w:tcW w:w="709" w:type="pct"/>
            <w:tcBorders>
              <w:top w:val="nil"/>
              <w:left w:val="nil"/>
              <w:bottom w:val="single" w:sz="4" w:space="0" w:color="auto"/>
              <w:right w:val="nil"/>
            </w:tcBorders>
            <w:shd w:val="clear" w:color="000000" w:fill="FFFFFF"/>
            <w:vAlign w:val="bottom"/>
          </w:tcPr>
          <w:p w14:paraId="2A0BF571" w14:textId="77777777" w:rsidR="00E35F0F" w:rsidRPr="00AE3F87" w:rsidRDefault="00E35F0F" w:rsidP="00E35F0F">
            <w:pPr>
              <w:spacing w:after="0" w:line="240" w:lineRule="auto"/>
              <w:jc w:val="center"/>
              <w:rPr>
                <w:rFonts w:ascii="Times New Roman" w:eastAsia="Times New Roman" w:hAnsi="Times New Roman" w:cs="Times New Roman"/>
                <w:i/>
                <w:iCs/>
                <w:color w:val="000000"/>
                <w:sz w:val="24"/>
                <w:szCs w:val="24"/>
                <w:lang w:eastAsia="en-GB"/>
              </w:rPr>
            </w:pPr>
            <w:r w:rsidRPr="00AE3F87">
              <w:rPr>
                <w:rFonts w:ascii="Times New Roman" w:eastAsia="Times New Roman" w:hAnsi="Times New Roman" w:cs="Times New Roman"/>
                <w:i/>
                <w:iCs/>
                <w:color w:val="000000"/>
                <w:sz w:val="24"/>
                <w:szCs w:val="24"/>
                <w:lang w:eastAsia="en-GB"/>
              </w:rPr>
              <w:t>ln(Violations)</w:t>
            </w:r>
          </w:p>
        </w:tc>
        <w:tc>
          <w:tcPr>
            <w:tcW w:w="707" w:type="pct"/>
            <w:tcBorders>
              <w:top w:val="nil"/>
              <w:left w:val="nil"/>
              <w:bottom w:val="single" w:sz="4" w:space="0" w:color="auto"/>
              <w:right w:val="nil"/>
            </w:tcBorders>
            <w:shd w:val="clear" w:color="000000" w:fill="FFFFFF"/>
          </w:tcPr>
          <w:p w14:paraId="27D3C000" w14:textId="77777777" w:rsidR="00E35F0F" w:rsidRPr="00AE3F87" w:rsidRDefault="00E35F0F" w:rsidP="00E35F0F">
            <w:pPr>
              <w:spacing w:after="0" w:line="240" w:lineRule="auto"/>
              <w:jc w:val="center"/>
              <w:rPr>
                <w:rFonts w:ascii="Times New Roman" w:eastAsia="Times New Roman" w:hAnsi="Times New Roman" w:cs="Times New Roman"/>
                <w:i/>
                <w:iCs/>
                <w:color w:val="000000"/>
                <w:sz w:val="24"/>
                <w:szCs w:val="24"/>
                <w:lang w:eastAsia="en-GB"/>
              </w:rPr>
            </w:pPr>
            <w:r w:rsidRPr="00AE3F87">
              <w:rPr>
                <w:rFonts w:ascii="Times New Roman" w:eastAsia="Times New Roman" w:hAnsi="Times New Roman" w:cs="Times New Roman"/>
                <w:i/>
                <w:iCs/>
                <w:color w:val="000000"/>
                <w:sz w:val="24"/>
                <w:szCs w:val="24"/>
                <w:lang w:eastAsia="en-GB"/>
              </w:rPr>
              <w:t>ln(Penalties)</w:t>
            </w:r>
          </w:p>
        </w:tc>
      </w:tr>
      <w:tr w:rsidR="006F1F5C" w:rsidRPr="00DA1D07" w14:paraId="356C8BA5" w14:textId="77777777" w:rsidTr="006914B5">
        <w:trPr>
          <w:trHeight w:val="57"/>
          <w:jc w:val="center"/>
        </w:trPr>
        <w:tc>
          <w:tcPr>
            <w:tcW w:w="862" w:type="pct"/>
            <w:tcBorders>
              <w:top w:val="single" w:sz="4" w:space="0" w:color="auto"/>
              <w:left w:val="nil"/>
              <w:bottom w:val="nil"/>
              <w:right w:val="nil"/>
            </w:tcBorders>
            <w:shd w:val="clear" w:color="auto" w:fill="D9D9D9" w:themeFill="background1" w:themeFillShade="D9"/>
            <w:noWrap/>
            <w:vAlign w:val="center"/>
            <w:hideMark/>
          </w:tcPr>
          <w:p w14:paraId="2FF8CB53" w14:textId="77777777" w:rsidR="006F1F5C" w:rsidRPr="00AE3F87" w:rsidRDefault="006F1F5C" w:rsidP="006F1F5C">
            <w:pPr>
              <w:spacing w:after="0" w:line="240" w:lineRule="auto"/>
              <w:rPr>
                <w:rFonts w:ascii="Times New Roman" w:eastAsia="Times New Roman" w:hAnsi="Times New Roman" w:cs="Times New Roman"/>
                <w:i/>
                <w:iCs/>
                <w:color w:val="000000"/>
                <w:sz w:val="24"/>
                <w:szCs w:val="24"/>
                <w:lang w:eastAsia="en-GB"/>
              </w:rPr>
            </w:pPr>
            <w:r w:rsidRPr="00AE3F87">
              <w:rPr>
                <w:rFonts w:ascii="Times New Roman" w:eastAsia="Times New Roman" w:hAnsi="Times New Roman" w:cs="Times New Roman"/>
                <w:i/>
                <w:iCs/>
                <w:color w:val="000000"/>
                <w:sz w:val="24"/>
                <w:szCs w:val="24"/>
                <w:lang w:eastAsia="en-GB"/>
              </w:rPr>
              <w:t>Vega</w:t>
            </w:r>
          </w:p>
        </w:tc>
        <w:tc>
          <w:tcPr>
            <w:tcW w:w="595" w:type="pct"/>
            <w:tcBorders>
              <w:top w:val="single" w:sz="4" w:space="0" w:color="auto"/>
              <w:left w:val="nil"/>
              <w:bottom w:val="nil"/>
              <w:right w:val="nil"/>
            </w:tcBorders>
            <w:shd w:val="clear" w:color="auto" w:fill="D9D9D9" w:themeFill="background1" w:themeFillShade="D9"/>
            <w:noWrap/>
            <w:vAlign w:val="bottom"/>
            <w:hideMark/>
          </w:tcPr>
          <w:p w14:paraId="769CF249"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0.012**</w:t>
            </w:r>
          </w:p>
        </w:tc>
        <w:tc>
          <w:tcPr>
            <w:tcW w:w="709" w:type="pct"/>
            <w:tcBorders>
              <w:top w:val="single" w:sz="4" w:space="0" w:color="auto"/>
              <w:left w:val="nil"/>
              <w:bottom w:val="nil"/>
              <w:right w:val="nil"/>
            </w:tcBorders>
            <w:shd w:val="clear" w:color="auto" w:fill="D9D9D9" w:themeFill="background1" w:themeFillShade="D9"/>
            <w:noWrap/>
            <w:vAlign w:val="bottom"/>
            <w:hideMark/>
          </w:tcPr>
          <w:p w14:paraId="7E07DCA1"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0.082</w:t>
            </w:r>
          </w:p>
        </w:tc>
        <w:tc>
          <w:tcPr>
            <w:tcW w:w="709" w:type="pct"/>
            <w:tcBorders>
              <w:top w:val="single" w:sz="4" w:space="0" w:color="auto"/>
              <w:left w:val="nil"/>
              <w:bottom w:val="nil"/>
              <w:right w:val="nil"/>
            </w:tcBorders>
            <w:shd w:val="clear" w:color="auto" w:fill="D9D9D9" w:themeFill="background1" w:themeFillShade="D9"/>
          </w:tcPr>
          <w:p w14:paraId="0EA809B2" w14:textId="1BB9C3B4"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6914B5">
              <w:rPr>
                <w:rFonts w:ascii="Times New Roman" w:hAnsi="Times New Roman" w:cs="Times New Roman"/>
                <w:sz w:val="24"/>
                <w:szCs w:val="24"/>
              </w:rPr>
              <w:t>0.010**</w:t>
            </w:r>
          </w:p>
        </w:tc>
        <w:tc>
          <w:tcPr>
            <w:tcW w:w="709" w:type="pct"/>
            <w:tcBorders>
              <w:top w:val="single" w:sz="4" w:space="0" w:color="auto"/>
              <w:left w:val="nil"/>
              <w:bottom w:val="nil"/>
              <w:right w:val="nil"/>
            </w:tcBorders>
            <w:shd w:val="clear" w:color="auto" w:fill="D9D9D9" w:themeFill="background1" w:themeFillShade="D9"/>
          </w:tcPr>
          <w:p w14:paraId="5F88B938" w14:textId="119AC174"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6914B5">
              <w:rPr>
                <w:rFonts w:ascii="Times New Roman" w:hAnsi="Times New Roman" w:cs="Times New Roman"/>
                <w:sz w:val="24"/>
                <w:szCs w:val="24"/>
              </w:rPr>
              <w:t>0.088*</w:t>
            </w:r>
          </w:p>
        </w:tc>
        <w:tc>
          <w:tcPr>
            <w:tcW w:w="709" w:type="pct"/>
            <w:tcBorders>
              <w:top w:val="single" w:sz="4" w:space="0" w:color="auto"/>
              <w:left w:val="nil"/>
              <w:bottom w:val="nil"/>
              <w:right w:val="nil"/>
            </w:tcBorders>
            <w:shd w:val="clear" w:color="auto" w:fill="D9D9D9" w:themeFill="background1" w:themeFillShade="D9"/>
            <w:vAlign w:val="bottom"/>
          </w:tcPr>
          <w:p w14:paraId="1B368518"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0.008**</w:t>
            </w:r>
          </w:p>
        </w:tc>
        <w:tc>
          <w:tcPr>
            <w:tcW w:w="707" w:type="pct"/>
            <w:tcBorders>
              <w:top w:val="single" w:sz="4" w:space="0" w:color="auto"/>
              <w:left w:val="nil"/>
              <w:bottom w:val="nil"/>
              <w:right w:val="nil"/>
            </w:tcBorders>
            <w:shd w:val="clear" w:color="auto" w:fill="D9D9D9" w:themeFill="background1" w:themeFillShade="D9"/>
            <w:vAlign w:val="bottom"/>
          </w:tcPr>
          <w:p w14:paraId="159CA4D7"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0.069*</w:t>
            </w:r>
          </w:p>
        </w:tc>
      </w:tr>
      <w:tr w:rsidR="006F1F5C" w:rsidRPr="00DA1D07" w14:paraId="4B263EA8" w14:textId="77777777" w:rsidTr="006914B5">
        <w:trPr>
          <w:trHeight w:val="57"/>
          <w:jc w:val="center"/>
        </w:trPr>
        <w:tc>
          <w:tcPr>
            <w:tcW w:w="862" w:type="pct"/>
            <w:tcBorders>
              <w:top w:val="nil"/>
              <w:left w:val="nil"/>
              <w:bottom w:val="nil"/>
              <w:right w:val="nil"/>
            </w:tcBorders>
            <w:shd w:val="clear" w:color="auto" w:fill="D9D9D9" w:themeFill="background1" w:themeFillShade="D9"/>
            <w:noWrap/>
            <w:vAlign w:val="bottom"/>
            <w:hideMark/>
          </w:tcPr>
          <w:p w14:paraId="203613FB" w14:textId="77777777" w:rsidR="006F1F5C" w:rsidRPr="00E35F0F" w:rsidRDefault="006F1F5C" w:rsidP="006F1F5C">
            <w:pPr>
              <w:spacing w:after="0" w:line="240" w:lineRule="auto"/>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 </w:t>
            </w:r>
          </w:p>
        </w:tc>
        <w:tc>
          <w:tcPr>
            <w:tcW w:w="595" w:type="pct"/>
            <w:tcBorders>
              <w:top w:val="nil"/>
              <w:left w:val="nil"/>
              <w:bottom w:val="nil"/>
              <w:right w:val="nil"/>
            </w:tcBorders>
            <w:shd w:val="clear" w:color="auto" w:fill="D9D9D9" w:themeFill="background1" w:themeFillShade="D9"/>
            <w:noWrap/>
            <w:vAlign w:val="bottom"/>
            <w:hideMark/>
          </w:tcPr>
          <w:p w14:paraId="55A95242"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(2.22)</w:t>
            </w:r>
          </w:p>
        </w:tc>
        <w:tc>
          <w:tcPr>
            <w:tcW w:w="709" w:type="pct"/>
            <w:tcBorders>
              <w:top w:val="nil"/>
              <w:left w:val="nil"/>
              <w:bottom w:val="nil"/>
              <w:right w:val="nil"/>
            </w:tcBorders>
            <w:shd w:val="clear" w:color="auto" w:fill="D9D9D9" w:themeFill="background1" w:themeFillShade="D9"/>
            <w:noWrap/>
            <w:vAlign w:val="bottom"/>
            <w:hideMark/>
          </w:tcPr>
          <w:p w14:paraId="5BC59228"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(1.50)</w:t>
            </w:r>
          </w:p>
        </w:tc>
        <w:tc>
          <w:tcPr>
            <w:tcW w:w="709" w:type="pct"/>
            <w:tcBorders>
              <w:top w:val="nil"/>
              <w:left w:val="nil"/>
              <w:bottom w:val="nil"/>
              <w:right w:val="nil"/>
            </w:tcBorders>
            <w:shd w:val="clear" w:color="auto" w:fill="D9D9D9" w:themeFill="background1" w:themeFillShade="D9"/>
          </w:tcPr>
          <w:p w14:paraId="4584DCC0" w14:textId="7C91A93C"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6914B5">
              <w:rPr>
                <w:rFonts w:ascii="Times New Roman" w:hAnsi="Times New Roman" w:cs="Times New Roman"/>
                <w:sz w:val="24"/>
                <w:szCs w:val="24"/>
              </w:rPr>
              <w:t>(2.32)</w:t>
            </w:r>
          </w:p>
        </w:tc>
        <w:tc>
          <w:tcPr>
            <w:tcW w:w="709" w:type="pct"/>
            <w:tcBorders>
              <w:top w:val="nil"/>
              <w:left w:val="nil"/>
              <w:bottom w:val="nil"/>
              <w:right w:val="nil"/>
            </w:tcBorders>
            <w:shd w:val="clear" w:color="auto" w:fill="D9D9D9" w:themeFill="background1" w:themeFillShade="D9"/>
          </w:tcPr>
          <w:p w14:paraId="151591E3" w14:textId="0DA5EB88"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6914B5">
              <w:rPr>
                <w:rFonts w:ascii="Times New Roman" w:hAnsi="Times New Roman" w:cs="Times New Roman"/>
                <w:sz w:val="24"/>
                <w:szCs w:val="24"/>
              </w:rPr>
              <w:t>(1.86)</w:t>
            </w:r>
          </w:p>
        </w:tc>
        <w:tc>
          <w:tcPr>
            <w:tcW w:w="709" w:type="pct"/>
            <w:tcBorders>
              <w:top w:val="nil"/>
              <w:left w:val="nil"/>
              <w:bottom w:val="nil"/>
              <w:right w:val="nil"/>
            </w:tcBorders>
            <w:shd w:val="clear" w:color="auto" w:fill="D9D9D9" w:themeFill="background1" w:themeFillShade="D9"/>
            <w:vAlign w:val="bottom"/>
          </w:tcPr>
          <w:p w14:paraId="778A66A9"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(1.99)</w:t>
            </w:r>
          </w:p>
        </w:tc>
        <w:tc>
          <w:tcPr>
            <w:tcW w:w="707" w:type="pct"/>
            <w:tcBorders>
              <w:top w:val="nil"/>
              <w:left w:val="nil"/>
              <w:bottom w:val="nil"/>
              <w:right w:val="nil"/>
            </w:tcBorders>
            <w:shd w:val="clear" w:color="auto" w:fill="D9D9D9" w:themeFill="background1" w:themeFillShade="D9"/>
            <w:vAlign w:val="bottom"/>
          </w:tcPr>
          <w:p w14:paraId="13916040"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(1.69)</w:t>
            </w:r>
          </w:p>
        </w:tc>
      </w:tr>
      <w:tr w:rsidR="006F1F5C" w:rsidRPr="00DA1D07" w14:paraId="1995A9D4" w14:textId="77777777" w:rsidTr="006914B5">
        <w:trPr>
          <w:trHeight w:val="57"/>
          <w:jc w:val="center"/>
        </w:trPr>
        <w:tc>
          <w:tcPr>
            <w:tcW w:w="862" w:type="pct"/>
            <w:tcBorders>
              <w:top w:val="nil"/>
              <w:left w:val="nil"/>
              <w:bottom w:val="nil"/>
              <w:right w:val="nil"/>
            </w:tcBorders>
            <w:shd w:val="clear" w:color="000000" w:fill="FFFFFF"/>
            <w:noWrap/>
            <w:vAlign w:val="center"/>
            <w:hideMark/>
          </w:tcPr>
          <w:p w14:paraId="153E90D8" w14:textId="77777777" w:rsidR="006F1F5C" w:rsidRPr="00AE3F87" w:rsidRDefault="006F1F5C" w:rsidP="006F1F5C">
            <w:pPr>
              <w:spacing w:after="0" w:line="240" w:lineRule="auto"/>
              <w:rPr>
                <w:rFonts w:ascii="Times New Roman" w:eastAsia="Times New Roman" w:hAnsi="Times New Roman" w:cs="Times New Roman"/>
                <w:i/>
                <w:iCs/>
                <w:color w:val="000000"/>
                <w:sz w:val="24"/>
                <w:szCs w:val="24"/>
                <w:lang w:eastAsia="en-GB"/>
              </w:rPr>
            </w:pPr>
            <w:r w:rsidRPr="00AE3F87">
              <w:rPr>
                <w:rFonts w:ascii="Times New Roman" w:eastAsia="Times New Roman" w:hAnsi="Times New Roman" w:cs="Times New Roman"/>
                <w:i/>
                <w:iCs/>
                <w:color w:val="000000"/>
                <w:sz w:val="24"/>
                <w:szCs w:val="24"/>
                <w:lang w:eastAsia="en-GB"/>
              </w:rPr>
              <w:t>Delta</w:t>
            </w:r>
          </w:p>
        </w:tc>
        <w:tc>
          <w:tcPr>
            <w:tcW w:w="595" w:type="pct"/>
            <w:tcBorders>
              <w:top w:val="nil"/>
              <w:left w:val="nil"/>
              <w:bottom w:val="nil"/>
              <w:right w:val="nil"/>
            </w:tcBorders>
            <w:shd w:val="clear" w:color="000000" w:fill="FFFFFF"/>
            <w:noWrap/>
            <w:vAlign w:val="bottom"/>
            <w:hideMark/>
          </w:tcPr>
          <w:p w14:paraId="1C4771D5"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-0.010*</w:t>
            </w:r>
          </w:p>
        </w:tc>
        <w:tc>
          <w:tcPr>
            <w:tcW w:w="709" w:type="pct"/>
            <w:tcBorders>
              <w:top w:val="nil"/>
              <w:left w:val="nil"/>
              <w:bottom w:val="nil"/>
              <w:right w:val="nil"/>
            </w:tcBorders>
            <w:shd w:val="clear" w:color="000000" w:fill="FFFFFF"/>
            <w:noWrap/>
            <w:vAlign w:val="bottom"/>
            <w:hideMark/>
          </w:tcPr>
          <w:p w14:paraId="7BE6B72A"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-0.073</w:t>
            </w:r>
          </w:p>
        </w:tc>
        <w:tc>
          <w:tcPr>
            <w:tcW w:w="709" w:type="pct"/>
            <w:tcBorders>
              <w:top w:val="nil"/>
              <w:left w:val="nil"/>
              <w:bottom w:val="nil"/>
              <w:right w:val="nil"/>
            </w:tcBorders>
            <w:shd w:val="clear" w:color="000000" w:fill="FFFFFF"/>
          </w:tcPr>
          <w:p w14:paraId="5D0DCEB3" w14:textId="2DE40ADC"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6914B5">
              <w:rPr>
                <w:rFonts w:ascii="Times New Roman" w:hAnsi="Times New Roman" w:cs="Times New Roman"/>
                <w:sz w:val="24"/>
                <w:szCs w:val="24"/>
              </w:rPr>
              <w:t>-0.004</w:t>
            </w:r>
          </w:p>
        </w:tc>
        <w:tc>
          <w:tcPr>
            <w:tcW w:w="709" w:type="pct"/>
            <w:tcBorders>
              <w:top w:val="nil"/>
              <w:left w:val="nil"/>
              <w:bottom w:val="nil"/>
              <w:right w:val="nil"/>
            </w:tcBorders>
            <w:shd w:val="clear" w:color="000000" w:fill="FFFFFF"/>
          </w:tcPr>
          <w:p w14:paraId="75BFA063" w14:textId="013E2F1E"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6914B5">
              <w:rPr>
                <w:rFonts w:ascii="Times New Roman" w:hAnsi="Times New Roman" w:cs="Times New Roman"/>
                <w:sz w:val="24"/>
                <w:szCs w:val="24"/>
              </w:rPr>
              <w:t>-0.044</w:t>
            </w:r>
          </w:p>
        </w:tc>
        <w:tc>
          <w:tcPr>
            <w:tcW w:w="709" w:type="pct"/>
            <w:tcBorders>
              <w:top w:val="nil"/>
              <w:left w:val="nil"/>
              <w:bottom w:val="nil"/>
              <w:right w:val="nil"/>
            </w:tcBorders>
            <w:shd w:val="clear" w:color="000000" w:fill="FFFFFF"/>
            <w:vAlign w:val="bottom"/>
          </w:tcPr>
          <w:p w14:paraId="5378DD5D"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-0.001</w:t>
            </w:r>
          </w:p>
        </w:tc>
        <w:tc>
          <w:tcPr>
            <w:tcW w:w="707" w:type="pct"/>
            <w:tcBorders>
              <w:top w:val="nil"/>
              <w:left w:val="nil"/>
              <w:bottom w:val="nil"/>
              <w:right w:val="nil"/>
            </w:tcBorders>
            <w:shd w:val="clear" w:color="000000" w:fill="FFFFFF"/>
            <w:vAlign w:val="bottom"/>
          </w:tcPr>
          <w:p w14:paraId="5ED12C19"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-0.019</w:t>
            </w:r>
          </w:p>
        </w:tc>
      </w:tr>
      <w:tr w:rsidR="006F1F5C" w:rsidRPr="00DA1D07" w14:paraId="220EFE71" w14:textId="77777777" w:rsidTr="006914B5">
        <w:trPr>
          <w:trHeight w:val="57"/>
          <w:jc w:val="center"/>
        </w:trPr>
        <w:tc>
          <w:tcPr>
            <w:tcW w:w="862" w:type="pct"/>
            <w:tcBorders>
              <w:top w:val="nil"/>
              <w:left w:val="nil"/>
              <w:bottom w:val="nil"/>
              <w:right w:val="nil"/>
            </w:tcBorders>
            <w:shd w:val="clear" w:color="000000" w:fill="FFFFFF"/>
            <w:noWrap/>
            <w:vAlign w:val="bottom"/>
            <w:hideMark/>
          </w:tcPr>
          <w:p w14:paraId="1DA0EF54" w14:textId="77777777" w:rsidR="006F1F5C" w:rsidRPr="00E35F0F" w:rsidRDefault="006F1F5C" w:rsidP="006F1F5C">
            <w:pPr>
              <w:spacing w:after="0" w:line="240" w:lineRule="auto"/>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 </w:t>
            </w:r>
          </w:p>
        </w:tc>
        <w:tc>
          <w:tcPr>
            <w:tcW w:w="595" w:type="pct"/>
            <w:tcBorders>
              <w:top w:val="nil"/>
              <w:left w:val="nil"/>
              <w:bottom w:val="nil"/>
              <w:right w:val="nil"/>
            </w:tcBorders>
            <w:shd w:val="clear" w:color="000000" w:fill="FFFFFF"/>
            <w:noWrap/>
            <w:vAlign w:val="bottom"/>
            <w:hideMark/>
          </w:tcPr>
          <w:p w14:paraId="420A1DAA"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(-1.79)</w:t>
            </w:r>
          </w:p>
        </w:tc>
        <w:tc>
          <w:tcPr>
            <w:tcW w:w="709" w:type="pct"/>
            <w:tcBorders>
              <w:top w:val="nil"/>
              <w:left w:val="nil"/>
              <w:bottom w:val="nil"/>
              <w:right w:val="nil"/>
            </w:tcBorders>
            <w:shd w:val="clear" w:color="000000" w:fill="FFFFFF"/>
            <w:noWrap/>
            <w:vAlign w:val="bottom"/>
            <w:hideMark/>
          </w:tcPr>
          <w:p w14:paraId="1920ECC9"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(-1.14)</w:t>
            </w:r>
          </w:p>
        </w:tc>
        <w:tc>
          <w:tcPr>
            <w:tcW w:w="709" w:type="pct"/>
            <w:tcBorders>
              <w:top w:val="nil"/>
              <w:left w:val="nil"/>
              <w:bottom w:val="nil"/>
              <w:right w:val="nil"/>
            </w:tcBorders>
            <w:shd w:val="clear" w:color="000000" w:fill="FFFFFF"/>
          </w:tcPr>
          <w:p w14:paraId="1F288F52" w14:textId="3CBB3BB7"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6914B5">
              <w:rPr>
                <w:rFonts w:ascii="Times New Roman" w:hAnsi="Times New Roman" w:cs="Times New Roman"/>
                <w:sz w:val="24"/>
                <w:szCs w:val="24"/>
              </w:rPr>
              <w:t>(-0.63)</w:t>
            </w:r>
          </w:p>
        </w:tc>
        <w:tc>
          <w:tcPr>
            <w:tcW w:w="709" w:type="pct"/>
            <w:tcBorders>
              <w:top w:val="nil"/>
              <w:left w:val="nil"/>
              <w:bottom w:val="nil"/>
              <w:right w:val="nil"/>
            </w:tcBorders>
            <w:shd w:val="clear" w:color="000000" w:fill="FFFFFF"/>
          </w:tcPr>
          <w:p w14:paraId="720F0E62" w14:textId="4E36D731"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6914B5">
              <w:rPr>
                <w:rFonts w:ascii="Times New Roman" w:hAnsi="Times New Roman" w:cs="Times New Roman"/>
                <w:sz w:val="24"/>
                <w:szCs w:val="24"/>
              </w:rPr>
              <w:t>(-0.67)</w:t>
            </w:r>
          </w:p>
        </w:tc>
        <w:tc>
          <w:tcPr>
            <w:tcW w:w="709" w:type="pct"/>
            <w:tcBorders>
              <w:top w:val="nil"/>
              <w:left w:val="nil"/>
              <w:bottom w:val="nil"/>
              <w:right w:val="nil"/>
            </w:tcBorders>
            <w:shd w:val="clear" w:color="000000" w:fill="FFFFFF"/>
            <w:vAlign w:val="bottom"/>
          </w:tcPr>
          <w:p w14:paraId="46A7BE63"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(-0.16)</w:t>
            </w:r>
          </w:p>
        </w:tc>
        <w:tc>
          <w:tcPr>
            <w:tcW w:w="707" w:type="pct"/>
            <w:tcBorders>
              <w:top w:val="nil"/>
              <w:left w:val="nil"/>
              <w:bottom w:val="nil"/>
              <w:right w:val="nil"/>
            </w:tcBorders>
            <w:shd w:val="clear" w:color="000000" w:fill="FFFFFF"/>
            <w:vAlign w:val="bottom"/>
          </w:tcPr>
          <w:p w14:paraId="2C3FAE50"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(-0.45)</w:t>
            </w:r>
          </w:p>
        </w:tc>
      </w:tr>
      <w:tr w:rsidR="006F1F5C" w:rsidRPr="00DA1D07" w14:paraId="23AA8AB9" w14:textId="77777777" w:rsidTr="006914B5">
        <w:trPr>
          <w:trHeight w:val="57"/>
          <w:jc w:val="center"/>
        </w:trPr>
        <w:tc>
          <w:tcPr>
            <w:tcW w:w="862" w:type="pct"/>
            <w:tcBorders>
              <w:top w:val="nil"/>
              <w:left w:val="nil"/>
              <w:bottom w:val="nil"/>
              <w:right w:val="nil"/>
            </w:tcBorders>
            <w:shd w:val="clear" w:color="000000" w:fill="FFFFFF"/>
            <w:noWrap/>
            <w:vAlign w:val="center"/>
            <w:hideMark/>
          </w:tcPr>
          <w:p w14:paraId="3444048D" w14:textId="77777777" w:rsidR="006F1F5C" w:rsidRPr="00AE3F87" w:rsidRDefault="006F1F5C" w:rsidP="006F1F5C">
            <w:pPr>
              <w:spacing w:after="0" w:line="240" w:lineRule="auto"/>
              <w:rPr>
                <w:rFonts w:ascii="Times New Roman" w:eastAsia="Times New Roman" w:hAnsi="Times New Roman" w:cs="Times New Roman"/>
                <w:i/>
                <w:iCs/>
                <w:color w:val="000000"/>
                <w:sz w:val="24"/>
                <w:szCs w:val="24"/>
                <w:lang w:eastAsia="en-GB"/>
              </w:rPr>
            </w:pPr>
            <w:proofErr w:type="spellStart"/>
            <w:r w:rsidRPr="00AE3F87">
              <w:rPr>
                <w:rFonts w:ascii="Times New Roman" w:eastAsia="Times New Roman" w:hAnsi="Times New Roman" w:cs="Times New Roman"/>
                <w:i/>
                <w:iCs/>
                <w:color w:val="000000"/>
                <w:sz w:val="24"/>
                <w:szCs w:val="24"/>
                <w:lang w:eastAsia="en-GB"/>
              </w:rPr>
              <w:t>CashComp</w:t>
            </w:r>
            <w:proofErr w:type="spellEnd"/>
          </w:p>
        </w:tc>
        <w:tc>
          <w:tcPr>
            <w:tcW w:w="595" w:type="pct"/>
            <w:tcBorders>
              <w:top w:val="nil"/>
              <w:left w:val="nil"/>
              <w:bottom w:val="nil"/>
              <w:right w:val="nil"/>
            </w:tcBorders>
            <w:shd w:val="clear" w:color="000000" w:fill="FFFFFF"/>
            <w:noWrap/>
            <w:vAlign w:val="bottom"/>
            <w:hideMark/>
          </w:tcPr>
          <w:p w14:paraId="306F6459"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0.017</w:t>
            </w:r>
          </w:p>
        </w:tc>
        <w:tc>
          <w:tcPr>
            <w:tcW w:w="709" w:type="pct"/>
            <w:tcBorders>
              <w:top w:val="nil"/>
              <w:left w:val="nil"/>
              <w:bottom w:val="nil"/>
              <w:right w:val="nil"/>
            </w:tcBorders>
            <w:shd w:val="clear" w:color="000000" w:fill="FFFFFF"/>
            <w:noWrap/>
            <w:vAlign w:val="bottom"/>
            <w:hideMark/>
          </w:tcPr>
          <w:p w14:paraId="3C697CFA"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0.245**</w:t>
            </w:r>
          </w:p>
        </w:tc>
        <w:tc>
          <w:tcPr>
            <w:tcW w:w="709" w:type="pct"/>
            <w:tcBorders>
              <w:top w:val="nil"/>
              <w:left w:val="nil"/>
              <w:bottom w:val="nil"/>
              <w:right w:val="nil"/>
            </w:tcBorders>
            <w:shd w:val="clear" w:color="000000" w:fill="FFFFFF"/>
          </w:tcPr>
          <w:p w14:paraId="35EC6A13" w14:textId="6963F332"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6914B5">
              <w:rPr>
                <w:rFonts w:ascii="Times New Roman" w:hAnsi="Times New Roman" w:cs="Times New Roman"/>
                <w:sz w:val="24"/>
                <w:szCs w:val="24"/>
              </w:rPr>
              <w:t>-0.012</w:t>
            </w:r>
          </w:p>
        </w:tc>
        <w:tc>
          <w:tcPr>
            <w:tcW w:w="709" w:type="pct"/>
            <w:tcBorders>
              <w:top w:val="nil"/>
              <w:left w:val="nil"/>
              <w:bottom w:val="nil"/>
              <w:right w:val="nil"/>
            </w:tcBorders>
            <w:shd w:val="clear" w:color="000000" w:fill="FFFFFF"/>
          </w:tcPr>
          <w:p w14:paraId="49AE19EB" w14:textId="7DB832DB"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6914B5">
              <w:rPr>
                <w:rFonts w:ascii="Times New Roman" w:hAnsi="Times New Roman" w:cs="Times New Roman"/>
                <w:sz w:val="24"/>
                <w:szCs w:val="24"/>
              </w:rPr>
              <w:t>-0.030</w:t>
            </w:r>
          </w:p>
        </w:tc>
        <w:tc>
          <w:tcPr>
            <w:tcW w:w="709" w:type="pct"/>
            <w:tcBorders>
              <w:top w:val="nil"/>
              <w:left w:val="nil"/>
              <w:bottom w:val="nil"/>
              <w:right w:val="nil"/>
            </w:tcBorders>
            <w:shd w:val="clear" w:color="000000" w:fill="FFFFFF"/>
            <w:vAlign w:val="bottom"/>
          </w:tcPr>
          <w:p w14:paraId="37251CFF"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-0.010</w:t>
            </w:r>
          </w:p>
        </w:tc>
        <w:tc>
          <w:tcPr>
            <w:tcW w:w="707" w:type="pct"/>
            <w:tcBorders>
              <w:top w:val="nil"/>
              <w:left w:val="nil"/>
              <w:bottom w:val="nil"/>
              <w:right w:val="nil"/>
            </w:tcBorders>
            <w:shd w:val="clear" w:color="000000" w:fill="FFFFFF"/>
            <w:vAlign w:val="bottom"/>
          </w:tcPr>
          <w:p w14:paraId="25D62733"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-0.053</w:t>
            </w:r>
          </w:p>
        </w:tc>
      </w:tr>
      <w:tr w:rsidR="006F1F5C" w:rsidRPr="00DA1D07" w14:paraId="20CFDF1F" w14:textId="77777777" w:rsidTr="006914B5">
        <w:trPr>
          <w:trHeight w:val="57"/>
          <w:jc w:val="center"/>
        </w:trPr>
        <w:tc>
          <w:tcPr>
            <w:tcW w:w="862" w:type="pct"/>
            <w:tcBorders>
              <w:top w:val="nil"/>
              <w:left w:val="nil"/>
              <w:bottom w:val="nil"/>
              <w:right w:val="nil"/>
            </w:tcBorders>
            <w:shd w:val="clear" w:color="000000" w:fill="FFFFFF"/>
            <w:noWrap/>
            <w:vAlign w:val="bottom"/>
            <w:hideMark/>
          </w:tcPr>
          <w:p w14:paraId="6098A1B7" w14:textId="77777777" w:rsidR="006F1F5C" w:rsidRPr="00E35F0F" w:rsidRDefault="006F1F5C" w:rsidP="006F1F5C">
            <w:pPr>
              <w:spacing w:after="0" w:line="240" w:lineRule="auto"/>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 </w:t>
            </w:r>
          </w:p>
        </w:tc>
        <w:tc>
          <w:tcPr>
            <w:tcW w:w="595" w:type="pct"/>
            <w:tcBorders>
              <w:top w:val="nil"/>
              <w:left w:val="nil"/>
              <w:bottom w:val="nil"/>
              <w:right w:val="nil"/>
            </w:tcBorders>
            <w:shd w:val="clear" w:color="000000" w:fill="FFFFFF"/>
            <w:noWrap/>
            <w:vAlign w:val="bottom"/>
            <w:hideMark/>
          </w:tcPr>
          <w:p w14:paraId="5A80C065"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(1.58)</w:t>
            </w:r>
          </w:p>
        </w:tc>
        <w:tc>
          <w:tcPr>
            <w:tcW w:w="709" w:type="pct"/>
            <w:tcBorders>
              <w:top w:val="nil"/>
              <w:left w:val="nil"/>
              <w:bottom w:val="nil"/>
              <w:right w:val="nil"/>
            </w:tcBorders>
            <w:shd w:val="clear" w:color="000000" w:fill="FFFFFF"/>
            <w:noWrap/>
            <w:vAlign w:val="bottom"/>
            <w:hideMark/>
          </w:tcPr>
          <w:p w14:paraId="1861D782"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(2.04)</w:t>
            </w:r>
          </w:p>
        </w:tc>
        <w:tc>
          <w:tcPr>
            <w:tcW w:w="709" w:type="pct"/>
            <w:tcBorders>
              <w:top w:val="nil"/>
              <w:left w:val="nil"/>
              <w:bottom w:val="nil"/>
              <w:right w:val="nil"/>
            </w:tcBorders>
            <w:shd w:val="clear" w:color="000000" w:fill="FFFFFF"/>
          </w:tcPr>
          <w:p w14:paraId="7C955084" w14:textId="57639FB4"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6914B5">
              <w:rPr>
                <w:rFonts w:ascii="Times New Roman" w:hAnsi="Times New Roman" w:cs="Times New Roman"/>
                <w:sz w:val="24"/>
                <w:szCs w:val="24"/>
              </w:rPr>
              <w:t>(-1.29)</w:t>
            </w:r>
          </w:p>
        </w:tc>
        <w:tc>
          <w:tcPr>
            <w:tcW w:w="709" w:type="pct"/>
            <w:tcBorders>
              <w:top w:val="nil"/>
              <w:left w:val="nil"/>
              <w:bottom w:val="nil"/>
              <w:right w:val="nil"/>
            </w:tcBorders>
            <w:shd w:val="clear" w:color="000000" w:fill="FFFFFF"/>
          </w:tcPr>
          <w:p w14:paraId="073EE44C" w14:textId="1D6D3D01"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6914B5">
              <w:rPr>
                <w:rFonts w:ascii="Times New Roman" w:hAnsi="Times New Roman" w:cs="Times New Roman"/>
                <w:sz w:val="24"/>
                <w:szCs w:val="24"/>
              </w:rPr>
              <w:t>(-0.33)</w:t>
            </w:r>
          </w:p>
        </w:tc>
        <w:tc>
          <w:tcPr>
            <w:tcW w:w="709" w:type="pct"/>
            <w:tcBorders>
              <w:top w:val="nil"/>
              <w:left w:val="nil"/>
              <w:bottom w:val="nil"/>
              <w:right w:val="nil"/>
            </w:tcBorders>
            <w:shd w:val="clear" w:color="000000" w:fill="FFFFFF"/>
            <w:vAlign w:val="bottom"/>
          </w:tcPr>
          <w:p w14:paraId="12C8F355"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(-1.29)</w:t>
            </w:r>
          </w:p>
        </w:tc>
        <w:tc>
          <w:tcPr>
            <w:tcW w:w="707" w:type="pct"/>
            <w:tcBorders>
              <w:top w:val="nil"/>
              <w:left w:val="nil"/>
              <w:bottom w:val="nil"/>
              <w:right w:val="nil"/>
            </w:tcBorders>
            <w:shd w:val="clear" w:color="000000" w:fill="FFFFFF"/>
            <w:vAlign w:val="bottom"/>
          </w:tcPr>
          <w:p w14:paraId="422BAE70"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(-0.69)</w:t>
            </w:r>
          </w:p>
        </w:tc>
      </w:tr>
      <w:tr w:rsidR="006F1F5C" w:rsidRPr="00DA1D07" w14:paraId="6F51D788" w14:textId="77777777" w:rsidTr="006914B5">
        <w:trPr>
          <w:trHeight w:val="57"/>
          <w:jc w:val="center"/>
        </w:trPr>
        <w:tc>
          <w:tcPr>
            <w:tcW w:w="862" w:type="pct"/>
            <w:tcBorders>
              <w:top w:val="nil"/>
              <w:left w:val="nil"/>
              <w:bottom w:val="nil"/>
              <w:right w:val="nil"/>
            </w:tcBorders>
            <w:shd w:val="clear" w:color="000000" w:fill="FFFFFF"/>
            <w:noWrap/>
            <w:vAlign w:val="bottom"/>
          </w:tcPr>
          <w:p w14:paraId="61AF7955" w14:textId="77777777" w:rsidR="006F1F5C" w:rsidRPr="00AE3F87" w:rsidRDefault="006F1F5C" w:rsidP="006F1F5C">
            <w:pPr>
              <w:spacing w:after="0" w:line="240" w:lineRule="auto"/>
              <w:rPr>
                <w:rFonts w:ascii="Times New Roman" w:eastAsia="Times New Roman" w:hAnsi="Times New Roman" w:cs="Times New Roman"/>
                <w:i/>
                <w:iCs/>
                <w:color w:val="000000"/>
                <w:sz w:val="24"/>
                <w:szCs w:val="24"/>
                <w:lang w:eastAsia="en-GB"/>
              </w:rPr>
            </w:pPr>
            <w:proofErr w:type="spellStart"/>
            <w:r w:rsidRPr="00AE3F87">
              <w:rPr>
                <w:rFonts w:ascii="Times New Roman" w:eastAsia="Times New Roman" w:hAnsi="Times New Roman" w:cs="Times New Roman"/>
                <w:i/>
                <w:iCs/>
                <w:color w:val="000000"/>
                <w:sz w:val="24"/>
                <w:szCs w:val="24"/>
                <w:lang w:eastAsia="en-GB"/>
              </w:rPr>
              <w:t>SeverancePay</w:t>
            </w:r>
            <w:proofErr w:type="spellEnd"/>
          </w:p>
        </w:tc>
        <w:tc>
          <w:tcPr>
            <w:tcW w:w="595" w:type="pct"/>
            <w:tcBorders>
              <w:top w:val="nil"/>
              <w:left w:val="nil"/>
              <w:bottom w:val="nil"/>
              <w:right w:val="nil"/>
            </w:tcBorders>
            <w:shd w:val="clear" w:color="000000" w:fill="FFFFFF"/>
            <w:noWrap/>
            <w:vAlign w:val="bottom"/>
          </w:tcPr>
          <w:p w14:paraId="23CEA040"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-0.033**</w:t>
            </w:r>
          </w:p>
        </w:tc>
        <w:tc>
          <w:tcPr>
            <w:tcW w:w="709" w:type="pct"/>
            <w:tcBorders>
              <w:top w:val="nil"/>
              <w:left w:val="nil"/>
              <w:bottom w:val="nil"/>
              <w:right w:val="nil"/>
            </w:tcBorders>
            <w:shd w:val="clear" w:color="000000" w:fill="FFFFFF"/>
            <w:noWrap/>
            <w:vAlign w:val="bottom"/>
          </w:tcPr>
          <w:p w14:paraId="48E68015"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-0.247*</w:t>
            </w:r>
          </w:p>
        </w:tc>
        <w:tc>
          <w:tcPr>
            <w:tcW w:w="709" w:type="pct"/>
            <w:tcBorders>
              <w:top w:val="nil"/>
              <w:left w:val="nil"/>
              <w:bottom w:val="nil"/>
              <w:right w:val="nil"/>
            </w:tcBorders>
            <w:shd w:val="clear" w:color="000000" w:fill="FFFFFF"/>
          </w:tcPr>
          <w:p w14:paraId="4DCC6E62" w14:textId="77777777"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p>
        </w:tc>
        <w:tc>
          <w:tcPr>
            <w:tcW w:w="709" w:type="pct"/>
            <w:tcBorders>
              <w:top w:val="nil"/>
              <w:left w:val="nil"/>
              <w:bottom w:val="nil"/>
              <w:right w:val="nil"/>
            </w:tcBorders>
            <w:shd w:val="clear" w:color="000000" w:fill="FFFFFF"/>
          </w:tcPr>
          <w:p w14:paraId="36B38DC1" w14:textId="77777777"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p>
        </w:tc>
        <w:tc>
          <w:tcPr>
            <w:tcW w:w="709" w:type="pct"/>
            <w:tcBorders>
              <w:top w:val="nil"/>
              <w:left w:val="nil"/>
              <w:bottom w:val="nil"/>
              <w:right w:val="nil"/>
            </w:tcBorders>
            <w:shd w:val="clear" w:color="000000" w:fill="FFFFFF"/>
            <w:vAlign w:val="bottom"/>
          </w:tcPr>
          <w:p w14:paraId="2151EB06"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p>
        </w:tc>
        <w:tc>
          <w:tcPr>
            <w:tcW w:w="707" w:type="pct"/>
            <w:tcBorders>
              <w:top w:val="nil"/>
              <w:left w:val="nil"/>
              <w:bottom w:val="nil"/>
              <w:right w:val="nil"/>
            </w:tcBorders>
            <w:shd w:val="clear" w:color="000000" w:fill="FFFFFF"/>
            <w:vAlign w:val="bottom"/>
          </w:tcPr>
          <w:p w14:paraId="5EB20AB6"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p>
        </w:tc>
      </w:tr>
      <w:tr w:rsidR="006F1F5C" w:rsidRPr="00DA1D07" w14:paraId="6741CDDE" w14:textId="77777777" w:rsidTr="006914B5">
        <w:trPr>
          <w:trHeight w:val="57"/>
          <w:jc w:val="center"/>
        </w:trPr>
        <w:tc>
          <w:tcPr>
            <w:tcW w:w="862" w:type="pct"/>
            <w:tcBorders>
              <w:top w:val="nil"/>
              <w:left w:val="nil"/>
              <w:bottom w:val="nil"/>
              <w:right w:val="nil"/>
            </w:tcBorders>
            <w:shd w:val="clear" w:color="000000" w:fill="FFFFFF"/>
            <w:noWrap/>
            <w:vAlign w:val="bottom"/>
          </w:tcPr>
          <w:p w14:paraId="31C6806E" w14:textId="77777777" w:rsidR="006F1F5C" w:rsidRPr="00F66749" w:rsidRDefault="006F1F5C" w:rsidP="006F1F5C">
            <w:pPr>
              <w:spacing w:after="0" w:line="240" w:lineRule="auto"/>
              <w:rPr>
                <w:rFonts w:ascii="Times New Roman" w:eastAsia="Times New Roman" w:hAnsi="Times New Roman" w:cs="Times New Roman"/>
                <w:color w:val="000000"/>
                <w:sz w:val="24"/>
                <w:szCs w:val="24"/>
                <w:lang w:eastAsia="en-GB"/>
              </w:rPr>
            </w:pPr>
            <w:r w:rsidRPr="00F66749">
              <w:rPr>
                <w:rFonts w:ascii="Times New Roman" w:eastAsia="Times New Roman" w:hAnsi="Times New Roman" w:cs="Times New Roman"/>
                <w:color w:val="000000"/>
                <w:sz w:val="24"/>
                <w:szCs w:val="24"/>
                <w:lang w:eastAsia="en-GB"/>
              </w:rPr>
              <w:t> </w:t>
            </w:r>
          </w:p>
        </w:tc>
        <w:tc>
          <w:tcPr>
            <w:tcW w:w="595" w:type="pct"/>
            <w:tcBorders>
              <w:top w:val="nil"/>
              <w:left w:val="nil"/>
              <w:bottom w:val="nil"/>
              <w:right w:val="nil"/>
            </w:tcBorders>
            <w:shd w:val="clear" w:color="000000" w:fill="FFFFFF"/>
            <w:noWrap/>
            <w:vAlign w:val="bottom"/>
          </w:tcPr>
          <w:p w14:paraId="2739D7E6" w14:textId="77777777" w:rsidR="006F1F5C" w:rsidRPr="00F66749"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F66749">
              <w:rPr>
                <w:rFonts w:ascii="Times New Roman" w:eastAsia="Times New Roman" w:hAnsi="Times New Roman" w:cs="Times New Roman"/>
                <w:color w:val="000000"/>
                <w:sz w:val="24"/>
                <w:szCs w:val="24"/>
                <w:lang w:eastAsia="en-GB"/>
              </w:rPr>
              <w:t>(-2.58)</w:t>
            </w:r>
          </w:p>
        </w:tc>
        <w:tc>
          <w:tcPr>
            <w:tcW w:w="709" w:type="pct"/>
            <w:tcBorders>
              <w:top w:val="nil"/>
              <w:left w:val="nil"/>
              <w:bottom w:val="nil"/>
              <w:right w:val="nil"/>
            </w:tcBorders>
            <w:shd w:val="clear" w:color="000000" w:fill="FFFFFF"/>
            <w:noWrap/>
            <w:vAlign w:val="bottom"/>
          </w:tcPr>
          <w:p w14:paraId="711C6785" w14:textId="77777777" w:rsidR="006F1F5C" w:rsidRPr="00F66749"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F66749">
              <w:rPr>
                <w:rFonts w:ascii="Times New Roman" w:eastAsia="Times New Roman" w:hAnsi="Times New Roman" w:cs="Times New Roman"/>
                <w:color w:val="000000"/>
                <w:sz w:val="24"/>
                <w:szCs w:val="24"/>
                <w:lang w:eastAsia="en-GB"/>
              </w:rPr>
              <w:t>(-1.83)</w:t>
            </w:r>
          </w:p>
        </w:tc>
        <w:tc>
          <w:tcPr>
            <w:tcW w:w="709" w:type="pct"/>
            <w:tcBorders>
              <w:top w:val="nil"/>
              <w:left w:val="nil"/>
              <w:bottom w:val="nil"/>
              <w:right w:val="nil"/>
            </w:tcBorders>
            <w:shd w:val="clear" w:color="000000" w:fill="FFFFFF"/>
          </w:tcPr>
          <w:p w14:paraId="69BC58C4" w14:textId="77777777" w:rsidR="006F1F5C" w:rsidRPr="00F66749" w:rsidRDefault="006F1F5C" w:rsidP="006F1F5C">
            <w:pPr>
              <w:spacing w:after="0" w:line="240" w:lineRule="auto"/>
              <w:jc w:val="center"/>
              <w:rPr>
                <w:rFonts w:ascii="Times New Roman" w:eastAsia="Times New Roman" w:hAnsi="Times New Roman" w:cs="Times New Roman"/>
                <w:color w:val="000000"/>
                <w:sz w:val="24"/>
                <w:szCs w:val="24"/>
                <w:lang w:eastAsia="en-GB"/>
              </w:rPr>
            </w:pPr>
          </w:p>
        </w:tc>
        <w:tc>
          <w:tcPr>
            <w:tcW w:w="709" w:type="pct"/>
            <w:tcBorders>
              <w:top w:val="nil"/>
              <w:left w:val="nil"/>
              <w:bottom w:val="nil"/>
              <w:right w:val="nil"/>
            </w:tcBorders>
            <w:shd w:val="clear" w:color="000000" w:fill="FFFFFF"/>
          </w:tcPr>
          <w:p w14:paraId="79A6565A" w14:textId="77777777" w:rsidR="006F1F5C" w:rsidRPr="00F66749" w:rsidRDefault="006F1F5C" w:rsidP="006F1F5C">
            <w:pPr>
              <w:spacing w:after="0" w:line="240" w:lineRule="auto"/>
              <w:jc w:val="center"/>
              <w:rPr>
                <w:rFonts w:ascii="Times New Roman" w:eastAsia="Times New Roman" w:hAnsi="Times New Roman" w:cs="Times New Roman"/>
                <w:color w:val="000000"/>
                <w:sz w:val="24"/>
                <w:szCs w:val="24"/>
                <w:lang w:eastAsia="en-GB"/>
              </w:rPr>
            </w:pPr>
          </w:p>
        </w:tc>
        <w:tc>
          <w:tcPr>
            <w:tcW w:w="709" w:type="pct"/>
            <w:tcBorders>
              <w:top w:val="nil"/>
              <w:left w:val="nil"/>
              <w:bottom w:val="nil"/>
              <w:right w:val="nil"/>
            </w:tcBorders>
            <w:shd w:val="clear" w:color="000000" w:fill="FFFFFF"/>
            <w:vAlign w:val="bottom"/>
          </w:tcPr>
          <w:p w14:paraId="7D4BC443"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p>
        </w:tc>
        <w:tc>
          <w:tcPr>
            <w:tcW w:w="707" w:type="pct"/>
            <w:tcBorders>
              <w:top w:val="nil"/>
              <w:left w:val="nil"/>
              <w:bottom w:val="nil"/>
              <w:right w:val="nil"/>
            </w:tcBorders>
            <w:shd w:val="clear" w:color="000000" w:fill="FFFFFF"/>
            <w:vAlign w:val="bottom"/>
          </w:tcPr>
          <w:p w14:paraId="5EB52B0F"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p>
        </w:tc>
      </w:tr>
      <w:tr w:rsidR="006F1F5C" w:rsidRPr="00DA1D07" w14:paraId="1EA77486" w14:textId="77777777" w:rsidTr="006914B5">
        <w:trPr>
          <w:trHeight w:val="57"/>
          <w:jc w:val="center"/>
        </w:trPr>
        <w:tc>
          <w:tcPr>
            <w:tcW w:w="862" w:type="pct"/>
            <w:tcBorders>
              <w:top w:val="nil"/>
              <w:left w:val="nil"/>
              <w:bottom w:val="nil"/>
              <w:right w:val="nil"/>
            </w:tcBorders>
            <w:shd w:val="clear" w:color="000000" w:fill="FFFFFF"/>
            <w:noWrap/>
            <w:vAlign w:val="bottom"/>
          </w:tcPr>
          <w:p w14:paraId="62839B4F" w14:textId="77777777" w:rsidR="006F1F5C" w:rsidRPr="00F66749" w:rsidRDefault="006F1F5C" w:rsidP="006F1F5C">
            <w:pPr>
              <w:spacing w:after="0" w:line="240" w:lineRule="auto"/>
              <w:rPr>
                <w:rFonts w:ascii="Times New Roman" w:eastAsia="Times New Roman" w:hAnsi="Times New Roman" w:cs="Times New Roman"/>
                <w:i/>
                <w:iCs/>
                <w:color w:val="000000"/>
                <w:sz w:val="24"/>
                <w:szCs w:val="24"/>
                <w:lang w:eastAsia="en-GB"/>
              </w:rPr>
            </w:pPr>
            <w:proofErr w:type="spellStart"/>
            <w:r w:rsidRPr="00F66749">
              <w:rPr>
                <w:rFonts w:ascii="Times New Roman" w:eastAsia="Times New Roman" w:hAnsi="Times New Roman" w:cs="Times New Roman"/>
                <w:i/>
                <w:iCs/>
                <w:color w:val="000000"/>
                <w:sz w:val="24"/>
                <w:szCs w:val="24"/>
                <w:lang w:eastAsia="en-GB"/>
              </w:rPr>
              <w:t>IndUnderperformance</w:t>
            </w:r>
            <w:proofErr w:type="spellEnd"/>
          </w:p>
        </w:tc>
        <w:tc>
          <w:tcPr>
            <w:tcW w:w="595" w:type="pct"/>
            <w:tcBorders>
              <w:top w:val="nil"/>
              <w:left w:val="nil"/>
              <w:bottom w:val="nil"/>
              <w:right w:val="nil"/>
            </w:tcBorders>
            <w:shd w:val="clear" w:color="000000" w:fill="FFFFFF"/>
            <w:noWrap/>
            <w:vAlign w:val="bottom"/>
          </w:tcPr>
          <w:p w14:paraId="6DEA017C" w14:textId="77777777" w:rsidR="006F1F5C" w:rsidRPr="00F66749" w:rsidRDefault="006F1F5C" w:rsidP="006F1F5C">
            <w:pPr>
              <w:spacing w:after="0" w:line="240" w:lineRule="auto"/>
              <w:jc w:val="center"/>
              <w:rPr>
                <w:rFonts w:ascii="Times New Roman" w:eastAsia="Times New Roman" w:hAnsi="Times New Roman" w:cs="Times New Roman"/>
                <w:color w:val="000000"/>
                <w:sz w:val="24"/>
                <w:szCs w:val="24"/>
                <w:lang w:eastAsia="en-GB"/>
              </w:rPr>
            </w:pPr>
          </w:p>
        </w:tc>
        <w:tc>
          <w:tcPr>
            <w:tcW w:w="709" w:type="pct"/>
            <w:tcBorders>
              <w:top w:val="nil"/>
              <w:left w:val="nil"/>
              <w:bottom w:val="nil"/>
              <w:right w:val="nil"/>
            </w:tcBorders>
            <w:shd w:val="clear" w:color="000000" w:fill="FFFFFF"/>
            <w:noWrap/>
            <w:vAlign w:val="bottom"/>
          </w:tcPr>
          <w:p w14:paraId="4547DF71" w14:textId="77777777" w:rsidR="006F1F5C" w:rsidRPr="00F66749" w:rsidRDefault="006F1F5C" w:rsidP="006F1F5C">
            <w:pPr>
              <w:spacing w:after="0" w:line="240" w:lineRule="auto"/>
              <w:jc w:val="center"/>
              <w:rPr>
                <w:rFonts w:ascii="Times New Roman" w:eastAsia="Times New Roman" w:hAnsi="Times New Roman" w:cs="Times New Roman"/>
                <w:color w:val="000000"/>
                <w:sz w:val="24"/>
                <w:szCs w:val="24"/>
                <w:lang w:eastAsia="en-GB"/>
              </w:rPr>
            </w:pPr>
          </w:p>
        </w:tc>
        <w:tc>
          <w:tcPr>
            <w:tcW w:w="709" w:type="pct"/>
            <w:tcBorders>
              <w:top w:val="nil"/>
              <w:left w:val="nil"/>
              <w:bottom w:val="nil"/>
              <w:right w:val="nil"/>
            </w:tcBorders>
            <w:shd w:val="clear" w:color="000000" w:fill="FFFFFF"/>
          </w:tcPr>
          <w:p w14:paraId="7153D361" w14:textId="5736DA09" w:rsidR="006F1F5C" w:rsidRPr="00F66749"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F66749">
              <w:rPr>
                <w:rFonts w:ascii="Times New Roman" w:hAnsi="Times New Roman" w:cs="Times New Roman"/>
                <w:sz w:val="24"/>
                <w:szCs w:val="24"/>
              </w:rPr>
              <w:t>0.013*</w:t>
            </w:r>
          </w:p>
        </w:tc>
        <w:tc>
          <w:tcPr>
            <w:tcW w:w="709" w:type="pct"/>
            <w:tcBorders>
              <w:top w:val="nil"/>
              <w:left w:val="nil"/>
              <w:bottom w:val="nil"/>
              <w:right w:val="nil"/>
            </w:tcBorders>
            <w:shd w:val="clear" w:color="000000" w:fill="FFFFFF"/>
          </w:tcPr>
          <w:p w14:paraId="37E12E91" w14:textId="49C18203" w:rsidR="006F1F5C" w:rsidRPr="00F66749"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F66749">
              <w:rPr>
                <w:rFonts w:ascii="Times New Roman" w:hAnsi="Times New Roman" w:cs="Times New Roman"/>
                <w:sz w:val="24"/>
                <w:szCs w:val="24"/>
              </w:rPr>
              <w:t>0.105</w:t>
            </w:r>
          </w:p>
        </w:tc>
        <w:tc>
          <w:tcPr>
            <w:tcW w:w="709" w:type="pct"/>
            <w:tcBorders>
              <w:top w:val="nil"/>
              <w:left w:val="nil"/>
              <w:bottom w:val="nil"/>
              <w:right w:val="nil"/>
            </w:tcBorders>
            <w:shd w:val="clear" w:color="000000" w:fill="FFFFFF"/>
            <w:vAlign w:val="bottom"/>
          </w:tcPr>
          <w:p w14:paraId="54C4541B"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p>
        </w:tc>
        <w:tc>
          <w:tcPr>
            <w:tcW w:w="707" w:type="pct"/>
            <w:tcBorders>
              <w:top w:val="nil"/>
              <w:left w:val="nil"/>
              <w:bottom w:val="nil"/>
              <w:right w:val="nil"/>
            </w:tcBorders>
            <w:shd w:val="clear" w:color="000000" w:fill="FFFFFF"/>
            <w:vAlign w:val="bottom"/>
          </w:tcPr>
          <w:p w14:paraId="0ADB6B13"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p>
        </w:tc>
      </w:tr>
      <w:tr w:rsidR="006F1F5C" w:rsidRPr="00DA1D07" w14:paraId="27EDA7EA" w14:textId="77777777" w:rsidTr="006914B5">
        <w:trPr>
          <w:trHeight w:val="57"/>
          <w:jc w:val="center"/>
        </w:trPr>
        <w:tc>
          <w:tcPr>
            <w:tcW w:w="862" w:type="pct"/>
            <w:tcBorders>
              <w:top w:val="nil"/>
              <w:left w:val="nil"/>
              <w:bottom w:val="nil"/>
              <w:right w:val="nil"/>
            </w:tcBorders>
            <w:shd w:val="clear" w:color="000000" w:fill="FFFFFF"/>
            <w:noWrap/>
            <w:vAlign w:val="bottom"/>
          </w:tcPr>
          <w:p w14:paraId="192DEA23" w14:textId="77777777" w:rsidR="006F1F5C" w:rsidRPr="00F66749" w:rsidRDefault="006F1F5C" w:rsidP="006F1F5C">
            <w:pPr>
              <w:spacing w:after="0" w:line="240" w:lineRule="auto"/>
              <w:rPr>
                <w:rFonts w:ascii="Times New Roman" w:eastAsia="Times New Roman" w:hAnsi="Times New Roman" w:cs="Times New Roman"/>
                <w:color w:val="000000"/>
                <w:sz w:val="24"/>
                <w:szCs w:val="24"/>
                <w:lang w:eastAsia="en-GB"/>
              </w:rPr>
            </w:pPr>
          </w:p>
        </w:tc>
        <w:tc>
          <w:tcPr>
            <w:tcW w:w="595" w:type="pct"/>
            <w:tcBorders>
              <w:top w:val="nil"/>
              <w:left w:val="nil"/>
              <w:bottom w:val="nil"/>
              <w:right w:val="nil"/>
            </w:tcBorders>
            <w:shd w:val="clear" w:color="000000" w:fill="FFFFFF"/>
            <w:noWrap/>
            <w:vAlign w:val="bottom"/>
          </w:tcPr>
          <w:p w14:paraId="117BEFB3" w14:textId="77777777" w:rsidR="006F1F5C" w:rsidRPr="00F66749" w:rsidRDefault="006F1F5C" w:rsidP="006F1F5C">
            <w:pPr>
              <w:spacing w:after="0" w:line="240" w:lineRule="auto"/>
              <w:jc w:val="center"/>
              <w:rPr>
                <w:rFonts w:ascii="Times New Roman" w:eastAsia="Times New Roman" w:hAnsi="Times New Roman" w:cs="Times New Roman"/>
                <w:color w:val="000000"/>
                <w:sz w:val="24"/>
                <w:szCs w:val="24"/>
                <w:lang w:eastAsia="en-GB"/>
              </w:rPr>
            </w:pPr>
          </w:p>
        </w:tc>
        <w:tc>
          <w:tcPr>
            <w:tcW w:w="709" w:type="pct"/>
            <w:tcBorders>
              <w:top w:val="nil"/>
              <w:left w:val="nil"/>
              <w:bottom w:val="nil"/>
              <w:right w:val="nil"/>
            </w:tcBorders>
            <w:shd w:val="clear" w:color="000000" w:fill="FFFFFF"/>
            <w:noWrap/>
            <w:vAlign w:val="bottom"/>
          </w:tcPr>
          <w:p w14:paraId="5AA7553B" w14:textId="77777777" w:rsidR="006F1F5C" w:rsidRPr="00F66749" w:rsidRDefault="006F1F5C" w:rsidP="006F1F5C">
            <w:pPr>
              <w:spacing w:after="0" w:line="240" w:lineRule="auto"/>
              <w:jc w:val="center"/>
              <w:rPr>
                <w:rFonts w:ascii="Times New Roman" w:eastAsia="Times New Roman" w:hAnsi="Times New Roman" w:cs="Times New Roman"/>
                <w:color w:val="000000"/>
                <w:sz w:val="24"/>
                <w:szCs w:val="24"/>
                <w:lang w:eastAsia="en-GB"/>
              </w:rPr>
            </w:pPr>
          </w:p>
        </w:tc>
        <w:tc>
          <w:tcPr>
            <w:tcW w:w="709" w:type="pct"/>
            <w:tcBorders>
              <w:top w:val="nil"/>
              <w:left w:val="nil"/>
              <w:bottom w:val="nil"/>
              <w:right w:val="nil"/>
            </w:tcBorders>
            <w:shd w:val="clear" w:color="000000" w:fill="FFFFFF"/>
          </w:tcPr>
          <w:p w14:paraId="607DA2E8" w14:textId="43726A68" w:rsidR="006F1F5C" w:rsidRPr="00F66749"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F66749">
              <w:rPr>
                <w:rFonts w:ascii="Times New Roman" w:hAnsi="Times New Roman" w:cs="Times New Roman"/>
                <w:sz w:val="24"/>
                <w:szCs w:val="24"/>
              </w:rPr>
              <w:t>(1.75)</w:t>
            </w:r>
          </w:p>
        </w:tc>
        <w:tc>
          <w:tcPr>
            <w:tcW w:w="709" w:type="pct"/>
            <w:tcBorders>
              <w:top w:val="nil"/>
              <w:left w:val="nil"/>
              <w:bottom w:val="nil"/>
              <w:right w:val="nil"/>
            </w:tcBorders>
            <w:shd w:val="clear" w:color="000000" w:fill="FFFFFF"/>
          </w:tcPr>
          <w:p w14:paraId="4EDF7C64" w14:textId="7FCC9AF3" w:rsidR="006F1F5C" w:rsidRPr="00F66749"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F66749">
              <w:rPr>
                <w:rFonts w:ascii="Times New Roman" w:hAnsi="Times New Roman" w:cs="Times New Roman"/>
                <w:sz w:val="24"/>
                <w:szCs w:val="24"/>
              </w:rPr>
              <w:t>(1.32)</w:t>
            </w:r>
          </w:p>
        </w:tc>
        <w:tc>
          <w:tcPr>
            <w:tcW w:w="709" w:type="pct"/>
            <w:tcBorders>
              <w:top w:val="nil"/>
              <w:left w:val="nil"/>
              <w:bottom w:val="nil"/>
              <w:right w:val="nil"/>
            </w:tcBorders>
            <w:shd w:val="clear" w:color="000000" w:fill="FFFFFF"/>
            <w:vAlign w:val="bottom"/>
          </w:tcPr>
          <w:p w14:paraId="6EB3E78F"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p>
        </w:tc>
        <w:tc>
          <w:tcPr>
            <w:tcW w:w="707" w:type="pct"/>
            <w:tcBorders>
              <w:top w:val="nil"/>
              <w:left w:val="nil"/>
              <w:bottom w:val="nil"/>
              <w:right w:val="nil"/>
            </w:tcBorders>
            <w:shd w:val="clear" w:color="000000" w:fill="FFFFFF"/>
            <w:vAlign w:val="bottom"/>
          </w:tcPr>
          <w:p w14:paraId="06C753FC"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p>
        </w:tc>
      </w:tr>
      <w:tr w:rsidR="006F1F5C" w:rsidRPr="00DA1D07" w14:paraId="451903CA" w14:textId="77777777" w:rsidTr="006914B5">
        <w:trPr>
          <w:trHeight w:val="57"/>
          <w:jc w:val="center"/>
        </w:trPr>
        <w:tc>
          <w:tcPr>
            <w:tcW w:w="862" w:type="pct"/>
            <w:tcBorders>
              <w:top w:val="nil"/>
              <w:left w:val="nil"/>
              <w:bottom w:val="nil"/>
              <w:right w:val="nil"/>
            </w:tcBorders>
            <w:shd w:val="clear" w:color="000000" w:fill="FFFFFF"/>
            <w:noWrap/>
            <w:vAlign w:val="bottom"/>
          </w:tcPr>
          <w:p w14:paraId="634F8CC7" w14:textId="77777777" w:rsidR="006F1F5C" w:rsidRPr="00AE3F87" w:rsidRDefault="006F1F5C" w:rsidP="006F1F5C">
            <w:pPr>
              <w:spacing w:after="0" w:line="240" w:lineRule="auto"/>
              <w:rPr>
                <w:rFonts w:ascii="Times New Roman" w:eastAsia="Times New Roman" w:hAnsi="Times New Roman" w:cs="Times New Roman"/>
                <w:i/>
                <w:iCs/>
                <w:color w:val="000000"/>
                <w:sz w:val="24"/>
                <w:szCs w:val="24"/>
                <w:lang w:eastAsia="en-GB"/>
              </w:rPr>
            </w:pPr>
            <w:proofErr w:type="spellStart"/>
            <w:r w:rsidRPr="00AE3F87">
              <w:rPr>
                <w:rFonts w:ascii="Times New Roman" w:eastAsia="Times New Roman" w:hAnsi="Times New Roman" w:cs="Times New Roman"/>
                <w:i/>
                <w:iCs/>
                <w:color w:val="000000"/>
                <w:sz w:val="24"/>
                <w:szCs w:val="24"/>
                <w:lang w:eastAsia="en-GB"/>
              </w:rPr>
              <w:t>ManagerialAbility</w:t>
            </w:r>
            <w:proofErr w:type="spellEnd"/>
          </w:p>
        </w:tc>
        <w:tc>
          <w:tcPr>
            <w:tcW w:w="595" w:type="pct"/>
            <w:tcBorders>
              <w:top w:val="nil"/>
              <w:left w:val="nil"/>
              <w:bottom w:val="nil"/>
              <w:right w:val="nil"/>
            </w:tcBorders>
            <w:shd w:val="clear" w:color="000000" w:fill="FFFFFF"/>
            <w:noWrap/>
            <w:vAlign w:val="bottom"/>
          </w:tcPr>
          <w:p w14:paraId="7DD8A726"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p>
        </w:tc>
        <w:tc>
          <w:tcPr>
            <w:tcW w:w="709" w:type="pct"/>
            <w:tcBorders>
              <w:top w:val="nil"/>
              <w:left w:val="nil"/>
              <w:bottom w:val="nil"/>
              <w:right w:val="nil"/>
            </w:tcBorders>
            <w:shd w:val="clear" w:color="000000" w:fill="FFFFFF"/>
            <w:noWrap/>
            <w:vAlign w:val="bottom"/>
          </w:tcPr>
          <w:p w14:paraId="7B915C7B"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p>
        </w:tc>
        <w:tc>
          <w:tcPr>
            <w:tcW w:w="709" w:type="pct"/>
            <w:tcBorders>
              <w:top w:val="nil"/>
              <w:left w:val="nil"/>
              <w:bottom w:val="nil"/>
              <w:right w:val="nil"/>
            </w:tcBorders>
            <w:shd w:val="clear" w:color="000000" w:fill="FFFFFF"/>
          </w:tcPr>
          <w:p w14:paraId="1295C84F" w14:textId="77777777"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p>
        </w:tc>
        <w:tc>
          <w:tcPr>
            <w:tcW w:w="709" w:type="pct"/>
            <w:tcBorders>
              <w:top w:val="nil"/>
              <w:left w:val="nil"/>
              <w:bottom w:val="nil"/>
              <w:right w:val="nil"/>
            </w:tcBorders>
            <w:shd w:val="clear" w:color="000000" w:fill="FFFFFF"/>
          </w:tcPr>
          <w:p w14:paraId="1732284A" w14:textId="77777777"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p>
        </w:tc>
        <w:tc>
          <w:tcPr>
            <w:tcW w:w="709" w:type="pct"/>
            <w:tcBorders>
              <w:top w:val="nil"/>
              <w:left w:val="nil"/>
              <w:bottom w:val="nil"/>
              <w:right w:val="nil"/>
            </w:tcBorders>
            <w:shd w:val="clear" w:color="000000" w:fill="FFFFFF"/>
            <w:vAlign w:val="bottom"/>
          </w:tcPr>
          <w:p w14:paraId="7A404B16"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0.014**</w:t>
            </w:r>
          </w:p>
        </w:tc>
        <w:tc>
          <w:tcPr>
            <w:tcW w:w="707" w:type="pct"/>
            <w:tcBorders>
              <w:top w:val="nil"/>
              <w:left w:val="nil"/>
              <w:bottom w:val="nil"/>
              <w:right w:val="nil"/>
            </w:tcBorders>
            <w:shd w:val="clear" w:color="000000" w:fill="FFFFFF"/>
            <w:vAlign w:val="bottom"/>
          </w:tcPr>
          <w:p w14:paraId="0F8D91A4"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0.148*</w:t>
            </w:r>
          </w:p>
        </w:tc>
      </w:tr>
      <w:tr w:rsidR="006F1F5C" w:rsidRPr="00DA1D07" w14:paraId="4020D5AE" w14:textId="77777777" w:rsidTr="006914B5">
        <w:trPr>
          <w:trHeight w:val="57"/>
          <w:jc w:val="center"/>
        </w:trPr>
        <w:tc>
          <w:tcPr>
            <w:tcW w:w="862" w:type="pct"/>
            <w:tcBorders>
              <w:top w:val="nil"/>
              <w:left w:val="nil"/>
              <w:bottom w:val="nil"/>
              <w:right w:val="nil"/>
            </w:tcBorders>
            <w:shd w:val="clear" w:color="000000" w:fill="FFFFFF"/>
            <w:noWrap/>
            <w:vAlign w:val="bottom"/>
          </w:tcPr>
          <w:p w14:paraId="6BB33399" w14:textId="77777777" w:rsidR="006F1F5C" w:rsidRPr="00E35F0F" w:rsidRDefault="006F1F5C" w:rsidP="006F1F5C">
            <w:pPr>
              <w:spacing w:after="0" w:line="240" w:lineRule="auto"/>
              <w:rPr>
                <w:rFonts w:ascii="Times New Roman" w:eastAsia="Times New Roman" w:hAnsi="Times New Roman" w:cs="Times New Roman"/>
                <w:color w:val="000000"/>
                <w:sz w:val="24"/>
                <w:szCs w:val="24"/>
                <w:lang w:eastAsia="en-GB"/>
              </w:rPr>
            </w:pPr>
          </w:p>
        </w:tc>
        <w:tc>
          <w:tcPr>
            <w:tcW w:w="595" w:type="pct"/>
            <w:tcBorders>
              <w:top w:val="nil"/>
              <w:left w:val="nil"/>
              <w:bottom w:val="nil"/>
              <w:right w:val="nil"/>
            </w:tcBorders>
            <w:shd w:val="clear" w:color="000000" w:fill="FFFFFF"/>
            <w:noWrap/>
            <w:vAlign w:val="bottom"/>
          </w:tcPr>
          <w:p w14:paraId="54CF5EE8"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p>
        </w:tc>
        <w:tc>
          <w:tcPr>
            <w:tcW w:w="709" w:type="pct"/>
            <w:tcBorders>
              <w:top w:val="nil"/>
              <w:left w:val="nil"/>
              <w:bottom w:val="nil"/>
              <w:right w:val="nil"/>
            </w:tcBorders>
            <w:shd w:val="clear" w:color="000000" w:fill="FFFFFF"/>
            <w:noWrap/>
            <w:vAlign w:val="bottom"/>
          </w:tcPr>
          <w:p w14:paraId="3278BA88"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p>
        </w:tc>
        <w:tc>
          <w:tcPr>
            <w:tcW w:w="709" w:type="pct"/>
            <w:tcBorders>
              <w:top w:val="nil"/>
              <w:left w:val="nil"/>
              <w:bottom w:val="nil"/>
              <w:right w:val="nil"/>
            </w:tcBorders>
            <w:shd w:val="clear" w:color="000000" w:fill="FFFFFF"/>
          </w:tcPr>
          <w:p w14:paraId="5C98BB7C" w14:textId="77777777"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p>
        </w:tc>
        <w:tc>
          <w:tcPr>
            <w:tcW w:w="709" w:type="pct"/>
            <w:tcBorders>
              <w:top w:val="nil"/>
              <w:left w:val="nil"/>
              <w:bottom w:val="nil"/>
              <w:right w:val="nil"/>
            </w:tcBorders>
            <w:shd w:val="clear" w:color="000000" w:fill="FFFFFF"/>
          </w:tcPr>
          <w:p w14:paraId="6A5D7A35" w14:textId="77777777"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p>
        </w:tc>
        <w:tc>
          <w:tcPr>
            <w:tcW w:w="709" w:type="pct"/>
            <w:tcBorders>
              <w:top w:val="nil"/>
              <w:left w:val="nil"/>
              <w:bottom w:val="nil"/>
              <w:right w:val="nil"/>
            </w:tcBorders>
            <w:shd w:val="clear" w:color="000000" w:fill="FFFFFF"/>
            <w:vAlign w:val="bottom"/>
          </w:tcPr>
          <w:p w14:paraId="1F262E41"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(1.99)</w:t>
            </w:r>
          </w:p>
        </w:tc>
        <w:tc>
          <w:tcPr>
            <w:tcW w:w="707" w:type="pct"/>
            <w:tcBorders>
              <w:top w:val="nil"/>
              <w:left w:val="nil"/>
              <w:bottom w:val="nil"/>
              <w:right w:val="nil"/>
            </w:tcBorders>
            <w:shd w:val="clear" w:color="000000" w:fill="FFFFFF"/>
            <w:vAlign w:val="bottom"/>
          </w:tcPr>
          <w:p w14:paraId="16C935C7"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(1.96)</w:t>
            </w:r>
          </w:p>
        </w:tc>
      </w:tr>
      <w:tr w:rsidR="006F1F5C" w:rsidRPr="00DA1D07" w14:paraId="0A03DE41" w14:textId="77777777" w:rsidTr="006914B5">
        <w:trPr>
          <w:trHeight w:val="57"/>
          <w:jc w:val="center"/>
        </w:trPr>
        <w:tc>
          <w:tcPr>
            <w:tcW w:w="862" w:type="pct"/>
            <w:shd w:val="clear" w:color="000000" w:fill="FFFFFF"/>
            <w:noWrap/>
            <w:vAlign w:val="bottom"/>
            <w:hideMark/>
          </w:tcPr>
          <w:p w14:paraId="4F3A2D59" w14:textId="77777777" w:rsidR="006F1F5C" w:rsidRPr="00E35F0F" w:rsidRDefault="006F1F5C" w:rsidP="006F1F5C">
            <w:pPr>
              <w:spacing w:after="0" w:line="240" w:lineRule="auto"/>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R-squared</w:t>
            </w:r>
          </w:p>
        </w:tc>
        <w:tc>
          <w:tcPr>
            <w:tcW w:w="595" w:type="pct"/>
            <w:shd w:val="clear" w:color="000000" w:fill="FFFFFF"/>
            <w:noWrap/>
            <w:vAlign w:val="bottom"/>
            <w:hideMark/>
          </w:tcPr>
          <w:p w14:paraId="05EA81C2"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0.671</w:t>
            </w:r>
          </w:p>
        </w:tc>
        <w:tc>
          <w:tcPr>
            <w:tcW w:w="709" w:type="pct"/>
            <w:shd w:val="clear" w:color="000000" w:fill="FFFFFF"/>
            <w:noWrap/>
            <w:vAlign w:val="bottom"/>
            <w:hideMark/>
          </w:tcPr>
          <w:p w14:paraId="10809B76"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0.561</w:t>
            </w:r>
          </w:p>
        </w:tc>
        <w:tc>
          <w:tcPr>
            <w:tcW w:w="709" w:type="pct"/>
            <w:shd w:val="clear" w:color="000000" w:fill="FFFFFF"/>
          </w:tcPr>
          <w:p w14:paraId="30D8C93F" w14:textId="088D4286"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6914B5">
              <w:rPr>
                <w:rFonts w:ascii="Times New Roman" w:hAnsi="Times New Roman" w:cs="Times New Roman"/>
                <w:sz w:val="24"/>
                <w:szCs w:val="24"/>
              </w:rPr>
              <w:t>0.659</w:t>
            </w:r>
          </w:p>
        </w:tc>
        <w:tc>
          <w:tcPr>
            <w:tcW w:w="709" w:type="pct"/>
            <w:shd w:val="clear" w:color="000000" w:fill="FFFFFF"/>
          </w:tcPr>
          <w:p w14:paraId="07AD4564" w14:textId="63C1769A"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6914B5">
              <w:rPr>
                <w:rFonts w:ascii="Times New Roman" w:hAnsi="Times New Roman" w:cs="Times New Roman"/>
                <w:sz w:val="24"/>
                <w:szCs w:val="24"/>
              </w:rPr>
              <w:t>0.556</w:t>
            </w:r>
          </w:p>
        </w:tc>
        <w:tc>
          <w:tcPr>
            <w:tcW w:w="709" w:type="pct"/>
            <w:shd w:val="clear" w:color="000000" w:fill="FFFFFF"/>
            <w:vAlign w:val="bottom"/>
          </w:tcPr>
          <w:p w14:paraId="1D4BB617"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0.650</w:t>
            </w:r>
          </w:p>
        </w:tc>
        <w:tc>
          <w:tcPr>
            <w:tcW w:w="707" w:type="pct"/>
            <w:shd w:val="clear" w:color="000000" w:fill="FFFFFF"/>
            <w:vAlign w:val="bottom"/>
          </w:tcPr>
          <w:p w14:paraId="7C9562FF"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0.508</w:t>
            </w:r>
          </w:p>
        </w:tc>
      </w:tr>
      <w:tr w:rsidR="006F1F5C" w:rsidRPr="00DA1D07" w14:paraId="35798B4C" w14:textId="77777777" w:rsidTr="006914B5">
        <w:trPr>
          <w:trHeight w:val="57"/>
          <w:jc w:val="center"/>
        </w:trPr>
        <w:tc>
          <w:tcPr>
            <w:tcW w:w="862" w:type="pct"/>
            <w:shd w:val="clear" w:color="000000" w:fill="FFFFFF"/>
            <w:noWrap/>
            <w:vAlign w:val="bottom"/>
            <w:hideMark/>
          </w:tcPr>
          <w:p w14:paraId="517222C7" w14:textId="77777777" w:rsidR="006F1F5C" w:rsidRPr="00E35F0F" w:rsidRDefault="006F1F5C" w:rsidP="006F1F5C">
            <w:pPr>
              <w:spacing w:after="0" w:line="240" w:lineRule="auto"/>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Observations</w:t>
            </w:r>
          </w:p>
        </w:tc>
        <w:tc>
          <w:tcPr>
            <w:tcW w:w="595" w:type="pct"/>
            <w:shd w:val="clear" w:color="000000" w:fill="FFFFFF"/>
            <w:noWrap/>
            <w:vAlign w:val="bottom"/>
            <w:hideMark/>
          </w:tcPr>
          <w:p w14:paraId="22AD0ADB"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11,595</w:t>
            </w:r>
          </w:p>
        </w:tc>
        <w:tc>
          <w:tcPr>
            <w:tcW w:w="709" w:type="pct"/>
            <w:shd w:val="clear" w:color="000000" w:fill="FFFFFF"/>
            <w:noWrap/>
            <w:vAlign w:val="bottom"/>
            <w:hideMark/>
          </w:tcPr>
          <w:p w14:paraId="63862FE0"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11,595</w:t>
            </w:r>
          </w:p>
        </w:tc>
        <w:tc>
          <w:tcPr>
            <w:tcW w:w="709" w:type="pct"/>
            <w:shd w:val="clear" w:color="000000" w:fill="FFFFFF"/>
          </w:tcPr>
          <w:p w14:paraId="2DE786AF" w14:textId="4DEAEDEC"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6914B5">
              <w:rPr>
                <w:rFonts w:ascii="Times New Roman" w:hAnsi="Times New Roman" w:cs="Times New Roman"/>
                <w:sz w:val="24"/>
                <w:szCs w:val="24"/>
              </w:rPr>
              <w:t>13</w:t>
            </w:r>
            <w:r>
              <w:rPr>
                <w:rFonts w:ascii="Times New Roman" w:hAnsi="Times New Roman" w:cs="Times New Roman"/>
                <w:sz w:val="24"/>
                <w:szCs w:val="24"/>
              </w:rPr>
              <w:t>,</w:t>
            </w:r>
            <w:r w:rsidRPr="006914B5">
              <w:rPr>
                <w:rFonts w:ascii="Times New Roman" w:hAnsi="Times New Roman" w:cs="Times New Roman"/>
                <w:sz w:val="24"/>
                <w:szCs w:val="24"/>
              </w:rPr>
              <w:t>907</w:t>
            </w:r>
          </w:p>
        </w:tc>
        <w:tc>
          <w:tcPr>
            <w:tcW w:w="709" w:type="pct"/>
            <w:shd w:val="clear" w:color="000000" w:fill="FFFFFF"/>
          </w:tcPr>
          <w:p w14:paraId="2626A70A" w14:textId="1932D42D"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6914B5">
              <w:rPr>
                <w:rFonts w:ascii="Times New Roman" w:hAnsi="Times New Roman" w:cs="Times New Roman"/>
                <w:sz w:val="24"/>
                <w:szCs w:val="24"/>
              </w:rPr>
              <w:t>13</w:t>
            </w:r>
            <w:r>
              <w:rPr>
                <w:rFonts w:ascii="Times New Roman" w:hAnsi="Times New Roman" w:cs="Times New Roman"/>
                <w:sz w:val="24"/>
                <w:szCs w:val="24"/>
              </w:rPr>
              <w:t>,</w:t>
            </w:r>
            <w:r w:rsidRPr="006914B5">
              <w:rPr>
                <w:rFonts w:ascii="Times New Roman" w:hAnsi="Times New Roman" w:cs="Times New Roman"/>
                <w:sz w:val="24"/>
                <w:szCs w:val="24"/>
              </w:rPr>
              <w:t>907</w:t>
            </w:r>
          </w:p>
        </w:tc>
        <w:tc>
          <w:tcPr>
            <w:tcW w:w="709" w:type="pct"/>
            <w:shd w:val="clear" w:color="000000" w:fill="FFFFFF"/>
            <w:vAlign w:val="bottom"/>
          </w:tcPr>
          <w:p w14:paraId="33E2FEB4"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17,603</w:t>
            </w:r>
          </w:p>
        </w:tc>
        <w:tc>
          <w:tcPr>
            <w:tcW w:w="707" w:type="pct"/>
            <w:shd w:val="clear" w:color="000000" w:fill="FFFFFF"/>
            <w:vAlign w:val="bottom"/>
          </w:tcPr>
          <w:p w14:paraId="26521197"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17,603</w:t>
            </w:r>
          </w:p>
        </w:tc>
      </w:tr>
      <w:tr w:rsidR="006F1F5C" w:rsidRPr="00DA1D07" w14:paraId="05060D84" w14:textId="77777777" w:rsidTr="006914B5">
        <w:trPr>
          <w:trHeight w:val="57"/>
          <w:jc w:val="center"/>
        </w:trPr>
        <w:tc>
          <w:tcPr>
            <w:tcW w:w="862" w:type="pct"/>
            <w:shd w:val="clear" w:color="000000" w:fill="FFFFFF"/>
            <w:noWrap/>
            <w:vAlign w:val="bottom"/>
          </w:tcPr>
          <w:p w14:paraId="12E1BA5A" w14:textId="77777777" w:rsidR="006F1F5C" w:rsidRPr="00872AE2" w:rsidRDefault="006F1F5C" w:rsidP="006F1F5C">
            <w:pPr>
              <w:spacing w:after="0" w:line="240" w:lineRule="auto"/>
              <w:rPr>
                <w:rFonts w:ascii="Times New Roman" w:eastAsia="Times New Roman" w:hAnsi="Times New Roman" w:cs="Times New Roman"/>
                <w:color w:val="000000"/>
                <w:sz w:val="24"/>
                <w:szCs w:val="24"/>
                <w:lang w:eastAsia="en-GB"/>
              </w:rPr>
            </w:pPr>
            <w:r w:rsidRPr="00872AE2">
              <w:rPr>
                <w:rFonts w:ascii="Times New Roman" w:eastAsia="Times New Roman" w:hAnsi="Times New Roman" w:cs="Times New Roman"/>
                <w:color w:val="000000"/>
                <w:sz w:val="24"/>
                <w:szCs w:val="24"/>
                <w:lang w:eastAsia="en-GB"/>
              </w:rPr>
              <w:t>Constant</w:t>
            </w:r>
          </w:p>
        </w:tc>
        <w:tc>
          <w:tcPr>
            <w:tcW w:w="595" w:type="pct"/>
            <w:shd w:val="clear" w:color="000000" w:fill="FFFFFF"/>
            <w:noWrap/>
            <w:vAlign w:val="bottom"/>
          </w:tcPr>
          <w:p w14:paraId="78B6DD11"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Yes</w:t>
            </w:r>
          </w:p>
        </w:tc>
        <w:tc>
          <w:tcPr>
            <w:tcW w:w="709" w:type="pct"/>
            <w:shd w:val="clear" w:color="000000" w:fill="FFFFFF"/>
            <w:noWrap/>
            <w:vAlign w:val="bottom"/>
          </w:tcPr>
          <w:p w14:paraId="1A4BD53B"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Yes</w:t>
            </w:r>
          </w:p>
        </w:tc>
        <w:tc>
          <w:tcPr>
            <w:tcW w:w="709" w:type="pct"/>
            <w:shd w:val="clear" w:color="000000" w:fill="FFFFFF"/>
          </w:tcPr>
          <w:p w14:paraId="6A3FFC3E" w14:textId="3AF69820"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6914B5">
              <w:rPr>
                <w:rFonts w:ascii="Times New Roman" w:hAnsi="Times New Roman" w:cs="Times New Roman"/>
                <w:sz w:val="24"/>
                <w:szCs w:val="24"/>
              </w:rPr>
              <w:t>Yes</w:t>
            </w:r>
          </w:p>
        </w:tc>
        <w:tc>
          <w:tcPr>
            <w:tcW w:w="709" w:type="pct"/>
            <w:shd w:val="clear" w:color="000000" w:fill="FFFFFF"/>
          </w:tcPr>
          <w:p w14:paraId="33BCBF20" w14:textId="0AC971E2"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6914B5">
              <w:rPr>
                <w:rFonts w:ascii="Times New Roman" w:hAnsi="Times New Roman" w:cs="Times New Roman"/>
                <w:sz w:val="24"/>
                <w:szCs w:val="24"/>
              </w:rPr>
              <w:t>Yes</w:t>
            </w:r>
          </w:p>
        </w:tc>
        <w:tc>
          <w:tcPr>
            <w:tcW w:w="709" w:type="pct"/>
            <w:shd w:val="clear" w:color="000000" w:fill="FFFFFF"/>
            <w:vAlign w:val="bottom"/>
          </w:tcPr>
          <w:p w14:paraId="6AFCF7FA"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Yes</w:t>
            </w:r>
          </w:p>
        </w:tc>
        <w:tc>
          <w:tcPr>
            <w:tcW w:w="707" w:type="pct"/>
            <w:shd w:val="clear" w:color="000000" w:fill="FFFFFF"/>
            <w:vAlign w:val="bottom"/>
          </w:tcPr>
          <w:p w14:paraId="05C22B5C"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Yes</w:t>
            </w:r>
          </w:p>
        </w:tc>
      </w:tr>
      <w:tr w:rsidR="006F1F5C" w:rsidRPr="00E35F0F" w14:paraId="44270353" w14:textId="77777777" w:rsidTr="006914B5">
        <w:trPr>
          <w:trHeight w:val="57"/>
          <w:jc w:val="center"/>
        </w:trPr>
        <w:tc>
          <w:tcPr>
            <w:tcW w:w="862" w:type="pct"/>
            <w:shd w:val="clear" w:color="000000" w:fill="FFFFFF"/>
            <w:noWrap/>
            <w:vAlign w:val="bottom"/>
          </w:tcPr>
          <w:p w14:paraId="5441310E" w14:textId="77777777" w:rsidR="006F1F5C" w:rsidRPr="00872AE2" w:rsidRDefault="006F1F5C" w:rsidP="006F1F5C">
            <w:pPr>
              <w:spacing w:after="0" w:line="240" w:lineRule="auto"/>
              <w:rPr>
                <w:rFonts w:ascii="Times New Roman" w:eastAsia="Times New Roman" w:hAnsi="Times New Roman" w:cs="Times New Roman"/>
                <w:color w:val="000000"/>
                <w:sz w:val="24"/>
                <w:szCs w:val="24"/>
                <w:lang w:eastAsia="en-GB"/>
              </w:rPr>
            </w:pPr>
            <w:r w:rsidRPr="00872AE2">
              <w:rPr>
                <w:rFonts w:ascii="Times New Roman" w:eastAsia="Times New Roman" w:hAnsi="Times New Roman" w:cs="Times New Roman"/>
                <w:color w:val="000000"/>
                <w:sz w:val="24"/>
                <w:szCs w:val="24"/>
                <w:lang w:eastAsia="en-GB"/>
              </w:rPr>
              <w:t>Controls</w:t>
            </w:r>
          </w:p>
        </w:tc>
        <w:tc>
          <w:tcPr>
            <w:tcW w:w="595" w:type="pct"/>
            <w:shd w:val="clear" w:color="000000" w:fill="FFFFFF"/>
            <w:noWrap/>
            <w:vAlign w:val="bottom"/>
          </w:tcPr>
          <w:p w14:paraId="6403D773"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Yes</w:t>
            </w:r>
          </w:p>
        </w:tc>
        <w:tc>
          <w:tcPr>
            <w:tcW w:w="709" w:type="pct"/>
            <w:shd w:val="clear" w:color="000000" w:fill="FFFFFF"/>
            <w:noWrap/>
            <w:vAlign w:val="bottom"/>
          </w:tcPr>
          <w:p w14:paraId="026D502A"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Yes</w:t>
            </w:r>
          </w:p>
        </w:tc>
        <w:tc>
          <w:tcPr>
            <w:tcW w:w="709" w:type="pct"/>
            <w:shd w:val="clear" w:color="000000" w:fill="FFFFFF"/>
          </w:tcPr>
          <w:p w14:paraId="36A918A0" w14:textId="4AA0827E"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6914B5">
              <w:rPr>
                <w:rFonts w:ascii="Times New Roman" w:hAnsi="Times New Roman" w:cs="Times New Roman"/>
                <w:sz w:val="24"/>
                <w:szCs w:val="24"/>
              </w:rPr>
              <w:t>Yes</w:t>
            </w:r>
          </w:p>
        </w:tc>
        <w:tc>
          <w:tcPr>
            <w:tcW w:w="709" w:type="pct"/>
            <w:shd w:val="clear" w:color="000000" w:fill="FFFFFF"/>
          </w:tcPr>
          <w:p w14:paraId="102282E7" w14:textId="01CB2661"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6914B5">
              <w:rPr>
                <w:rFonts w:ascii="Times New Roman" w:hAnsi="Times New Roman" w:cs="Times New Roman"/>
                <w:sz w:val="24"/>
                <w:szCs w:val="24"/>
              </w:rPr>
              <w:t>Yes</w:t>
            </w:r>
          </w:p>
        </w:tc>
        <w:tc>
          <w:tcPr>
            <w:tcW w:w="709" w:type="pct"/>
            <w:shd w:val="clear" w:color="000000" w:fill="FFFFFF"/>
            <w:vAlign w:val="bottom"/>
          </w:tcPr>
          <w:p w14:paraId="17049B0E"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Yes</w:t>
            </w:r>
          </w:p>
        </w:tc>
        <w:tc>
          <w:tcPr>
            <w:tcW w:w="707" w:type="pct"/>
            <w:shd w:val="clear" w:color="000000" w:fill="FFFFFF"/>
            <w:vAlign w:val="bottom"/>
          </w:tcPr>
          <w:p w14:paraId="26BD3856"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Yes</w:t>
            </w:r>
          </w:p>
        </w:tc>
      </w:tr>
      <w:tr w:rsidR="006F1F5C" w:rsidRPr="00E35F0F" w14:paraId="5425FCFB" w14:textId="77777777" w:rsidTr="006914B5">
        <w:trPr>
          <w:trHeight w:val="57"/>
          <w:jc w:val="center"/>
        </w:trPr>
        <w:tc>
          <w:tcPr>
            <w:tcW w:w="862" w:type="pct"/>
            <w:shd w:val="clear" w:color="000000" w:fill="FFFFFF"/>
            <w:noWrap/>
            <w:vAlign w:val="bottom"/>
            <w:hideMark/>
          </w:tcPr>
          <w:p w14:paraId="27B756F4" w14:textId="77777777" w:rsidR="006F1F5C" w:rsidRPr="00E35F0F" w:rsidRDefault="006F1F5C" w:rsidP="006F1F5C">
            <w:pPr>
              <w:spacing w:after="0" w:line="240" w:lineRule="auto"/>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Firm fixed effects</w:t>
            </w:r>
          </w:p>
        </w:tc>
        <w:tc>
          <w:tcPr>
            <w:tcW w:w="595" w:type="pct"/>
            <w:shd w:val="clear" w:color="000000" w:fill="FFFFFF"/>
            <w:noWrap/>
            <w:vAlign w:val="bottom"/>
            <w:hideMark/>
          </w:tcPr>
          <w:p w14:paraId="3F8F9346"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Yes</w:t>
            </w:r>
          </w:p>
        </w:tc>
        <w:tc>
          <w:tcPr>
            <w:tcW w:w="709" w:type="pct"/>
            <w:shd w:val="clear" w:color="000000" w:fill="FFFFFF"/>
            <w:noWrap/>
            <w:vAlign w:val="bottom"/>
            <w:hideMark/>
          </w:tcPr>
          <w:p w14:paraId="0211CCF5"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Yes</w:t>
            </w:r>
          </w:p>
        </w:tc>
        <w:tc>
          <w:tcPr>
            <w:tcW w:w="709" w:type="pct"/>
            <w:shd w:val="clear" w:color="000000" w:fill="FFFFFF"/>
          </w:tcPr>
          <w:p w14:paraId="7FF09563" w14:textId="7AC9EB5A"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6914B5">
              <w:rPr>
                <w:rFonts w:ascii="Times New Roman" w:hAnsi="Times New Roman" w:cs="Times New Roman"/>
                <w:sz w:val="24"/>
                <w:szCs w:val="24"/>
              </w:rPr>
              <w:t>Yes</w:t>
            </w:r>
          </w:p>
        </w:tc>
        <w:tc>
          <w:tcPr>
            <w:tcW w:w="709" w:type="pct"/>
            <w:shd w:val="clear" w:color="000000" w:fill="FFFFFF"/>
          </w:tcPr>
          <w:p w14:paraId="4B9FF49F" w14:textId="27FD24C2"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6914B5">
              <w:rPr>
                <w:rFonts w:ascii="Times New Roman" w:hAnsi="Times New Roman" w:cs="Times New Roman"/>
                <w:sz w:val="24"/>
                <w:szCs w:val="24"/>
              </w:rPr>
              <w:t>Yes</w:t>
            </w:r>
          </w:p>
        </w:tc>
        <w:tc>
          <w:tcPr>
            <w:tcW w:w="709" w:type="pct"/>
            <w:shd w:val="clear" w:color="000000" w:fill="FFFFFF"/>
            <w:vAlign w:val="bottom"/>
          </w:tcPr>
          <w:p w14:paraId="527859B1"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Yes</w:t>
            </w:r>
          </w:p>
        </w:tc>
        <w:tc>
          <w:tcPr>
            <w:tcW w:w="707" w:type="pct"/>
            <w:shd w:val="clear" w:color="000000" w:fill="FFFFFF"/>
            <w:vAlign w:val="bottom"/>
          </w:tcPr>
          <w:p w14:paraId="6E15C4A6"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Yes</w:t>
            </w:r>
          </w:p>
        </w:tc>
      </w:tr>
      <w:tr w:rsidR="006F1F5C" w:rsidRPr="00E35F0F" w14:paraId="439B2A96" w14:textId="77777777" w:rsidTr="006914B5">
        <w:trPr>
          <w:trHeight w:val="57"/>
          <w:jc w:val="center"/>
        </w:trPr>
        <w:tc>
          <w:tcPr>
            <w:tcW w:w="862" w:type="pct"/>
            <w:tcBorders>
              <w:left w:val="nil"/>
              <w:bottom w:val="nil"/>
              <w:right w:val="nil"/>
            </w:tcBorders>
            <w:shd w:val="clear" w:color="000000" w:fill="FFFFFF"/>
            <w:noWrap/>
            <w:vAlign w:val="bottom"/>
            <w:hideMark/>
          </w:tcPr>
          <w:p w14:paraId="5066F995" w14:textId="77777777" w:rsidR="006F1F5C" w:rsidRPr="00E35F0F" w:rsidRDefault="006F1F5C" w:rsidP="006F1F5C">
            <w:pPr>
              <w:spacing w:after="0" w:line="240" w:lineRule="auto"/>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Year fixed effects</w:t>
            </w:r>
          </w:p>
        </w:tc>
        <w:tc>
          <w:tcPr>
            <w:tcW w:w="595" w:type="pct"/>
            <w:tcBorders>
              <w:left w:val="nil"/>
              <w:bottom w:val="nil"/>
              <w:right w:val="nil"/>
            </w:tcBorders>
            <w:shd w:val="clear" w:color="000000" w:fill="FFFFFF"/>
            <w:noWrap/>
            <w:vAlign w:val="bottom"/>
            <w:hideMark/>
          </w:tcPr>
          <w:p w14:paraId="19819F26"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Yes</w:t>
            </w:r>
          </w:p>
        </w:tc>
        <w:tc>
          <w:tcPr>
            <w:tcW w:w="709" w:type="pct"/>
            <w:tcBorders>
              <w:left w:val="nil"/>
              <w:bottom w:val="nil"/>
              <w:right w:val="nil"/>
            </w:tcBorders>
            <w:shd w:val="clear" w:color="000000" w:fill="FFFFFF"/>
            <w:noWrap/>
            <w:vAlign w:val="bottom"/>
            <w:hideMark/>
          </w:tcPr>
          <w:p w14:paraId="1CC33C5D"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Yes</w:t>
            </w:r>
          </w:p>
        </w:tc>
        <w:tc>
          <w:tcPr>
            <w:tcW w:w="709" w:type="pct"/>
            <w:tcBorders>
              <w:left w:val="nil"/>
              <w:bottom w:val="nil"/>
              <w:right w:val="nil"/>
            </w:tcBorders>
            <w:shd w:val="clear" w:color="000000" w:fill="FFFFFF"/>
          </w:tcPr>
          <w:p w14:paraId="08EF812C" w14:textId="23A4D739"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6914B5">
              <w:rPr>
                <w:rFonts w:ascii="Times New Roman" w:hAnsi="Times New Roman" w:cs="Times New Roman"/>
                <w:sz w:val="24"/>
                <w:szCs w:val="24"/>
              </w:rPr>
              <w:t>Yes</w:t>
            </w:r>
          </w:p>
        </w:tc>
        <w:tc>
          <w:tcPr>
            <w:tcW w:w="709" w:type="pct"/>
            <w:tcBorders>
              <w:left w:val="nil"/>
              <w:bottom w:val="nil"/>
              <w:right w:val="nil"/>
            </w:tcBorders>
            <w:shd w:val="clear" w:color="000000" w:fill="FFFFFF"/>
          </w:tcPr>
          <w:p w14:paraId="673B301A" w14:textId="1CB826DE"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6914B5">
              <w:rPr>
                <w:rFonts w:ascii="Times New Roman" w:hAnsi="Times New Roman" w:cs="Times New Roman"/>
                <w:sz w:val="24"/>
                <w:szCs w:val="24"/>
              </w:rPr>
              <w:t>Yes</w:t>
            </w:r>
          </w:p>
        </w:tc>
        <w:tc>
          <w:tcPr>
            <w:tcW w:w="709" w:type="pct"/>
            <w:tcBorders>
              <w:left w:val="nil"/>
              <w:bottom w:val="nil"/>
              <w:right w:val="nil"/>
            </w:tcBorders>
            <w:shd w:val="clear" w:color="000000" w:fill="FFFFFF"/>
            <w:vAlign w:val="bottom"/>
          </w:tcPr>
          <w:p w14:paraId="64B13B59"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Yes</w:t>
            </w:r>
          </w:p>
        </w:tc>
        <w:tc>
          <w:tcPr>
            <w:tcW w:w="707" w:type="pct"/>
            <w:tcBorders>
              <w:left w:val="nil"/>
              <w:bottom w:val="nil"/>
              <w:right w:val="nil"/>
            </w:tcBorders>
            <w:shd w:val="clear" w:color="000000" w:fill="FFFFFF"/>
            <w:vAlign w:val="bottom"/>
          </w:tcPr>
          <w:p w14:paraId="7E3EA05E"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Yes</w:t>
            </w:r>
          </w:p>
        </w:tc>
      </w:tr>
      <w:tr w:rsidR="006F1F5C" w:rsidRPr="00E35F0F" w14:paraId="58F44EB0" w14:textId="77777777" w:rsidTr="006914B5">
        <w:trPr>
          <w:trHeight w:val="57"/>
          <w:jc w:val="center"/>
        </w:trPr>
        <w:tc>
          <w:tcPr>
            <w:tcW w:w="862" w:type="pct"/>
            <w:tcBorders>
              <w:top w:val="nil"/>
              <w:left w:val="nil"/>
              <w:bottom w:val="single" w:sz="4" w:space="0" w:color="auto"/>
              <w:right w:val="nil"/>
            </w:tcBorders>
            <w:shd w:val="clear" w:color="000000" w:fill="FFFFFF"/>
            <w:noWrap/>
            <w:vAlign w:val="bottom"/>
            <w:hideMark/>
          </w:tcPr>
          <w:p w14:paraId="32BDA0D3" w14:textId="77777777" w:rsidR="006F1F5C" w:rsidRPr="00E35F0F" w:rsidRDefault="006F1F5C" w:rsidP="006F1F5C">
            <w:pPr>
              <w:spacing w:after="0" w:line="240" w:lineRule="auto"/>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Model</w:t>
            </w:r>
          </w:p>
        </w:tc>
        <w:tc>
          <w:tcPr>
            <w:tcW w:w="595" w:type="pct"/>
            <w:tcBorders>
              <w:top w:val="nil"/>
              <w:left w:val="nil"/>
              <w:bottom w:val="single" w:sz="4" w:space="0" w:color="auto"/>
              <w:right w:val="nil"/>
            </w:tcBorders>
            <w:shd w:val="clear" w:color="000000" w:fill="FFFFFF"/>
            <w:noWrap/>
            <w:vAlign w:val="bottom"/>
            <w:hideMark/>
          </w:tcPr>
          <w:p w14:paraId="2FCF7A72"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OLS</w:t>
            </w:r>
          </w:p>
        </w:tc>
        <w:tc>
          <w:tcPr>
            <w:tcW w:w="709" w:type="pct"/>
            <w:tcBorders>
              <w:top w:val="nil"/>
              <w:left w:val="nil"/>
              <w:bottom w:val="single" w:sz="4" w:space="0" w:color="auto"/>
              <w:right w:val="nil"/>
            </w:tcBorders>
            <w:shd w:val="clear" w:color="000000" w:fill="FFFFFF"/>
            <w:noWrap/>
            <w:vAlign w:val="bottom"/>
            <w:hideMark/>
          </w:tcPr>
          <w:p w14:paraId="45993F4E"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OLS</w:t>
            </w:r>
          </w:p>
        </w:tc>
        <w:tc>
          <w:tcPr>
            <w:tcW w:w="709" w:type="pct"/>
            <w:tcBorders>
              <w:top w:val="nil"/>
              <w:left w:val="nil"/>
              <w:bottom w:val="single" w:sz="4" w:space="0" w:color="auto"/>
              <w:right w:val="nil"/>
            </w:tcBorders>
            <w:shd w:val="clear" w:color="000000" w:fill="FFFFFF"/>
          </w:tcPr>
          <w:p w14:paraId="231E6FA6" w14:textId="509DD388"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6914B5">
              <w:rPr>
                <w:rFonts w:ascii="Times New Roman" w:hAnsi="Times New Roman" w:cs="Times New Roman"/>
                <w:sz w:val="24"/>
                <w:szCs w:val="24"/>
              </w:rPr>
              <w:t>OLS</w:t>
            </w:r>
          </w:p>
        </w:tc>
        <w:tc>
          <w:tcPr>
            <w:tcW w:w="709" w:type="pct"/>
            <w:tcBorders>
              <w:top w:val="nil"/>
              <w:left w:val="nil"/>
              <w:bottom w:val="single" w:sz="4" w:space="0" w:color="auto"/>
              <w:right w:val="nil"/>
            </w:tcBorders>
            <w:shd w:val="clear" w:color="000000" w:fill="FFFFFF"/>
          </w:tcPr>
          <w:p w14:paraId="61AE04C0" w14:textId="22B6F64A" w:rsidR="006F1F5C" w:rsidRPr="006F1F5C"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6914B5">
              <w:rPr>
                <w:rFonts w:ascii="Times New Roman" w:hAnsi="Times New Roman" w:cs="Times New Roman"/>
                <w:sz w:val="24"/>
                <w:szCs w:val="24"/>
              </w:rPr>
              <w:t>OLS</w:t>
            </w:r>
          </w:p>
        </w:tc>
        <w:tc>
          <w:tcPr>
            <w:tcW w:w="709" w:type="pct"/>
            <w:tcBorders>
              <w:top w:val="nil"/>
              <w:left w:val="nil"/>
              <w:bottom w:val="single" w:sz="4" w:space="0" w:color="auto"/>
              <w:right w:val="nil"/>
            </w:tcBorders>
            <w:shd w:val="clear" w:color="000000" w:fill="FFFFFF"/>
            <w:vAlign w:val="bottom"/>
          </w:tcPr>
          <w:p w14:paraId="6BF92498"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OLS</w:t>
            </w:r>
          </w:p>
        </w:tc>
        <w:tc>
          <w:tcPr>
            <w:tcW w:w="707" w:type="pct"/>
            <w:tcBorders>
              <w:top w:val="nil"/>
              <w:left w:val="nil"/>
              <w:bottom w:val="single" w:sz="4" w:space="0" w:color="auto"/>
              <w:right w:val="nil"/>
            </w:tcBorders>
            <w:shd w:val="clear" w:color="000000" w:fill="FFFFFF"/>
            <w:vAlign w:val="bottom"/>
          </w:tcPr>
          <w:p w14:paraId="4FFDDC2B" w14:textId="77777777" w:rsidR="006F1F5C" w:rsidRPr="00E35F0F" w:rsidRDefault="006F1F5C" w:rsidP="006F1F5C">
            <w:pPr>
              <w:spacing w:after="0" w:line="240" w:lineRule="auto"/>
              <w:jc w:val="center"/>
              <w:rPr>
                <w:rFonts w:ascii="Times New Roman" w:eastAsia="Times New Roman" w:hAnsi="Times New Roman" w:cs="Times New Roman"/>
                <w:color w:val="000000"/>
                <w:sz w:val="24"/>
                <w:szCs w:val="24"/>
                <w:lang w:eastAsia="en-GB"/>
              </w:rPr>
            </w:pPr>
            <w:r w:rsidRPr="00E35F0F">
              <w:rPr>
                <w:rFonts w:ascii="Times New Roman" w:eastAsia="Times New Roman" w:hAnsi="Times New Roman" w:cs="Times New Roman"/>
                <w:color w:val="000000"/>
                <w:sz w:val="24"/>
                <w:szCs w:val="24"/>
                <w:lang w:eastAsia="en-GB"/>
              </w:rPr>
              <w:t>OLS</w:t>
            </w:r>
          </w:p>
        </w:tc>
      </w:tr>
    </w:tbl>
    <w:p w14:paraId="3ED34D5A" w14:textId="3694E732" w:rsidR="006D61A9" w:rsidRDefault="006D61A9"/>
    <w:p w14:paraId="09762A48" w14:textId="77777777" w:rsidR="00E35F0F" w:rsidRDefault="00E35F0F"/>
    <w:p w14:paraId="499A49C3" w14:textId="77777777" w:rsidR="00E35F0F" w:rsidRDefault="00E35F0F" w:rsidP="002753C1">
      <w:pPr>
        <w:spacing w:line="240" w:lineRule="auto"/>
        <w:jc w:val="center"/>
        <w:rPr>
          <w:rFonts w:ascii="Times New Roman" w:eastAsia="Times New Roman" w:hAnsi="Times New Roman" w:cs="Times New Roman"/>
          <w:b/>
          <w:bCs/>
          <w:color w:val="000000"/>
          <w:sz w:val="24"/>
          <w:szCs w:val="24"/>
          <w:lang w:val="en-US" w:eastAsia="en-GB"/>
        </w:rPr>
      </w:pPr>
    </w:p>
    <w:p w14:paraId="739A8C8C" w14:textId="4E486011" w:rsidR="00E35F0F" w:rsidRDefault="00E35F0F" w:rsidP="002753C1">
      <w:pPr>
        <w:spacing w:line="240" w:lineRule="auto"/>
        <w:jc w:val="center"/>
        <w:rPr>
          <w:rFonts w:ascii="Times New Roman" w:eastAsia="Times New Roman" w:hAnsi="Times New Roman" w:cs="Times New Roman"/>
          <w:b/>
          <w:bCs/>
          <w:color w:val="000000"/>
          <w:sz w:val="24"/>
          <w:szCs w:val="24"/>
          <w:lang w:val="en-US" w:eastAsia="en-GB"/>
        </w:rPr>
        <w:sectPr w:rsidR="00E35F0F" w:rsidSect="00B437C7">
          <w:pgSz w:w="16838" w:h="11906" w:orient="landscape"/>
          <w:pgMar w:top="1440" w:right="1440" w:bottom="1440" w:left="1440" w:header="708" w:footer="708" w:gutter="0"/>
          <w:cols w:space="708"/>
          <w:docGrid w:linePitch="360"/>
        </w:sectPr>
      </w:pPr>
    </w:p>
    <w:tbl>
      <w:tblPr>
        <w:tblW w:w="9214" w:type="dxa"/>
        <w:tblLook w:val="04A0" w:firstRow="1" w:lastRow="0" w:firstColumn="1" w:lastColumn="0" w:noHBand="0" w:noVBand="1"/>
      </w:tblPr>
      <w:tblGrid>
        <w:gridCol w:w="2127"/>
        <w:gridCol w:w="7087"/>
      </w:tblGrid>
      <w:tr w:rsidR="007F78D0" w:rsidRPr="00F62082" w14:paraId="18037E9D" w14:textId="77777777" w:rsidTr="006B635B">
        <w:trPr>
          <w:trHeight w:val="300"/>
        </w:trPr>
        <w:tc>
          <w:tcPr>
            <w:tcW w:w="9214" w:type="dxa"/>
            <w:gridSpan w:val="2"/>
            <w:tcBorders>
              <w:top w:val="nil"/>
              <w:left w:val="nil"/>
              <w:bottom w:val="nil"/>
              <w:right w:val="nil"/>
            </w:tcBorders>
            <w:shd w:val="clear" w:color="000000" w:fill="FFFFFF"/>
            <w:noWrap/>
            <w:vAlign w:val="center"/>
            <w:hideMark/>
          </w:tcPr>
          <w:p w14:paraId="5723EB37" w14:textId="7672CA0B" w:rsidR="007F78D0" w:rsidRPr="00DA1D07" w:rsidRDefault="007F78D0" w:rsidP="00DB47AA">
            <w:pPr>
              <w:spacing w:line="240" w:lineRule="auto"/>
              <w:jc w:val="center"/>
              <w:rPr>
                <w:rFonts w:ascii="Times New Roman" w:eastAsia="Times New Roman" w:hAnsi="Times New Roman" w:cs="Times New Roman"/>
                <w:b/>
                <w:bCs/>
                <w:color w:val="000000"/>
                <w:sz w:val="24"/>
                <w:szCs w:val="24"/>
                <w:lang w:val="en-US" w:eastAsia="en-GB"/>
              </w:rPr>
            </w:pPr>
            <w:r w:rsidRPr="00DA1D07">
              <w:rPr>
                <w:rFonts w:ascii="Times New Roman" w:eastAsia="Times New Roman" w:hAnsi="Times New Roman" w:cs="Times New Roman"/>
                <w:b/>
                <w:bCs/>
                <w:color w:val="000000"/>
                <w:sz w:val="24"/>
                <w:szCs w:val="24"/>
                <w:lang w:val="en-US" w:eastAsia="en-GB"/>
              </w:rPr>
              <w:lastRenderedPageBreak/>
              <w:t xml:space="preserve">APPENDIX </w:t>
            </w:r>
            <w:r w:rsidR="006B635B">
              <w:rPr>
                <w:rFonts w:ascii="Times New Roman" w:eastAsia="Times New Roman" w:hAnsi="Times New Roman" w:cs="Times New Roman"/>
                <w:b/>
                <w:bCs/>
                <w:color w:val="000000"/>
                <w:sz w:val="24"/>
                <w:szCs w:val="24"/>
                <w:lang w:val="en-US" w:eastAsia="en-GB"/>
              </w:rPr>
              <w:t>1</w:t>
            </w:r>
          </w:p>
        </w:tc>
      </w:tr>
      <w:tr w:rsidR="007F78D0" w:rsidRPr="00F62082" w14:paraId="4C8EE663" w14:textId="77777777" w:rsidTr="006B635B">
        <w:trPr>
          <w:trHeight w:val="60"/>
        </w:trPr>
        <w:tc>
          <w:tcPr>
            <w:tcW w:w="9214" w:type="dxa"/>
            <w:gridSpan w:val="2"/>
            <w:tcBorders>
              <w:top w:val="nil"/>
              <w:left w:val="nil"/>
              <w:bottom w:val="nil"/>
              <w:right w:val="nil"/>
            </w:tcBorders>
            <w:shd w:val="clear" w:color="000000" w:fill="FFFFFF"/>
            <w:noWrap/>
            <w:vAlign w:val="center"/>
            <w:hideMark/>
          </w:tcPr>
          <w:p w14:paraId="591D1A83" w14:textId="77777777" w:rsidR="007F78D0" w:rsidRPr="00DA1D07" w:rsidRDefault="007F78D0" w:rsidP="00DB47AA">
            <w:pPr>
              <w:spacing w:line="240" w:lineRule="auto"/>
              <w:jc w:val="center"/>
              <w:rPr>
                <w:rFonts w:ascii="Times New Roman" w:eastAsia="Times New Roman" w:hAnsi="Times New Roman" w:cs="Times New Roman"/>
                <w:b/>
                <w:bCs/>
                <w:color w:val="000000"/>
                <w:sz w:val="24"/>
                <w:szCs w:val="24"/>
                <w:lang w:val="en-US" w:eastAsia="en-GB"/>
              </w:rPr>
            </w:pPr>
            <w:r w:rsidRPr="00DA1D07">
              <w:rPr>
                <w:rFonts w:ascii="Times New Roman" w:eastAsia="Times New Roman" w:hAnsi="Times New Roman" w:cs="Times New Roman"/>
                <w:b/>
                <w:bCs/>
                <w:color w:val="000000"/>
                <w:sz w:val="24"/>
                <w:szCs w:val="24"/>
                <w:lang w:val="en-US" w:eastAsia="en-GB"/>
              </w:rPr>
              <w:t>Variable Definitions</w:t>
            </w:r>
          </w:p>
        </w:tc>
      </w:tr>
      <w:tr w:rsidR="007F78D0" w:rsidRPr="00F62082" w14:paraId="448E4C85" w14:textId="77777777" w:rsidTr="006B635B">
        <w:trPr>
          <w:trHeight w:val="315"/>
        </w:trPr>
        <w:tc>
          <w:tcPr>
            <w:tcW w:w="9214" w:type="dxa"/>
            <w:gridSpan w:val="2"/>
            <w:tcBorders>
              <w:top w:val="nil"/>
              <w:left w:val="nil"/>
              <w:bottom w:val="single" w:sz="4" w:space="0" w:color="auto"/>
              <w:right w:val="nil"/>
            </w:tcBorders>
            <w:shd w:val="clear" w:color="000000" w:fill="FFFFFF"/>
            <w:vAlign w:val="center"/>
            <w:hideMark/>
          </w:tcPr>
          <w:p w14:paraId="212932CB" w14:textId="22758205" w:rsidR="007F78D0" w:rsidRPr="00DA1D07" w:rsidRDefault="007F78D0" w:rsidP="00DB47AA">
            <w:pPr>
              <w:spacing w:line="240" w:lineRule="auto"/>
              <w:jc w:val="both"/>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 xml:space="preserve">The table reports definitions of variables used in the analysis. The data </w:t>
            </w:r>
            <w:r w:rsidR="005C06C6">
              <w:rPr>
                <w:rFonts w:ascii="Times New Roman" w:eastAsia="Times New Roman" w:hAnsi="Times New Roman" w:cs="Times New Roman"/>
                <w:color w:val="000000"/>
                <w:sz w:val="24"/>
                <w:szCs w:val="24"/>
                <w:lang w:val="en-US" w:eastAsia="en-GB"/>
              </w:rPr>
              <w:t>for calculating</w:t>
            </w:r>
            <w:r w:rsidRPr="00DA1D07">
              <w:rPr>
                <w:rFonts w:ascii="Times New Roman" w:eastAsia="Times New Roman" w:hAnsi="Times New Roman" w:cs="Times New Roman"/>
                <w:color w:val="000000"/>
                <w:sz w:val="24"/>
                <w:szCs w:val="24"/>
                <w:lang w:val="en-US" w:eastAsia="en-GB"/>
              </w:rPr>
              <w:t xml:space="preserve"> </w:t>
            </w:r>
            <w:r w:rsidR="005C06C6">
              <w:rPr>
                <w:rFonts w:ascii="Times New Roman" w:eastAsia="Times New Roman" w:hAnsi="Times New Roman" w:cs="Times New Roman"/>
                <w:color w:val="000000"/>
                <w:sz w:val="24"/>
                <w:szCs w:val="24"/>
                <w:lang w:val="en-US" w:eastAsia="en-GB"/>
              </w:rPr>
              <w:t xml:space="preserve">these </w:t>
            </w:r>
            <w:r w:rsidRPr="00DA1D07">
              <w:rPr>
                <w:rFonts w:ascii="Times New Roman" w:eastAsia="Times New Roman" w:hAnsi="Times New Roman" w:cs="Times New Roman"/>
                <w:color w:val="000000"/>
                <w:sz w:val="24"/>
                <w:szCs w:val="24"/>
                <w:lang w:val="en-US" w:eastAsia="en-GB"/>
              </w:rPr>
              <w:t xml:space="preserve">variables are sourced from the Violation Tracker [VT] produced by the Corporate Research Project of Good Jobs First (available at https://www.goodjobsfirst.org/violation-tracker), </w:t>
            </w:r>
            <w:proofErr w:type="spellStart"/>
            <w:r w:rsidRPr="00DA1D07">
              <w:rPr>
                <w:rFonts w:ascii="Times New Roman" w:eastAsia="Times New Roman" w:hAnsi="Times New Roman" w:cs="Times New Roman"/>
                <w:color w:val="000000"/>
                <w:sz w:val="24"/>
                <w:szCs w:val="24"/>
                <w:lang w:val="en-US" w:eastAsia="en-GB"/>
              </w:rPr>
              <w:t>Compustat</w:t>
            </w:r>
            <w:proofErr w:type="spellEnd"/>
            <w:r w:rsidRPr="00DA1D07">
              <w:rPr>
                <w:rFonts w:ascii="Times New Roman" w:eastAsia="Times New Roman" w:hAnsi="Times New Roman" w:cs="Times New Roman"/>
                <w:color w:val="000000"/>
                <w:sz w:val="24"/>
                <w:szCs w:val="24"/>
                <w:lang w:val="en-US" w:eastAsia="en-GB"/>
              </w:rPr>
              <w:t xml:space="preserve"> [C], and Center for Research in Security Prices [CRSP]. </w:t>
            </w:r>
          </w:p>
        </w:tc>
      </w:tr>
      <w:tr w:rsidR="007F78D0" w:rsidRPr="00F62082" w14:paraId="6D41FAA2" w14:textId="77777777" w:rsidTr="006B635B">
        <w:trPr>
          <w:trHeight w:val="315"/>
        </w:trPr>
        <w:tc>
          <w:tcPr>
            <w:tcW w:w="2127" w:type="dxa"/>
            <w:tcBorders>
              <w:top w:val="single" w:sz="4" w:space="0" w:color="auto"/>
              <w:left w:val="nil"/>
              <w:bottom w:val="single" w:sz="4" w:space="0" w:color="auto"/>
              <w:right w:val="nil"/>
            </w:tcBorders>
            <w:shd w:val="clear" w:color="000000" w:fill="FFFFFF"/>
            <w:noWrap/>
            <w:vAlign w:val="center"/>
            <w:hideMark/>
          </w:tcPr>
          <w:p w14:paraId="221A5BB1" w14:textId="77777777" w:rsidR="007F78D0" w:rsidRPr="00DA1D07" w:rsidRDefault="007F78D0" w:rsidP="00DB47AA">
            <w:pPr>
              <w:spacing w:line="240" w:lineRule="auto"/>
              <w:rPr>
                <w:rFonts w:ascii="Times New Roman" w:eastAsia="Times New Roman" w:hAnsi="Times New Roman" w:cs="Times New Roman"/>
                <w:b/>
                <w:bCs/>
                <w:color w:val="000000"/>
                <w:sz w:val="24"/>
                <w:szCs w:val="24"/>
                <w:lang w:val="en-US" w:eastAsia="en-GB"/>
              </w:rPr>
            </w:pPr>
            <w:r w:rsidRPr="00DA1D07">
              <w:rPr>
                <w:rFonts w:ascii="Times New Roman" w:eastAsia="Times New Roman" w:hAnsi="Times New Roman" w:cs="Times New Roman"/>
                <w:b/>
                <w:bCs/>
                <w:color w:val="000000"/>
                <w:sz w:val="24"/>
                <w:szCs w:val="24"/>
                <w:lang w:val="en-US" w:eastAsia="en-GB"/>
              </w:rPr>
              <w:t>Variables</w:t>
            </w:r>
          </w:p>
        </w:tc>
        <w:tc>
          <w:tcPr>
            <w:tcW w:w="7087" w:type="dxa"/>
            <w:tcBorders>
              <w:top w:val="single" w:sz="4" w:space="0" w:color="auto"/>
              <w:left w:val="nil"/>
              <w:bottom w:val="single" w:sz="4" w:space="0" w:color="auto"/>
              <w:right w:val="nil"/>
            </w:tcBorders>
            <w:shd w:val="clear" w:color="000000" w:fill="FFFFFF"/>
            <w:vAlign w:val="center"/>
            <w:hideMark/>
          </w:tcPr>
          <w:p w14:paraId="683C52D1" w14:textId="77777777" w:rsidR="007F78D0" w:rsidRPr="00DA1D07" w:rsidRDefault="007F78D0" w:rsidP="00DB47AA">
            <w:pPr>
              <w:spacing w:line="240" w:lineRule="auto"/>
              <w:rPr>
                <w:rFonts w:ascii="Times New Roman" w:eastAsia="Times New Roman" w:hAnsi="Times New Roman" w:cs="Times New Roman"/>
                <w:b/>
                <w:bCs/>
                <w:color w:val="000000"/>
                <w:sz w:val="24"/>
                <w:szCs w:val="24"/>
                <w:lang w:val="en-US" w:eastAsia="en-GB"/>
              </w:rPr>
            </w:pPr>
            <w:r w:rsidRPr="00DA1D07">
              <w:rPr>
                <w:rFonts w:ascii="Times New Roman" w:eastAsia="Times New Roman" w:hAnsi="Times New Roman" w:cs="Times New Roman"/>
                <w:b/>
                <w:bCs/>
                <w:color w:val="000000"/>
                <w:sz w:val="24"/>
                <w:szCs w:val="24"/>
                <w:lang w:val="en-US" w:eastAsia="en-GB"/>
              </w:rPr>
              <w:t>Definition [Database]</w:t>
            </w:r>
          </w:p>
        </w:tc>
      </w:tr>
      <w:tr w:rsidR="007F78D0" w:rsidRPr="00F62082" w14:paraId="181F622B" w14:textId="77777777" w:rsidTr="006B635B">
        <w:trPr>
          <w:trHeight w:val="300"/>
        </w:trPr>
        <w:tc>
          <w:tcPr>
            <w:tcW w:w="2127" w:type="dxa"/>
            <w:tcBorders>
              <w:top w:val="nil"/>
              <w:left w:val="nil"/>
              <w:bottom w:val="nil"/>
              <w:right w:val="nil"/>
            </w:tcBorders>
            <w:shd w:val="clear" w:color="000000" w:fill="FFFFFF"/>
            <w:noWrap/>
            <w:vAlign w:val="center"/>
            <w:hideMark/>
          </w:tcPr>
          <w:p w14:paraId="74ACE897" w14:textId="77777777" w:rsidR="007F78D0" w:rsidRPr="00DA1D07" w:rsidRDefault="007F78D0" w:rsidP="00DB47AA">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Violations</w:t>
            </w:r>
          </w:p>
        </w:tc>
        <w:tc>
          <w:tcPr>
            <w:tcW w:w="7087" w:type="dxa"/>
            <w:tcBorders>
              <w:top w:val="nil"/>
              <w:left w:val="nil"/>
              <w:bottom w:val="nil"/>
              <w:right w:val="nil"/>
            </w:tcBorders>
            <w:shd w:val="clear" w:color="000000" w:fill="FFFFFF"/>
            <w:vAlign w:val="center"/>
            <w:hideMark/>
          </w:tcPr>
          <w:p w14:paraId="2863CF95" w14:textId="77777777" w:rsidR="007F78D0" w:rsidRPr="00DA1D07" w:rsidRDefault="007F78D0" w:rsidP="00DB47AA">
            <w:pPr>
              <w:spacing w:after="0" w:line="240" w:lineRule="auto"/>
              <w:jc w:val="both"/>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The total number of employee-related violations per year.[VT]</w:t>
            </w:r>
          </w:p>
        </w:tc>
      </w:tr>
      <w:tr w:rsidR="007F78D0" w:rsidRPr="00F62082" w14:paraId="13B8E3B1" w14:textId="77777777" w:rsidTr="006B635B">
        <w:trPr>
          <w:trHeight w:val="300"/>
        </w:trPr>
        <w:tc>
          <w:tcPr>
            <w:tcW w:w="2127" w:type="dxa"/>
            <w:tcBorders>
              <w:top w:val="nil"/>
              <w:left w:val="nil"/>
              <w:bottom w:val="nil"/>
              <w:right w:val="nil"/>
            </w:tcBorders>
            <w:shd w:val="clear" w:color="000000" w:fill="FFFFFF"/>
            <w:noWrap/>
            <w:vAlign w:val="center"/>
            <w:hideMark/>
          </w:tcPr>
          <w:p w14:paraId="0705D9B3" w14:textId="77777777" w:rsidR="007F78D0" w:rsidRPr="00DA1D07" w:rsidRDefault="007F78D0" w:rsidP="00DB47AA">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ln(Violations)</w:t>
            </w:r>
          </w:p>
        </w:tc>
        <w:tc>
          <w:tcPr>
            <w:tcW w:w="7087" w:type="dxa"/>
            <w:tcBorders>
              <w:top w:val="nil"/>
              <w:left w:val="nil"/>
              <w:bottom w:val="nil"/>
              <w:right w:val="nil"/>
            </w:tcBorders>
            <w:shd w:val="clear" w:color="000000" w:fill="FFFFFF"/>
            <w:vAlign w:val="center"/>
            <w:hideMark/>
          </w:tcPr>
          <w:p w14:paraId="067D65D9" w14:textId="77777777" w:rsidR="007F78D0" w:rsidRPr="00DA1D07" w:rsidRDefault="007F78D0" w:rsidP="00DB47AA">
            <w:pPr>
              <w:spacing w:after="0" w:line="240" w:lineRule="auto"/>
              <w:jc w:val="both"/>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Natural logarithm of one plus the total number of employee-related violations per year. [VT]</w:t>
            </w:r>
          </w:p>
        </w:tc>
      </w:tr>
      <w:tr w:rsidR="007F78D0" w:rsidRPr="00F62082" w14:paraId="37D102F0" w14:textId="77777777" w:rsidTr="006B635B">
        <w:trPr>
          <w:trHeight w:val="300"/>
        </w:trPr>
        <w:tc>
          <w:tcPr>
            <w:tcW w:w="2127" w:type="dxa"/>
            <w:tcBorders>
              <w:top w:val="nil"/>
              <w:left w:val="nil"/>
              <w:bottom w:val="nil"/>
              <w:right w:val="nil"/>
            </w:tcBorders>
            <w:shd w:val="clear" w:color="000000" w:fill="FFFFFF"/>
            <w:noWrap/>
            <w:vAlign w:val="center"/>
            <w:hideMark/>
          </w:tcPr>
          <w:p w14:paraId="3703B712" w14:textId="77777777" w:rsidR="007F78D0" w:rsidRPr="00DA1D07" w:rsidRDefault="007F78D0" w:rsidP="00DB47AA">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Penalties</w:t>
            </w:r>
          </w:p>
        </w:tc>
        <w:tc>
          <w:tcPr>
            <w:tcW w:w="7087" w:type="dxa"/>
            <w:tcBorders>
              <w:top w:val="nil"/>
              <w:left w:val="nil"/>
              <w:bottom w:val="nil"/>
              <w:right w:val="nil"/>
            </w:tcBorders>
            <w:shd w:val="clear" w:color="000000" w:fill="FFFFFF"/>
            <w:vAlign w:val="center"/>
            <w:hideMark/>
          </w:tcPr>
          <w:p w14:paraId="2493091A" w14:textId="77777777" w:rsidR="007F78D0" w:rsidRPr="00DA1D07" w:rsidRDefault="007F78D0" w:rsidP="00DB47AA">
            <w:pPr>
              <w:spacing w:after="0" w:line="240" w:lineRule="auto"/>
              <w:jc w:val="both"/>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The total value of penalties for employee-related violations per year. [VT]</w:t>
            </w:r>
          </w:p>
        </w:tc>
      </w:tr>
      <w:tr w:rsidR="007F78D0" w:rsidRPr="00F62082" w14:paraId="7168B560" w14:textId="77777777" w:rsidTr="006B635B">
        <w:trPr>
          <w:trHeight w:val="300"/>
        </w:trPr>
        <w:tc>
          <w:tcPr>
            <w:tcW w:w="2127" w:type="dxa"/>
            <w:tcBorders>
              <w:top w:val="nil"/>
              <w:left w:val="nil"/>
              <w:right w:val="nil"/>
            </w:tcBorders>
            <w:shd w:val="clear" w:color="000000" w:fill="FFFFFF"/>
            <w:vAlign w:val="center"/>
            <w:hideMark/>
          </w:tcPr>
          <w:p w14:paraId="686A7884" w14:textId="77777777" w:rsidR="007F78D0" w:rsidRPr="00DA1D07" w:rsidRDefault="007F78D0" w:rsidP="00DB47AA">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ln(Penalties)</w:t>
            </w:r>
          </w:p>
        </w:tc>
        <w:tc>
          <w:tcPr>
            <w:tcW w:w="7087" w:type="dxa"/>
            <w:tcBorders>
              <w:top w:val="nil"/>
              <w:left w:val="nil"/>
              <w:right w:val="nil"/>
            </w:tcBorders>
            <w:shd w:val="clear" w:color="000000" w:fill="FFFFFF"/>
            <w:vAlign w:val="center"/>
            <w:hideMark/>
          </w:tcPr>
          <w:p w14:paraId="579E5D28" w14:textId="573312D5" w:rsidR="007F78D0" w:rsidRPr="00DA1D07" w:rsidRDefault="007F78D0" w:rsidP="00DB47AA">
            <w:pPr>
              <w:spacing w:after="0" w:line="240" w:lineRule="auto"/>
              <w:jc w:val="both"/>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 xml:space="preserve">Natural logarithm of the total value of penalties </w:t>
            </w:r>
            <w:r w:rsidR="005C06C6">
              <w:rPr>
                <w:rFonts w:ascii="Times New Roman" w:eastAsia="Times New Roman" w:hAnsi="Times New Roman" w:cs="Times New Roman"/>
                <w:color w:val="000000"/>
                <w:sz w:val="24"/>
                <w:szCs w:val="24"/>
                <w:lang w:val="en-US" w:eastAsia="en-GB"/>
              </w:rPr>
              <w:t>for</w:t>
            </w:r>
            <w:r w:rsidR="005C06C6" w:rsidRPr="00DA1D07">
              <w:rPr>
                <w:rFonts w:ascii="Times New Roman" w:eastAsia="Times New Roman" w:hAnsi="Times New Roman" w:cs="Times New Roman"/>
                <w:color w:val="000000"/>
                <w:sz w:val="24"/>
                <w:szCs w:val="24"/>
                <w:lang w:val="en-US" w:eastAsia="en-GB"/>
              </w:rPr>
              <w:t xml:space="preserve"> </w:t>
            </w:r>
            <w:r w:rsidRPr="00DA1D07">
              <w:rPr>
                <w:rFonts w:ascii="Times New Roman" w:eastAsia="Times New Roman" w:hAnsi="Times New Roman" w:cs="Times New Roman"/>
                <w:color w:val="000000"/>
                <w:sz w:val="24"/>
                <w:szCs w:val="24"/>
                <w:lang w:val="en-US" w:eastAsia="en-GB"/>
              </w:rPr>
              <w:t>employee-related violations per year. [VT]</w:t>
            </w:r>
          </w:p>
        </w:tc>
      </w:tr>
      <w:tr w:rsidR="007F78D0" w:rsidRPr="00F62082" w14:paraId="31322077" w14:textId="77777777" w:rsidTr="006B635B">
        <w:trPr>
          <w:trHeight w:val="615"/>
        </w:trPr>
        <w:tc>
          <w:tcPr>
            <w:tcW w:w="2127" w:type="dxa"/>
            <w:tcBorders>
              <w:top w:val="nil"/>
              <w:left w:val="nil"/>
              <w:right w:val="nil"/>
            </w:tcBorders>
            <w:shd w:val="clear" w:color="000000" w:fill="FFFFFF"/>
            <w:noWrap/>
            <w:vAlign w:val="center"/>
            <w:hideMark/>
          </w:tcPr>
          <w:p w14:paraId="590308A7" w14:textId="77777777" w:rsidR="007F78D0" w:rsidRPr="00DA1D07" w:rsidRDefault="007F78D0" w:rsidP="00DB47AA">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Q(Penalties)</w:t>
            </w:r>
          </w:p>
        </w:tc>
        <w:tc>
          <w:tcPr>
            <w:tcW w:w="7087" w:type="dxa"/>
            <w:tcBorders>
              <w:top w:val="nil"/>
              <w:left w:val="nil"/>
              <w:right w:val="nil"/>
            </w:tcBorders>
            <w:shd w:val="clear" w:color="000000" w:fill="FFFFFF"/>
            <w:vAlign w:val="center"/>
            <w:hideMark/>
          </w:tcPr>
          <w:p w14:paraId="646FD458" w14:textId="09D90CB6" w:rsidR="007F78D0" w:rsidRPr="00DA1D07" w:rsidRDefault="005C06C6" w:rsidP="00DB47AA">
            <w:pPr>
              <w:spacing w:after="0" w:line="240" w:lineRule="auto"/>
              <w:jc w:val="both"/>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The categorical</w:t>
            </w:r>
            <w:r w:rsidRPr="00DA1D07">
              <w:rPr>
                <w:rFonts w:ascii="Times New Roman" w:eastAsia="Times New Roman" w:hAnsi="Times New Roman" w:cs="Times New Roman"/>
                <w:color w:val="000000"/>
                <w:sz w:val="24"/>
                <w:szCs w:val="24"/>
                <w:lang w:val="en-US" w:eastAsia="en-GB"/>
              </w:rPr>
              <w:t xml:space="preserve"> </w:t>
            </w:r>
            <w:r w:rsidR="007F78D0" w:rsidRPr="00DA1D07">
              <w:rPr>
                <w:rFonts w:ascii="Times New Roman" w:eastAsia="Times New Roman" w:hAnsi="Times New Roman" w:cs="Times New Roman"/>
                <w:color w:val="000000"/>
                <w:sz w:val="24"/>
                <w:szCs w:val="24"/>
                <w:lang w:val="en-US" w:eastAsia="en-GB"/>
              </w:rPr>
              <w:t>variable dividing the sample into 10 equal parts depending on the total value of violations. [VT]</w:t>
            </w:r>
          </w:p>
        </w:tc>
      </w:tr>
      <w:tr w:rsidR="007F78D0" w:rsidRPr="00F62082" w14:paraId="648CA920" w14:textId="77777777" w:rsidTr="006B635B">
        <w:trPr>
          <w:trHeight w:val="600"/>
        </w:trPr>
        <w:tc>
          <w:tcPr>
            <w:tcW w:w="2127" w:type="dxa"/>
            <w:tcBorders>
              <w:top w:val="nil"/>
              <w:left w:val="nil"/>
              <w:bottom w:val="nil"/>
              <w:right w:val="nil"/>
            </w:tcBorders>
            <w:shd w:val="clear" w:color="000000" w:fill="FFFFFF"/>
            <w:noWrap/>
            <w:vAlign w:val="center"/>
            <w:hideMark/>
          </w:tcPr>
          <w:p w14:paraId="31C83B48" w14:textId="77777777" w:rsidR="007F78D0" w:rsidRPr="00DA1D07" w:rsidRDefault="007F78D0" w:rsidP="00DB47AA">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Vega</w:t>
            </w:r>
          </w:p>
        </w:tc>
        <w:tc>
          <w:tcPr>
            <w:tcW w:w="7087" w:type="dxa"/>
            <w:tcBorders>
              <w:top w:val="nil"/>
              <w:left w:val="nil"/>
              <w:bottom w:val="nil"/>
              <w:right w:val="nil"/>
            </w:tcBorders>
            <w:shd w:val="clear" w:color="000000" w:fill="FFFFFF"/>
            <w:vAlign w:val="center"/>
            <w:hideMark/>
          </w:tcPr>
          <w:p w14:paraId="69971850" w14:textId="7AF581BF" w:rsidR="007F78D0" w:rsidRPr="00DA1D07" w:rsidRDefault="007F78D0" w:rsidP="00AD0ACE">
            <w:pPr>
              <w:spacing w:after="0" w:line="240" w:lineRule="auto"/>
              <w:jc w:val="both"/>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Natural logarithm of one plus the sensitivity of the CEO's equity portfolio to 0.01 change in volatility (Coles</w:t>
            </w:r>
            <w:r w:rsidR="00AD0ACE">
              <w:rPr>
                <w:rFonts w:ascii="Times New Roman" w:eastAsia="Times New Roman" w:hAnsi="Times New Roman" w:cs="Times New Roman"/>
                <w:color w:val="000000"/>
                <w:sz w:val="24"/>
                <w:szCs w:val="24"/>
                <w:lang w:val="en-US" w:eastAsia="en-GB"/>
              </w:rPr>
              <w:t xml:space="preserve"> et al. </w:t>
            </w:r>
            <w:r w:rsidRPr="00DA1D07">
              <w:rPr>
                <w:rFonts w:ascii="Times New Roman" w:eastAsia="Times New Roman" w:hAnsi="Times New Roman" w:cs="Times New Roman"/>
                <w:color w:val="000000"/>
                <w:sz w:val="24"/>
                <w:szCs w:val="24"/>
                <w:lang w:val="en-US" w:eastAsia="en-GB"/>
              </w:rPr>
              <w:t>2013). [C, CRSP]</w:t>
            </w:r>
          </w:p>
        </w:tc>
      </w:tr>
      <w:tr w:rsidR="007F78D0" w:rsidRPr="00F62082" w14:paraId="3B4B2515" w14:textId="77777777" w:rsidTr="006B635B">
        <w:trPr>
          <w:trHeight w:val="600"/>
        </w:trPr>
        <w:tc>
          <w:tcPr>
            <w:tcW w:w="2127" w:type="dxa"/>
            <w:tcBorders>
              <w:top w:val="nil"/>
              <w:left w:val="nil"/>
              <w:bottom w:val="nil"/>
              <w:right w:val="nil"/>
            </w:tcBorders>
            <w:shd w:val="clear" w:color="000000" w:fill="FFFFFF"/>
            <w:noWrap/>
            <w:vAlign w:val="center"/>
            <w:hideMark/>
          </w:tcPr>
          <w:p w14:paraId="03411854" w14:textId="77777777" w:rsidR="007F78D0" w:rsidRPr="00DA1D07" w:rsidRDefault="007F78D0" w:rsidP="00DB47AA">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Delta</w:t>
            </w:r>
          </w:p>
        </w:tc>
        <w:tc>
          <w:tcPr>
            <w:tcW w:w="7087" w:type="dxa"/>
            <w:tcBorders>
              <w:top w:val="nil"/>
              <w:left w:val="nil"/>
              <w:bottom w:val="nil"/>
              <w:right w:val="nil"/>
            </w:tcBorders>
            <w:shd w:val="clear" w:color="000000" w:fill="FFFFFF"/>
            <w:vAlign w:val="center"/>
            <w:hideMark/>
          </w:tcPr>
          <w:p w14:paraId="734F10F9" w14:textId="151B9D29" w:rsidR="007F78D0" w:rsidRPr="00DA1D07" w:rsidRDefault="007F78D0" w:rsidP="00AD0ACE">
            <w:pPr>
              <w:spacing w:after="0" w:line="240" w:lineRule="auto"/>
              <w:jc w:val="both"/>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Natural logarithm of one plus the sensitivity of the CEO's equity portfolio to 0.01 change in stock prices (Coles</w:t>
            </w:r>
            <w:r w:rsidR="00AD0ACE">
              <w:rPr>
                <w:rFonts w:ascii="Times New Roman" w:eastAsia="Times New Roman" w:hAnsi="Times New Roman" w:cs="Times New Roman"/>
                <w:color w:val="000000"/>
                <w:sz w:val="24"/>
                <w:szCs w:val="24"/>
                <w:lang w:val="en-US" w:eastAsia="en-GB"/>
              </w:rPr>
              <w:t xml:space="preserve"> et al. </w:t>
            </w:r>
            <w:r w:rsidRPr="00DA1D07">
              <w:rPr>
                <w:rFonts w:ascii="Times New Roman" w:eastAsia="Times New Roman" w:hAnsi="Times New Roman" w:cs="Times New Roman"/>
                <w:color w:val="000000"/>
                <w:sz w:val="24"/>
                <w:szCs w:val="24"/>
                <w:lang w:val="en-US" w:eastAsia="en-GB"/>
              </w:rPr>
              <w:t>2013). [C, CRSP]</w:t>
            </w:r>
          </w:p>
        </w:tc>
      </w:tr>
      <w:tr w:rsidR="007F78D0" w:rsidRPr="00F62082" w14:paraId="76C1C92F" w14:textId="77777777" w:rsidTr="006B635B">
        <w:trPr>
          <w:trHeight w:val="615"/>
        </w:trPr>
        <w:tc>
          <w:tcPr>
            <w:tcW w:w="2127" w:type="dxa"/>
            <w:tcBorders>
              <w:top w:val="nil"/>
              <w:left w:val="nil"/>
              <w:right w:val="nil"/>
            </w:tcBorders>
            <w:shd w:val="clear" w:color="000000" w:fill="FFFFFF"/>
            <w:noWrap/>
            <w:vAlign w:val="center"/>
            <w:hideMark/>
          </w:tcPr>
          <w:p w14:paraId="4CDA7483" w14:textId="77777777" w:rsidR="007F78D0" w:rsidRPr="00DA1D07" w:rsidRDefault="007F78D0" w:rsidP="00DB47AA">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CashComp</w:t>
            </w:r>
            <w:proofErr w:type="spellEnd"/>
          </w:p>
        </w:tc>
        <w:tc>
          <w:tcPr>
            <w:tcW w:w="7087" w:type="dxa"/>
            <w:tcBorders>
              <w:top w:val="nil"/>
              <w:left w:val="nil"/>
              <w:right w:val="nil"/>
            </w:tcBorders>
            <w:shd w:val="clear" w:color="000000" w:fill="FFFFFF"/>
            <w:vAlign w:val="center"/>
            <w:hideMark/>
          </w:tcPr>
          <w:p w14:paraId="73B4B647" w14:textId="77777777" w:rsidR="007F78D0" w:rsidRPr="00DA1D07" w:rsidRDefault="007F78D0" w:rsidP="00DB47AA">
            <w:pPr>
              <w:spacing w:after="0" w:line="240" w:lineRule="auto"/>
              <w:jc w:val="both"/>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Natural logarithm of one plus the total cash compensation received by the CEO during the year. [C: ln(1+total_curr_w)]</w:t>
            </w:r>
          </w:p>
        </w:tc>
      </w:tr>
      <w:tr w:rsidR="007F78D0" w:rsidRPr="00F62082" w14:paraId="673E88F7" w14:textId="77777777" w:rsidTr="006B635B">
        <w:trPr>
          <w:trHeight w:val="300"/>
        </w:trPr>
        <w:tc>
          <w:tcPr>
            <w:tcW w:w="2127" w:type="dxa"/>
            <w:tcBorders>
              <w:top w:val="nil"/>
              <w:left w:val="nil"/>
              <w:bottom w:val="nil"/>
              <w:right w:val="nil"/>
            </w:tcBorders>
            <w:shd w:val="clear" w:color="000000" w:fill="FFFFFF"/>
            <w:noWrap/>
            <w:vAlign w:val="center"/>
            <w:hideMark/>
          </w:tcPr>
          <w:p w14:paraId="0B999AD0" w14:textId="77777777" w:rsidR="007F78D0" w:rsidRPr="00DA1D07" w:rsidRDefault="007F78D0" w:rsidP="00DB47AA">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Leverage</w:t>
            </w:r>
          </w:p>
        </w:tc>
        <w:tc>
          <w:tcPr>
            <w:tcW w:w="7087" w:type="dxa"/>
            <w:tcBorders>
              <w:top w:val="nil"/>
              <w:left w:val="nil"/>
              <w:bottom w:val="nil"/>
              <w:right w:val="nil"/>
            </w:tcBorders>
            <w:shd w:val="clear" w:color="000000" w:fill="FFFFFF"/>
            <w:vAlign w:val="center"/>
            <w:hideMark/>
          </w:tcPr>
          <w:p w14:paraId="1ED4DD67" w14:textId="77777777" w:rsidR="007F78D0" w:rsidRPr="00DA1D07" w:rsidRDefault="007F78D0" w:rsidP="00DB47AA">
            <w:pPr>
              <w:spacing w:after="0" w:line="240" w:lineRule="auto"/>
              <w:jc w:val="both"/>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The ratio of the total book value of debt to book value of total assets. [C: (</w:t>
            </w:r>
            <w:proofErr w:type="spellStart"/>
            <w:r w:rsidRPr="00DA1D07">
              <w:rPr>
                <w:rFonts w:ascii="Times New Roman" w:eastAsia="Times New Roman" w:hAnsi="Times New Roman" w:cs="Times New Roman"/>
                <w:color w:val="000000"/>
                <w:sz w:val="24"/>
                <w:szCs w:val="24"/>
                <w:lang w:val="en-US" w:eastAsia="en-GB"/>
              </w:rPr>
              <w:t>dlc+dltt</w:t>
            </w:r>
            <w:proofErr w:type="spellEnd"/>
            <w:r w:rsidRPr="00DA1D07">
              <w:rPr>
                <w:rFonts w:ascii="Times New Roman" w:eastAsia="Times New Roman" w:hAnsi="Times New Roman" w:cs="Times New Roman"/>
                <w:color w:val="000000"/>
                <w:sz w:val="24"/>
                <w:szCs w:val="24"/>
                <w:lang w:val="en-US" w:eastAsia="en-GB"/>
              </w:rPr>
              <w:t>)/at]</w:t>
            </w:r>
          </w:p>
        </w:tc>
      </w:tr>
      <w:tr w:rsidR="007F78D0" w:rsidRPr="00F62082" w14:paraId="4818CDBF" w14:textId="77777777" w:rsidTr="006B635B">
        <w:trPr>
          <w:trHeight w:val="300"/>
        </w:trPr>
        <w:tc>
          <w:tcPr>
            <w:tcW w:w="2127" w:type="dxa"/>
            <w:tcBorders>
              <w:top w:val="nil"/>
              <w:left w:val="nil"/>
              <w:bottom w:val="nil"/>
              <w:right w:val="nil"/>
            </w:tcBorders>
            <w:shd w:val="clear" w:color="000000" w:fill="FFFFFF"/>
            <w:noWrap/>
            <w:vAlign w:val="center"/>
            <w:hideMark/>
          </w:tcPr>
          <w:p w14:paraId="65194FAF" w14:textId="77777777" w:rsidR="007F78D0" w:rsidRPr="00DA1D07" w:rsidRDefault="007F78D0" w:rsidP="00DB47AA">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CashFlow</w:t>
            </w:r>
            <w:proofErr w:type="spellEnd"/>
          </w:p>
        </w:tc>
        <w:tc>
          <w:tcPr>
            <w:tcW w:w="7087" w:type="dxa"/>
            <w:tcBorders>
              <w:top w:val="nil"/>
              <w:left w:val="nil"/>
              <w:bottom w:val="nil"/>
              <w:right w:val="nil"/>
            </w:tcBorders>
            <w:shd w:val="clear" w:color="000000" w:fill="FFFFFF"/>
            <w:vAlign w:val="center"/>
            <w:hideMark/>
          </w:tcPr>
          <w:p w14:paraId="1712D241" w14:textId="77777777" w:rsidR="007F78D0" w:rsidRPr="00DA1D07" w:rsidRDefault="007F78D0" w:rsidP="00DB47AA">
            <w:pPr>
              <w:spacing w:after="0" w:line="240" w:lineRule="auto"/>
              <w:jc w:val="both"/>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The ratio of cash flows from operations to book value of total assets.[C: (</w:t>
            </w:r>
            <w:proofErr w:type="spellStart"/>
            <w:r w:rsidRPr="00DA1D07">
              <w:rPr>
                <w:rFonts w:ascii="Times New Roman" w:eastAsia="Times New Roman" w:hAnsi="Times New Roman" w:cs="Times New Roman"/>
                <w:color w:val="000000"/>
                <w:sz w:val="24"/>
                <w:szCs w:val="24"/>
                <w:lang w:val="en-US" w:eastAsia="en-GB"/>
              </w:rPr>
              <w:t>ib+dp</w:t>
            </w:r>
            <w:proofErr w:type="spellEnd"/>
            <w:r w:rsidRPr="00DA1D07">
              <w:rPr>
                <w:rFonts w:ascii="Times New Roman" w:eastAsia="Times New Roman" w:hAnsi="Times New Roman" w:cs="Times New Roman"/>
                <w:color w:val="000000"/>
                <w:sz w:val="24"/>
                <w:szCs w:val="24"/>
                <w:lang w:val="en-US" w:eastAsia="en-GB"/>
              </w:rPr>
              <w:t>)/at]</w:t>
            </w:r>
          </w:p>
        </w:tc>
      </w:tr>
      <w:tr w:rsidR="007F78D0" w:rsidRPr="00F62082" w14:paraId="0E01DDB1" w14:textId="77777777" w:rsidTr="006B635B">
        <w:trPr>
          <w:trHeight w:val="630"/>
        </w:trPr>
        <w:tc>
          <w:tcPr>
            <w:tcW w:w="2127" w:type="dxa"/>
            <w:tcBorders>
              <w:top w:val="nil"/>
              <w:left w:val="nil"/>
              <w:bottom w:val="nil"/>
              <w:right w:val="nil"/>
            </w:tcBorders>
            <w:shd w:val="clear" w:color="000000" w:fill="FFFFFF"/>
            <w:noWrap/>
            <w:vAlign w:val="center"/>
            <w:hideMark/>
          </w:tcPr>
          <w:p w14:paraId="7A99F2D2" w14:textId="77777777" w:rsidR="007F78D0" w:rsidRPr="00DA1D07" w:rsidRDefault="007F78D0" w:rsidP="00DB47AA">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DividendPayout</w:t>
            </w:r>
            <w:proofErr w:type="spellEnd"/>
          </w:p>
        </w:tc>
        <w:tc>
          <w:tcPr>
            <w:tcW w:w="7087" w:type="dxa"/>
            <w:tcBorders>
              <w:top w:val="nil"/>
              <w:left w:val="nil"/>
              <w:bottom w:val="nil"/>
              <w:right w:val="nil"/>
            </w:tcBorders>
            <w:shd w:val="clear" w:color="000000" w:fill="FFFFFF"/>
            <w:vAlign w:val="center"/>
            <w:hideMark/>
          </w:tcPr>
          <w:p w14:paraId="7F056BB4" w14:textId="77777777" w:rsidR="007F78D0" w:rsidRPr="00DA1D07" w:rsidRDefault="007F78D0" w:rsidP="00DB47AA">
            <w:pPr>
              <w:spacing w:after="0" w:line="240" w:lineRule="auto"/>
              <w:jc w:val="both"/>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 xml:space="preserve">The ratio of cash dividends to common shareholders to lagged the book value of total assets. [C: </w:t>
            </w:r>
            <w:proofErr w:type="spellStart"/>
            <w:r w:rsidRPr="00DA1D07">
              <w:rPr>
                <w:rFonts w:ascii="Times New Roman" w:eastAsia="Times New Roman" w:hAnsi="Times New Roman" w:cs="Times New Roman"/>
                <w:color w:val="000000"/>
                <w:sz w:val="24"/>
                <w:szCs w:val="24"/>
                <w:lang w:val="en-US" w:eastAsia="en-GB"/>
              </w:rPr>
              <w:t>dvc</w:t>
            </w:r>
            <w:proofErr w:type="spellEnd"/>
            <w:r w:rsidRPr="00DA1D07">
              <w:rPr>
                <w:rFonts w:ascii="Times New Roman" w:eastAsia="Times New Roman" w:hAnsi="Times New Roman" w:cs="Times New Roman"/>
                <w:color w:val="000000"/>
                <w:sz w:val="24"/>
                <w:szCs w:val="24"/>
                <w:lang w:val="en-US" w:eastAsia="en-GB"/>
              </w:rPr>
              <w:t>/at</w:t>
            </w:r>
            <w:r w:rsidRPr="00DA1D07">
              <w:rPr>
                <w:rFonts w:ascii="Times New Roman" w:eastAsia="Times New Roman" w:hAnsi="Times New Roman" w:cs="Times New Roman"/>
                <w:color w:val="000000"/>
                <w:sz w:val="24"/>
                <w:szCs w:val="24"/>
                <w:vertAlign w:val="subscript"/>
                <w:lang w:val="en-US" w:eastAsia="en-GB"/>
              </w:rPr>
              <w:t>t-1</w:t>
            </w:r>
            <w:r w:rsidRPr="00DA1D07">
              <w:rPr>
                <w:rFonts w:ascii="Times New Roman" w:eastAsia="Times New Roman" w:hAnsi="Times New Roman" w:cs="Times New Roman"/>
                <w:color w:val="000000"/>
                <w:sz w:val="24"/>
                <w:szCs w:val="24"/>
                <w:lang w:val="en-US" w:eastAsia="en-GB"/>
              </w:rPr>
              <w:t>]</w:t>
            </w:r>
          </w:p>
        </w:tc>
      </w:tr>
      <w:tr w:rsidR="007F78D0" w:rsidRPr="00F62082" w14:paraId="0140EE67" w14:textId="77777777" w:rsidTr="006B635B">
        <w:trPr>
          <w:trHeight w:val="300"/>
        </w:trPr>
        <w:tc>
          <w:tcPr>
            <w:tcW w:w="2127" w:type="dxa"/>
            <w:tcBorders>
              <w:top w:val="nil"/>
              <w:left w:val="nil"/>
              <w:bottom w:val="nil"/>
              <w:right w:val="nil"/>
            </w:tcBorders>
            <w:shd w:val="clear" w:color="000000" w:fill="FFFFFF"/>
            <w:noWrap/>
            <w:vAlign w:val="center"/>
            <w:hideMark/>
          </w:tcPr>
          <w:p w14:paraId="78A2882B" w14:textId="77777777" w:rsidR="007F78D0" w:rsidRPr="00DA1D07" w:rsidRDefault="007F78D0" w:rsidP="00DB47AA">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FirmSize</w:t>
            </w:r>
            <w:proofErr w:type="spellEnd"/>
          </w:p>
        </w:tc>
        <w:tc>
          <w:tcPr>
            <w:tcW w:w="7087" w:type="dxa"/>
            <w:tcBorders>
              <w:top w:val="nil"/>
              <w:left w:val="nil"/>
              <w:bottom w:val="nil"/>
              <w:right w:val="nil"/>
            </w:tcBorders>
            <w:shd w:val="clear" w:color="000000" w:fill="FFFFFF"/>
            <w:vAlign w:val="center"/>
            <w:hideMark/>
          </w:tcPr>
          <w:p w14:paraId="0E4ED4A8" w14:textId="77777777" w:rsidR="007F78D0" w:rsidRPr="00DA1D07" w:rsidRDefault="007F78D0" w:rsidP="00DB47AA">
            <w:pPr>
              <w:spacing w:after="0" w:line="240" w:lineRule="auto"/>
              <w:jc w:val="both"/>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Natural logarithm of market value. [C: ln(</w:t>
            </w:r>
            <w:proofErr w:type="spellStart"/>
            <w:r w:rsidRPr="00DA1D07">
              <w:rPr>
                <w:rFonts w:ascii="Times New Roman" w:eastAsia="Times New Roman" w:hAnsi="Times New Roman" w:cs="Times New Roman"/>
                <w:color w:val="000000"/>
                <w:sz w:val="24"/>
                <w:szCs w:val="24"/>
                <w:lang w:val="en-US" w:eastAsia="en-GB"/>
              </w:rPr>
              <w:t>mkvalt</w:t>
            </w:r>
            <w:proofErr w:type="spellEnd"/>
            <w:r w:rsidRPr="00DA1D07">
              <w:rPr>
                <w:rFonts w:ascii="Times New Roman" w:eastAsia="Times New Roman" w:hAnsi="Times New Roman" w:cs="Times New Roman"/>
                <w:color w:val="000000"/>
                <w:sz w:val="24"/>
                <w:szCs w:val="24"/>
                <w:lang w:val="en-US" w:eastAsia="en-GB"/>
              </w:rPr>
              <w:t>)]</w:t>
            </w:r>
          </w:p>
        </w:tc>
      </w:tr>
      <w:tr w:rsidR="007F78D0" w:rsidRPr="00F62082" w14:paraId="3176A868" w14:textId="77777777" w:rsidTr="006B635B">
        <w:trPr>
          <w:trHeight w:val="330"/>
        </w:trPr>
        <w:tc>
          <w:tcPr>
            <w:tcW w:w="2127" w:type="dxa"/>
            <w:tcBorders>
              <w:top w:val="nil"/>
              <w:left w:val="nil"/>
              <w:bottom w:val="nil"/>
              <w:right w:val="nil"/>
            </w:tcBorders>
            <w:shd w:val="clear" w:color="000000" w:fill="FFFFFF"/>
            <w:noWrap/>
            <w:vAlign w:val="center"/>
            <w:hideMark/>
          </w:tcPr>
          <w:p w14:paraId="33068FD4" w14:textId="77777777" w:rsidR="007F78D0" w:rsidRPr="00DA1D07" w:rsidRDefault="007F78D0" w:rsidP="00DB47AA">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Employees</w:t>
            </w:r>
          </w:p>
        </w:tc>
        <w:tc>
          <w:tcPr>
            <w:tcW w:w="7087" w:type="dxa"/>
            <w:tcBorders>
              <w:top w:val="nil"/>
              <w:left w:val="nil"/>
              <w:bottom w:val="nil"/>
              <w:right w:val="nil"/>
            </w:tcBorders>
            <w:shd w:val="clear" w:color="000000" w:fill="FFFFFF"/>
            <w:vAlign w:val="center"/>
            <w:hideMark/>
          </w:tcPr>
          <w:p w14:paraId="1DC88A84" w14:textId="7EE5A2A6" w:rsidR="007F78D0" w:rsidRPr="00DA1D07" w:rsidRDefault="007F78D0" w:rsidP="00DB47AA">
            <w:pPr>
              <w:spacing w:after="0" w:line="240" w:lineRule="auto"/>
              <w:jc w:val="both"/>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 xml:space="preserve">Natural logarithm of </w:t>
            </w:r>
            <w:r w:rsidR="0081356D">
              <w:rPr>
                <w:rFonts w:ascii="Times New Roman" w:eastAsia="Times New Roman" w:hAnsi="Times New Roman" w:cs="Times New Roman"/>
                <w:color w:val="000000"/>
                <w:sz w:val="24"/>
                <w:szCs w:val="24"/>
                <w:lang w:val="en-US" w:eastAsia="en-GB"/>
              </w:rPr>
              <w:t>the</w:t>
            </w:r>
            <w:r w:rsidRPr="00DA1D07">
              <w:rPr>
                <w:rFonts w:ascii="Times New Roman" w:eastAsia="Times New Roman" w:hAnsi="Times New Roman" w:cs="Times New Roman"/>
                <w:color w:val="000000"/>
                <w:sz w:val="24"/>
                <w:szCs w:val="24"/>
                <w:lang w:val="en-US" w:eastAsia="en-GB"/>
              </w:rPr>
              <w:t xml:space="preserve"> number of employees. [C: ln(emp</w:t>
            </w:r>
            <w:r w:rsidRPr="00DA1D07">
              <w:rPr>
                <w:rFonts w:ascii="Times New Roman" w:eastAsia="Times New Roman" w:hAnsi="Times New Roman" w:cs="Times New Roman"/>
                <w:color w:val="000000"/>
                <w:sz w:val="24"/>
                <w:szCs w:val="24"/>
                <w:vertAlign w:val="subscript"/>
                <w:lang w:val="en-US" w:eastAsia="en-GB"/>
              </w:rPr>
              <w:t>t-1</w:t>
            </w:r>
            <w:r w:rsidRPr="00DA1D07">
              <w:rPr>
                <w:rFonts w:ascii="Times New Roman" w:eastAsia="Times New Roman" w:hAnsi="Times New Roman" w:cs="Times New Roman"/>
                <w:color w:val="000000"/>
                <w:sz w:val="24"/>
                <w:szCs w:val="24"/>
                <w:lang w:val="en-US" w:eastAsia="en-GB"/>
              </w:rPr>
              <w:t>)]</w:t>
            </w:r>
          </w:p>
        </w:tc>
      </w:tr>
      <w:tr w:rsidR="007F78D0" w:rsidRPr="00F62082" w14:paraId="05522475" w14:textId="77777777" w:rsidTr="006B635B">
        <w:trPr>
          <w:trHeight w:val="300"/>
        </w:trPr>
        <w:tc>
          <w:tcPr>
            <w:tcW w:w="2127" w:type="dxa"/>
            <w:tcBorders>
              <w:top w:val="nil"/>
              <w:left w:val="nil"/>
              <w:bottom w:val="nil"/>
              <w:right w:val="nil"/>
            </w:tcBorders>
            <w:shd w:val="clear" w:color="000000" w:fill="FFFFFF"/>
            <w:noWrap/>
            <w:vAlign w:val="center"/>
            <w:hideMark/>
          </w:tcPr>
          <w:p w14:paraId="302773B0" w14:textId="77777777" w:rsidR="007F78D0" w:rsidRPr="00DA1D07" w:rsidRDefault="007F78D0" w:rsidP="00DB47AA">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LaborIntensity</w:t>
            </w:r>
            <w:proofErr w:type="spellEnd"/>
          </w:p>
        </w:tc>
        <w:tc>
          <w:tcPr>
            <w:tcW w:w="7087" w:type="dxa"/>
            <w:tcBorders>
              <w:top w:val="nil"/>
              <w:left w:val="nil"/>
              <w:bottom w:val="nil"/>
              <w:right w:val="nil"/>
            </w:tcBorders>
            <w:shd w:val="clear" w:color="000000" w:fill="FFFFFF"/>
            <w:vAlign w:val="center"/>
            <w:hideMark/>
          </w:tcPr>
          <w:p w14:paraId="748DF738" w14:textId="77777777" w:rsidR="007F78D0" w:rsidRPr="00DA1D07" w:rsidRDefault="007F78D0" w:rsidP="00DB47AA">
            <w:pPr>
              <w:spacing w:after="0" w:line="240" w:lineRule="auto"/>
              <w:jc w:val="both"/>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The standardized ratio of a number of employees to total assets. [C: emp/(at/1000)]</w:t>
            </w:r>
          </w:p>
        </w:tc>
      </w:tr>
      <w:tr w:rsidR="007F78D0" w:rsidRPr="00F62082" w14:paraId="67415D73" w14:textId="77777777" w:rsidTr="006B635B">
        <w:trPr>
          <w:trHeight w:val="330"/>
        </w:trPr>
        <w:tc>
          <w:tcPr>
            <w:tcW w:w="2127" w:type="dxa"/>
            <w:tcBorders>
              <w:top w:val="nil"/>
              <w:left w:val="nil"/>
              <w:bottom w:val="nil"/>
              <w:right w:val="nil"/>
            </w:tcBorders>
            <w:shd w:val="clear" w:color="000000" w:fill="FFFFFF"/>
            <w:noWrap/>
            <w:vAlign w:val="center"/>
            <w:hideMark/>
          </w:tcPr>
          <w:p w14:paraId="3B4D572C" w14:textId="77777777" w:rsidR="007F78D0" w:rsidRPr="00DA1D07" w:rsidRDefault="007F78D0" w:rsidP="00DB47AA">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AssetTurnover</w:t>
            </w:r>
            <w:proofErr w:type="spellEnd"/>
          </w:p>
        </w:tc>
        <w:tc>
          <w:tcPr>
            <w:tcW w:w="7087" w:type="dxa"/>
            <w:tcBorders>
              <w:top w:val="nil"/>
              <w:left w:val="nil"/>
              <w:bottom w:val="nil"/>
              <w:right w:val="nil"/>
            </w:tcBorders>
            <w:shd w:val="clear" w:color="000000" w:fill="FFFFFF"/>
            <w:vAlign w:val="center"/>
            <w:hideMark/>
          </w:tcPr>
          <w:p w14:paraId="21161571" w14:textId="313ECBFF" w:rsidR="007F78D0" w:rsidRPr="00DA1D07" w:rsidRDefault="007F78D0" w:rsidP="00DB47AA">
            <w:pPr>
              <w:spacing w:after="0" w:line="240" w:lineRule="auto"/>
              <w:jc w:val="both"/>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 xml:space="preserve">The ratio of total sales to </w:t>
            </w:r>
            <w:r w:rsidR="00155940">
              <w:rPr>
                <w:rFonts w:ascii="Times New Roman" w:eastAsia="Times New Roman" w:hAnsi="Times New Roman" w:cs="Times New Roman"/>
                <w:color w:val="000000"/>
                <w:sz w:val="24"/>
                <w:szCs w:val="24"/>
                <w:lang w:val="en-US" w:eastAsia="en-GB"/>
              </w:rPr>
              <w:t xml:space="preserve">the </w:t>
            </w:r>
            <w:r w:rsidRPr="00DA1D07">
              <w:rPr>
                <w:rFonts w:ascii="Times New Roman" w:eastAsia="Times New Roman" w:hAnsi="Times New Roman" w:cs="Times New Roman"/>
                <w:color w:val="000000"/>
                <w:sz w:val="24"/>
                <w:szCs w:val="24"/>
                <w:lang w:val="en-US" w:eastAsia="en-GB"/>
              </w:rPr>
              <w:t>lagged value of the total book value of total assets. [C: sale/at</w:t>
            </w:r>
            <w:r w:rsidRPr="00DA1D07">
              <w:rPr>
                <w:rFonts w:ascii="Times New Roman" w:eastAsia="Times New Roman" w:hAnsi="Times New Roman" w:cs="Times New Roman"/>
                <w:color w:val="000000"/>
                <w:sz w:val="24"/>
                <w:szCs w:val="24"/>
                <w:vertAlign w:val="subscript"/>
                <w:lang w:val="en-US" w:eastAsia="en-GB"/>
              </w:rPr>
              <w:t>t-1</w:t>
            </w:r>
            <w:r w:rsidRPr="00DA1D07">
              <w:rPr>
                <w:rFonts w:ascii="Times New Roman" w:eastAsia="Times New Roman" w:hAnsi="Times New Roman" w:cs="Times New Roman"/>
                <w:color w:val="000000"/>
                <w:sz w:val="24"/>
                <w:szCs w:val="24"/>
                <w:lang w:val="en-US" w:eastAsia="en-GB"/>
              </w:rPr>
              <w:t>]</w:t>
            </w:r>
          </w:p>
        </w:tc>
      </w:tr>
      <w:tr w:rsidR="007F78D0" w:rsidRPr="00F62082" w14:paraId="489E6B65" w14:textId="77777777" w:rsidTr="006B635B">
        <w:trPr>
          <w:trHeight w:val="600"/>
        </w:trPr>
        <w:tc>
          <w:tcPr>
            <w:tcW w:w="2127" w:type="dxa"/>
            <w:tcBorders>
              <w:top w:val="nil"/>
              <w:left w:val="nil"/>
              <w:bottom w:val="nil"/>
              <w:right w:val="nil"/>
            </w:tcBorders>
            <w:shd w:val="clear" w:color="000000" w:fill="FFFFFF"/>
            <w:noWrap/>
            <w:vAlign w:val="center"/>
            <w:hideMark/>
          </w:tcPr>
          <w:p w14:paraId="51AAF6F8" w14:textId="77777777" w:rsidR="007F78D0" w:rsidRPr="00DA1D07" w:rsidRDefault="007F78D0" w:rsidP="00DB47AA">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Market-to-book</w:t>
            </w:r>
          </w:p>
        </w:tc>
        <w:tc>
          <w:tcPr>
            <w:tcW w:w="7087" w:type="dxa"/>
            <w:tcBorders>
              <w:top w:val="nil"/>
              <w:left w:val="nil"/>
              <w:bottom w:val="nil"/>
              <w:right w:val="nil"/>
            </w:tcBorders>
            <w:shd w:val="clear" w:color="000000" w:fill="FFFFFF"/>
            <w:vAlign w:val="center"/>
            <w:hideMark/>
          </w:tcPr>
          <w:p w14:paraId="26D15B0B" w14:textId="77777777" w:rsidR="007F78D0" w:rsidRPr="00DA1D07" w:rsidRDefault="007F78D0" w:rsidP="00DB47AA">
            <w:pPr>
              <w:spacing w:after="0" w:line="240" w:lineRule="auto"/>
              <w:jc w:val="both"/>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Ratio of market value of total assets to book value of total assets. [C: (</w:t>
            </w:r>
            <w:proofErr w:type="spellStart"/>
            <w:r w:rsidRPr="00DA1D07">
              <w:rPr>
                <w:rFonts w:ascii="Times New Roman" w:eastAsia="Times New Roman" w:hAnsi="Times New Roman" w:cs="Times New Roman"/>
                <w:color w:val="000000"/>
                <w:sz w:val="24"/>
                <w:szCs w:val="24"/>
                <w:lang w:val="en-US" w:eastAsia="en-GB"/>
              </w:rPr>
              <w:t>cshpri</w:t>
            </w:r>
            <w:proofErr w:type="spellEnd"/>
            <w:r w:rsidRPr="00DA1D07">
              <w:rPr>
                <w:rFonts w:ascii="Times New Roman" w:eastAsia="Times New Roman" w:hAnsi="Times New Roman" w:cs="Times New Roman"/>
                <w:color w:val="000000"/>
                <w:sz w:val="24"/>
                <w:szCs w:val="24"/>
                <w:lang w:val="en-US" w:eastAsia="en-GB"/>
              </w:rPr>
              <w:t>*</w:t>
            </w:r>
            <w:proofErr w:type="spellStart"/>
            <w:r w:rsidRPr="00DA1D07">
              <w:rPr>
                <w:rFonts w:ascii="Times New Roman" w:eastAsia="Times New Roman" w:hAnsi="Times New Roman" w:cs="Times New Roman"/>
                <w:color w:val="000000"/>
                <w:sz w:val="24"/>
                <w:szCs w:val="24"/>
                <w:lang w:val="en-US" w:eastAsia="en-GB"/>
              </w:rPr>
              <w:t>prcc_f+pstkl+dlc+dltt-txdb</w:t>
            </w:r>
            <w:proofErr w:type="spellEnd"/>
            <w:r w:rsidRPr="00DA1D07">
              <w:rPr>
                <w:rFonts w:ascii="Times New Roman" w:eastAsia="Times New Roman" w:hAnsi="Times New Roman" w:cs="Times New Roman"/>
                <w:color w:val="000000"/>
                <w:sz w:val="24"/>
                <w:szCs w:val="24"/>
                <w:lang w:val="en-US" w:eastAsia="en-GB"/>
              </w:rPr>
              <w:t>)/at]</w:t>
            </w:r>
          </w:p>
        </w:tc>
      </w:tr>
      <w:tr w:rsidR="007F78D0" w:rsidRPr="00F62082" w14:paraId="4B3F05DF" w14:textId="77777777" w:rsidTr="006B635B">
        <w:trPr>
          <w:trHeight w:val="300"/>
        </w:trPr>
        <w:tc>
          <w:tcPr>
            <w:tcW w:w="2127" w:type="dxa"/>
            <w:tcBorders>
              <w:top w:val="nil"/>
              <w:left w:val="nil"/>
              <w:bottom w:val="nil"/>
              <w:right w:val="nil"/>
            </w:tcBorders>
            <w:shd w:val="clear" w:color="000000" w:fill="FFFFFF"/>
            <w:noWrap/>
            <w:vAlign w:val="center"/>
            <w:hideMark/>
          </w:tcPr>
          <w:p w14:paraId="008AD697" w14:textId="77777777" w:rsidR="007F78D0" w:rsidRPr="00DA1D07" w:rsidRDefault="007F78D0" w:rsidP="00DB47AA">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Tangibility</w:t>
            </w:r>
          </w:p>
        </w:tc>
        <w:tc>
          <w:tcPr>
            <w:tcW w:w="7087" w:type="dxa"/>
            <w:tcBorders>
              <w:top w:val="nil"/>
              <w:left w:val="nil"/>
              <w:bottom w:val="nil"/>
              <w:right w:val="nil"/>
            </w:tcBorders>
            <w:shd w:val="clear" w:color="000000" w:fill="FFFFFF"/>
            <w:vAlign w:val="center"/>
            <w:hideMark/>
          </w:tcPr>
          <w:p w14:paraId="69570A9D" w14:textId="77777777" w:rsidR="007F78D0" w:rsidRPr="00DA1D07" w:rsidRDefault="007F78D0" w:rsidP="00DB47AA">
            <w:pPr>
              <w:spacing w:after="0" w:line="240" w:lineRule="auto"/>
              <w:jc w:val="both"/>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 xml:space="preserve">The ratio of net property, plant, and equipment to book value of total assets. [C: </w:t>
            </w:r>
            <w:proofErr w:type="spellStart"/>
            <w:r w:rsidRPr="00DA1D07">
              <w:rPr>
                <w:rFonts w:ascii="Times New Roman" w:eastAsia="Times New Roman" w:hAnsi="Times New Roman" w:cs="Times New Roman"/>
                <w:color w:val="000000"/>
                <w:sz w:val="24"/>
                <w:szCs w:val="24"/>
                <w:lang w:val="en-US" w:eastAsia="en-GB"/>
              </w:rPr>
              <w:t>ppent</w:t>
            </w:r>
            <w:proofErr w:type="spellEnd"/>
            <w:r w:rsidRPr="00DA1D07">
              <w:rPr>
                <w:rFonts w:ascii="Times New Roman" w:eastAsia="Times New Roman" w:hAnsi="Times New Roman" w:cs="Times New Roman"/>
                <w:color w:val="000000"/>
                <w:sz w:val="24"/>
                <w:szCs w:val="24"/>
                <w:lang w:val="en-US" w:eastAsia="en-GB"/>
              </w:rPr>
              <w:t>/at]</w:t>
            </w:r>
          </w:p>
        </w:tc>
      </w:tr>
      <w:tr w:rsidR="007F78D0" w:rsidRPr="00F62082" w14:paraId="53491B5B" w14:textId="77777777" w:rsidTr="006B635B">
        <w:trPr>
          <w:trHeight w:val="330"/>
        </w:trPr>
        <w:tc>
          <w:tcPr>
            <w:tcW w:w="2127" w:type="dxa"/>
            <w:tcBorders>
              <w:top w:val="nil"/>
              <w:left w:val="nil"/>
              <w:bottom w:val="nil"/>
              <w:right w:val="nil"/>
            </w:tcBorders>
            <w:shd w:val="clear" w:color="000000" w:fill="FFFFFF"/>
            <w:noWrap/>
            <w:vAlign w:val="center"/>
            <w:hideMark/>
          </w:tcPr>
          <w:p w14:paraId="4BD12356" w14:textId="77777777" w:rsidR="007F78D0" w:rsidRPr="00DA1D07" w:rsidRDefault="007F78D0" w:rsidP="00DB47AA">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Capex</w:t>
            </w:r>
          </w:p>
        </w:tc>
        <w:tc>
          <w:tcPr>
            <w:tcW w:w="7087" w:type="dxa"/>
            <w:tcBorders>
              <w:top w:val="nil"/>
              <w:left w:val="nil"/>
              <w:bottom w:val="nil"/>
              <w:right w:val="nil"/>
            </w:tcBorders>
            <w:shd w:val="clear" w:color="000000" w:fill="FFFFFF"/>
            <w:vAlign w:val="center"/>
            <w:hideMark/>
          </w:tcPr>
          <w:p w14:paraId="31458697" w14:textId="77777777" w:rsidR="007F78D0" w:rsidRPr="00DA1D07" w:rsidRDefault="007F78D0" w:rsidP="00DB47AA">
            <w:pPr>
              <w:spacing w:after="0" w:line="240" w:lineRule="auto"/>
              <w:jc w:val="both"/>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 xml:space="preserve">The ratio of capital expenditure to lagged book value of total assets. [C: </w:t>
            </w:r>
            <w:proofErr w:type="spellStart"/>
            <w:r w:rsidRPr="00DA1D07">
              <w:rPr>
                <w:rFonts w:ascii="Times New Roman" w:eastAsia="Times New Roman" w:hAnsi="Times New Roman" w:cs="Times New Roman"/>
                <w:color w:val="000000"/>
                <w:sz w:val="24"/>
                <w:szCs w:val="24"/>
                <w:lang w:val="en-US" w:eastAsia="en-GB"/>
              </w:rPr>
              <w:t>capx</w:t>
            </w:r>
            <w:proofErr w:type="spellEnd"/>
            <w:r w:rsidRPr="00DA1D07">
              <w:rPr>
                <w:rFonts w:ascii="Times New Roman" w:eastAsia="Times New Roman" w:hAnsi="Times New Roman" w:cs="Times New Roman"/>
                <w:color w:val="000000"/>
                <w:sz w:val="24"/>
                <w:szCs w:val="24"/>
                <w:lang w:val="en-US" w:eastAsia="en-GB"/>
              </w:rPr>
              <w:t>/at</w:t>
            </w:r>
            <w:r w:rsidRPr="00DA1D07">
              <w:rPr>
                <w:rFonts w:ascii="Times New Roman" w:eastAsia="Times New Roman" w:hAnsi="Times New Roman" w:cs="Times New Roman"/>
                <w:color w:val="000000"/>
                <w:sz w:val="24"/>
                <w:szCs w:val="24"/>
                <w:vertAlign w:val="subscript"/>
                <w:lang w:val="en-US" w:eastAsia="en-GB"/>
              </w:rPr>
              <w:t>t-1</w:t>
            </w:r>
            <w:r w:rsidRPr="00DA1D07">
              <w:rPr>
                <w:rFonts w:ascii="Times New Roman" w:eastAsia="Times New Roman" w:hAnsi="Times New Roman" w:cs="Times New Roman"/>
                <w:color w:val="000000"/>
                <w:sz w:val="24"/>
                <w:szCs w:val="24"/>
                <w:lang w:val="en-US" w:eastAsia="en-GB"/>
              </w:rPr>
              <w:t>]</w:t>
            </w:r>
          </w:p>
        </w:tc>
      </w:tr>
      <w:tr w:rsidR="007F78D0" w:rsidRPr="00F62082" w14:paraId="360C52FC" w14:textId="77777777" w:rsidTr="006B635B">
        <w:trPr>
          <w:trHeight w:val="300"/>
        </w:trPr>
        <w:tc>
          <w:tcPr>
            <w:tcW w:w="2127" w:type="dxa"/>
            <w:tcBorders>
              <w:top w:val="nil"/>
              <w:left w:val="nil"/>
              <w:bottom w:val="nil"/>
              <w:right w:val="nil"/>
            </w:tcBorders>
            <w:shd w:val="clear" w:color="000000" w:fill="FFFFFF"/>
            <w:noWrap/>
            <w:vAlign w:val="center"/>
            <w:hideMark/>
          </w:tcPr>
          <w:p w14:paraId="36AB5D5B" w14:textId="77777777" w:rsidR="007F78D0" w:rsidRPr="00DA1D07" w:rsidRDefault="007F78D0" w:rsidP="00DB47AA">
            <w:pPr>
              <w:spacing w:after="0" w:line="240" w:lineRule="auto"/>
              <w:rPr>
                <w:rFonts w:ascii="Times New Roman" w:eastAsia="Times New Roman" w:hAnsi="Times New Roman" w:cs="Times New Roman"/>
                <w:i/>
                <w:iCs/>
                <w:color w:val="000000"/>
                <w:sz w:val="24"/>
                <w:szCs w:val="24"/>
                <w:lang w:val="en-US" w:eastAsia="en-GB"/>
              </w:rPr>
            </w:pPr>
            <w:r w:rsidRPr="00DA1D07">
              <w:rPr>
                <w:rFonts w:ascii="Times New Roman" w:eastAsia="Times New Roman" w:hAnsi="Times New Roman" w:cs="Times New Roman"/>
                <w:i/>
                <w:iCs/>
                <w:color w:val="000000"/>
                <w:sz w:val="24"/>
                <w:szCs w:val="24"/>
                <w:lang w:val="en-US" w:eastAsia="en-GB"/>
              </w:rPr>
              <w:t>RET</w:t>
            </w:r>
          </w:p>
        </w:tc>
        <w:tc>
          <w:tcPr>
            <w:tcW w:w="7087" w:type="dxa"/>
            <w:tcBorders>
              <w:top w:val="nil"/>
              <w:left w:val="nil"/>
              <w:bottom w:val="nil"/>
              <w:right w:val="nil"/>
            </w:tcBorders>
            <w:shd w:val="clear" w:color="000000" w:fill="FFFFFF"/>
            <w:vAlign w:val="center"/>
            <w:hideMark/>
          </w:tcPr>
          <w:p w14:paraId="67294A17" w14:textId="77777777" w:rsidR="007F78D0" w:rsidRPr="00DA1D07" w:rsidRDefault="007F78D0" w:rsidP="00DB47AA">
            <w:pPr>
              <w:spacing w:after="0" w:line="240" w:lineRule="auto"/>
              <w:jc w:val="both"/>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12-month buy and hold abnormal returns [CRSP]</w:t>
            </w:r>
          </w:p>
        </w:tc>
      </w:tr>
      <w:tr w:rsidR="007F78D0" w:rsidRPr="00F62082" w14:paraId="27150623" w14:textId="77777777" w:rsidTr="006B635B">
        <w:trPr>
          <w:trHeight w:val="300"/>
        </w:trPr>
        <w:tc>
          <w:tcPr>
            <w:tcW w:w="2127" w:type="dxa"/>
            <w:tcBorders>
              <w:top w:val="nil"/>
              <w:left w:val="nil"/>
              <w:bottom w:val="nil"/>
              <w:right w:val="nil"/>
            </w:tcBorders>
            <w:shd w:val="clear" w:color="000000" w:fill="FFFFFF"/>
            <w:noWrap/>
            <w:vAlign w:val="center"/>
            <w:hideMark/>
          </w:tcPr>
          <w:p w14:paraId="11D86657" w14:textId="77777777" w:rsidR="007F78D0" w:rsidRPr="00DA1D07" w:rsidRDefault="007F78D0" w:rsidP="00DB47AA">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CEOage</w:t>
            </w:r>
            <w:proofErr w:type="spellEnd"/>
          </w:p>
        </w:tc>
        <w:tc>
          <w:tcPr>
            <w:tcW w:w="7087" w:type="dxa"/>
            <w:tcBorders>
              <w:top w:val="nil"/>
              <w:left w:val="nil"/>
              <w:bottom w:val="nil"/>
              <w:right w:val="nil"/>
            </w:tcBorders>
            <w:shd w:val="clear" w:color="000000" w:fill="FFFFFF"/>
            <w:vAlign w:val="center"/>
            <w:hideMark/>
          </w:tcPr>
          <w:p w14:paraId="35DAD473" w14:textId="77777777" w:rsidR="007F78D0" w:rsidRPr="00DA1D07" w:rsidRDefault="007F78D0" w:rsidP="00DB47AA">
            <w:pPr>
              <w:spacing w:after="0" w:line="240" w:lineRule="auto"/>
              <w:jc w:val="both"/>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Age of the current CEO in a number of years [C]</w:t>
            </w:r>
          </w:p>
        </w:tc>
      </w:tr>
      <w:tr w:rsidR="007F78D0" w:rsidRPr="00F62082" w14:paraId="4152B70B" w14:textId="77777777" w:rsidTr="006B635B">
        <w:trPr>
          <w:trHeight w:val="315"/>
        </w:trPr>
        <w:tc>
          <w:tcPr>
            <w:tcW w:w="2127" w:type="dxa"/>
            <w:tcBorders>
              <w:top w:val="nil"/>
              <w:left w:val="nil"/>
              <w:bottom w:val="single" w:sz="8" w:space="0" w:color="auto"/>
              <w:right w:val="nil"/>
            </w:tcBorders>
            <w:shd w:val="clear" w:color="000000" w:fill="FFFFFF"/>
            <w:noWrap/>
            <w:vAlign w:val="center"/>
            <w:hideMark/>
          </w:tcPr>
          <w:p w14:paraId="6C9935B1" w14:textId="77777777" w:rsidR="007F78D0" w:rsidRPr="00DA1D07" w:rsidRDefault="007F78D0" w:rsidP="00DB47AA">
            <w:pPr>
              <w:spacing w:after="0" w:line="240" w:lineRule="auto"/>
              <w:rPr>
                <w:rFonts w:ascii="Times New Roman" w:eastAsia="Times New Roman" w:hAnsi="Times New Roman" w:cs="Times New Roman"/>
                <w:i/>
                <w:iCs/>
                <w:color w:val="000000"/>
                <w:sz w:val="24"/>
                <w:szCs w:val="24"/>
                <w:lang w:val="en-US" w:eastAsia="en-GB"/>
              </w:rPr>
            </w:pPr>
            <w:proofErr w:type="spellStart"/>
            <w:r w:rsidRPr="00DA1D07">
              <w:rPr>
                <w:rFonts w:ascii="Times New Roman" w:eastAsia="Times New Roman" w:hAnsi="Times New Roman" w:cs="Times New Roman"/>
                <w:i/>
                <w:iCs/>
                <w:color w:val="000000"/>
                <w:sz w:val="24"/>
                <w:szCs w:val="24"/>
                <w:lang w:val="en-US" w:eastAsia="en-GB"/>
              </w:rPr>
              <w:t>CEOtenure</w:t>
            </w:r>
            <w:proofErr w:type="spellEnd"/>
          </w:p>
        </w:tc>
        <w:tc>
          <w:tcPr>
            <w:tcW w:w="7087" w:type="dxa"/>
            <w:tcBorders>
              <w:top w:val="nil"/>
              <w:left w:val="nil"/>
              <w:bottom w:val="single" w:sz="8" w:space="0" w:color="auto"/>
              <w:right w:val="nil"/>
            </w:tcBorders>
            <w:shd w:val="clear" w:color="000000" w:fill="FFFFFF"/>
            <w:vAlign w:val="center"/>
            <w:hideMark/>
          </w:tcPr>
          <w:p w14:paraId="4CADC45B" w14:textId="77777777" w:rsidR="007F78D0" w:rsidRPr="00DA1D07" w:rsidRDefault="007F78D0" w:rsidP="00DB47AA">
            <w:pPr>
              <w:spacing w:after="0" w:line="240" w:lineRule="auto"/>
              <w:jc w:val="both"/>
              <w:rPr>
                <w:rFonts w:ascii="Times New Roman" w:eastAsia="Times New Roman" w:hAnsi="Times New Roman" w:cs="Times New Roman"/>
                <w:color w:val="000000"/>
                <w:sz w:val="24"/>
                <w:szCs w:val="24"/>
                <w:lang w:val="en-US" w:eastAsia="en-GB"/>
              </w:rPr>
            </w:pPr>
            <w:r w:rsidRPr="00DA1D07">
              <w:rPr>
                <w:rFonts w:ascii="Times New Roman" w:eastAsia="Times New Roman" w:hAnsi="Times New Roman" w:cs="Times New Roman"/>
                <w:color w:val="000000"/>
                <w:sz w:val="24"/>
                <w:szCs w:val="24"/>
                <w:lang w:val="en-US" w:eastAsia="en-GB"/>
              </w:rPr>
              <w:t>A number of years since the current CEO joined the company [C]</w:t>
            </w:r>
          </w:p>
        </w:tc>
      </w:tr>
    </w:tbl>
    <w:p w14:paraId="168E2D41" w14:textId="331CB510" w:rsidR="0002750C" w:rsidRPr="00DA1D07" w:rsidRDefault="0002750C" w:rsidP="006B635B">
      <w:pPr>
        <w:spacing w:after="0"/>
        <w:rPr>
          <w:rFonts w:ascii="Times New Roman" w:hAnsi="Times New Roman" w:cs="Times New Roman"/>
          <w:b/>
          <w:sz w:val="24"/>
          <w:szCs w:val="24"/>
          <w:lang w:val="en-US"/>
        </w:rPr>
      </w:pPr>
    </w:p>
    <w:sectPr w:rsidR="0002750C" w:rsidRPr="00DA1D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1E600" w14:textId="77777777" w:rsidR="008F7754" w:rsidRDefault="008F7754" w:rsidP="00D01EC0">
      <w:pPr>
        <w:spacing w:after="0" w:line="240" w:lineRule="auto"/>
      </w:pPr>
      <w:r>
        <w:separator/>
      </w:r>
    </w:p>
  </w:endnote>
  <w:endnote w:type="continuationSeparator" w:id="0">
    <w:p w14:paraId="3AC3D131" w14:textId="77777777" w:rsidR="008F7754" w:rsidRDefault="008F7754" w:rsidP="00D0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MR12">
    <w:altName w:val="Calibri"/>
    <w:panose1 w:val="00000000000000000000"/>
    <w:charset w:val="80"/>
    <w:family w:val="auto"/>
    <w:notTrueType/>
    <w:pitch w:val="default"/>
    <w:sig w:usb0="00000001" w:usb1="08070000" w:usb2="00000010" w:usb3="00000000" w:csb0="00020000" w:csb1="00000000"/>
  </w:font>
  <w:font w:name="CharisSIL">
    <w:altName w:val="MS Gothic"/>
    <w:panose1 w:val="00000000000000000000"/>
    <w:charset w:val="80"/>
    <w:family w:val="swiss"/>
    <w:notTrueType/>
    <w:pitch w:val="default"/>
    <w:sig w:usb0="00000001" w:usb1="09070000" w:usb2="00000010" w:usb3="00000000" w:csb0="000A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E4DB0" w14:textId="0195784D" w:rsidR="00AF6E3E" w:rsidRDefault="00AF6E3E">
    <w:pPr>
      <w:pStyle w:val="Footer"/>
      <w:jc w:val="center"/>
    </w:pPr>
  </w:p>
  <w:p w14:paraId="1EDC6C28" w14:textId="77777777" w:rsidR="00AF6E3E" w:rsidRDefault="00AF6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2120199"/>
      <w:docPartObj>
        <w:docPartGallery w:val="Page Numbers (Bottom of Page)"/>
        <w:docPartUnique/>
      </w:docPartObj>
    </w:sdtPr>
    <w:sdtEndPr>
      <w:rPr>
        <w:rFonts w:ascii="Times New Roman" w:hAnsi="Times New Roman" w:cs="Times New Roman"/>
        <w:noProof/>
        <w:sz w:val="24"/>
        <w:szCs w:val="24"/>
      </w:rPr>
    </w:sdtEndPr>
    <w:sdtContent>
      <w:p w14:paraId="00B199CA" w14:textId="25639A35" w:rsidR="00AF6E3E" w:rsidRPr="00DC30C3" w:rsidRDefault="00AF6E3E">
        <w:pPr>
          <w:pStyle w:val="Footer"/>
          <w:jc w:val="center"/>
          <w:rPr>
            <w:rFonts w:ascii="Times New Roman" w:hAnsi="Times New Roman" w:cs="Times New Roman"/>
            <w:sz w:val="24"/>
            <w:szCs w:val="24"/>
          </w:rPr>
        </w:pPr>
        <w:r w:rsidRPr="00DC30C3">
          <w:rPr>
            <w:rFonts w:ascii="Times New Roman" w:hAnsi="Times New Roman" w:cs="Times New Roman"/>
            <w:sz w:val="24"/>
            <w:szCs w:val="24"/>
          </w:rPr>
          <w:fldChar w:fldCharType="begin"/>
        </w:r>
        <w:r w:rsidRPr="00DC30C3">
          <w:rPr>
            <w:rFonts w:ascii="Times New Roman" w:hAnsi="Times New Roman" w:cs="Times New Roman"/>
            <w:sz w:val="24"/>
            <w:szCs w:val="24"/>
          </w:rPr>
          <w:instrText xml:space="preserve"> PAGE   \* MERGEFORMAT </w:instrText>
        </w:r>
        <w:r w:rsidRPr="00DC30C3">
          <w:rPr>
            <w:rFonts w:ascii="Times New Roman" w:hAnsi="Times New Roman" w:cs="Times New Roman"/>
            <w:sz w:val="24"/>
            <w:szCs w:val="24"/>
          </w:rPr>
          <w:fldChar w:fldCharType="separate"/>
        </w:r>
        <w:r w:rsidR="00711AB8">
          <w:rPr>
            <w:rFonts w:ascii="Times New Roman" w:hAnsi="Times New Roman" w:cs="Times New Roman"/>
            <w:noProof/>
            <w:sz w:val="24"/>
            <w:szCs w:val="24"/>
          </w:rPr>
          <w:t>29</w:t>
        </w:r>
        <w:r w:rsidRPr="00DC30C3">
          <w:rPr>
            <w:rFonts w:ascii="Times New Roman" w:hAnsi="Times New Roman" w:cs="Times New Roman"/>
            <w:noProof/>
            <w:sz w:val="24"/>
            <w:szCs w:val="24"/>
          </w:rPr>
          <w:fldChar w:fldCharType="end"/>
        </w:r>
      </w:p>
    </w:sdtContent>
  </w:sdt>
  <w:p w14:paraId="38659B46" w14:textId="77777777" w:rsidR="00AF6E3E" w:rsidRDefault="00AF6E3E">
    <w:pPr>
      <w:pStyle w:val="Footer"/>
    </w:pPr>
  </w:p>
  <w:p w14:paraId="320BB12C" w14:textId="77777777" w:rsidR="00AF6E3E" w:rsidRDefault="00AF6E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FF3FD" w14:textId="77777777" w:rsidR="008F7754" w:rsidRDefault="008F7754" w:rsidP="00D01EC0">
      <w:pPr>
        <w:spacing w:after="0" w:line="240" w:lineRule="auto"/>
      </w:pPr>
      <w:r>
        <w:separator/>
      </w:r>
    </w:p>
  </w:footnote>
  <w:footnote w:type="continuationSeparator" w:id="0">
    <w:p w14:paraId="003840AB" w14:textId="77777777" w:rsidR="008F7754" w:rsidRDefault="008F7754" w:rsidP="00D01EC0">
      <w:pPr>
        <w:spacing w:after="0" w:line="240" w:lineRule="auto"/>
      </w:pPr>
      <w:r>
        <w:continuationSeparator/>
      </w:r>
    </w:p>
  </w:footnote>
  <w:footnote w:id="1">
    <w:p w14:paraId="73D5C4C0" w14:textId="57E3D5C1" w:rsidR="00AF6E3E" w:rsidRDefault="00AF6E3E" w:rsidP="006B635B">
      <w:pPr>
        <w:autoSpaceDE w:val="0"/>
        <w:autoSpaceDN w:val="0"/>
        <w:adjustRightInd w:val="0"/>
        <w:spacing w:after="0" w:line="240" w:lineRule="auto"/>
        <w:jc w:val="both"/>
      </w:pPr>
      <w:r w:rsidRPr="00D04C9D">
        <w:rPr>
          <w:rStyle w:val="FootnoteReference"/>
          <w:rFonts w:ascii="Times New Roman" w:hAnsi="Times New Roman" w:cs="Times New Roman"/>
          <w:sz w:val="20"/>
          <w:szCs w:val="20"/>
        </w:rPr>
        <w:footnoteRef/>
      </w:r>
      <w:r w:rsidRPr="00D04C9D">
        <w:rPr>
          <w:rFonts w:ascii="Times New Roman" w:hAnsi="Times New Roman" w:cs="Times New Roman"/>
          <w:sz w:val="20"/>
          <w:szCs w:val="20"/>
        </w:rPr>
        <w:t xml:space="preserve"> </w:t>
      </w:r>
      <w:r w:rsidRPr="00D04C9D">
        <w:rPr>
          <w:rFonts w:ascii="Times New Roman" w:hAnsi="Times New Roman" w:cs="Times New Roman"/>
          <w:sz w:val="20"/>
          <w:szCs w:val="20"/>
          <w:lang w:val="en-US"/>
        </w:rPr>
        <w:t>Vega captures the sensitivity of an executive’s equity wealth to stock price volatility and provides an explicit channel between equity incentives and risk taking. Delta measures the sensitivity of an executive’s equity wealth to stock price, however its effect on risk taking is less clear. On one hand, a higher sensitivity to changes in stock price should encourage managers to take risky investment decisions that maximize firm value. Yet, on the other hand, it strengthens the effect of equity risk on the total riskiness of a manager’s equity portfolio, generally discouraging risk averse managers from taking risky projects (Armstrong</w:t>
      </w:r>
      <w:r w:rsidR="00094BA9">
        <w:rPr>
          <w:rFonts w:ascii="Times New Roman" w:hAnsi="Times New Roman" w:cs="Times New Roman"/>
          <w:sz w:val="20"/>
          <w:szCs w:val="20"/>
          <w:lang w:val="en-US"/>
        </w:rPr>
        <w:t xml:space="preserve"> et al.</w:t>
      </w:r>
      <w:r w:rsidRPr="00D04C9D">
        <w:rPr>
          <w:rFonts w:ascii="Times New Roman" w:hAnsi="Times New Roman" w:cs="Times New Roman"/>
          <w:sz w:val="20"/>
          <w:szCs w:val="20"/>
          <w:lang w:val="en-US"/>
        </w:rPr>
        <w:t xml:space="preserve"> 2013). </w:t>
      </w:r>
    </w:p>
  </w:footnote>
  <w:footnote w:id="2">
    <w:p w14:paraId="1844861A" w14:textId="4DBC56E4" w:rsidR="00AF6E3E" w:rsidRPr="009954BA" w:rsidRDefault="00AF6E3E" w:rsidP="009954BA">
      <w:pPr>
        <w:pStyle w:val="FootnoteText"/>
        <w:jc w:val="both"/>
        <w:rPr>
          <w:rFonts w:ascii="Times New Roman" w:hAnsi="Times New Roman" w:cs="Times New Roman"/>
        </w:rPr>
      </w:pPr>
      <w:r w:rsidRPr="009954BA">
        <w:rPr>
          <w:rStyle w:val="FootnoteReference"/>
          <w:rFonts w:ascii="Times New Roman" w:hAnsi="Times New Roman" w:cs="Times New Roman"/>
        </w:rPr>
        <w:footnoteRef/>
      </w:r>
      <w:r w:rsidRPr="009954BA">
        <w:rPr>
          <w:rFonts w:ascii="Times New Roman" w:hAnsi="Times New Roman" w:cs="Times New Roman"/>
        </w:rPr>
        <w:t xml:space="preserve"> </w:t>
      </w:r>
      <w:r w:rsidRPr="009954BA">
        <w:rPr>
          <w:rFonts w:ascii="Times New Roman" w:hAnsi="Times New Roman" w:cs="Times New Roman"/>
          <w:color w:val="000000" w:themeColor="text1"/>
          <w:lang w:val="en-US"/>
        </w:rPr>
        <w:t>Bouslah</w:t>
      </w:r>
      <w:r w:rsidR="00024071">
        <w:rPr>
          <w:rFonts w:ascii="Times New Roman" w:hAnsi="Times New Roman" w:cs="Times New Roman"/>
          <w:color w:val="000000" w:themeColor="text1"/>
          <w:lang w:val="en-US"/>
        </w:rPr>
        <w:t xml:space="preserve"> et al. </w:t>
      </w:r>
      <w:r w:rsidRPr="009954BA">
        <w:rPr>
          <w:rFonts w:ascii="Times New Roman" w:hAnsi="Times New Roman" w:cs="Times New Roman"/>
          <w:lang w:val="en-US"/>
        </w:rPr>
        <w:t xml:space="preserve">(2018) show a positive relation between risk taking incentives as captured by vega and socially irresponsible behavior in the pre-2007 period but no such relation post-2007. The authors attribute these results to the increased scrutiny of compensation packages and the increased importance of reputational issues post-2007. In a similar vein, </w:t>
      </w:r>
      <w:r w:rsidRPr="009954BA">
        <w:rPr>
          <w:rFonts w:ascii="Times New Roman" w:hAnsi="Times New Roman" w:cs="Times New Roman"/>
          <w:color w:val="000000" w:themeColor="text1"/>
          <w:lang w:val="en-US"/>
        </w:rPr>
        <w:t>Dunbar</w:t>
      </w:r>
      <w:r w:rsidR="00024071">
        <w:rPr>
          <w:rFonts w:ascii="Times New Roman" w:hAnsi="Times New Roman" w:cs="Times New Roman"/>
          <w:color w:val="000000" w:themeColor="text1"/>
          <w:lang w:val="en-US"/>
        </w:rPr>
        <w:t xml:space="preserve"> et al.</w:t>
      </w:r>
      <w:r w:rsidRPr="009954BA">
        <w:rPr>
          <w:rFonts w:ascii="Times New Roman" w:hAnsi="Times New Roman" w:cs="Times New Roman"/>
          <w:color w:val="000000" w:themeColor="text1"/>
          <w:lang w:val="en-US"/>
        </w:rPr>
        <w:t xml:space="preserve"> </w:t>
      </w:r>
      <w:r w:rsidRPr="009954BA">
        <w:rPr>
          <w:rFonts w:ascii="Times New Roman" w:hAnsi="Times New Roman" w:cs="Times New Roman"/>
          <w:lang w:val="en-US"/>
        </w:rPr>
        <w:t>(2020) examine the relation between lagged corporate social responsibility and vega. While the authors find a positive relation between lagged corporate social responsibility and vega, this relation is largely driven by corporate social responsibility strengths as opposed to weaknesses.</w:t>
      </w:r>
    </w:p>
  </w:footnote>
  <w:footnote w:id="3">
    <w:p w14:paraId="482AA783" w14:textId="37862562" w:rsidR="00AF6E3E" w:rsidRPr="0033318B" w:rsidRDefault="00AF6E3E" w:rsidP="0033318B">
      <w:pPr>
        <w:pStyle w:val="FootnoteText"/>
        <w:jc w:val="both"/>
        <w:rPr>
          <w:rFonts w:ascii="Times New Roman" w:hAnsi="Times New Roman" w:cs="Times New Roman"/>
        </w:rPr>
      </w:pPr>
      <w:r w:rsidRPr="0033318B">
        <w:rPr>
          <w:rStyle w:val="FootnoteReference"/>
          <w:rFonts w:ascii="Times New Roman" w:hAnsi="Times New Roman" w:cs="Times New Roman"/>
        </w:rPr>
        <w:footnoteRef/>
      </w:r>
      <w:r w:rsidRPr="0033318B">
        <w:rPr>
          <w:rFonts w:ascii="Times New Roman" w:hAnsi="Times New Roman" w:cs="Times New Roman"/>
        </w:rPr>
        <w:t xml:space="preserve"> For example, both </w:t>
      </w:r>
      <w:r w:rsidRPr="0033318B">
        <w:rPr>
          <w:rFonts w:ascii="Times New Roman" w:hAnsi="Times New Roman" w:cs="Times New Roman"/>
        </w:rPr>
        <w:t>Bouslah</w:t>
      </w:r>
      <w:r w:rsidR="00024071">
        <w:rPr>
          <w:rFonts w:ascii="Times New Roman" w:hAnsi="Times New Roman" w:cs="Times New Roman"/>
        </w:rPr>
        <w:t xml:space="preserve"> et al.</w:t>
      </w:r>
      <w:r w:rsidRPr="0033318B">
        <w:rPr>
          <w:rFonts w:ascii="Times New Roman" w:hAnsi="Times New Roman" w:cs="Times New Roman"/>
        </w:rPr>
        <w:t xml:space="preserve"> (2018) and Dunbar</w:t>
      </w:r>
      <w:r w:rsidR="00024071">
        <w:rPr>
          <w:rFonts w:ascii="Times New Roman" w:hAnsi="Times New Roman" w:cs="Times New Roman"/>
        </w:rPr>
        <w:t xml:space="preserve"> et al.</w:t>
      </w:r>
      <w:r w:rsidRPr="0033318B">
        <w:rPr>
          <w:rFonts w:ascii="Times New Roman" w:hAnsi="Times New Roman" w:cs="Times New Roman"/>
        </w:rPr>
        <w:t xml:space="preserve"> (2020) use MSCI ESG (formerly KLD) data. The subjective nature of the MSCI ESG data collection process (Chatterji, Durand, Levine, and Touboul 2016) and the fact that some of the dimensions of corporate social responsibility in MSCI ESG data might be less relevant to corporate social performance (Servaes and Tamayo 2013; Lins, Servaes and Tamayo 2017) makes it difficult to identify the specific corporate social responsibility activities related to CEO risk taking incentives.</w:t>
      </w:r>
    </w:p>
  </w:footnote>
  <w:footnote w:id="4">
    <w:p w14:paraId="6FE6FBC0" w14:textId="47942D29" w:rsidR="00AF6E3E" w:rsidRPr="00704D53" w:rsidRDefault="00AF6E3E" w:rsidP="00704D53">
      <w:pPr>
        <w:pStyle w:val="FootnoteText"/>
        <w:jc w:val="both"/>
        <w:rPr>
          <w:rFonts w:ascii="Times New Roman" w:hAnsi="Times New Roman" w:cs="Times New Roman"/>
        </w:rPr>
      </w:pPr>
      <w:r w:rsidRPr="00704D53">
        <w:rPr>
          <w:rStyle w:val="FootnoteReference"/>
          <w:rFonts w:ascii="Times New Roman" w:hAnsi="Times New Roman" w:cs="Times New Roman"/>
        </w:rPr>
        <w:footnoteRef/>
      </w:r>
      <w:r w:rsidRPr="00704D53">
        <w:rPr>
          <w:rFonts w:ascii="Times New Roman" w:hAnsi="Times New Roman" w:cs="Times New Roman"/>
        </w:rPr>
        <w:t xml:space="preserve"> </w:t>
      </w:r>
      <w:r w:rsidRPr="00704D53">
        <w:rPr>
          <w:rFonts w:ascii="Times New Roman" w:hAnsi="Times New Roman" w:cs="Times New Roman"/>
          <w:lang w:val="en-US"/>
        </w:rPr>
        <w:t>Low (2009) reports that managers with low stock option incentives reduced firm risk after a court ruling in mid-1990s that made it more difficult for firm outsiders to penalize excessive caution. Gormley (2013) shows that the change in business risk resulting from the discovery of carcinogens changed the influence of stock option risk taking incentives on firm risk. Coles</w:t>
      </w:r>
      <w:r w:rsidR="00AD0ACE">
        <w:rPr>
          <w:rFonts w:ascii="Times New Roman" w:hAnsi="Times New Roman" w:cs="Times New Roman"/>
          <w:lang w:val="en-US"/>
        </w:rPr>
        <w:t xml:space="preserve"> et al. </w:t>
      </w:r>
      <w:r w:rsidRPr="00704D53">
        <w:rPr>
          <w:rFonts w:ascii="Times New Roman" w:hAnsi="Times New Roman" w:cs="Times New Roman"/>
          <w:lang w:val="en-US"/>
        </w:rPr>
        <w:t xml:space="preserve"> (2006) separately examine delta and </w:t>
      </w:r>
      <w:r w:rsidRPr="00704D53">
        <w:rPr>
          <w:rFonts w:ascii="Times New Roman" w:hAnsi="Times New Roman" w:cs="Times New Roman"/>
          <w:lang w:val="en-US"/>
        </w:rPr>
        <w:t>vega and show that CEOs whose compensation is more sensitive to stock volatility (vega) take riskier decisions such as investing more in research and development, less in property, plant and equipment and take on higher leverage, yet they find mixed results relating to the effects of delta on risk taking.</w:t>
      </w:r>
    </w:p>
  </w:footnote>
  <w:footnote w:id="5">
    <w:p w14:paraId="1C5184DC" w14:textId="1A9565E6" w:rsidR="00AF6E3E" w:rsidRDefault="00AF6E3E" w:rsidP="000E2FF0">
      <w:pPr>
        <w:pStyle w:val="FootnoteText"/>
        <w:jc w:val="both"/>
      </w:pPr>
      <w:r w:rsidRPr="00343F87">
        <w:rPr>
          <w:rFonts w:ascii="Times New Roman" w:hAnsi="Times New Roman" w:cs="Times New Roman"/>
          <w:vertAlign w:val="superscript"/>
        </w:rPr>
        <w:footnoteRef/>
      </w:r>
      <w:r w:rsidRPr="00343F87">
        <w:rPr>
          <w:rFonts w:ascii="Times New Roman" w:hAnsi="Times New Roman" w:cs="Times New Roman"/>
          <w:vertAlign w:val="superscript"/>
        </w:rPr>
        <w:t xml:space="preserve"> </w:t>
      </w:r>
      <w:r w:rsidRPr="00A117B2">
        <w:rPr>
          <w:rFonts w:ascii="Times New Roman" w:hAnsi="Times New Roman" w:cs="Times New Roman"/>
        </w:rPr>
        <w:t>While Caskey and Ozel (2017) sees investment in health and safety as an earnings management tool where firms adjust the level of their investment in</w:t>
      </w:r>
      <w:r>
        <w:rPr>
          <w:rFonts w:ascii="Times New Roman" w:hAnsi="Times New Roman" w:cs="Times New Roman"/>
        </w:rPr>
        <w:t xml:space="preserve"> employee</w:t>
      </w:r>
      <w:r w:rsidRPr="00A117B2">
        <w:rPr>
          <w:rFonts w:ascii="Times New Roman" w:hAnsi="Times New Roman" w:cs="Times New Roman"/>
        </w:rPr>
        <w:t xml:space="preserve"> health and safety </w:t>
      </w:r>
      <w:r>
        <w:rPr>
          <w:rFonts w:ascii="Times New Roman" w:hAnsi="Times New Roman" w:cs="Times New Roman"/>
        </w:rPr>
        <w:t>as a function of</w:t>
      </w:r>
      <w:r w:rsidRPr="00A117B2">
        <w:rPr>
          <w:rFonts w:ascii="Times New Roman" w:hAnsi="Times New Roman" w:cs="Times New Roman"/>
        </w:rPr>
        <w:t xml:space="preserve"> the likelihood of meeting or beating analyst forecasts, we see the level of investment in </w:t>
      </w:r>
      <w:r>
        <w:rPr>
          <w:rFonts w:ascii="Times New Roman" w:hAnsi="Times New Roman" w:cs="Times New Roman"/>
        </w:rPr>
        <w:t>employee wellbeing</w:t>
      </w:r>
      <w:r w:rsidRPr="00A117B2">
        <w:rPr>
          <w:rFonts w:ascii="Times New Roman" w:hAnsi="Times New Roman" w:cs="Times New Roman"/>
        </w:rPr>
        <w:t xml:space="preserve"> as a </w:t>
      </w:r>
      <w:r w:rsidRPr="00AD0ACE">
        <w:rPr>
          <w:rFonts w:ascii="Times New Roman" w:hAnsi="Times New Roman" w:cs="Times New Roman"/>
        </w:rPr>
        <w:t>strategic decision.</w:t>
      </w:r>
      <w:r>
        <w:t xml:space="preserve"> </w:t>
      </w:r>
    </w:p>
  </w:footnote>
  <w:footnote w:id="6">
    <w:p w14:paraId="74DC6075" w14:textId="77777777" w:rsidR="00AF6E3E" w:rsidRDefault="00AF6E3E" w:rsidP="00FC38D7">
      <w:pPr>
        <w:pStyle w:val="FootnoteText"/>
        <w:jc w:val="both"/>
      </w:pPr>
      <w:r w:rsidRPr="00723539">
        <w:rPr>
          <w:rFonts w:ascii="Times New Roman" w:hAnsi="Times New Roman" w:cs="Times New Roman"/>
          <w:vertAlign w:val="superscript"/>
        </w:rPr>
        <w:footnoteRef/>
      </w:r>
      <w:r w:rsidRPr="00723539">
        <w:rPr>
          <w:rFonts w:ascii="Times New Roman" w:hAnsi="Times New Roman" w:cs="Times New Roman"/>
          <w:vertAlign w:val="superscript"/>
        </w:rPr>
        <w:t xml:space="preserve"> </w:t>
      </w:r>
      <w:r w:rsidRPr="00A117B2">
        <w:rPr>
          <w:rFonts w:ascii="Times New Roman" w:hAnsi="Times New Roman" w:cs="Times New Roman"/>
        </w:rPr>
        <w:t>We recognize that some of these decisions might be made at the establishment level (Heese and Pérez Cavazos</w:t>
      </w:r>
      <w:r>
        <w:rPr>
          <w:rFonts w:ascii="Times New Roman" w:hAnsi="Times New Roman" w:cs="Times New Roman"/>
        </w:rPr>
        <w:t>,</w:t>
      </w:r>
      <w:r w:rsidRPr="00A117B2">
        <w:rPr>
          <w:rFonts w:ascii="Times New Roman" w:hAnsi="Times New Roman" w:cs="Times New Roman"/>
        </w:rPr>
        <w:t xml:space="preserve"> 20</w:t>
      </w:r>
      <w:r>
        <w:rPr>
          <w:rFonts w:ascii="Times New Roman" w:hAnsi="Times New Roman" w:cs="Times New Roman"/>
        </w:rPr>
        <w:t>20</w:t>
      </w:r>
      <w:r w:rsidRPr="00A117B2">
        <w:rPr>
          <w:rFonts w:ascii="Times New Roman" w:hAnsi="Times New Roman" w:cs="Times New Roman"/>
        </w:rPr>
        <w:t xml:space="preserve">), however we contend that CEOs set the tone at the top and managers at the establishment level will follow the </w:t>
      </w:r>
      <w:r>
        <w:rPr>
          <w:rFonts w:ascii="Times New Roman" w:hAnsi="Times New Roman" w:cs="Times New Roman"/>
        </w:rPr>
        <w:t>lead</w:t>
      </w:r>
      <w:r w:rsidRPr="00A117B2">
        <w:rPr>
          <w:rFonts w:ascii="Times New Roman" w:hAnsi="Times New Roman" w:cs="Times New Roman"/>
        </w:rPr>
        <w:t xml:space="preserve"> of the CEO.</w:t>
      </w:r>
    </w:p>
  </w:footnote>
  <w:footnote w:id="7">
    <w:p w14:paraId="52010FCB" w14:textId="4AFB29D2" w:rsidR="00AF6E3E" w:rsidRPr="00142877" w:rsidRDefault="00AF6E3E" w:rsidP="00142877">
      <w:pPr>
        <w:pStyle w:val="FootnoteText"/>
        <w:jc w:val="both"/>
        <w:rPr>
          <w:rFonts w:ascii="Times New Roman" w:hAnsi="Times New Roman" w:cs="Times New Roman"/>
        </w:rPr>
      </w:pPr>
      <w:r w:rsidRPr="00142877">
        <w:rPr>
          <w:rStyle w:val="FootnoteReference"/>
          <w:rFonts w:ascii="Times New Roman" w:hAnsi="Times New Roman" w:cs="Times New Roman"/>
        </w:rPr>
        <w:footnoteRef/>
      </w:r>
      <w:r w:rsidRPr="00142877">
        <w:rPr>
          <w:rFonts w:ascii="Times New Roman" w:hAnsi="Times New Roman" w:cs="Times New Roman"/>
        </w:rPr>
        <w:t xml:space="preserve"> </w:t>
      </w:r>
      <w:bookmarkStart w:id="8" w:name="_Hlk92709147"/>
      <w:r w:rsidRPr="00142877">
        <w:rPr>
          <w:rFonts w:ascii="Times New Roman" w:hAnsi="Times New Roman" w:cs="Times New Roman"/>
        </w:rPr>
        <w:t>Similar to Caskey and Ozel (2017) we exclude regulated industries (i.e</w:t>
      </w:r>
      <w:r>
        <w:rPr>
          <w:rFonts w:ascii="Times New Roman" w:hAnsi="Times New Roman" w:cs="Times New Roman"/>
        </w:rPr>
        <w:t>.,</w:t>
      </w:r>
      <w:r w:rsidRPr="00142877">
        <w:rPr>
          <w:rFonts w:ascii="Times New Roman" w:hAnsi="Times New Roman" w:cs="Times New Roman"/>
        </w:rPr>
        <w:t xml:space="preserve"> industries with classification codes (SIC) between 4900 and 4999, and between 6000 and 6999) from our sample and merge the remaining observations with </w:t>
      </w:r>
      <w:r w:rsidRPr="00142877">
        <w:rPr>
          <w:rFonts w:ascii="Times New Roman" w:hAnsi="Times New Roman" w:cs="Times New Roman"/>
        </w:rPr>
        <w:t xml:space="preserve">Execucomp. </w:t>
      </w:r>
      <w:r>
        <w:rPr>
          <w:rFonts w:ascii="Times New Roman" w:hAnsi="Times New Roman" w:cs="Times New Roman"/>
        </w:rPr>
        <w:t>We exclude these industries as</w:t>
      </w:r>
      <w:r w:rsidRPr="00142877">
        <w:rPr>
          <w:rFonts w:ascii="Times New Roman" w:hAnsi="Times New Roman" w:cs="Times New Roman"/>
        </w:rPr>
        <w:t xml:space="preserve"> their business </w:t>
      </w:r>
      <w:r>
        <w:rPr>
          <w:rFonts w:ascii="Times New Roman" w:hAnsi="Times New Roman" w:cs="Times New Roman"/>
        </w:rPr>
        <w:t>is</w:t>
      </w:r>
      <w:r w:rsidRPr="00142877">
        <w:rPr>
          <w:rFonts w:ascii="Times New Roman" w:hAnsi="Times New Roman" w:cs="Times New Roman"/>
        </w:rPr>
        <w:t xml:space="preserve"> more regulated in terms of risk taking than the average firm in our sample. Additionally, we exclude industries with SIC codes lower than 2000</w:t>
      </w:r>
      <w:r>
        <w:rPr>
          <w:rFonts w:ascii="Times New Roman" w:hAnsi="Times New Roman" w:cs="Times New Roman"/>
        </w:rPr>
        <w:t xml:space="preserve"> (t</w:t>
      </w:r>
      <w:r w:rsidRPr="00142877">
        <w:rPr>
          <w:rFonts w:ascii="Times New Roman" w:hAnsi="Times New Roman" w:cs="Times New Roman"/>
        </w:rPr>
        <w:t>hese include industries such as agriculture, fishing, forestry, mining, and construction</w:t>
      </w:r>
      <w:r>
        <w:rPr>
          <w:rFonts w:ascii="Times New Roman" w:hAnsi="Times New Roman" w:cs="Times New Roman"/>
        </w:rPr>
        <w:t>)</w:t>
      </w:r>
      <w:r w:rsidRPr="00142877">
        <w:rPr>
          <w:rFonts w:ascii="Times New Roman" w:hAnsi="Times New Roman" w:cs="Times New Roman"/>
        </w:rPr>
        <w:t>. Th</w:t>
      </w:r>
      <w:r>
        <w:rPr>
          <w:rFonts w:ascii="Times New Roman" w:hAnsi="Times New Roman" w:cs="Times New Roman"/>
        </w:rPr>
        <w:t>e</w:t>
      </w:r>
      <w:r w:rsidRPr="00142877">
        <w:rPr>
          <w:rFonts w:ascii="Times New Roman" w:hAnsi="Times New Roman" w:cs="Times New Roman"/>
        </w:rPr>
        <w:t>se industries are different from the rest of our observations in terms of the severity of accidents due to the nature of their business.</w:t>
      </w:r>
      <w:bookmarkEnd w:id="8"/>
    </w:p>
  </w:footnote>
  <w:footnote w:id="8">
    <w:p w14:paraId="6A133332" w14:textId="0EA272E0" w:rsidR="00AF6E3E" w:rsidRPr="00466286" w:rsidRDefault="00AF6E3E">
      <w:pPr>
        <w:pStyle w:val="FootnoteText"/>
        <w:rPr>
          <w:rFonts w:ascii="Times New Roman" w:hAnsi="Times New Roman" w:cs="Times New Roman"/>
        </w:rPr>
      </w:pPr>
      <w:r w:rsidRPr="00466286">
        <w:rPr>
          <w:rStyle w:val="FootnoteReference"/>
          <w:rFonts w:ascii="Times New Roman" w:hAnsi="Times New Roman" w:cs="Times New Roman"/>
        </w:rPr>
        <w:footnoteRef/>
      </w:r>
      <w:r w:rsidRPr="00466286">
        <w:rPr>
          <w:rFonts w:ascii="Times New Roman" w:hAnsi="Times New Roman" w:cs="Times New Roman"/>
        </w:rPr>
        <w:t xml:space="preserve"> This database has been used by Heese and Pérez-Cavazos (2020).</w:t>
      </w:r>
    </w:p>
  </w:footnote>
  <w:footnote w:id="9">
    <w:p w14:paraId="41A5AFF0" w14:textId="212B2B68" w:rsidR="00AF6E3E" w:rsidRPr="00581C14" w:rsidRDefault="00AF6E3E" w:rsidP="00581C14">
      <w:pPr>
        <w:pStyle w:val="FootnoteText"/>
        <w:jc w:val="both"/>
        <w:rPr>
          <w:rFonts w:ascii="Times New Roman" w:hAnsi="Times New Roman" w:cs="Times New Roman"/>
        </w:rPr>
      </w:pPr>
      <w:r w:rsidRPr="00581C14">
        <w:rPr>
          <w:rStyle w:val="FootnoteReference"/>
          <w:rFonts w:ascii="Times New Roman" w:hAnsi="Times New Roman" w:cs="Times New Roman"/>
        </w:rPr>
        <w:footnoteRef/>
      </w:r>
      <w:r w:rsidRPr="00581C14">
        <w:rPr>
          <w:rFonts w:ascii="Times New Roman" w:hAnsi="Times New Roman" w:cs="Times New Roman"/>
        </w:rPr>
        <w:t xml:space="preserve"> Summary statistics for </w:t>
      </w:r>
      <w:r w:rsidRPr="00581C14">
        <w:rPr>
          <w:rFonts w:ascii="Times New Roman" w:hAnsi="Times New Roman" w:cs="Times New Roman"/>
          <w:i/>
          <w:iCs/>
        </w:rPr>
        <w:t>Leverage</w:t>
      </w:r>
      <w:r w:rsidRPr="00581C14">
        <w:rPr>
          <w:rFonts w:ascii="Times New Roman" w:hAnsi="Times New Roman" w:cs="Times New Roman"/>
        </w:rPr>
        <w:t xml:space="preserve">, </w:t>
      </w:r>
      <w:r w:rsidRPr="00581C14">
        <w:rPr>
          <w:rFonts w:ascii="Times New Roman" w:hAnsi="Times New Roman" w:cs="Times New Roman"/>
          <w:i/>
          <w:iCs/>
        </w:rPr>
        <w:t>CashFlow</w:t>
      </w:r>
      <w:r w:rsidRPr="00581C14">
        <w:rPr>
          <w:rFonts w:ascii="Times New Roman" w:hAnsi="Times New Roman" w:cs="Times New Roman"/>
        </w:rPr>
        <w:t xml:space="preserve">, </w:t>
      </w:r>
      <w:r w:rsidRPr="00581C14">
        <w:rPr>
          <w:rFonts w:ascii="Times New Roman" w:hAnsi="Times New Roman" w:cs="Times New Roman"/>
          <w:i/>
          <w:iCs/>
        </w:rPr>
        <w:t>DividendPayout, Market-to-</w:t>
      </w:r>
      <w:r w:rsidRPr="00581C14">
        <w:rPr>
          <w:rFonts w:ascii="Times New Roman" w:hAnsi="Times New Roman" w:cs="Times New Roman"/>
          <w:i/>
          <w:iCs/>
        </w:rPr>
        <w:t xml:space="preserve">book, </w:t>
      </w:r>
      <w:r w:rsidRPr="00581C14">
        <w:rPr>
          <w:rFonts w:ascii="Times New Roman" w:hAnsi="Times New Roman" w:cs="Times New Roman"/>
        </w:rPr>
        <w:t xml:space="preserve"> and </w:t>
      </w:r>
      <w:r w:rsidRPr="00581C14">
        <w:rPr>
          <w:rFonts w:ascii="Times New Roman" w:hAnsi="Times New Roman" w:cs="Times New Roman"/>
          <w:i/>
          <w:iCs/>
        </w:rPr>
        <w:t xml:space="preserve">Capex </w:t>
      </w:r>
      <w:r w:rsidRPr="00581C14">
        <w:rPr>
          <w:rFonts w:ascii="Times New Roman" w:hAnsi="Times New Roman" w:cs="Times New Roman"/>
        </w:rPr>
        <w:t xml:space="preserve">are in line with Cohn and Wardlaw (2016). Our summary statistics for </w:t>
      </w:r>
      <w:r w:rsidRPr="00581C14">
        <w:rPr>
          <w:rFonts w:ascii="Times New Roman" w:hAnsi="Times New Roman" w:cs="Times New Roman"/>
          <w:i/>
          <w:iCs/>
        </w:rPr>
        <w:t xml:space="preserve">FirmSize, AssetTurnover </w:t>
      </w:r>
      <w:r w:rsidRPr="00581C14">
        <w:rPr>
          <w:rFonts w:ascii="Times New Roman" w:hAnsi="Times New Roman" w:cs="Times New Roman"/>
        </w:rPr>
        <w:t xml:space="preserve">and </w:t>
      </w:r>
      <w:r w:rsidRPr="00581C14">
        <w:rPr>
          <w:rFonts w:ascii="Times New Roman" w:hAnsi="Times New Roman" w:cs="Times New Roman"/>
          <w:i/>
          <w:iCs/>
        </w:rPr>
        <w:t xml:space="preserve">Tangibility </w:t>
      </w:r>
      <w:r w:rsidRPr="00581C14">
        <w:rPr>
          <w:rFonts w:ascii="Times New Roman" w:hAnsi="Times New Roman" w:cs="Times New Roman"/>
        </w:rPr>
        <w:t xml:space="preserve">suggest that the average firm in our sample is smaller, has </w:t>
      </w:r>
      <w:r>
        <w:rPr>
          <w:rFonts w:ascii="Times New Roman" w:hAnsi="Times New Roman" w:cs="Times New Roman"/>
        </w:rPr>
        <w:t xml:space="preserve">a </w:t>
      </w:r>
      <w:r w:rsidRPr="00581C14">
        <w:rPr>
          <w:rFonts w:ascii="Times New Roman" w:hAnsi="Times New Roman" w:cs="Times New Roman"/>
        </w:rPr>
        <w:t xml:space="preserve">lower asset turnover and </w:t>
      </w:r>
      <w:r>
        <w:rPr>
          <w:rFonts w:ascii="Times New Roman" w:hAnsi="Times New Roman" w:cs="Times New Roman"/>
        </w:rPr>
        <w:t xml:space="preserve">a </w:t>
      </w:r>
      <w:r w:rsidRPr="00581C14">
        <w:rPr>
          <w:rFonts w:ascii="Times New Roman" w:hAnsi="Times New Roman" w:cs="Times New Roman"/>
        </w:rPr>
        <w:t xml:space="preserve">lower tangible asset ratio relative to the average firm in Cohn and Wardlaw (2016). Summary statistics for </w:t>
      </w:r>
      <w:r w:rsidRPr="00581C14">
        <w:rPr>
          <w:rFonts w:ascii="Times New Roman" w:hAnsi="Times New Roman" w:cs="Times New Roman"/>
          <w:i/>
          <w:iCs/>
        </w:rPr>
        <w:t xml:space="preserve">RET </w:t>
      </w:r>
      <w:r w:rsidRPr="00581C14">
        <w:rPr>
          <w:rFonts w:ascii="Times New Roman" w:hAnsi="Times New Roman" w:cs="Times New Roman"/>
        </w:rPr>
        <w:t>are in line with Armstrong, Blackburne and Quinn (2021) who use a sample of firms and a sample period which partly overlaps our sample.</w:t>
      </w:r>
    </w:p>
  </w:footnote>
  <w:footnote w:id="10">
    <w:p w14:paraId="54C3C55B" w14:textId="7072E086" w:rsidR="00AF6E3E" w:rsidRPr="006F5121" w:rsidRDefault="00AF6E3E" w:rsidP="00021F5F">
      <w:pPr>
        <w:pStyle w:val="FootnoteText"/>
        <w:jc w:val="both"/>
      </w:pPr>
      <w:r w:rsidRPr="00021F5F">
        <w:rPr>
          <w:rStyle w:val="FootnoteReference"/>
        </w:rPr>
        <w:footnoteRef/>
      </w:r>
      <w:r w:rsidRPr="00021F5F">
        <w:rPr>
          <w:rFonts w:eastAsiaTheme="minorEastAsia"/>
          <w:lang w:val="en-US"/>
        </w:rPr>
        <w:t xml:space="preserve"> </w:t>
      </w:r>
      <w:r w:rsidRPr="00021F5F">
        <w:rPr>
          <w:rFonts w:ascii="Times New Roman" w:eastAsiaTheme="minorEastAsia" w:hAnsi="Times New Roman" w:cs="Times New Roman"/>
          <w:lang w:val="en-US"/>
        </w:rPr>
        <w:t xml:space="preserve">Following </w:t>
      </w:r>
      <w:r w:rsidRPr="00021F5F">
        <w:rPr>
          <w:rFonts w:ascii="Times New Roman" w:hAnsi="Times New Roman" w:cs="Times New Roman"/>
          <w:lang w:val="en-US"/>
        </w:rPr>
        <w:t>Armstrong</w:t>
      </w:r>
      <w:r w:rsidR="00BC3337">
        <w:rPr>
          <w:rFonts w:ascii="Times New Roman" w:hAnsi="Times New Roman" w:cs="Times New Roman"/>
          <w:lang w:val="en-US"/>
        </w:rPr>
        <w:t xml:space="preserve"> et al. </w:t>
      </w:r>
      <w:r w:rsidRPr="00021F5F">
        <w:rPr>
          <w:rFonts w:ascii="Times New Roman" w:hAnsi="Times New Roman" w:cs="Times New Roman"/>
          <w:lang w:val="en-US"/>
        </w:rPr>
        <w:t>(2010) w</w:t>
      </w:r>
      <w:r w:rsidRPr="00021F5F">
        <w:rPr>
          <w:rFonts w:ascii="Times New Roman" w:eastAsiaTheme="minorEastAsia" w:hAnsi="Times New Roman" w:cs="Times New Roman"/>
          <w:lang w:val="en-US"/>
        </w:rPr>
        <w:t xml:space="preserve">e estimate the following ordered logistic propensity score model annually for the CEOs in our sample: </w:t>
      </w:r>
      <m:oMath>
        <m:sSub>
          <m:sSubPr>
            <m:ctrlPr>
              <w:rPr>
                <w:rFonts w:ascii="Cambria Math" w:hAnsi="Cambria Math" w:cs="Times New Roman"/>
                <w:i/>
                <w:lang w:val="en-US"/>
              </w:rPr>
            </m:ctrlPr>
          </m:sSubPr>
          <m:e>
            <m:r>
              <m:rPr>
                <m:sty m:val="p"/>
              </m:rPr>
              <w:rPr>
                <w:rFonts w:ascii="Cambria Math" w:hAnsi="Cambria Math" w:cs="Times New Roman"/>
                <w:lang w:val="en-US"/>
              </w:rPr>
              <m:t>Pr⁡</m:t>
            </m:r>
            <m:r>
              <w:rPr>
                <w:rFonts w:ascii="Cambria Math" w:hAnsi="Cambria Math" w:cs="Times New Roman"/>
                <w:lang w:val="en-US"/>
              </w:rPr>
              <m:t>(VegaQuintile</m:t>
            </m:r>
          </m:e>
          <m:sub>
            <m:r>
              <w:rPr>
                <w:rFonts w:ascii="Cambria Math" w:hAnsi="Cambria Math" w:cs="Times New Roman"/>
                <w:lang w:val="en-US"/>
              </w:rPr>
              <m:t>i,t</m:t>
            </m:r>
          </m:sub>
        </m:sSub>
        <m:r>
          <w:rPr>
            <w:rFonts w:ascii="Cambria Math" w:hAnsi="Cambria Math" w:cs="Times New Roman"/>
            <w:lang w:val="en-US"/>
          </w:rPr>
          <m:t xml:space="preserve">)=α+ </m:t>
        </m:r>
        <m:sSub>
          <m:sSubPr>
            <m:ctrlPr>
              <w:rPr>
                <w:rFonts w:ascii="Cambria Math" w:hAnsi="Cambria Math" w:cs="Times New Roman"/>
                <w:i/>
                <w:lang w:val="en-US"/>
              </w:rPr>
            </m:ctrlPr>
          </m:sSubPr>
          <m:e>
            <m:r>
              <w:rPr>
                <w:rFonts w:ascii="Cambria Math" w:hAnsi="Cambria Math" w:cs="Times New Roman"/>
                <w:lang w:val="en-US"/>
              </w:rPr>
              <m:t>β Controls</m:t>
            </m:r>
          </m:e>
          <m:sub>
            <m:r>
              <w:rPr>
                <w:rFonts w:ascii="Cambria Math" w:hAnsi="Cambria Math" w:cs="Times New Roman"/>
                <w:lang w:val="en-US"/>
              </w:rPr>
              <m:t>i,t-1</m:t>
            </m:r>
          </m:sub>
        </m:sSub>
        <m:r>
          <w:rPr>
            <w:rFonts w:ascii="Cambria Math" w:hAnsi="Cambria Math" w:cs="Times New Roman"/>
            <w:lang w:val="en-US"/>
          </w:rPr>
          <m:t>+FEs+</m:t>
        </m:r>
        <m:sSub>
          <m:sSubPr>
            <m:ctrlPr>
              <w:rPr>
                <w:rFonts w:ascii="Cambria Math" w:hAnsi="Cambria Math" w:cs="Times New Roman"/>
                <w:i/>
                <w:lang w:val="en-US"/>
              </w:rPr>
            </m:ctrlPr>
          </m:sSubPr>
          <m:e>
            <m:r>
              <w:rPr>
                <w:rFonts w:ascii="Cambria Math" w:hAnsi="Cambria Math" w:cs="Times New Roman"/>
                <w:lang w:val="en-US"/>
              </w:rPr>
              <m:t>ε</m:t>
            </m:r>
          </m:e>
          <m:sub>
            <m:r>
              <w:rPr>
                <w:rFonts w:ascii="Cambria Math" w:hAnsi="Cambria Math" w:cs="Times New Roman"/>
                <w:lang w:val="en-US"/>
              </w:rPr>
              <m:t>i,t</m:t>
            </m:r>
          </m:sub>
        </m:sSub>
      </m:oMath>
      <w:r w:rsidRPr="00021F5F">
        <w:rPr>
          <w:rFonts w:ascii="Times New Roman" w:eastAsiaTheme="minorEastAsia" w:hAnsi="Times New Roman" w:cs="Times New Roman"/>
          <w:lang w:val="en-US"/>
        </w:rPr>
        <w:t>.</w:t>
      </w:r>
    </w:p>
  </w:footnote>
  <w:footnote w:id="11">
    <w:p w14:paraId="2EAE6CCD" w14:textId="1E4D29B5" w:rsidR="00AF6E3E" w:rsidRPr="00DC1A52" w:rsidRDefault="00AF6E3E" w:rsidP="00DC1A52">
      <w:pPr>
        <w:pStyle w:val="FootnoteText"/>
        <w:jc w:val="both"/>
        <w:rPr>
          <w:rFonts w:ascii="Times New Roman" w:hAnsi="Times New Roman" w:cs="Times New Roman"/>
        </w:rPr>
      </w:pPr>
      <w:r w:rsidRPr="00DC1A52">
        <w:rPr>
          <w:rStyle w:val="FootnoteReference"/>
          <w:rFonts w:ascii="Times New Roman" w:hAnsi="Times New Roman" w:cs="Times New Roman"/>
        </w:rPr>
        <w:footnoteRef/>
      </w:r>
      <w:r w:rsidRPr="00DC1A52">
        <w:rPr>
          <w:rFonts w:ascii="Times New Roman" w:hAnsi="Times New Roman" w:cs="Times New Roman"/>
        </w:rPr>
        <w:t xml:space="preserve"> Specifically, at the grant date, firms must calculate the fair value of the CEO stock options and systematically recognize the value of these stock options over the period in which the CEO is deemed to provide service to the firm (Murphy 2013; Choudhary, </w:t>
      </w:r>
      <w:r w:rsidRPr="00DC1A52">
        <w:rPr>
          <w:rFonts w:ascii="Times New Roman" w:hAnsi="Times New Roman" w:cs="Times New Roman"/>
        </w:rPr>
        <w:t>Rajgopal and Venkatachalam, 2009).</w:t>
      </w:r>
    </w:p>
  </w:footnote>
  <w:footnote w:id="12">
    <w:p w14:paraId="48383A06" w14:textId="687BE695" w:rsidR="00AF6E3E" w:rsidRPr="00A117B2" w:rsidRDefault="00AF6E3E" w:rsidP="00A117B2">
      <w:pPr>
        <w:pStyle w:val="FootnoteText"/>
        <w:jc w:val="both"/>
        <w:rPr>
          <w:rFonts w:ascii="Times New Roman" w:hAnsi="Times New Roman" w:cs="Times New Roman"/>
        </w:rPr>
      </w:pPr>
      <w:r w:rsidRPr="00A117B2">
        <w:rPr>
          <w:rStyle w:val="FootnoteReference"/>
          <w:rFonts w:ascii="Times New Roman" w:hAnsi="Times New Roman" w:cs="Times New Roman"/>
        </w:rPr>
        <w:footnoteRef/>
      </w:r>
      <w:r w:rsidRPr="00A117B2">
        <w:rPr>
          <w:rFonts w:ascii="Times New Roman" w:hAnsi="Times New Roman" w:cs="Times New Roman"/>
        </w:rPr>
        <w:t xml:space="preserve"> We recognise that </w:t>
      </w:r>
      <w:r w:rsidRPr="00A117B2">
        <w:rPr>
          <w:rFonts w:ascii="Times New Roman" w:hAnsi="Times New Roman" w:cs="Times New Roman"/>
        </w:rPr>
        <w:t>vega might not completely capture the convexity in the pay contract. Specifically, the increasing use of performance-vesting restricted stock following SFAS 123R provide risk taking incentives not captured by vega. The prevalence of performance-vesting restricted stock after SFAS 123R works against finding changes in risk</w:t>
      </w:r>
      <w:r>
        <w:rPr>
          <w:rFonts w:ascii="Times New Roman" w:hAnsi="Times New Roman" w:cs="Times New Roman"/>
        </w:rPr>
        <w:t xml:space="preserve"> </w:t>
      </w:r>
      <w:r w:rsidRPr="00A117B2">
        <w:rPr>
          <w:rFonts w:ascii="Times New Roman" w:hAnsi="Times New Roman" w:cs="Times New Roman"/>
        </w:rPr>
        <w:t>taking around the implementation of SFAS 12</w:t>
      </w:r>
      <w:r>
        <w:rPr>
          <w:rFonts w:ascii="Times New Roman" w:hAnsi="Times New Roman" w:cs="Times New Roman"/>
        </w:rPr>
        <w:t>3</w:t>
      </w:r>
      <w:r w:rsidRPr="00A117B2">
        <w:rPr>
          <w:rFonts w:ascii="Times New Roman" w:hAnsi="Times New Roman" w:cs="Times New Roman"/>
        </w:rPr>
        <w:t>R.</w:t>
      </w:r>
    </w:p>
  </w:footnote>
  <w:footnote w:id="13">
    <w:p w14:paraId="5B9F8CC5" w14:textId="15129098" w:rsidR="00AF6E3E" w:rsidRPr="008E1BCF" w:rsidRDefault="00AF6E3E" w:rsidP="008E1BCF">
      <w:pPr>
        <w:pStyle w:val="FootnoteText"/>
        <w:jc w:val="both"/>
        <w:rPr>
          <w:rFonts w:ascii="Times New Roman" w:hAnsi="Times New Roman" w:cs="Times New Roman"/>
        </w:rPr>
      </w:pPr>
      <w:r w:rsidRPr="00A66B53">
        <w:rPr>
          <w:rStyle w:val="FootnoteReference"/>
          <w:rFonts w:ascii="Times New Roman" w:hAnsi="Times New Roman" w:cs="Times New Roman"/>
        </w:rPr>
        <w:footnoteRef/>
      </w:r>
      <w:r w:rsidRPr="00A66B53">
        <w:rPr>
          <w:rFonts w:ascii="Times New Roman" w:hAnsi="Times New Roman" w:cs="Times New Roman"/>
        </w:rPr>
        <w:t xml:space="preserve"> </w:t>
      </w:r>
      <w:r>
        <w:rPr>
          <w:rFonts w:ascii="Times New Roman" w:hAnsi="Times New Roman" w:cs="Times New Roman"/>
        </w:rPr>
        <w:t>In</w:t>
      </w:r>
      <w:r w:rsidRPr="004D7BCA">
        <w:rPr>
          <w:rFonts w:ascii="Times New Roman" w:hAnsi="Times New Roman" w:cs="Times New Roman"/>
        </w:rPr>
        <w:t xml:space="preserve"> the vector of control variables, we also include </w:t>
      </w:r>
      <w:r w:rsidRPr="004D7BCA">
        <w:rPr>
          <w:rFonts w:ascii="Times New Roman" w:hAnsi="Times New Roman" w:cs="Times New Roman"/>
          <w:i/>
        </w:rPr>
        <w:t xml:space="preserve">Delta </w:t>
      </w:r>
      <w:r w:rsidRPr="004D7BCA">
        <w:rPr>
          <w:rFonts w:ascii="Times New Roman" w:hAnsi="Times New Roman" w:cs="Times New Roman"/>
        </w:rPr>
        <w:t xml:space="preserve">and </w:t>
      </w:r>
      <w:r w:rsidRPr="004D7BCA">
        <w:rPr>
          <w:rFonts w:ascii="Times New Roman" w:hAnsi="Times New Roman" w:cs="Times New Roman"/>
          <w:i/>
        </w:rPr>
        <w:t xml:space="preserve">CashComp. </w:t>
      </w:r>
      <w:r w:rsidRPr="004D7BCA">
        <w:rPr>
          <w:rFonts w:ascii="Times New Roman" w:hAnsi="Times New Roman" w:cs="Times New Roman"/>
        </w:rPr>
        <w:t xml:space="preserve">In doing so, we ensure that </w:t>
      </w:r>
      <w:r w:rsidRPr="004D7BCA">
        <w:rPr>
          <w:rFonts w:ascii="Times New Roman" w:hAnsi="Times New Roman" w:cs="Times New Roman"/>
          <w:i/>
        </w:rPr>
        <w:t>Post</w:t>
      </w:r>
      <w:r>
        <w:rPr>
          <w:rFonts w:ascii="Times New Roman" w:hAnsi="Times New Roman" w:cs="Times New Roman"/>
          <w:i/>
        </w:rPr>
        <w:t>*</w:t>
      </w:r>
      <w:r w:rsidRPr="004D7BCA">
        <w:rPr>
          <w:rFonts w:ascii="Times New Roman" w:hAnsi="Times New Roman" w:cs="Times New Roman"/>
          <w:i/>
        </w:rPr>
        <w:t xml:space="preserve">Treatment </w:t>
      </w:r>
      <w:r w:rsidRPr="004D7BCA">
        <w:rPr>
          <w:rFonts w:ascii="Times New Roman" w:hAnsi="Times New Roman" w:cs="Times New Roman"/>
        </w:rPr>
        <w:t xml:space="preserve">only captures the effect of the change in </w:t>
      </w:r>
      <w:r w:rsidRPr="004D7BCA">
        <w:rPr>
          <w:rFonts w:ascii="Times New Roman" w:hAnsi="Times New Roman" w:cs="Times New Roman"/>
          <w:i/>
        </w:rPr>
        <w:t xml:space="preserve">Vega </w:t>
      </w:r>
      <w:r w:rsidRPr="004D7BCA">
        <w:rPr>
          <w:rFonts w:ascii="Times New Roman" w:hAnsi="Times New Roman" w:cs="Times New Roman"/>
        </w:rPr>
        <w:t>after SFAS 123R became effective.</w:t>
      </w:r>
      <w:r>
        <w:rPr>
          <w:rFonts w:ascii="Times New Roman" w:hAnsi="Times New Roman" w:cs="Times New Roman"/>
        </w:rPr>
        <w:t xml:space="preserve"> Further, main effects </w:t>
      </w:r>
      <w:r>
        <w:rPr>
          <w:rFonts w:ascii="Times New Roman" w:hAnsi="Times New Roman" w:cs="Times New Roman"/>
          <w:i/>
          <w:iCs/>
        </w:rPr>
        <w:t xml:space="preserve">Treatment </w:t>
      </w:r>
      <w:r>
        <w:rPr>
          <w:rFonts w:ascii="Times New Roman" w:hAnsi="Times New Roman" w:cs="Times New Roman"/>
        </w:rPr>
        <w:t xml:space="preserve">and </w:t>
      </w:r>
      <w:r>
        <w:rPr>
          <w:rFonts w:ascii="Times New Roman" w:hAnsi="Times New Roman" w:cs="Times New Roman"/>
          <w:i/>
          <w:iCs/>
        </w:rPr>
        <w:t xml:space="preserve">Post </w:t>
      </w:r>
      <w:r>
        <w:rPr>
          <w:rFonts w:ascii="Times New Roman" w:hAnsi="Times New Roman" w:cs="Times New Roman"/>
        </w:rPr>
        <w:t>are subsumed by the fixed effect structure.</w:t>
      </w:r>
    </w:p>
  </w:footnote>
  <w:footnote w:id="14">
    <w:p w14:paraId="56042E43" w14:textId="0F9D7E98" w:rsidR="00AF6E3E" w:rsidRPr="00A66B53" w:rsidRDefault="00AF6E3E" w:rsidP="00A117B2">
      <w:pPr>
        <w:pStyle w:val="FootnoteText"/>
        <w:jc w:val="both"/>
        <w:rPr>
          <w:rFonts w:ascii="Times New Roman" w:hAnsi="Times New Roman" w:cs="Times New Roman"/>
        </w:rPr>
      </w:pPr>
      <w:r w:rsidRPr="009A1A59">
        <w:rPr>
          <w:rStyle w:val="FootnoteReference"/>
          <w:rFonts w:ascii="Times New Roman" w:hAnsi="Times New Roman" w:cs="Times New Roman"/>
        </w:rPr>
        <w:footnoteRef/>
      </w:r>
      <w:r w:rsidRPr="009A1A59">
        <w:rPr>
          <w:rFonts w:ascii="Times New Roman" w:hAnsi="Times New Roman" w:cs="Times New Roman"/>
        </w:rPr>
        <w:t xml:space="preserve"> In calculating the economic significance for violations, we multipl</w:t>
      </w:r>
      <w:r>
        <w:rPr>
          <w:rFonts w:ascii="Times New Roman" w:hAnsi="Times New Roman" w:cs="Times New Roman"/>
        </w:rPr>
        <w:t>y</w:t>
      </w:r>
      <w:r w:rsidRPr="009A1A59">
        <w:rPr>
          <w:rFonts w:ascii="Times New Roman" w:hAnsi="Times New Roman" w:cs="Times New Roman"/>
        </w:rPr>
        <w:t xml:space="preserve"> the standard deviation of </w:t>
      </w:r>
      <w:r w:rsidRPr="00774D07">
        <w:rPr>
          <w:rFonts w:ascii="Times New Roman" w:hAnsi="Times New Roman" w:cs="Times New Roman"/>
          <w:i/>
          <w:iCs/>
        </w:rPr>
        <w:t>Vega</w:t>
      </w:r>
      <w:r w:rsidRPr="009A1A59">
        <w:rPr>
          <w:rFonts w:ascii="Times New Roman" w:hAnsi="Times New Roman" w:cs="Times New Roman"/>
        </w:rPr>
        <w:t xml:space="preserve"> (1.563: vide Table 2) by the coefficient on Vega when </w:t>
      </w:r>
      <w:r w:rsidRPr="00774D07">
        <w:rPr>
          <w:rFonts w:ascii="Times New Roman" w:hAnsi="Times New Roman" w:cs="Times New Roman"/>
          <w:i/>
          <w:iCs/>
        </w:rPr>
        <w:t>ln(Violations)</w:t>
      </w:r>
      <w:r w:rsidRPr="009A1A59">
        <w:rPr>
          <w:rFonts w:ascii="Times New Roman" w:hAnsi="Times New Roman" w:cs="Times New Roman"/>
        </w:rPr>
        <w:t xml:space="preserve"> is the dependent variable (0.008: vide Table </w:t>
      </w:r>
      <w:r>
        <w:rPr>
          <w:rFonts w:ascii="Times New Roman" w:hAnsi="Times New Roman" w:cs="Times New Roman"/>
        </w:rPr>
        <w:t>4</w:t>
      </w:r>
      <w:r w:rsidRPr="009A1A59">
        <w:rPr>
          <w:rFonts w:ascii="Times New Roman" w:hAnsi="Times New Roman" w:cs="Times New Roman"/>
        </w:rPr>
        <w:t xml:space="preserve">) and divide the resultant figure by mean </w:t>
      </w:r>
      <w:r w:rsidRPr="00774D07">
        <w:rPr>
          <w:rFonts w:ascii="Times New Roman" w:hAnsi="Times New Roman" w:cs="Times New Roman"/>
          <w:i/>
          <w:iCs/>
        </w:rPr>
        <w:t>ln(Violations)</w:t>
      </w:r>
      <w:r w:rsidRPr="009A1A59">
        <w:rPr>
          <w:rFonts w:ascii="Times New Roman" w:hAnsi="Times New Roman" w:cs="Times New Roman"/>
        </w:rPr>
        <w:t xml:space="preserve"> (0.186: vide Table 2): ((1.563*0.008)/0.186).</w:t>
      </w:r>
      <w:r w:rsidRPr="0064743E">
        <w:rPr>
          <w:rFonts w:ascii="Times New Roman" w:hAnsi="Times New Roman" w:cs="Times New Roman"/>
        </w:rPr>
        <w:t xml:space="preserve"> </w:t>
      </w:r>
    </w:p>
  </w:footnote>
  <w:footnote w:id="15">
    <w:p w14:paraId="6125B15A" w14:textId="3E82E957" w:rsidR="00AF6E3E" w:rsidRPr="00A66B53" w:rsidRDefault="00AF6E3E" w:rsidP="009C44E1">
      <w:pPr>
        <w:pStyle w:val="FootnoteText"/>
        <w:jc w:val="both"/>
        <w:rPr>
          <w:rFonts w:ascii="Times New Roman" w:hAnsi="Times New Roman" w:cs="Times New Roman"/>
        </w:rPr>
      </w:pPr>
      <w:r w:rsidRPr="00A66B53">
        <w:rPr>
          <w:rStyle w:val="FootnoteReference"/>
          <w:rFonts w:ascii="Times New Roman" w:hAnsi="Times New Roman" w:cs="Times New Roman"/>
        </w:rPr>
        <w:footnoteRef/>
      </w:r>
      <w:r w:rsidRPr="00A66B53">
        <w:rPr>
          <w:rFonts w:ascii="Times New Roman" w:hAnsi="Times New Roman" w:cs="Times New Roman"/>
        </w:rPr>
        <w:t xml:space="preserve"> </w:t>
      </w:r>
      <w:r w:rsidRPr="00037B8B">
        <w:rPr>
          <w:rFonts w:ascii="Times New Roman" w:hAnsi="Times New Roman" w:cs="Times New Roman"/>
        </w:rPr>
        <w:t xml:space="preserve">In calculating the economic significance for penalties, we multiple the standard deviation of </w:t>
      </w:r>
      <w:r w:rsidRPr="00774D07">
        <w:rPr>
          <w:rFonts w:ascii="Times New Roman" w:hAnsi="Times New Roman" w:cs="Times New Roman"/>
          <w:i/>
          <w:iCs/>
        </w:rPr>
        <w:t>Vega</w:t>
      </w:r>
      <w:r w:rsidRPr="00037B8B">
        <w:rPr>
          <w:rFonts w:ascii="Times New Roman" w:hAnsi="Times New Roman" w:cs="Times New Roman"/>
        </w:rPr>
        <w:t xml:space="preserve"> (1.563: vide Table 2) by the coefficient on Vega when </w:t>
      </w:r>
      <w:r w:rsidRPr="00774D07">
        <w:rPr>
          <w:rFonts w:ascii="Times New Roman" w:hAnsi="Times New Roman" w:cs="Times New Roman"/>
          <w:i/>
          <w:iCs/>
        </w:rPr>
        <w:t>ln(Penalties)</w:t>
      </w:r>
      <w:r w:rsidRPr="00037B8B">
        <w:rPr>
          <w:rFonts w:ascii="Times New Roman" w:hAnsi="Times New Roman" w:cs="Times New Roman"/>
        </w:rPr>
        <w:t xml:space="preserve"> is the dependent variable (0.068: vide Table </w:t>
      </w:r>
      <w:r>
        <w:rPr>
          <w:rFonts w:ascii="Times New Roman" w:hAnsi="Times New Roman" w:cs="Times New Roman"/>
        </w:rPr>
        <w:t>5</w:t>
      </w:r>
      <w:r w:rsidRPr="00037B8B">
        <w:rPr>
          <w:rFonts w:ascii="Times New Roman" w:hAnsi="Times New Roman" w:cs="Times New Roman"/>
        </w:rPr>
        <w:t xml:space="preserve">) and divide the resultant figure by mean </w:t>
      </w:r>
      <w:r w:rsidRPr="00774D07">
        <w:rPr>
          <w:rFonts w:ascii="Times New Roman" w:hAnsi="Times New Roman" w:cs="Times New Roman"/>
          <w:i/>
          <w:iCs/>
        </w:rPr>
        <w:t>ln(Penalties)</w:t>
      </w:r>
      <w:r w:rsidRPr="00037B8B">
        <w:rPr>
          <w:rFonts w:ascii="Times New Roman" w:hAnsi="Times New Roman" w:cs="Times New Roman"/>
        </w:rPr>
        <w:t xml:space="preserve"> (1.931: vide Table 2): ((1.563*0.068)/1.931).</w:t>
      </w:r>
    </w:p>
  </w:footnote>
  <w:footnote w:id="16">
    <w:p w14:paraId="3557E276" w14:textId="228460E6" w:rsidR="00AF6E3E" w:rsidRDefault="00AF6E3E" w:rsidP="00C860A5">
      <w:pPr>
        <w:pStyle w:val="FootnoteText"/>
      </w:pPr>
      <w:r>
        <w:rPr>
          <w:rStyle w:val="FootnoteReference"/>
        </w:rPr>
        <w:footnoteRef/>
      </w:r>
      <w:r>
        <w:t xml:space="preserve"> </w:t>
      </w:r>
      <w:r w:rsidRPr="002B299E">
        <w:rPr>
          <w:rFonts w:asciiTheme="majorBidi" w:hAnsiTheme="majorBidi" w:cstheme="majorBidi"/>
        </w:rPr>
        <w:t xml:space="preserve">We source the </w:t>
      </w:r>
      <w:r>
        <w:rPr>
          <w:rFonts w:asciiTheme="majorBidi" w:hAnsiTheme="majorBidi" w:cstheme="majorBidi"/>
        </w:rPr>
        <w:t xml:space="preserve">additional </w:t>
      </w:r>
      <w:r w:rsidRPr="002B299E">
        <w:rPr>
          <w:rFonts w:asciiTheme="majorBidi" w:hAnsiTheme="majorBidi" w:cstheme="majorBidi"/>
        </w:rPr>
        <w:t>data</w:t>
      </w:r>
      <w:r>
        <w:rPr>
          <w:rFonts w:asciiTheme="majorBidi" w:hAnsiTheme="majorBidi" w:cstheme="majorBidi"/>
        </w:rPr>
        <w:t xml:space="preserve"> items, i.e. </w:t>
      </w:r>
      <w:r w:rsidRPr="0081118A">
        <w:rPr>
          <w:rFonts w:asciiTheme="majorBidi" w:hAnsiTheme="majorBidi" w:cstheme="majorBidi"/>
          <w:i/>
          <w:iCs/>
        </w:rPr>
        <w:t>Emp; Sale; and SGA</w:t>
      </w:r>
      <w:r>
        <w:rPr>
          <w:rFonts w:asciiTheme="majorBidi" w:hAnsiTheme="majorBidi" w:cstheme="majorBidi"/>
        </w:rPr>
        <w:t>,</w:t>
      </w:r>
      <w:r w:rsidRPr="002B299E">
        <w:rPr>
          <w:rFonts w:asciiTheme="majorBidi" w:hAnsiTheme="majorBidi" w:cstheme="majorBidi"/>
        </w:rPr>
        <w:t xml:space="preserve"> from COMPUSTAT</w:t>
      </w:r>
      <w:r>
        <w:rPr>
          <w:rFonts w:asciiTheme="majorBidi" w:hAnsiTheme="majorBidi" w:cstheme="majorBidi"/>
        </w:rPr>
        <w:t>.</w:t>
      </w:r>
    </w:p>
  </w:footnote>
  <w:footnote w:id="17">
    <w:p w14:paraId="1C8392AD" w14:textId="4B86100D" w:rsidR="00AF6E3E" w:rsidRPr="00A11C9B" w:rsidRDefault="00AF6E3E" w:rsidP="00A11C9B">
      <w:pPr>
        <w:pStyle w:val="FootnoteText"/>
        <w:jc w:val="both"/>
        <w:rPr>
          <w:rFonts w:ascii="Times New Roman" w:hAnsi="Times New Roman" w:cs="Times New Roman"/>
        </w:rPr>
      </w:pPr>
      <w:r w:rsidRPr="00A11C9B">
        <w:rPr>
          <w:rStyle w:val="FootnoteReference"/>
          <w:rFonts w:ascii="Times New Roman" w:hAnsi="Times New Roman" w:cs="Times New Roman"/>
        </w:rPr>
        <w:footnoteRef/>
      </w:r>
      <w:r w:rsidRPr="00A11C9B">
        <w:rPr>
          <w:rFonts w:ascii="Times New Roman" w:hAnsi="Times New Roman" w:cs="Times New Roman"/>
        </w:rPr>
        <w:t xml:space="preserve"> </w:t>
      </w:r>
      <w:r>
        <w:rPr>
          <w:rFonts w:ascii="Times New Roman" w:hAnsi="Times New Roman" w:cs="Times New Roman"/>
        </w:rPr>
        <w:t>Following previous literature w</w:t>
      </w:r>
      <w:r w:rsidRPr="00A11C9B">
        <w:rPr>
          <w:rFonts w:ascii="Times New Roman" w:hAnsi="Times New Roman" w:cs="Times New Roman"/>
        </w:rPr>
        <w:t>e acknowledge that our measure of safety-related expenses proxied by cuts to abnormal discretionary expenditures</w:t>
      </w:r>
      <w:r>
        <w:rPr>
          <w:rFonts w:ascii="Times New Roman" w:hAnsi="Times New Roman" w:cs="Times New Roman"/>
        </w:rPr>
        <w:t xml:space="preserve"> is not perfect but it is the only proxy we are able to obtain. A</w:t>
      </w:r>
      <w:r w:rsidRPr="00E02116">
        <w:rPr>
          <w:rFonts w:ascii="Times New Roman" w:hAnsi="Times New Roman" w:cs="Times New Roman"/>
        </w:rPr>
        <w:t>bnormal discretionary expenditures</w:t>
      </w:r>
      <w:r>
        <w:rPr>
          <w:rFonts w:ascii="Times New Roman" w:hAnsi="Times New Roman" w:cs="Times New Roman"/>
        </w:rPr>
        <w:t xml:space="preserve"> might also reflect general earnings management efforts in addition to maintenance and safety-related expenditures (Caskey and Ozel 2017).</w:t>
      </w:r>
    </w:p>
  </w:footnote>
  <w:footnote w:id="18">
    <w:p w14:paraId="0AFBB425" w14:textId="77777777" w:rsidR="00AF6E3E" w:rsidRDefault="00AF6E3E" w:rsidP="00881E9C">
      <w:pPr>
        <w:pStyle w:val="FootnoteText"/>
      </w:pPr>
      <w:r>
        <w:rPr>
          <w:rStyle w:val="FootnoteReference"/>
        </w:rPr>
        <w:footnoteRef/>
      </w:r>
      <w:r>
        <w:t xml:space="preserve"> </w:t>
      </w:r>
      <w:r w:rsidRPr="00A11C9B">
        <w:rPr>
          <w:rFonts w:ascii="Times New Roman" w:hAnsi="Times New Roman" w:cs="Times New Roman"/>
        </w:rPr>
        <w:t>We drop observations in the other two quartiles.</w:t>
      </w:r>
    </w:p>
  </w:footnote>
  <w:footnote w:id="19">
    <w:p w14:paraId="54001BFF" w14:textId="16EE08BF" w:rsidR="00AF6E3E" w:rsidRPr="000A6369" w:rsidRDefault="00AF6E3E">
      <w:pPr>
        <w:pStyle w:val="FootnoteText"/>
        <w:rPr>
          <w:rFonts w:ascii="Times New Roman" w:hAnsi="Times New Roman" w:cs="Times New Roman"/>
        </w:rPr>
      </w:pPr>
      <w:r w:rsidRPr="000A6369">
        <w:rPr>
          <w:rStyle w:val="FootnoteReference"/>
          <w:rFonts w:ascii="Times New Roman" w:hAnsi="Times New Roman" w:cs="Times New Roman"/>
        </w:rPr>
        <w:footnoteRef/>
      </w:r>
      <w:r w:rsidRPr="000A6369">
        <w:rPr>
          <w:rFonts w:ascii="Times New Roman" w:hAnsi="Times New Roman" w:cs="Times New Roman"/>
        </w:rPr>
        <w:t xml:space="preserve"> </w:t>
      </w:r>
      <w:r>
        <w:rPr>
          <w:rFonts w:ascii="Times New Roman" w:hAnsi="Times New Roman" w:cs="Times New Roman"/>
        </w:rPr>
        <w:t>The</w:t>
      </w:r>
      <w:r w:rsidR="00EF372B">
        <w:rPr>
          <w:rFonts w:ascii="Times New Roman" w:hAnsi="Times New Roman" w:cs="Times New Roman"/>
        </w:rPr>
        <w:t xml:space="preserve"> computation of the</w:t>
      </w:r>
      <w:r>
        <w:rPr>
          <w:rFonts w:ascii="Times New Roman" w:hAnsi="Times New Roman" w:cs="Times New Roman"/>
        </w:rPr>
        <w:t xml:space="preserve"> measure production per employee, </w:t>
      </w:r>
      <w:r>
        <w:rPr>
          <w:rFonts w:ascii="Times New Roman" w:hAnsi="Times New Roman" w:cs="Times New Roman"/>
          <w:i/>
          <w:iCs/>
        </w:rPr>
        <w:t>ProdperEmp</w:t>
      </w:r>
      <w:r>
        <w:rPr>
          <w:rFonts w:ascii="Times New Roman" w:hAnsi="Times New Roman" w:cs="Times New Roman"/>
        </w:rPr>
        <w:t>, follows Caskey and Ozel (2017).</w:t>
      </w:r>
    </w:p>
  </w:footnote>
  <w:footnote w:id="20">
    <w:p w14:paraId="79754CA8" w14:textId="34AC04C1" w:rsidR="00AF6E3E" w:rsidRPr="00F65B5E" w:rsidRDefault="00AF6E3E" w:rsidP="00F65B5E">
      <w:pPr>
        <w:pStyle w:val="FootnoteText"/>
        <w:jc w:val="both"/>
        <w:rPr>
          <w:rFonts w:ascii="Times New Roman" w:hAnsi="Times New Roman" w:cs="Times New Roman"/>
        </w:rPr>
      </w:pPr>
      <w:r w:rsidRPr="00F65B5E">
        <w:rPr>
          <w:rStyle w:val="FootnoteReference"/>
          <w:rFonts w:ascii="Times New Roman" w:hAnsi="Times New Roman" w:cs="Times New Roman"/>
        </w:rPr>
        <w:footnoteRef/>
      </w:r>
      <w:r w:rsidRPr="00F65B5E">
        <w:rPr>
          <w:rFonts w:ascii="Times New Roman" w:hAnsi="Times New Roman" w:cs="Times New Roman"/>
        </w:rPr>
        <w:t xml:space="preserve"> In this analysis we drop </w:t>
      </w:r>
      <w:r w:rsidRPr="00F65B5E">
        <w:rPr>
          <w:rFonts w:ascii="Times New Roman" w:hAnsi="Times New Roman" w:cs="Times New Roman"/>
          <w:i/>
          <w:iCs/>
        </w:rPr>
        <w:t xml:space="preserve">Size </w:t>
      </w:r>
      <w:r w:rsidRPr="00F65B5E">
        <w:rPr>
          <w:rFonts w:ascii="Times New Roman" w:hAnsi="Times New Roman" w:cs="Times New Roman"/>
        </w:rPr>
        <w:t>from Eq. (1) since we control for size differences by scaling the dependent variables by total assets.</w:t>
      </w:r>
    </w:p>
  </w:footnote>
  <w:footnote w:id="21">
    <w:p w14:paraId="06D09297" w14:textId="77777777" w:rsidR="00AF6E3E" w:rsidRPr="0013288F" w:rsidRDefault="00AF6E3E" w:rsidP="00150E17">
      <w:pPr>
        <w:pStyle w:val="FootnoteText"/>
        <w:jc w:val="both"/>
        <w:rPr>
          <w:rFonts w:ascii="Times New Roman" w:hAnsi="Times New Roman" w:cs="Times New Roman"/>
        </w:rPr>
      </w:pPr>
      <w:r w:rsidRPr="0013288F">
        <w:rPr>
          <w:rStyle w:val="FootnoteReference"/>
          <w:rFonts w:ascii="Times New Roman" w:hAnsi="Times New Roman" w:cs="Times New Roman"/>
        </w:rPr>
        <w:footnoteRef/>
      </w:r>
      <w:r w:rsidRPr="0013288F">
        <w:rPr>
          <w:rFonts w:ascii="Times New Roman" w:hAnsi="Times New Roman" w:cs="Times New Roman"/>
        </w:rPr>
        <w:t xml:space="preserve"> </w:t>
      </w:r>
      <w:bookmarkStart w:id="11" w:name="_Hlk133735904"/>
      <w:r w:rsidRPr="0013288F">
        <w:rPr>
          <w:rFonts w:ascii="Times New Roman" w:hAnsi="Times New Roman" w:cs="Times New Roman"/>
        </w:rPr>
        <w:t xml:space="preserve">To exclude firms with M&amp;A activities we exclude all firm-year observations for which </w:t>
      </w:r>
      <w:r w:rsidRPr="0013288F">
        <w:rPr>
          <w:rFonts w:ascii="Times New Roman" w:hAnsi="Times New Roman" w:cs="Times New Roman"/>
        </w:rPr>
        <w:t>Compustat variable “acquisition/merger pretax” (</w:t>
      </w:r>
      <w:r w:rsidRPr="0013288F">
        <w:rPr>
          <w:rFonts w:ascii="Times New Roman" w:hAnsi="Times New Roman" w:cs="Times New Roman"/>
          <w:i/>
          <w:iCs/>
        </w:rPr>
        <w:t>aqp</w:t>
      </w:r>
      <w:r w:rsidRPr="0013288F">
        <w:rPr>
          <w:rFonts w:ascii="Times New Roman" w:hAnsi="Times New Roman" w:cs="Times New Roman"/>
        </w:rPr>
        <w:t xml:space="preserve">) is different than zero and non-missing.  </w:t>
      </w:r>
      <w:bookmarkEnd w:id="11"/>
    </w:p>
  </w:footnote>
  <w:footnote w:id="22">
    <w:p w14:paraId="32B54145" w14:textId="44D253AB" w:rsidR="00AF6E3E" w:rsidRPr="004F5E50" w:rsidRDefault="00AF6E3E" w:rsidP="004F5E50">
      <w:pPr>
        <w:pStyle w:val="NormalWeb"/>
        <w:spacing w:before="0" w:beforeAutospacing="0" w:after="0" w:afterAutospacing="0"/>
        <w:jc w:val="both"/>
        <w:rPr>
          <w:color w:val="222222"/>
          <w:sz w:val="20"/>
          <w:szCs w:val="20"/>
          <w:shd w:val="clear" w:color="auto" w:fill="FFFFFF"/>
        </w:rPr>
      </w:pPr>
      <w:r w:rsidRPr="004F5E50">
        <w:rPr>
          <w:rStyle w:val="FootnoteReference"/>
          <w:sz w:val="20"/>
          <w:szCs w:val="20"/>
        </w:rPr>
        <w:footnoteRef/>
      </w:r>
      <w:r w:rsidRPr="004F5E50">
        <w:rPr>
          <w:sz w:val="20"/>
          <w:szCs w:val="20"/>
        </w:rPr>
        <w:t xml:space="preserve"> </w:t>
      </w:r>
      <w:r w:rsidRPr="004F5E50">
        <w:rPr>
          <w:rFonts w:eastAsia="Times New Roman"/>
          <w:sz w:val="20"/>
          <w:szCs w:val="20"/>
          <w:lang w:val="en-US"/>
        </w:rPr>
        <w:t>Baginski, Campbell, Hinson and Koo (2018) find that CEOs with high levels of severance pay have fewer career concerns. Therefore, we predict that</w:t>
      </w:r>
      <w:r>
        <w:rPr>
          <w:rFonts w:eastAsia="Times New Roman"/>
          <w:sz w:val="20"/>
          <w:szCs w:val="20"/>
          <w:lang w:val="en-US"/>
        </w:rPr>
        <w:t xml:space="preserve"> the</w:t>
      </w:r>
      <w:r w:rsidRPr="004F5E50">
        <w:rPr>
          <w:rFonts w:eastAsia="Times New Roman"/>
          <w:sz w:val="20"/>
          <w:szCs w:val="20"/>
          <w:lang w:val="en-US"/>
        </w:rPr>
        <w:t xml:space="preserve"> CEOs with high severance pay are less likely to exploit workers to achieve performance. Hence, these firms will have lower levels of workplace misconduct.</w:t>
      </w:r>
      <w:r w:rsidRPr="004F5E50">
        <w:rPr>
          <w:color w:val="222222"/>
          <w:sz w:val="20"/>
          <w:szCs w:val="20"/>
          <w:shd w:val="clear" w:color="auto" w:fill="FFFFFF"/>
        </w:rPr>
        <w:t xml:space="preserve"> </w:t>
      </w:r>
    </w:p>
    <w:p w14:paraId="263CF55E" w14:textId="6FB94C69" w:rsidR="00AF6E3E" w:rsidRPr="004F5E50" w:rsidRDefault="00AF6E3E" w:rsidP="004F5E50">
      <w:pPr>
        <w:pStyle w:val="NormalWeb"/>
        <w:spacing w:before="0" w:beforeAutospacing="0" w:after="0" w:afterAutospacing="0"/>
        <w:jc w:val="both"/>
        <w:rPr>
          <w:color w:val="333333"/>
          <w:sz w:val="20"/>
          <w:szCs w:val="20"/>
          <w:shd w:val="clear" w:color="auto" w:fill="FCFCFC"/>
        </w:rPr>
      </w:pPr>
      <w:r w:rsidRPr="004F5E50">
        <w:rPr>
          <w:color w:val="222222"/>
          <w:sz w:val="20"/>
          <w:szCs w:val="20"/>
          <w:shd w:val="clear" w:color="auto" w:fill="FFFFFF"/>
        </w:rPr>
        <w:t xml:space="preserve">Ex-ante a CEO under higher dismissal threat might put more pressure on employees to deliver better performance and therefore compromise on workplace safety. Jenter and Kanaan (2015) show that CEOs face a higher threat of dismissal after bad industry performance as boards learn more about the abilities of CEOs during a bad performance that is otherwise unobservable. Following Jenter and Kanaan (2015) we base our measure for dismissal threat in relation to peer performance and predict that it increases workplace misconduct. </w:t>
      </w:r>
    </w:p>
    <w:p w14:paraId="0DD93911" w14:textId="07D9C891" w:rsidR="00AF6E3E" w:rsidRPr="00441868" w:rsidRDefault="00AF6E3E" w:rsidP="00150E17">
      <w:pPr>
        <w:spacing w:after="0" w:line="240" w:lineRule="auto"/>
        <w:jc w:val="both"/>
        <w:rPr>
          <w:rFonts w:ascii="Times New Roman" w:hAnsi="Times New Roman" w:cs="Times New Roman"/>
          <w:sz w:val="20"/>
          <w:szCs w:val="20"/>
        </w:rPr>
      </w:pPr>
      <w:r w:rsidRPr="004F5E50">
        <w:rPr>
          <w:rFonts w:ascii="Times New Roman" w:hAnsi="Times New Roman" w:cs="Times New Roman"/>
          <w:sz w:val="20"/>
          <w:szCs w:val="20"/>
        </w:rPr>
        <w:t>Literature suggests that CEO managerial ability affects firm performance as higher managerial ability allows for a better understanding of industry trends and better prediction of product demand. It lowers the likelihood of bankruptcy and allows for the efficient management of employees (Demerjian, Lev and McVay, 2012; Leverty and Grace, 2012). While managerial ability is positively correlated with CEO pay it is an empirical question as to whether it affects workplace misconduct.</w:t>
      </w:r>
    </w:p>
  </w:footnote>
  <w:footnote w:id="23">
    <w:p w14:paraId="559269BD" w14:textId="18FE6229" w:rsidR="00AF6E3E" w:rsidRPr="009B31AD" w:rsidRDefault="00AF6E3E" w:rsidP="009B31AD">
      <w:pPr>
        <w:pStyle w:val="FootnoteText"/>
        <w:jc w:val="both"/>
        <w:rPr>
          <w:rFonts w:ascii="Times New Roman" w:hAnsi="Times New Roman" w:cs="Times New Roman"/>
        </w:rPr>
      </w:pPr>
      <w:r w:rsidRPr="009B31AD">
        <w:rPr>
          <w:rStyle w:val="FootnoteReference"/>
          <w:rFonts w:ascii="Times New Roman" w:hAnsi="Times New Roman" w:cs="Times New Roman"/>
        </w:rPr>
        <w:footnoteRef/>
      </w:r>
      <w:r w:rsidRPr="009B31AD">
        <w:rPr>
          <w:rFonts w:ascii="Times New Roman" w:hAnsi="Times New Roman" w:cs="Times New Roman"/>
        </w:rPr>
        <w:t xml:space="preserve"> The only exception is the coefficient on </w:t>
      </w:r>
      <w:r w:rsidRPr="009B31AD">
        <w:rPr>
          <w:rFonts w:ascii="Times New Roman" w:hAnsi="Times New Roman" w:cs="Times New Roman"/>
          <w:i/>
          <w:iCs/>
        </w:rPr>
        <w:t xml:space="preserve">Vega </w:t>
      </w:r>
      <w:r w:rsidRPr="009B31AD">
        <w:rPr>
          <w:rFonts w:ascii="Times New Roman" w:hAnsi="Times New Roman" w:cs="Times New Roman"/>
        </w:rPr>
        <w:t xml:space="preserve">when </w:t>
      </w:r>
      <w:r w:rsidRPr="009B31AD">
        <w:rPr>
          <w:rFonts w:ascii="Times New Roman" w:hAnsi="Times New Roman" w:cs="Times New Roman"/>
          <w:i/>
          <w:iCs/>
        </w:rPr>
        <w:t xml:space="preserve">ln(Penalties) </w:t>
      </w:r>
      <w:r w:rsidRPr="009B31AD">
        <w:rPr>
          <w:rFonts w:ascii="Times New Roman" w:hAnsi="Times New Roman" w:cs="Times New Roman"/>
        </w:rPr>
        <w:t>is the dependent variable and we control for CEO severance pay</w:t>
      </w:r>
      <w:r>
        <w:rPr>
          <w:rFonts w:ascii="Times New Roman" w:hAnsi="Times New Roman" w:cs="Times New Roman"/>
        </w:rPr>
        <w:t xml:space="preserve"> in Eq. (1)</w:t>
      </w:r>
      <w:r w:rsidRPr="009B31AD">
        <w:rPr>
          <w:rFonts w:ascii="Times New Roman" w:hAnsi="Times New Roman" w:cs="Times New Roman"/>
        </w:rPr>
        <w:t xml:space="preserve">. In this specification, the coefficient on </w:t>
      </w:r>
      <w:r w:rsidRPr="009B31AD">
        <w:rPr>
          <w:rFonts w:ascii="Times New Roman" w:hAnsi="Times New Roman" w:cs="Times New Roman"/>
          <w:i/>
          <w:iCs/>
        </w:rPr>
        <w:t xml:space="preserve">Vega </w:t>
      </w:r>
      <w:r w:rsidRPr="009B31AD">
        <w:rPr>
          <w:rFonts w:ascii="Times New Roman" w:hAnsi="Times New Roman" w:cs="Times New Roman"/>
        </w:rPr>
        <w:t xml:space="preserve">is positive albeit marginally insignificant.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96505C"/>
    <w:multiLevelType w:val="hybridMultilevel"/>
    <w:tmpl w:val="A1A81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D53B22"/>
    <w:multiLevelType w:val="hybridMultilevel"/>
    <w:tmpl w:val="F77CD0E0"/>
    <w:lvl w:ilvl="0" w:tplc="DCE4AB16">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78510">
    <w:abstractNumId w:val="0"/>
  </w:num>
  <w:num w:numId="2" w16cid:durableId="810901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2MTCysDA1NDc3NTJX0lEKTi0uzszPAykwNqoFACdrLMEtAAAA"/>
  </w:docVars>
  <w:rsids>
    <w:rsidRoot w:val="00FC64DC"/>
    <w:rsid w:val="00001543"/>
    <w:rsid w:val="00001AA4"/>
    <w:rsid w:val="00001EE4"/>
    <w:rsid w:val="000055F4"/>
    <w:rsid w:val="00005623"/>
    <w:rsid w:val="00006979"/>
    <w:rsid w:val="000105C4"/>
    <w:rsid w:val="00011999"/>
    <w:rsid w:val="00012B36"/>
    <w:rsid w:val="000131A0"/>
    <w:rsid w:val="00013A6F"/>
    <w:rsid w:val="00016DA2"/>
    <w:rsid w:val="000173A2"/>
    <w:rsid w:val="000174A3"/>
    <w:rsid w:val="000205F1"/>
    <w:rsid w:val="00020C04"/>
    <w:rsid w:val="00021F5F"/>
    <w:rsid w:val="000226FF"/>
    <w:rsid w:val="00024071"/>
    <w:rsid w:val="00024B8F"/>
    <w:rsid w:val="000255B9"/>
    <w:rsid w:val="000270A3"/>
    <w:rsid w:val="0002750C"/>
    <w:rsid w:val="000304F6"/>
    <w:rsid w:val="00030B1E"/>
    <w:rsid w:val="00034843"/>
    <w:rsid w:val="00034B36"/>
    <w:rsid w:val="00035289"/>
    <w:rsid w:val="00037507"/>
    <w:rsid w:val="00037B8B"/>
    <w:rsid w:val="00041FEE"/>
    <w:rsid w:val="00042449"/>
    <w:rsid w:val="00043020"/>
    <w:rsid w:val="000436D4"/>
    <w:rsid w:val="00044213"/>
    <w:rsid w:val="00045A66"/>
    <w:rsid w:val="00046A4A"/>
    <w:rsid w:val="000477CA"/>
    <w:rsid w:val="00047E2E"/>
    <w:rsid w:val="000521F3"/>
    <w:rsid w:val="0005253F"/>
    <w:rsid w:val="000526D3"/>
    <w:rsid w:val="00052BAE"/>
    <w:rsid w:val="00053BD3"/>
    <w:rsid w:val="00054BD5"/>
    <w:rsid w:val="00055FE5"/>
    <w:rsid w:val="000569E1"/>
    <w:rsid w:val="00056F35"/>
    <w:rsid w:val="00057AC7"/>
    <w:rsid w:val="0006010A"/>
    <w:rsid w:val="000604AD"/>
    <w:rsid w:val="00062179"/>
    <w:rsid w:val="0006511B"/>
    <w:rsid w:val="00065746"/>
    <w:rsid w:val="00065CDF"/>
    <w:rsid w:val="00066763"/>
    <w:rsid w:val="0006783A"/>
    <w:rsid w:val="00070616"/>
    <w:rsid w:val="00071355"/>
    <w:rsid w:val="00074CF0"/>
    <w:rsid w:val="000774FD"/>
    <w:rsid w:val="0008378D"/>
    <w:rsid w:val="00083A3C"/>
    <w:rsid w:val="000852A7"/>
    <w:rsid w:val="00090F74"/>
    <w:rsid w:val="000915C9"/>
    <w:rsid w:val="0009187D"/>
    <w:rsid w:val="000924AD"/>
    <w:rsid w:val="0009253D"/>
    <w:rsid w:val="000948A1"/>
    <w:rsid w:val="00094BA9"/>
    <w:rsid w:val="00094FA4"/>
    <w:rsid w:val="00096FAB"/>
    <w:rsid w:val="000A129D"/>
    <w:rsid w:val="000A15D3"/>
    <w:rsid w:val="000A1DC8"/>
    <w:rsid w:val="000A1FC2"/>
    <w:rsid w:val="000A2F72"/>
    <w:rsid w:val="000A439A"/>
    <w:rsid w:val="000A48B1"/>
    <w:rsid w:val="000A50EF"/>
    <w:rsid w:val="000A523A"/>
    <w:rsid w:val="000A6369"/>
    <w:rsid w:val="000A7255"/>
    <w:rsid w:val="000A759E"/>
    <w:rsid w:val="000B0D1E"/>
    <w:rsid w:val="000B23CC"/>
    <w:rsid w:val="000B2800"/>
    <w:rsid w:val="000B298A"/>
    <w:rsid w:val="000B34F2"/>
    <w:rsid w:val="000B3A69"/>
    <w:rsid w:val="000B5934"/>
    <w:rsid w:val="000B6BFE"/>
    <w:rsid w:val="000C1BDF"/>
    <w:rsid w:val="000C49F6"/>
    <w:rsid w:val="000C6A98"/>
    <w:rsid w:val="000C7627"/>
    <w:rsid w:val="000C7A48"/>
    <w:rsid w:val="000D0CE0"/>
    <w:rsid w:val="000D1589"/>
    <w:rsid w:val="000D2E3F"/>
    <w:rsid w:val="000D4578"/>
    <w:rsid w:val="000D6F44"/>
    <w:rsid w:val="000D78F4"/>
    <w:rsid w:val="000E1DC0"/>
    <w:rsid w:val="000E1E25"/>
    <w:rsid w:val="000E1F3A"/>
    <w:rsid w:val="000E2FF0"/>
    <w:rsid w:val="000E3C8A"/>
    <w:rsid w:val="000E4C83"/>
    <w:rsid w:val="000E4D74"/>
    <w:rsid w:val="000E4EB2"/>
    <w:rsid w:val="000F03D9"/>
    <w:rsid w:val="000F4AE6"/>
    <w:rsid w:val="000F4EF7"/>
    <w:rsid w:val="000F518E"/>
    <w:rsid w:val="000F57B1"/>
    <w:rsid w:val="00100CF9"/>
    <w:rsid w:val="001016FE"/>
    <w:rsid w:val="00101C51"/>
    <w:rsid w:val="00101C60"/>
    <w:rsid w:val="001040D1"/>
    <w:rsid w:val="0010453A"/>
    <w:rsid w:val="0010541D"/>
    <w:rsid w:val="00107612"/>
    <w:rsid w:val="00111705"/>
    <w:rsid w:val="00113CC5"/>
    <w:rsid w:val="0011404D"/>
    <w:rsid w:val="0011469D"/>
    <w:rsid w:val="0011512F"/>
    <w:rsid w:val="00115A79"/>
    <w:rsid w:val="00116D5D"/>
    <w:rsid w:val="00116F33"/>
    <w:rsid w:val="00117BDA"/>
    <w:rsid w:val="00121605"/>
    <w:rsid w:val="0012235F"/>
    <w:rsid w:val="001228CE"/>
    <w:rsid w:val="0012685A"/>
    <w:rsid w:val="00127DCB"/>
    <w:rsid w:val="001303D5"/>
    <w:rsid w:val="001304BA"/>
    <w:rsid w:val="00130B9A"/>
    <w:rsid w:val="0013288F"/>
    <w:rsid w:val="00134EB3"/>
    <w:rsid w:val="001351CF"/>
    <w:rsid w:val="001360B3"/>
    <w:rsid w:val="0013714D"/>
    <w:rsid w:val="00137311"/>
    <w:rsid w:val="001376FE"/>
    <w:rsid w:val="001379DC"/>
    <w:rsid w:val="00137B19"/>
    <w:rsid w:val="00142877"/>
    <w:rsid w:val="00143F69"/>
    <w:rsid w:val="00144586"/>
    <w:rsid w:val="00144C4B"/>
    <w:rsid w:val="00145371"/>
    <w:rsid w:val="00145E0C"/>
    <w:rsid w:val="00150959"/>
    <w:rsid w:val="00150E17"/>
    <w:rsid w:val="00153148"/>
    <w:rsid w:val="0015398B"/>
    <w:rsid w:val="00154773"/>
    <w:rsid w:val="00154881"/>
    <w:rsid w:val="001549C6"/>
    <w:rsid w:val="00155940"/>
    <w:rsid w:val="00155E98"/>
    <w:rsid w:val="00156277"/>
    <w:rsid w:val="001563E9"/>
    <w:rsid w:val="00157AD5"/>
    <w:rsid w:val="001613A2"/>
    <w:rsid w:val="001618CE"/>
    <w:rsid w:val="0016283D"/>
    <w:rsid w:val="00165E07"/>
    <w:rsid w:val="00166619"/>
    <w:rsid w:val="00170DC7"/>
    <w:rsid w:val="00170E7D"/>
    <w:rsid w:val="001718B8"/>
    <w:rsid w:val="00174C88"/>
    <w:rsid w:val="00174F61"/>
    <w:rsid w:val="00175B14"/>
    <w:rsid w:val="00175DF8"/>
    <w:rsid w:val="00177B15"/>
    <w:rsid w:val="001802A0"/>
    <w:rsid w:val="001803F6"/>
    <w:rsid w:val="00183E76"/>
    <w:rsid w:val="00184107"/>
    <w:rsid w:val="00184390"/>
    <w:rsid w:val="001845A2"/>
    <w:rsid w:val="00185AD0"/>
    <w:rsid w:val="00185DCF"/>
    <w:rsid w:val="00185F44"/>
    <w:rsid w:val="0018620F"/>
    <w:rsid w:val="00187028"/>
    <w:rsid w:val="0018779E"/>
    <w:rsid w:val="001906C3"/>
    <w:rsid w:val="001913D2"/>
    <w:rsid w:val="00191B38"/>
    <w:rsid w:val="00191F58"/>
    <w:rsid w:val="001920D3"/>
    <w:rsid w:val="00192553"/>
    <w:rsid w:val="001949D1"/>
    <w:rsid w:val="00195123"/>
    <w:rsid w:val="00196348"/>
    <w:rsid w:val="001A3335"/>
    <w:rsid w:val="001A3F35"/>
    <w:rsid w:val="001A4CD5"/>
    <w:rsid w:val="001A5B23"/>
    <w:rsid w:val="001A61D0"/>
    <w:rsid w:val="001A75B8"/>
    <w:rsid w:val="001B042E"/>
    <w:rsid w:val="001B0E08"/>
    <w:rsid w:val="001B14A6"/>
    <w:rsid w:val="001B16D2"/>
    <w:rsid w:val="001B22B1"/>
    <w:rsid w:val="001B5F6C"/>
    <w:rsid w:val="001B68C5"/>
    <w:rsid w:val="001B6B51"/>
    <w:rsid w:val="001B7C85"/>
    <w:rsid w:val="001B7ED4"/>
    <w:rsid w:val="001C128D"/>
    <w:rsid w:val="001C456D"/>
    <w:rsid w:val="001C4D12"/>
    <w:rsid w:val="001D01DF"/>
    <w:rsid w:val="001D198E"/>
    <w:rsid w:val="001D2692"/>
    <w:rsid w:val="001D29C5"/>
    <w:rsid w:val="001D327D"/>
    <w:rsid w:val="001D39DB"/>
    <w:rsid w:val="001D3C94"/>
    <w:rsid w:val="001D430F"/>
    <w:rsid w:val="001D66AD"/>
    <w:rsid w:val="001D6A42"/>
    <w:rsid w:val="001D6D1E"/>
    <w:rsid w:val="001D756C"/>
    <w:rsid w:val="001E0786"/>
    <w:rsid w:val="001E440D"/>
    <w:rsid w:val="001E5894"/>
    <w:rsid w:val="001E5FF0"/>
    <w:rsid w:val="001E67E7"/>
    <w:rsid w:val="001E7571"/>
    <w:rsid w:val="001E7F8D"/>
    <w:rsid w:val="001F0276"/>
    <w:rsid w:val="001F3786"/>
    <w:rsid w:val="001F3896"/>
    <w:rsid w:val="001F427B"/>
    <w:rsid w:val="001F5C63"/>
    <w:rsid w:val="001F6772"/>
    <w:rsid w:val="001F6E4D"/>
    <w:rsid w:val="001F778B"/>
    <w:rsid w:val="001F7BDF"/>
    <w:rsid w:val="00202E89"/>
    <w:rsid w:val="002034FE"/>
    <w:rsid w:val="0020403B"/>
    <w:rsid w:val="00204848"/>
    <w:rsid w:val="00205863"/>
    <w:rsid w:val="002059FD"/>
    <w:rsid w:val="00205F00"/>
    <w:rsid w:val="0020609B"/>
    <w:rsid w:val="00206463"/>
    <w:rsid w:val="002065DB"/>
    <w:rsid w:val="00206974"/>
    <w:rsid w:val="00206F9E"/>
    <w:rsid w:val="00210F23"/>
    <w:rsid w:val="00211D57"/>
    <w:rsid w:val="00213E53"/>
    <w:rsid w:val="0021660D"/>
    <w:rsid w:val="002218E8"/>
    <w:rsid w:val="00221BF9"/>
    <w:rsid w:val="00222938"/>
    <w:rsid w:val="002242A3"/>
    <w:rsid w:val="0022650C"/>
    <w:rsid w:val="0022675F"/>
    <w:rsid w:val="00233FB3"/>
    <w:rsid w:val="0023493A"/>
    <w:rsid w:val="002356B5"/>
    <w:rsid w:val="0023586E"/>
    <w:rsid w:val="00236725"/>
    <w:rsid w:val="00240A3A"/>
    <w:rsid w:val="0024219A"/>
    <w:rsid w:val="00244C3D"/>
    <w:rsid w:val="00245C1C"/>
    <w:rsid w:val="0024682C"/>
    <w:rsid w:val="00247333"/>
    <w:rsid w:val="0025050F"/>
    <w:rsid w:val="00250B70"/>
    <w:rsid w:val="0025215D"/>
    <w:rsid w:val="00253636"/>
    <w:rsid w:val="00253A0F"/>
    <w:rsid w:val="00254E65"/>
    <w:rsid w:val="00255709"/>
    <w:rsid w:val="002567B1"/>
    <w:rsid w:val="0026008D"/>
    <w:rsid w:val="002602E5"/>
    <w:rsid w:val="00262CDB"/>
    <w:rsid w:val="002648BD"/>
    <w:rsid w:val="0026559F"/>
    <w:rsid w:val="0026640C"/>
    <w:rsid w:val="002668F7"/>
    <w:rsid w:val="00266A79"/>
    <w:rsid w:val="00266CDF"/>
    <w:rsid w:val="00267B36"/>
    <w:rsid w:val="0027044E"/>
    <w:rsid w:val="0027048F"/>
    <w:rsid w:val="0027131E"/>
    <w:rsid w:val="00271868"/>
    <w:rsid w:val="00272446"/>
    <w:rsid w:val="00272EE6"/>
    <w:rsid w:val="002753C1"/>
    <w:rsid w:val="002767E7"/>
    <w:rsid w:val="00276DF8"/>
    <w:rsid w:val="00280B0F"/>
    <w:rsid w:val="00280C8B"/>
    <w:rsid w:val="00280DFC"/>
    <w:rsid w:val="002811A9"/>
    <w:rsid w:val="0028121B"/>
    <w:rsid w:val="00282694"/>
    <w:rsid w:val="00284E45"/>
    <w:rsid w:val="0028594A"/>
    <w:rsid w:val="00286FD6"/>
    <w:rsid w:val="00287FCA"/>
    <w:rsid w:val="00290FDE"/>
    <w:rsid w:val="0029206C"/>
    <w:rsid w:val="00292854"/>
    <w:rsid w:val="00293726"/>
    <w:rsid w:val="00293C01"/>
    <w:rsid w:val="00296E10"/>
    <w:rsid w:val="002A0DEC"/>
    <w:rsid w:val="002A0F18"/>
    <w:rsid w:val="002A25C3"/>
    <w:rsid w:val="002A44D3"/>
    <w:rsid w:val="002A65E3"/>
    <w:rsid w:val="002B0CB0"/>
    <w:rsid w:val="002B1F22"/>
    <w:rsid w:val="002B1F8B"/>
    <w:rsid w:val="002B1FBD"/>
    <w:rsid w:val="002B2CE0"/>
    <w:rsid w:val="002B5E9E"/>
    <w:rsid w:val="002B6BDB"/>
    <w:rsid w:val="002B7150"/>
    <w:rsid w:val="002B7E61"/>
    <w:rsid w:val="002B7EC9"/>
    <w:rsid w:val="002C1476"/>
    <w:rsid w:val="002C1E7A"/>
    <w:rsid w:val="002C32F4"/>
    <w:rsid w:val="002C3AD5"/>
    <w:rsid w:val="002C4292"/>
    <w:rsid w:val="002C4F69"/>
    <w:rsid w:val="002C5308"/>
    <w:rsid w:val="002C6DEB"/>
    <w:rsid w:val="002C7003"/>
    <w:rsid w:val="002D10C0"/>
    <w:rsid w:val="002D14C6"/>
    <w:rsid w:val="002D1ED3"/>
    <w:rsid w:val="002D33B0"/>
    <w:rsid w:val="002D3553"/>
    <w:rsid w:val="002D461F"/>
    <w:rsid w:val="002D6AA5"/>
    <w:rsid w:val="002D6DB7"/>
    <w:rsid w:val="002D701D"/>
    <w:rsid w:val="002E02D4"/>
    <w:rsid w:val="002E153F"/>
    <w:rsid w:val="002E3D2B"/>
    <w:rsid w:val="002E53C2"/>
    <w:rsid w:val="002E5872"/>
    <w:rsid w:val="002E6349"/>
    <w:rsid w:val="002E74C4"/>
    <w:rsid w:val="002E778C"/>
    <w:rsid w:val="002F0999"/>
    <w:rsid w:val="002F09EE"/>
    <w:rsid w:val="002F22CF"/>
    <w:rsid w:val="002F2806"/>
    <w:rsid w:val="002F334C"/>
    <w:rsid w:val="002F38A4"/>
    <w:rsid w:val="002F4F37"/>
    <w:rsid w:val="002F6302"/>
    <w:rsid w:val="002F6468"/>
    <w:rsid w:val="002F76B2"/>
    <w:rsid w:val="003007D7"/>
    <w:rsid w:val="00301A20"/>
    <w:rsid w:val="003022EE"/>
    <w:rsid w:val="0030347A"/>
    <w:rsid w:val="00303B98"/>
    <w:rsid w:val="00304CD7"/>
    <w:rsid w:val="003057F2"/>
    <w:rsid w:val="003058FA"/>
    <w:rsid w:val="003059AD"/>
    <w:rsid w:val="0030639B"/>
    <w:rsid w:val="00306538"/>
    <w:rsid w:val="0031024A"/>
    <w:rsid w:val="003118B4"/>
    <w:rsid w:val="00312493"/>
    <w:rsid w:val="00313659"/>
    <w:rsid w:val="00314032"/>
    <w:rsid w:val="003148D0"/>
    <w:rsid w:val="00315332"/>
    <w:rsid w:val="00315AA9"/>
    <w:rsid w:val="00320A20"/>
    <w:rsid w:val="003247F3"/>
    <w:rsid w:val="00324CED"/>
    <w:rsid w:val="00324D29"/>
    <w:rsid w:val="00326524"/>
    <w:rsid w:val="0032684C"/>
    <w:rsid w:val="00327555"/>
    <w:rsid w:val="00330201"/>
    <w:rsid w:val="00330FED"/>
    <w:rsid w:val="00331B96"/>
    <w:rsid w:val="0033318B"/>
    <w:rsid w:val="0033328C"/>
    <w:rsid w:val="003334C8"/>
    <w:rsid w:val="00334A30"/>
    <w:rsid w:val="00335D20"/>
    <w:rsid w:val="00336319"/>
    <w:rsid w:val="00336957"/>
    <w:rsid w:val="00336FCE"/>
    <w:rsid w:val="00337001"/>
    <w:rsid w:val="00337F66"/>
    <w:rsid w:val="00340242"/>
    <w:rsid w:val="003403C3"/>
    <w:rsid w:val="00340E51"/>
    <w:rsid w:val="00341F35"/>
    <w:rsid w:val="00343F87"/>
    <w:rsid w:val="00344913"/>
    <w:rsid w:val="003464C8"/>
    <w:rsid w:val="0034674F"/>
    <w:rsid w:val="0034718A"/>
    <w:rsid w:val="003514B0"/>
    <w:rsid w:val="00351A72"/>
    <w:rsid w:val="003552E7"/>
    <w:rsid w:val="00356C49"/>
    <w:rsid w:val="00356F82"/>
    <w:rsid w:val="0035727B"/>
    <w:rsid w:val="00361406"/>
    <w:rsid w:val="00361BA0"/>
    <w:rsid w:val="00361BDB"/>
    <w:rsid w:val="00362467"/>
    <w:rsid w:val="003647E9"/>
    <w:rsid w:val="00365983"/>
    <w:rsid w:val="00366371"/>
    <w:rsid w:val="00366EF6"/>
    <w:rsid w:val="0036771D"/>
    <w:rsid w:val="00367DFD"/>
    <w:rsid w:val="00370BC9"/>
    <w:rsid w:val="0037123F"/>
    <w:rsid w:val="00371FB5"/>
    <w:rsid w:val="003722D4"/>
    <w:rsid w:val="0037237B"/>
    <w:rsid w:val="00372697"/>
    <w:rsid w:val="003752E2"/>
    <w:rsid w:val="0037537C"/>
    <w:rsid w:val="00381694"/>
    <w:rsid w:val="00381924"/>
    <w:rsid w:val="00382E95"/>
    <w:rsid w:val="0038461F"/>
    <w:rsid w:val="00385660"/>
    <w:rsid w:val="00385C66"/>
    <w:rsid w:val="00387FFC"/>
    <w:rsid w:val="003904DB"/>
    <w:rsid w:val="00393D51"/>
    <w:rsid w:val="003943B8"/>
    <w:rsid w:val="003958C5"/>
    <w:rsid w:val="003960FE"/>
    <w:rsid w:val="0039750E"/>
    <w:rsid w:val="003A05F6"/>
    <w:rsid w:val="003A0CDC"/>
    <w:rsid w:val="003A15E4"/>
    <w:rsid w:val="003A2C64"/>
    <w:rsid w:val="003A6A7B"/>
    <w:rsid w:val="003B2D4F"/>
    <w:rsid w:val="003B4464"/>
    <w:rsid w:val="003B4702"/>
    <w:rsid w:val="003B53BB"/>
    <w:rsid w:val="003B69BB"/>
    <w:rsid w:val="003B7378"/>
    <w:rsid w:val="003C0260"/>
    <w:rsid w:val="003C111F"/>
    <w:rsid w:val="003C136E"/>
    <w:rsid w:val="003C4B41"/>
    <w:rsid w:val="003C4BCE"/>
    <w:rsid w:val="003C6416"/>
    <w:rsid w:val="003C72B9"/>
    <w:rsid w:val="003C7F31"/>
    <w:rsid w:val="003D00D6"/>
    <w:rsid w:val="003D0815"/>
    <w:rsid w:val="003D0E58"/>
    <w:rsid w:val="003D14DE"/>
    <w:rsid w:val="003D22EA"/>
    <w:rsid w:val="003D2BC6"/>
    <w:rsid w:val="003D3185"/>
    <w:rsid w:val="003D5BAD"/>
    <w:rsid w:val="003E0306"/>
    <w:rsid w:val="003E095C"/>
    <w:rsid w:val="003E12D2"/>
    <w:rsid w:val="003E60FF"/>
    <w:rsid w:val="003E726F"/>
    <w:rsid w:val="003F0169"/>
    <w:rsid w:val="003F0695"/>
    <w:rsid w:val="003F06C8"/>
    <w:rsid w:val="003F1115"/>
    <w:rsid w:val="003F12E5"/>
    <w:rsid w:val="003F1C41"/>
    <w:rsid w:val="003F20F3"/>
    <w:rsid w:val="003F23AB"/>
    <w:rsid w:val="003F260F"/>
    <w:rsid w:val="003F4051"/>
    <w:rsid w:val="00402A00"/>
    <w:rsid w:val="00404BA4"/>
    <w:rsid w:val="00404BB7"/>
    <w:rsid w:val="004064B2"/>
    <w:rsid w:val="00407724"/>
    <w:rsid w:val="004100D9"/>
    <w:rsid w:val="0041098F"/>
    <w:rsid w:val="004129C4"/>
    <w:rsid w:val="00415566"/>
    <w:rsid w:val="00415D91"/>
    <w:rsid w:val="004178AF"/>
    <w:rsid w:val="00420437"/>
    <w:rsid w:val="00420A5B"/>
    <w:rsid w:val="004211B0"/>
    <w:rsid w:val="00421254"/>
    <w:rsid w:val="004236E4"/>
    <w:rsid w:val="00424706"/>
    <w:rsid w:val="004248D1"/>
    <w:rsid w:val="00424A5E"/>
    <w:rsid w:val="00425FF5"/>
    <w:rsid w:val="00431732"/>
    <w:rsid w:val="00432F0E"/>
    <w:rsid w:val="004330AE"/>
    <w:rsid w:val="0043315E"/>
    <w:rsid w:val="00434D72"/>
    <w:rsid w:val="00435134"/>
    <w:rsid w:val="0043523E"/>
    <w:rsid w:val="004352DF"/>
    <w:rsid w:val="004352E8"/>
    <w:rsid w:val="00435921"/>
    <w:rsid w:val="0043619B"/>
    <w:rsid w:val="004363E3"/>
    <w:rsid w:val="004365A2"/>
    <w:rsid w:val="0043722E"/>
    <w:rsid w:val="00441868"/>
    <w:rsid w:val="00441F3C"/>
    <w:rsid w:val="0044268F"/>
    <w:rsid w:val="00442A34"/>
    <w:rsid w:val="00442F40"/>
    <w:rsid w:val="0044372C"/>
    <w:rsid w:val="004442B9"/>
    <w:rsid w:val="00445026"/>
    <w:rsid w:val="004457CB"/>
    <w:rsid w:val="00447478"/>
    <w:rsid w:val="00447608"/>
    <w:rsid w:val="004505E2"/>
    <w:rsid w:val="00450AAB"/>
    <w:rsid w:val="00451BE4"/>
    <w:rsid w:val="004537F1"/>
    <w:rsid w:val="0045463E"/>
    <w:rsid w:val="00454878"/>
    <w:rsid w:val="00454976"/>
    <w:rsid w:val="00455F8A"/>
    <w:rsid w:val="00456179"/>
    <w:rsid w:val="00456348"/>
    <w:rsid w:val="004578B2"/>
    <w:rsid w:val="00464280"/>
    <w:rsid w:val="00465516"/>
    <w:rsid w:val="00465648"/>
    <w:rsid w:val="00466286"/>
    <w:rsid w:val="00467E1F"/>
    <w:rsid w:val="00471046"/>
    <w:rsid w:val="004721F4"/>
    <w:rsid w:val="00473742"/>
    <w:rsid w:val="00474F7C"/>
    <w:rsid w:val="004765B2"/>
    <w:rsid w:val="00476A9E"/>
    <w:rsid w:val="00480413"/>
    <w:rsid w:val="004811C5"/>
    <w:rsid w:val="00482806"/>
    <w:rsid w:val="004830F2"/>
    <w:rsid w:val="004832E7"/>
    <w:rsid w:val="0048391D"/>
    <w:rsid w:val="00485514"/>
    <w:rsid w:val="00485771"/>
    <w:rsid w:val="00485A9B"/>
    <w:rsid w:val="00487BDB"/>
    <w:rsid w:val="0049008E"/>
    <w:rsid w:val="00490D2F"/>
    <w:rsid w:val="00491088"/>
    <w:rsid w:val="00491311"/>
    <w:rsid w:val="0049139B"/>
    <w:rsid w:val="00491508"/>
    <w:rsid w:val="004919A9"/>
    <w:rsid w:val="00492C71"/>
    <w:rsid w:val="004958FD"/>
    <w:rsid w:val="0049743C"/>
    <w:rsid w:val="004A1614"/>
    <w:rsid w:val="004A3013"/>
    <w:rsid w:val="004A5FC4"/>
    <w:rsid w:val="004A7051"/>
    <w:rsid w:val="004A7A5F"/>
    <w:rsid w:val="004B0612"/>
    <w:rsid w:val="004B0683"/>
    <w:rsid w:val="004B1EF0"/>
    <w:rsid w:val="004B2A27"/>
    <w:rsid w:val="004B3507"/>
    <w:rsid w:val="004B448E"/>
    <w:rsid w:val="004B5379"/>
    <w:rsid w:val="004B7933"/>
    <w:rsid w:val="004B7962"/>
    <w:rsid w:val="004B79EF"/>
    <w:rsid w:val="004B7E49"/>
    <w:rsid w:val="004C0290"/>
    <w:rsid w:val="004C3CE3"/>
    <w:rsid w:val="004C4211"/>
    <w:rsid w:val="004C49D8"/>
    <w:rsid w:val="004C4E90"/>
    <w:rsid w:val="004D10E3"/>
    <w:rsid w:val="004D1651"/>
    <w:rsid w:val="004D2DF7"/>
    <w:rsid w:val="004D51EA"/>
    <w:rsid w:val="004D7BCA"/>
    <w:rsid w:val="004E1124"/>
    <w:rsid w:val="004E1A14"/>
    <w:rsid w:val="004E20D7"/>
    <w:rsid w:val="004E2B01"/>
    <w:rsid w:val="004E2C7F"/>
    <w:rsid w:val="004E45DA"/>
    <w:rsid w:val="004E46A7"/>
    <w:rsid w:val="004E53C4"/>
    <w:rsid w:val="004E602B"/>
    <w:rsid w:val="004E658B"/>
    <w:rsid w:val="004E772F"/>
    <w:rsid w:val="004E7F2E"/>
    <w:rsid w:val="004F0267"/>
    <w:rsid w:val="004F03DB"/>
    <w:rsid w:val="004F29FC"/>
    <w:rsid w:val="004F4309"/>
    <w:rsid w:val="004F466F"/>
    <w:rsid w:val="004F5E50"/>
    <w:rsid w:val="004F674B"/>
    <w:rsid w:val="004F7B74"/>
    <w:rsid w:val="00500013"/>
    <w:rsid w:val="005009C0"/>
    <w:rsid w:val="00501E92"/>
    <w:rsid w:val="005021F7"/>
    <w:rsid w:val="00503D98"/>
    <w:rsid w:val="005041EC"/>
    <w:rsid w:val="005042B0"/>
    <w:rsid w:val="00506238"/>
    <w:rsid w:val="00510843"/>
    <w:rsid w:val="005126ED"/>
    <w:rsid w:val="00512C9C"/>
    <w:rsid w:val="0051441F"/>
    <w:rsid w:val="0051588D"/>
    <w:rsid w:val="00515923"/>
    <w:rsid w:val="00516BE9"/>
    <w:rsid w:val="0052206A"/>
    <w:rsid w:val="00522282"/>
    <w:rsid w:val="00522304"/>
    <w:rsid w:val="00522B1E"/>
    <w:rsid w:val="00522D2D"/>
    <w:rsid w:val="0052331B"/>
    <w:rsid w:val="00523AF4"/>
    <w:rsid w:val="00523DFB"/>
    <w:rsid w:val="00524F03"/>
    <w:rsid w:val="00524F04"/>
    <w:rsid w:val="0052505F"/>
    <w:rsid w:val="00525752"/>
    <w:rsid w:val="00526B32"/>
    <w:rsid w:val="00527581"/>
    <w:rsid w:val="0052765E"/>
    <w:rsid w:val="005317FE"/>
    <w:rsid w:val="005321D0"/>
    <w:rsid w:val="00534D37"/>
    <w:rsid w:val="0053599F"/>
    <w:rsid w:val="0053654A"/>
    <w:rsid w:val="00536822"/>
    <w:rsid w:val="00536E54"/>
    <w:rsid w:val="00542262"/>
    <w:rsid w:val="005467DC"/>
    <w:rsid w:val="0054691C"/>
    <w:rsid w:val="0055142E"/>
    <w:rsid w:val="005515E3"/>
    <w:rsid w:val="00552A94"/>
    <w:rsid w:val="00552C9E"/>
    <w:rsid w:val="00556E7F"/>
    <w:rsid w:val="00557A12"/>
    <w:rsid w:val="00557EAD"/>
    <w:rsid w:val="005626CA"/>
    <w:rsid w:val="005640F9"/>
    <w:rsid w:val="00564964"/>
    <w:rsid w:val="005650E8"/>
    <w:rsid w:val="00565524"/>
    <w:rsid w:val="00565919"/>
    <w:rsid w:val="005671A7"/>
    <w:rsid w:val="005708C1"/>
    <w:rsid w:val="00570B7A"/>
    <w:rsid w:val="005721F2"/>
    <w:rsid w:val="00572936"/>
    <w:rsid w:val="00573314"/>
    <w:rsid w:val="0057421B"/>
    <w:rsid w:val="00575CA7"/>
    <w:rsid w:val="00576243"/>
    <w:rsid w:val="00576CEB"/>
    <w:rsid w:val="00576D35"/>
    <w:rsid w:val="0057724D"/>
    <w:rsid w:val="00577B18"/>
    <w:rsid w:val="0058092D"/>
    <w:rsid w:val="00581C14"/>
    <w:rsid w:val="0058214D"/>
    <w:rsid w:val="00582340"/>
    <w:rsid w:val="00582922"/>
    <w:rsid w:val="00582EB7"/>
    <w:rsid w:val="0058325C"/>
    <w:rsid w:val="00584AA6"/>
    <w:rsid w:val="005860D4"/>
    <w:rsid w:val="005862C6"/>
    <w:rsid w:val="00586343"/>
    <w:rsid w:val="005865F1"/>
    <w:rsid w:val="005902BF"/>
    <w:rsid w:val="005909CB"/>
    <w:rsid w:val="005917DD"/>
    <w:rsid w:val="00593E66"/>
    <w:rsid w:val="00594700"/>
    <w:rsid w:val="00594CEC"/>
    <w:rsid w:val="00594FAC"/>
    <w:rsid w:val="005A0F26"/>
    <w:rsid w:val="005A2952"/>
    <w:rsid w:val="005B1E6B"/>
    <w:rsid w:val="005B1F44"/>
    <w:rsid w:val="005B2A78"/>
    <w:rsid w:val="005B3F1B"/>
    <w:rsid w:val="005B48FC"/>
    <w:rsid w:val="005B7612"/>
    <w:rsid w:val="005C0573"/>
    <w:rsid w:val="005C06C6"/>
    <w:rsid w:val="005C084A"/>
    <w:rsid w:val="005C0890"/>
    <w:rsid w:val="005C0D69"/>
    <w:rsid w:val="005C1698"/>
    <w:rsid w:val="005C3861"/>
    <w:rsid w:val="005C515D"/>
    <w:rsid w:val="005C5FBC"/>
    <w:rsid w:val="005C7244"/>
    <w:rsid w:val="005C749C"/>
    <w:rsid w:val="005D18A0"/>
    <w:rsid w:val="005D2091"/>
    <w:rsid w:val="005D2873"/>
    <w:rsid w:val="005D3120"/>
    <w:rsid w:val="005D3C95"/>
    <w:rsid w:val="005D548A"/>
    <w:rsid w:val="005D5625"/>
    <w:rsid w:val="005D5983"/>
    <w:rsid w:val="005D5E2C"/>
    <w:rsid w:val="005D6BA3"/>
    <w:rsid w:val="005D6DF9"/>
    <w:rsid w:val="005E0382"/>
    <w:rsid w:val="005E0BEB"/>
    <w:rsid w:val="005E12B1"/>
    <w:rsid w:val="005E4724"/>
    <w:rsid w:val="005E4E07"/>
    <w:rsid w:val="005E4EE1"/>
    <w:rsid w:val="005E6D98"/>
    <w:rsid w:val="005E77F2"/>
    <w:rsid w:val="005F42F0"/>
    <w:rsid w:val="005F45CD"/>
    <w:rsid w:val="005F536E"/>
    <w:rsid w:val="005F780A"/>
    <w:rsid w:val="0060031D"/>
    <w:rsid w:val="006007FC"/>
    <w:rsid w:val="00601AAD"/>
    <w:rsid w:val="00602CA8"/>
    <w:rsid w:val="00602E22"/>
    <w:rsid w:val="006058E8"/>
    <w:rsid w:val="00605EC3"/>
    <w:rsid w:val="006069E8"/>
    <w:rsid w:val="00607143"/>
    <w:rsid w:val="00610814"/>
    <w:rsid w:val="00612102"/>
    <w:rsid w:val="00612897"/>
    <w:rsid w:val="0061387A"/>
    <w:rsid w:val="00614E2C"/>
    <w:rsid w:val="0061720A"/>
    <w:rsid w:val="00620022"/>
    <w:rsid w:val="00620BB2"/>
    <w:rsid w:val="00621194"/>
    <w:rsid w:val="00624FAB"/>
    <w:rsid w:val="00625D53"/>
    <w:rsid w:val="00626A0D"/>
    <w:rsid w:val="00627514"/>
    <w:rsid w:val="00630478"/>
    <w:rsid w:val="00630E05"/>
    <w:rsid w:val="00632E44"/>
    <w:rsid w:val="0063309D"/>
    <w:rsid w:val="00635776"/>
    <w:rsid w:val="00635BBA"/>
    <w:rsid w:val="006370E7"/>
    <w:rsid w:val="0063721F"/>
    <w:rsid w:val="006374C3"/>
    <w:rsid w:val="006406E8"/>
    <w:rsid w:val="006415DE"/>
    <w:rsid w:val="00642037"/>
    <w:rsid w:val="00642056"/>
    <w:rsid w:val="00645710"/>
    <w:rsid w:val="00645CB8"/>
    <w:rsid w:val="00645D31"/>
    <w:rsid w:val="00645F21"/>
    <w:rsid w:val="00646AF8"/>
    <w:rsid w:val="00646F0E"/>
    <w:rsid w:val="00647041"/>
    <w:rsid w:val="0064743E"/>
    <w:rsid w:val="00647987"/>
    <w:rsid w:val="00650963"/>
    <w:rsid w:val="00650C8B"/>
    <w:rsid w:val="0065705A"/>
    <w:rsid w:val="0065790F"/>
    <w:rsid w:val="006603F7"/>
    <w:rsid w:val="00660D46"/>
    <w:rsid w:val="0066398A"/>
    <w:rsid w:val="00664DFC"/>
    <w:rsid w:val="0066561F"/>
    <w:rsid w:val="0066570B"/>
    <w:rsid w:val="00667E5B"/>
    <w:rsid w:val="00667F58"/>
    <w:rsid w:val="00667F5C"/>
    <w:rsid w:val="00670BD9"/>
    <w:rsid w:val="00670DE9"/>
    <w:rsid w:val="00671158"/>
    <w:rsid w:val="00673A63"/>
    <w:rsid w:val="00673C5A"/>
    <w:rsid w:val="006753AD"/>
    <w:rsid w:val="0067618A"/>
    <w:rsid w:val="00677BFB"/>
    <w:rsid w:val="00682437"/>
    <w:rsid w:val="00683FFE"/>
    <w:rsid w:val="00685AED"/>
    <w:rsid w:val="00686833"/>
    <w:rsid w:val="0069033B"/>
    <w:rsid w:val="006914B5"/>
    <w:rsid w:val="0069191D"/>
    <w:rsid w:val="006923CA"/>
    <w:rsid w:val="006923CE"/>
    <w:rsid w:val="00693CEB"/>
    <w:rsid w:val="00693D56"/>
    <w:rsid w:val="00695017"/>
    <w:rsid w:val="006950F2"/>
    <w:rsid w:val="00695997"/>
    <w:rsid w:val="00696627"/>
    <w:rsid w:val="006A0E1B"/>
    <w:rsid w:val="006A2A70"/>
    <w:rsid w:val="006A32EE"/>
    <w:rsid w:val="006A35EE"/>
    <w:rsid w:val="006A4285"/>
    <w:rsid w:val="006A6D00"/>
    <w:rsid w:val="006A6F5B"/>
    <w:rsid w:val="006A742D"/>
    <w:rsid w:val="006A7FB8"/>
    <w:rsid w:val="006B1460"/>
    <w:rsid w:val="006B1E06"/>
    <w:rsid w:val="006B3A28"/>
    <w:rsid w:val="006B4BDA"/>
    <w:rsid w:val="006B635B"/>
    <w:rsid w:val="006B6815"/>
    <w:rsid w:val="006B75C5"/>
    <w:rsid w:val="006C01D6"/>
    <w:rsid w:val="006C10F6"/>
    <w:rsid w:val="006C161A"/>
    <w:rsid w:val="006C2707"/>
    <w:rsid w:val="006C276B"/>
    <w:rsid w:val="006C2862"/>
    <w:rsid w:val="006C2D42"/>
    <w:rsid w:val="006C3887"/>
    <w:rsid w:val="006C38B5"/>
    <w:rsid w:val="006C4368"/>
    <w:rsid w:val="006C47FB"/>
    <w:rsid w:val="006C5428"/>
    <w:rsid w:val="006C64D9"/>
    <w:rsid w:val="006C7B84"/>
    <w:rsid w:val="006D0881"/>
    <w:rsid w:val="006D0CE5"/>
    <w:rsid w:val="006D3166"/>
    <w:rsid w:val="006D3717"/>
    <w:rsid w:val="006D46DE"/>
    <w:rsid w:val="006D5148"/>
    <w:rsid w:val="006D55CD"/>
    <w:rsid w:val="006D5AE6"/>
    <w:rsid w:val="006D5EDE"/>
    <w:rsid w:val="006D61A9"/>
    <w:rsid w:val="006D785A"/>
    <w:rsid w:val="006E0516"/>
    <w:rsid w:val="006E06D7"/>
    <w:rsid w:val="006E0C18"/>
    <w:rsid w:val="006E39DA"/>
    <w:rsid w:val="006E4C1B"/>
    <w:rsid w:val="006E4C2A"/>
    <w:rsid w:val="006E69F3"/>
    <w:rsid w:val="006E7500"/>
    <w:rsid w:val="006E7BE1"/>
    <w:rsid w:val="006F1881"/>
    <w:rsid w:val="006F1F5C"/>
    <w:rsid w:val="006F2B7B"/>
    <w:rsid w:val="006F3273"/>
    <w:rsid w:val="006F34EE"/>
    <w:rsid w:val="006F4ABE"/>
    <w:rsid w:val="006F5121"/>
    <w:rsid w:val="006F5667"/>
    <w:rsid w:val="006F5696"/>
    <w:rsid w:val="006F60A7"/>
    <w:rsid w:val="006F6567"/>
    <w:rsid w:val="006F6F1F"/>
    <w:rsid w:val="006F7ACB"/>
    <w:rsid w:val="00700631"/>
    <w:rsid w:val="0070135D"/>
    <w:rsid w:val="007035AF"/>
    <w:rsid w:val="00704323"/>
    <w:rsid w:val="00704672"/>
    <w:rsid w:val="00704D53"/>
    <w:rsid w:val="0070525B"/>
    <w:rsid w:val="007056E0"/>
    <w:rsid w:val="00706BB4"/>
    <w:rsid w:val="00706C37"/>
    <w:rsid w:val="0071055C"/>
    <w:rsid w:val="007115F9"/>
    <w:rsid w:val="00711AB8"/>
    <w:rsid w:val="00712D8F"/>
    <w:rsid w:val="00712D9C"/>
    <w:rsid w:val="00714DE1"/>
    <w:rsid w:val="00716981"/>
    <w:rsid w:val="007214DB"/>
    <w:rsid w:val="0072183B"/>
    <w:rsid w:val="00722D9F"/>
    <w:rsid w:val="00723539"/>
    <w:rsid w:val="007251FE"/>
    <w:rsid w:val="00730F9C"/>
    <w:rsid w:val="00732D99"/>
    <w:rsid w:val="00733251"/>
    <w:rsid w:val="00733B86"/>
    <w:rsid w:val="00734436"/>
    <w:rsid w:val="00736C49"/>
    <w:rsid w:val="00737B28"/>
    <w:rsid w:val="00741D24"/>
    <w:rsid w:val="0074386C"/>
    <w:rsid w:val="00744401"/>
    <w:rsid w:val="00744A2C"/>
    <w:rsid w:val="00745E25"/>
    <w:rsid w:val="0074703A"/>
    <w:rsid w:val="00747AD2"/>
    <w:rsid w:val="007501D8"/>
    <w:rsid w:val="00750369"/>
    <w:rsid w:val="00751D75"/>
    <w:rsid w:val="0075275F"/>
    <w:rsid w:val="007536DB"/>
    <w:rsid w:val="00753CFA"/>
    <w:rsid w:val="007547F8"/>
    <w:rsid w:val="00755E33"/>
    <w:rsid w:val="00756A7D"/>
    <w:rsid w:val="00757715"/>
    <w:rsid w:val="0076355B"/>
    <w:rsid w:val="00764812"/>
    <w:rsid w:val="00765996"/>
    <w:rsid w:val="00766374"/>
    <w:rsid w:val="0077152C"/>
    <w:rsid w:val="007721F4"/>
    <w:rsid w:val="00773759"/>
    <w:rsid w:val="00774123"/>
    <w:rsid w:val="00774D07"/>
    <w:rsid w:val="00775284"/>
    <w:rsid w:val="00776D3D"/>
    <w:rsid w:val="007770A8"/>
    <w:rsid w:val="00777472"/>
    <w:rsid w:val="00780BF8"/>
    <w:rsid w:val="00785459"/>
    <w:rsid w:val="0078558D"/>
    <w:rsid w:val="00786A4A"/>
    <w:rsid w:val="00786E2F"/>
    <w:rsid w:val="007871E5"/>
    <w:rsid w:val="0078722E"/>
    <w:rsid w:val="00790824"/>
    <w:rsid w:val="00790AB8"/>
    <w:rsid w:val="00790E34"/>
    <w:rsid w:val="00790F6A"/>
    <w:rsid w:val="0079205A"/>
    <w:rsid w:val="00793FBC"/>
    <w:rsid w:val="00794E55"/>
    <w:rsid w:val="00796653"/>
    <w:rsid w:val="007969FA"/>
    <w:rsid w:val="007A1629"/>
    <w:rsid w:val="007A1AB7"/>
    <w:rsid w:val="007A3C3B"/>
    <w:rsid w:val="007A3D84"/>
    <w:rsid w:val="007A4994"/>
    <w:rsid w:val="007A728E"/>
    <w:rsid w:val="007B3C75"/>
    <w:rsid w:val="007B472E"/>
    <w:rsid w:val="007B54AD"/>
    <w:rsid w:val="007B6193"/>
    <w:rsid w:val="007B6A9A"/>
    <w:rsid w:val="007B6B48"/>
    <w:rsid w:val="007C13D3"/>
    <w:rsid w:val="007C1522"/>
    <w:rsid w:val="007C193F"/>
    <w:rsid w:val="007C22D1"/>
    <w:rsid w:val="007C251A"/>
    <w:rsid w:val="007C25B5"/>
    <w:rsid w:val="007C4840"/>
    <w:rsid w:val="007C54F3"/>
    <w:rsid w:val="007C7D42"/>
    <w:rsid w:val="007D04BA"/>
    <w:rsid w:val="007D255C"/>
    <w:rsid w:val="007D2CEA"/>
    <w:rsid w:val="007D2D57"/>
    <w:rsid w:val="007D3F25"/>
    <w:rsid w:val="007D4E17"/>
    <w:rsid w:val="007D62F5"/>
    <w:rsid w:val="007E1194"/>
    <w:rsid w:val="007E3BDE"/>
    <w:rsid w:val="007E4B0E"/>
    <w:rsid w:val="007E7136"/>
    <w:rsid w:val="007F269C"/>
    <w:rsid w:val="007F320C"/>
    <w:rsid w:val="007F33F8"/>
    <w:rsid w:val="007F3929"/>
    <w:rsid w:val="007F4AC0"/>
    <w:rsid w:val="007F4CDA"/>
    <w:rsid w:val="007F4D8A"/>
    <w:rsid w:val="007F62CB"/>
    <w:rsid w:val="007F78D0"/>
    <w:rsid w:val="00800CBE"/>
    <w:rsid w:val="0080299F"/>
    <w:rsid w:val="00802D9C"/>
    <w:rsid w:val="00804990"/>
    <w:rsid w:val="00804DD4"/>
    <w:rsid w:val="00807AF0"/>
    <w:rsid w:val="00810F78"/>
    <w:rsid w:val="0081118A"/>
    <w:rsid w:val="00811432"/>
    <w:rsid w:val="00813006"/>
    <w:rsid w:val="0081356D"/>
    <w:rsid w:val="0081457D"/>
    <w:rsid w:val="008165EC"/>
    <w:rsid w:val="0082258A"/>
    <w:rsid w:val="008225A8"/>
    <w:rsid w:val="00824A46"/>
    <w:rsid w:val="00824B82"/>
    <w:rsid w:val="00825079"/>
    <w:rsid w:val="0082614F"/>
    <w:rsid w:val="008314EE"/>
    <w:rsid w:val="008315CE"/>
    <w:rsid w:val="008322D2"/>
    <w:rsid w:val="00832308"/>
    <w:rsid w:val="00832EE7"/>
    <w:rsid w:val="00833870"/>
    <w:rsid w:val="008345A5"/>
    <w:rsid w:val="008362CD"/>
    <w:rsid w:val="0084057C"/>
    <w:rsid w:val="008405AE"/>
    <w:rsid w:val="00842641"/>
    <w:rsid w:val="0084277F"/>
    <w:rsid w:val="00842937"/>
    <w:rsid w:val="00842B96"/>
    <w:rsid w:val="008433D5"/>
    <w:rsid w:val="00844AAA"/>
    <w:rsid w:val="00844E28"/>
    <w:rsid w:val="008452B1"/>
    <w:rsid w:val="008462C9"/>
    <w:rsid w:val="008471FA"/>
    <w:rsid w:val="00850455"/>
    <w:rsid w:val="00851B09"/>
    <w:rsid w:val="00854279"/>
    <w:rsid w:val="00854A9A"/>
    <w:rsid w:val="00855111"/>
    <w:rsid w:val="008572A1"/>
    <w:rsid w:val="0085734F"/>
    <w:rsid w:val="00861E42"/>
    <w:rsid w:val="00861EF5"/>
    <w:rsid w:val="0086498D"/>
    <w:rsid w:val="00865428"/>
    <w:rsid w:val="00865CDE"/>
    <w:rsid w:val="00867AE1"/>
    <w:rsid w:val="00871100"/>
    <w:rsid w:val="008711DB"/>
    <w:rsid w:val="00871E01"/>
    <w:rsid w:val="00872AE2"/>
    <w:rsid w:val="00873327"/>
    <w:rsid w:val="00874AB7"/>
    <w:rsid w:val="008776E5"/>
    <w:rsid w:val="0088139B"/>
    <w:rsid w:val="0088190B"/>
    <w:rsid w:val="00881E9C"/>
    <w:rsid w:val="008835C1"/>
    <w:rsid w:val="00883D35"/>
    <w:rsid w:val="00885542"/>
    <w:rsid w:val="00885F72"/>
    <w:rsid w:val="0088703F"/>
    <w:rsid w:val="00890825"/>
    <w:rsid w:val="00891D31"/>
    <w:rsid w:val="0089396D"/>
    <w:rsid w:val="008948A1"/>
    <w:rsid w:val="00894A73"/>
    <w:rsid w:val="00895DC2"/>
    <w:rsid w:val="00896D7A"/>
    <w:rsid w:val="00897009"/>
    <w:rsid w:val="008A1A1E"/>
    <w:rsid w:val="008A1E64"/>
    <w:rsid w:val="008A24E0"/>
    <w:rsid w:val="008A3331"/>
    <w:rsid w:val="008A42D8"/>
    <w:rsid w:val="008A45B2"/>
    <w:rsid w:val="008A4725"/>
    <w:rsid w:val="008A66DF"/>
    <w:rsid w:val="008B04E8"/>
    <w:rsid w:val="008B0833"/>
    <w:rsid w:val="008B408B"/>
    <w:rsid w:val="008B41BD"/>
    <w:rsid w:val="008B56B8"/>
    <w:rsid w:val="008B5BB7"/>
    <w:rsid w:val="008B649E"/>
    <w:rsid w:val="008B70CF"/>
    <w:rsid w:val="008B7CCB"/>
    <w:rsid w:val="008C2A0C"/>
    <w:rsid w:val="008C3123"/>
    <w:rsid w:val="008C3BB1"/>
    <w:rsid w:val="008C4260"/>
    <w:rsid w:val="008C4EC7"/>
    <w:rsid w:val="008C4F93"/>
    <w:rsid w:val="008C6CBE"/>
    <w:rsid w:val="008C72BF"/>
    <w:rsid w:val="008D15EF"/>
    <w:rsid w:val="008D2BDD"/>
    <w:rsid w:val="008D2FAB"/>
    <w:rsid w:val="008D399F"/>
    <w:rsid w:val="008D6955"/>
    <w:rsid w:val="008E1BCF"/>
    <w:rsid w:val="008E2B4E"/>
    <w:rsid w:val="008E4870"/>
    <w:rsid w:val="008E4CAC"/>
    <w:rsid w:val="008E6A53"/>
    <w:rsid w:val="008E7788"/>
    <w:rsid w:val="008F06B7"/>
    <w:rsid w:val="008F0FCD"/>
    <w:rsid w:val="008F12FA"/>
    <w:rsid w:val="008F164B"/>
    <w:rsid w:val="008F1CF2"/>
    <w:rsid w:val="008F2508"/>
    <w:rsid w:val="008F2A60"/>
    <w:rsid w:val="008F37DE"/>
    <w:rsid w:val="008F69F7"/>
    <w:rsid w:val="008F6B52"/>
    <w:rsid w:val="008F70A7"/>
    <w:rsid w:val="008F72E9"/>
    <w:rsid w:val="008F7754"/>
    <w:rsid w:val="009005EB"/>
    <w:rsid w:val="00900C1B"/>
    <w:rsid w:val="00900C24"/>
    <w:rsid w:val="00902370"/>
    <w:rsid w:val="00903AFA"/>
    <w:rsid w:val="00905BBB"/>
    <w:rsid w:val="00907755"/>
    <w:rsid w:val="00910489"/>
    <w:rsid w:val="009105CD"/>
    <w:rsid w:val="00910B48"/>
    <w:rsid w:val="009111AE"/>
    <w:rsid w:val="00911C81"/>
    <w:rsid w:val="009126B3"/>
    <w:rsid w:val="009129B6"/>
    <w:rsid w:val="0091404E"/>
    <w:rsid w:val="00916640"/>
    <w:rsid w:val="00921CAE"/>
    <w:rsid w:val="00924C2B"/>
    <w:rsid w:val="00927E7A"/>
    <w:rsid w:val="0093116E"/>
    <w:rsid w:val="00931F20"/>
    <w:rsid w:val="009322E5"/>
    <w:rsid w:val="009348FF"/>
    <w:rsid w:val="009349F4"/>
    <w:rsid w:val="00935088"/>
    <w:rsid w:val="009358CC"/>
    <w:rsid w:val="00936865"/>
    <w:rsid w:val="00936CFA"/>
    <w:rsid w:val="00936E2D"/>
    <w:rsid w:val="00937B0C"/>
    <w:rsid w:val="00940A7B"/>
    <w:rsid w:val="00943EF7"/>
    <w:rsid w:val="009445EF"/>
    <w:rsid w:val="00945101"/>
    <w:rsid w:val="0094521B"/>
    <w:rsid w:val="00946E48"/>
    <w:rsid w:val="00947B13"/>
    <w:rsid w:val="00951FEC"/>
    <w:rsid w:val="009530F1"/>
    <w:rsid w:val="0095445A"/>
    <w:rsid w:val="009567D4"/>
    <w:rsid w:val="009574BA"/>
    <w:rsid w:val="009575FD"/>
    <w:rsid w:val="009611E9"/>
    <w:rsid w:val="00961956"/>
    <w:rsid w:val="00961D74"/>
    <w:rsid w:val="00962DCC"/>
    <w:rsid w:val="009630BD"/>
    <w:rsid w:val="00963363"/>
    <w:rsid w:val="0096384C"/>
    <w:rsid w:val="00963A52"/>
    <w:rsid w:val="0096443D"/>
    <w:rsid w:val="0096468A"/>
    <w:rsid w:val="00965165"/>
    <w:rsid w:val="00965851"/>
    <w:rsid w:val="00967855"/>
    <w:rsid w:val="0097033A"/>
    <w:rsid w:val="009732EF"/>
    <w:rsid w:val="00973F62"/>
    <w:rsid w:val="00977A22"/>
    <w:rsid w:val="00977C4F"/>
    <w:rsid w:val="009809E1"/>
    <w:rsid w:val="009823B3"/>
    <w:rsid w:val="009858F9"/>
    <w:rsid w:val="00985937"/>
    <w:rsid w:val="00985E28"/>
    <w:rsid w:val="00985FE3"/>
    <w:rsid w:val="00987053"/>
    <w:rsid w:val="00987ED9"/>
    <w:rsid w:val="009931D8"/>
    <w:rsid w:val="00993FFB"/>
    <w:rsid w:val="0099433F"/>
    <w:rsid w:val="009945E3"/>
    <w:rsid w:val="009948A9"/>
    <w:rsid w:val="009954BA"/>
    <w:rsid w:val="009964CB"/>
    <w:rsid w:val="009968F9"/>
    <w:rsid w:val="009A02B5"/>
    <w:rsid w:val="009A0526"/>
    <w:rsid w:val="009A1A59"/>
    <w:rsid w:val="009A3855"/>
    <w:rsid w:val="009A529B"/>
    <w:rsid w:val="009A5363"/>
    <w:rsid w:val="009A57F8"/>
    <w:rsid w:val="009A5CEC"/>
    <w:rsid w:val="009A5E6F"/>
    <w:rsid w:val="009A7175"/>
    <w:rsid w:val="009B0BFA"/>
    <w:rsid w:val="009B1045"/>
    <w:rsid w:val="009B1613"/>
    <w:rsid w:val="009B31AD"/>
    <w:rsid w:val="009B4F74"/>
    <w:rsid w:val="009B696F"/>
    <w:rsid w:val="009C04D2"/>
    <w:rsid w:val="009C11F3"/>
    <w:rsid w:val="009C18AF"/>
    <w:rsid w:val="009C1C2C"/>
    <w:rsid w:val="009C2117"/>
    <w:rsid w:val="009C4135"/>
    <w:rsid w:val="009C4136"/>
    <w:rsid w:val="009C44E1"/>
    <w:rsid w:val="009C4DD2"/>
    <w:rsid w:val="009C6303"/>
    <w:rsid w:val="009C67A6"/>
    <w:rsid w:val="009C6B80"/>
    <w:rsid w:val="009C6DE2"/>
    <w:rsid w:val="009D0521"/>
    <w:rsid w:val="009D0F00"/>
    <w:rsid w:val="009D1B15"/>
    <w:rsid w:val="009D2E9F"/>
    <w:rsid w:val="009D3B9A"/>
    <w:rsid w:val="009D497D"/>
    <w:rsid w:val="009D5873"/>
    <w:rsid w:val="009D5A30"/>
    <w:rsid w:val="009D7068"/>
    <w:rsid w:val="009D7740"/>
    <w:rsid w:val="009E0433"/>
    <w:rsid w:val="009E1040"/>
    <w:rsid w:val="009E161D"/>
    <w:rsid w:val="009E26EA"/>
    <w:rsid w:val="009E2B81"/>
    <w:rsid w:val="009E2D1D"/>
    <w:rsid w:val="009E4167"/>
    <w:rsid w:val="009E522C"/>
    <w:rsid w:val="009E5366"/>
    <w:rsid w:val="009E5471"/>
    <w:rsid w:val="009E5795"/>
    <w:rsid w:val="009E6289"/>
    <w:rsid w:val="009E6D55"/>
    <w:rsid w:val="009F1D08"/>
    <w:rsid w:val="009F2AAE"/>
    <w:rsid w:val="009F58FD"/>
    <w:rsid w:val="009F5A3D"/>
    <w:rsid w:val="00A00981"/>
    <w:rsid w:val="00A01D42"/>
    <w:rsid w:val="00A022D1"/>
    <w:rsid w:val="00A0234B"/>
    <w:rsid w:val="00A02FCE"/>
    <w:rsid w:val="00A04E3A"/>
    <w:rsid w:val="00A05937"/>
    <w:rsid w:val="00A05AA0"/>
    <w:rsid w:val="00A064D0"/>
    <w:rsid w:val="00A06E75"/>
    <w:rsid w:val="00A07124"/>
    <w:rsid w:val="00A0793E"/>
    <w:rsid w:val="00A07BC9"/>
    <w:rsid w:val="00A07BE9"/>
    <w:rsid w:val="00A117B2"/>
    <w:rsid w:val="00A11C9B"/>
    <w:rsid w:val="00A11FC0"/>
    <w:rsid w:val="00A13467"/>
    <w:rsid w:val="00A1433B"/>
    <w:rsid w:val="00A14937"/>
    <w:rsid w:val="00A15332"/>
    <w:rsid w:val="00A16DBF"/>
    <w:rsid w:val="00A16EE0"/>
    <w:rsid w:val="00A171A2"/>
    <w:rsid w:val="00A176BB"/>
    <w:rsid w:val="00A177A3"/>
    <w:rsid w:val="00A207A5"/>
    <w:rsid w:val="00A21306"/>
    <w:rsid w:val="00A2158E"/>
    <w:rsid w:val="00A2261E"/>
    <w:rsid w:val="00A22900"/>
    <w:rsid w:val="00A24286"/>
    <w:rsid w:val="00A24335"/>
    <w:rsid w:val="00A252DA"/>
    <w:rsid w:val="00A25EE5"/>
    <w:rsid w:val="00A26D59"/>
    <w:rsid w:val="00A333EC"/>
    <w:rsid w:val="00A35028"/>
    <w:rsid w:val="00A3530F"/>
    <w:rsid w:val="00A35B5E"/>
    <w:rsid w:val="00A36A0D"/>
    <w:rsid w:val="00A372A5"/>
    <w:rsid w:val="00A4072A"/>
    <w:rsid w:val="00A4144C"/>
    <w:rsid w:val="00A44AB3"/>
    <w:rsid w:val="00A4571A"/>
    <w:rsid w:val="00A4620A"/>
    <w:rsid w:val="00A4726C"/>
    <w:rsid w:val="00A47793"/>
    <w:rsid w:val="00A50174"/>
    <w:rsid w:val="00A50A20"/>
    <w:rsid w:val="00A53C16"/>
    <w:rsid w:val="00A5503F"/>
    <w:rsid w:val="00A57C83"/>
    <w:rsid w:val="00A601BA"/>
    <w:rsid w:val="00A629A9"/>
    <w:rsid w:val="00A63D6B"/>
    <w:rsid w:val="00A63EF5"/>
    <w:rsid w:val="00A65BF5"/>
    <w:rsid w:val="00A66B53"/>
    <w:rsid w:val="00A66EE7"/>
    <w:rsid w:val="00A67D95"/>
    <w:rsid w:val="00A67FBF"/>
    <w:rsid w:val="00A705CD"/>
    <w:rsid w:val="00A73E03"/>
    <w:rsid w:val="00A744B0"/>
    <w:rsid w:val="00A74C35"/>
    <w:rsid w:val="00A74FB7"/>
    <w:rsid w:val="00A755A1"/>
    <w:rsid w:val="00A758E8"/>
    <w:rsid w:val="00A76788"/>
    <w:rsid w:val="00A832F9"/>
    <w:rsid w:val="00A833C0"/>
    <w:rsid w:val="00A8523A"/>
    <w:rsid w:val="00A85564"/>
    <w:rsid w:val="00A8674A"/>
    <w:rsid w:val="00A9214B"/>
    <w:rsid w:val="00A921E8"/>
    <w:rsid w:val="00A9224C"/>
    <w:rsid w:val="00A92B05"/>
    <w:rsid w:val="00A92CC3"/>
    <w:rsid w:val="00A948CE"/>
    <w:rsid w:val="00A948FD"/>
    <w:rsid w:val="00A955D2"/>
    <w:rsid w:val="00A96099"/>
    <w:rsid w:val="00A969E5"/>
    <w:rsid w:val="00AA0414"/>
    <w:rsid w:val="00AA3897"/>
    <w:rsid w:val="00AA5195"/>
    <w:rsid w:val="00AA6036"/>
    <w:rsid w:val="00AA6A50"/>
    <w:rsid w:val="00AA7992"/>
    <w:rsid w:val="00AB0957"/>
    <w:rsid w:val="00AB0984"/>
    <w:rsid w:val="00AB3223"/>
    <w:rsid w:val="00AB4297"/>
    <w:rsid w:val="00AB45C5"/>
    <w:rsid w:val="00AB4706"/>
    <w:rsid w:val="00AB716D"/>
    <w:rsid w:val="00AB71E1"/>
    <w:rsid w:val="00AC0290"/>
    <w:rsid w:val="00AC0440"/>
    <w:rsid w:val="00AC1271"/>
    <w:rsid w:val="00AC2A89"/>
    <w:rsid w:val="00AC3020"/>
    <w:rsid w:val="00AC376E"/>
    <w:rsid w:val="00AC6952"/>
    <w:rsid w:val="00AC6B6D"/>
    <w:rsid w:val="00AC6C93"/>
    <w:rsid w:val="00AC745F"/>
    <w:rsid w:val="00AD0ACE"/>
    <w:rsid w:val="00AD0D25"/>
    <w:rsid w:val="00AD2E39"/>
    <w:rsid w:val="00AD30E3"/>
    <w:rsid w:val="00AD3A67"/>
    <w:rsid w:val="00AD44F4"/>
    <w:rsid w:val="00AD4748"/>
    <w:rsid w:val="00AD4D7F"/>
    <w:rsid w:val="00AD6677"/>
    <w:rsid w:val="00AE08DD"/>
    <w:rsid w:val="00AE1210"/>
    <w:rsid w:val="00AE206C"/>
    <w:rsid w:val="00AE3B52"/>
    <w:rsid w:val="00AE3F87"/>
    <w:rsid w:val="00AE473F"/>
    <w:rsid w:val="00AE5F1E"/>
    <w:rsid w:val="00AF0387"/>
    <w:rsid w:val="00AF27C0"/>
    <w:rsid w:val="00AF32C8"/>
    <w:rsid w:val="00AF3601"/>
    <w:rsid w:val="00AF38FF"/>
    <w:rsid w:val="00AF6E3E"/>
    <w:rsid w:val="00AF70FA"/>
    <w:rsid w:val="00B00927"/>
    <w:rsid w:val="00B009B1"/>
    <w:rsid w:val="00B00BCB"/>
    <w:rsid w:val="00B0224C"/>
    <w:rsid w:val="00B0289A"/>
    <w:rsid w:val="00B03323"/>
    <w:rsid w:val="00B03790"/>
    <w:rsid w:val="00B03A04"/>
    <w:rsid w:val="00B03BBD"/>
    <w:rsid w:val="00B03C38"/>
    <w:rsid w:val="00B03EC1"/>
    <w:rsid w:val="00B059CD"/>
    <w:rsid w:val="00B065AB"/>
    <w:rsid w:val="00B06D36"/>
    <w:rsid w:val="00B0726D"/>
    <w:rsid w:val="00B0792E"/>
    <w:rsid w:val="00B12341"/>
    <w:rsid w:val="00B13072"/>
    <w:rsid w:val="00B138D0"/>
    <w:rsid w:val="00B140C4"/>
    <w:rsid w:val="00B15DB0"/>
    <w:rsid w:val="00B17150"/>
    <w:rsid w:val="00B17582"/>
    <w:rsid w:val="00B20AEA"/>
    <w:rsid w:val="00B20F4C"/>
    <w:rsid w:val="00B2146B"/>
    <w:rsid w:val="00B24876"/>
    <w:rsid w:val="00B248F2"/>
    <w:rsid w:val="00B24C90"/>
    <w:rsid w:val="00B27031"/>
    <w:rsid w:val="00B27743"/>
    <w:rsid w:val="00B279BE"/>
    <w:rsid w:val="00B303DF"/>
    <w:rsid w:val="00B31A30"/>
    <w:rsid w:val="00B3217A"/>
    <w:rsid w:val="00B331AD"/>
    <w:rsid w:val="00B335C5"/>
    <w:rsid w:val="00B345D3"/>
    <w:rsid w:val="00B34B37"/>
    <w:rsid w:val="00B365E9"/>
    <w:rsid w:val="00B36682"/>
    <w:rsid w:val="00B3780A"/>
    <w:rsid w:val="00B37DB5"/>
    <w:rsid w:val="00B414CF"/>
    <w:rsid w:val="00B423E1"/>
    <w:rsid w:val="00B437C7"/>
    <w:rsid w:val="00B44729"/>
    <w:rsid w:val="00B478E8"/>
    <w:rsid w:val="00B47CD8"/>
    <w:rsid w:val="00B5034F"/>
    <w:rsid w:val="00B5159A"/>
    <w:rsid w:val="00B52974"/>
    <w:rsid w:val="00B52C6D"/>
    <w:rsid w:val="00B54A02"/>
    <w:rsid w:val="00B54A9E"/>
    <w:rsid w:val="00B56ADE"/>
    <w:rsid w:val="00B56D4D"/>
    <w:rsid w:val="00B57D47"/>
    <w:rsid w:val="00B60422"/>
    <w:rsid w:val="00B60EBC"/>
    <w:rsid w:val="00B613C1"/>
    <w:rsid w:val="00B6225D"/>
    <w:rsid w:val="00B62650"/>
    <w:rsid w:val="00B6289C"/>
    <w:rsid w:val="00B62CB2"/>
    <w:rsid w:val="00B6348B"/>
    <w:rsid w:val="00B7036B"/>
    <w:rsid w:val="00B717A6"/>
    <w:rsid w:val="00B723D0"/>
    <w:rsid w:val="00B77EF7"/>
    <w:rsid w:val="00B804B1"/>
    <w:rsid w:val="00B80E7B"/>
    <w:rsid w:val="00B81DFD"/>
    <w:rsid w:val="00B823E9"/>
    <w:rsid w:val="00B82A88"/>
    <w:rsid w:val="00B82F02"/>
    <w:rsid w:val="00B845BD"/>
    <w:rsid w:val="00B856C4"/>
    <w:rsid w:val="00B8600E"/>
    <w:rsid w:val="00B86402"/>
    <w:rsid w:val="00B865F2"/>
    <w:rsid w:val="00B920C5"/>
    <w:rsid w:val="00B92AD8"/>
    <w:rsid w:val="00B92E7C"/>
    <w:rsid w:val="00B9396A"/>
    <w:rsid w:val="00B9410C"/>
    <w:rsid w:val="00B956F3"/>
    <w:rsid w:val="00B96E9E"/>
    <w:rsid w:val="00BA0226"/>
    <w:rsid w:val="00BA21B7"/>
    <w:rsid w:val="00BA2AD5"/>
    <w:rsid w:val="00BA3066"/>
    <w:rsid w:val="00BA4C5F"/>
    <w:rsid w:val="00BA580F"/>
    <w:rsid w:val="00BA7131"/>
    <w:rsid w:val="00BB0B32"/>
    <w:rsid w:val="00BB3459"/>
    <w:rsid w:val="00BC0E77"/>
    <w:rsid w:val="00BC18F4"/>
    <w:rsid w:val="00BC2C71"/>
    <w:rsid w:val="00BC3159"/>
    <w:rsid w:val="00BC3337"/>
    <w:rsid w:val="00BC4C5C"/>
    <w:rsid w:val="00BC4CCA"/>
    <w:rsid w:val="00BC5495"/>
    <w:rsid w:val="00BC5C80"/>
    <w:rsid w:val="00BC60C7"/>
    <w:rsid w:val="00BC75DC"/>
    <w:rsid w:val="00BD0464"/>
    <w:rsid w:val="00BD1176"/>
    <w:rsid w:val="00BD148B"/>
    <w:rsid w:val="00BD199D"/>
    <w:rsid w:val="00BD24D4"/>
    <w:rsid w:val="00BD5CE8"/>
    <w:rsid w:val="00BD707A"/>
    <w:rsid w:val="00BD7BEB"/>
    <w:rsid w:val="00BE157C"/>
    <w:rsid w:val="00BE7007"/>
    <w:rsid w:val="00BE72BA"/>
    <w:rsid w:val="00BF2BB7"/>
    <w:rsid w:val="00BF2EE0"/>
    <w:rsid w:val="00BF3215"/>
    <w:rsid w:val="00BF3F22"/>
    <w:rsid w:val="00BF45FA"/>
    <w:rsid w:val="00BF4E82"/>
    <w:rsid w:val="00BF607E"/>
    <w:rsid w:val="00BF7581"/>
    <w:rsid w:val="00C01AEC"/>
    <w:rsid w:val="00C02B00"/>
    <w:rsid w:val="00C03323"/>
    <w:rsid w:val="00C040DC"/>
    <w:rsid w:val="00C0452A"/>
    <w:rsid w:val="00C0465C"/>
    <w:rsid w:val="00C04B9B"/>
    <w:rsid w:val="00C055C5"/>
    <w:rsid w:val="00C0674D"/>
    <w:rsid w:val="00C06775"/>
    <w:rsid w:val="00C067D9"/>
    <w:rsid w:val="00C075C7"/>
    <w:rsid w:val="00C07E3D"/>
    <w:rsid w:val="00C109C4"/>
    <w:rsid w:val="00C11585"/>
    <w:rsid w:val="00C12517"/>
    <w:rsid w:val="00C12B9D"/>
    <w:rsid w:val="00C12D76"/>
    <w:rsid w:val="00C13BC7"/>
    <w:rsid w:val="00C14288"/>
    <w:rsid w:val="00C14A45"/>
    <w:rsid w:val="00C157CB"/>
    <w:rsid w:val="00C16D86"/>
    <w:rsid w:val="00C176A3"/>
    <w:rsid w:val="00C17FF9"/>
    <w:rsid w:val="00C201D0"/>
    <w:rsid w:val="00C204F9"/>
    <w:rsid w:val="00C20D94"/>
    <w:rsid w:val="00C21D38"/>
    <w:rsid w:val="00C225AC"/>
    <w:rsid w:val="00C24D09"/>
    <w:rsid w:val="00C25076"/>
    <w:rsid w:val="00C25E48"/>
    <w:rsid w:val="00C301BC"/>
    <w:rsid w:val="00C308DD"/>
    <w:rsid w:val="00C31269"/>
    <w:rsid w:val="00C32D71"/>
    <w:rsid w:val="00C33A0A"/>
    <w:rsid w:val="00C346E3"/>
    <w:rsid w:val="00C3554F"/>
    <w:rsid w:val="00C35FCD"/>
    <w:rsid w:val="00C36F7B"/>
    <w:rsid w:val="00C403AF"/>
    <w:rsid w:val="00C4163B"/>
    <w:rsid w:val="00C422B5"/>
    <w:rsid w:val="00C42796"/>
    <w:rsid w:val="00C458A3"/>
    <w:rsid w:val="00C45F3D"/>
    <w:rsid w:val="00C47D8F"/>
    <w:rsid w:val="00C51932"/>
    <w:rsid w:val="00C52DEB"/>
    <w:rsid w:val="00C52FF0"/>
    <w:rsid w:val="00C533D4"/>
    <w:rsid w:val="00C546B1"/>
    <w:rsid w:val="00C54DBB"/>
    <w:rsid w:val="00C56322"/>
    <w:rsid w:val="00C56F22"/>
    <w:rsid w:val="00C602B5"/>
    <w:rsid w:val="00C60817"/>
    <w:rsid w:val="00C61FA0"/>
    <w:rsid w:val="00C65990"/>
    <w:rsid w:val="00C668E6"/>
    <w:rsid w:val="00C7006B"/>
    <w:rsid w:val="00C70758"/>
    <w:rsid w:val="00C70AF8"/>
    <w:rsid w:val="00C73751"/>
    <w:rsid w:val="00C7396B"/>
    <w:rsid w:val="00C73D4B"/>
    <w:rsid w:val="00C75A4B"/>
    <w:rsid w:val="00C779A4"/>
    <w:rsid w:val="00C80568"/>
    <w:rsid w:val="00C80F9F"/>
    <w:rsid w:val="00C81102"/>
    <w:rsid w:val="00C8135D"/>
    <w:rsid w:val="00C8161B"/>
    <w:rsid w:val="00C83110"/>
    <w:rsid w:val="00C8322D"/>
    <w:rsid w:val="00C860A5"/>
    <w:rsid w:val="00C86838"/>
    <w:rsid w:val="00C8787E"/>
    <w:rsid w:val="00C9033D"/>
    <w:rsid w:val="00C91C39"/>
    <w:rsid w:val="00C921E6"/>
    <w:rsid w:val="00C93A25"/>
    <w:rsid w:val="00C972F0"/>
    <w:rsid w:val="00C97588"/>
    <w:rsid w:val="00CA0016"/>
    <w:rsid w:val="00CA0D38"/>
    <w:rsid w:val="00CA294B"/>
    <w:rsid w:val="00CA3548"/>
    <w:rsid w:val="00CA35DC"/>
    <w:rsid w:val="00CA4BEC"/>
    <w:rsid w:val="00CA54CD"/>
    <w:rsid w:val="00CA5831"/>
    <w:rsid w:val="00CA63CD"/>
    <w:rsid w:val="00CA6985"/>
    <w:rsid w:val="00CA7648"/>
    <w:rsid w:val="00CB0DA7"/>
    <w:rsid w:val="00CB1402"/>
    <w:rsid w:val="00CB1747"/>
    <w:rsid w:val="00CB20BC"/>
    <w:rsid w:val="00CB246A"/>
    <w:rsid w:val="00CB37C9"/>
    <w:rsid w:val="00CB3E9C"/>
    <w:rsid w:val="00CB4696"/>
    <w:rsid w:val="00CB7440"/>
    <w:rsid w:val="00CB77FA"/>
    <w:rsid w:val="00CC1EFA"/>
    <w:rsid w:val="00CC21A6"/>
    <w:rsid w:val="00CC2898"/>
    <w:rsid w:val="00CC38ED"/>
    <w:rsid w:val="00CC55D2"/>
    <w:rsid w:val="00CC635E"/>
    <w:rsid w:val="00CD039E"/>
    <w:rsid w:val="00CD0F36"/>
    <w:rsid w:val="00CD2EF3"/>
    <w:rsid w:val="00CD6EEA"/>
    <w:rsid w:val="00CE0664"/>
    <w:rsid w:val="00CE0BED"/>
    <w:rsid w:val="00CE1268"/>
    <w:rsid w:val="00CE25C3"/>
    <w:rsid w:val="00CE270A"/>
    <w:rsid w:val="00CE4E2F"/>
    <w:rsid w:val="00CE5B45"/>
    <w:rsid w:val="00CE6C20"/>
    <w:rsid w:val="00CF2AA3"/>
    <w:rsid w:val="00CF2B51"/>
    <w:rsid w:val="00CF3404"/>
    <w:rsid w:val="00CF3AB7"/>
    <w:rsid w:val="00CF4437"/>
    <w:rsid w:val="00CF59C9"/>
    <w:rsid w:val="00CF673F"/>
    <w:rsid w:val="00CF67C8"/>
    <w:rsid w:val="00CF70BB"/>
    <w:rsid w:val="00CF7C23"/>
    <w:rsid w:val="00D01710"/>
    <w:rsid w:val="00D01EC0"/>
    <w:rsid w:val="00D03CD9"/>
    <w:rsid w:val="00D047A0"/>
    <w:rsid w:val="00D04C9D"/>
    <w:rsid w:val="00D04FC7"/>
    <w:rsid w:val="00D05223"/>
    <w:rsid w:val="00D05FE6"/>
    <w:rsid w:val="00D11317"/>
    <w:rsid w:val="00D11B6C"/>
    <w:rsid w:val="00D120A2"/>
    <w:rsid w:val="00D165D0"/>
    <w:rsid w:val="00D167A4"/>
    <w:rsid w:val="00D2112F"/>
    <w:rsid w:val="00D21E88"/>
    <w:rsid w:val="00D228A9"/>
    <w:rsid w:val="00D2490C"/>
    <w:rsid w:val="00D2584C"/>
    <w:rsid w:val="00D26FD1"/>
    <w:rsid w:val="00D272F7"/>
    <w:rsid w:val="00D279C1"/>
    <w:rsid w:val="00D30E30"/>
    <w:rsid w:val="00D32098"/>
    <w:rsid w:val="00D33888"/>
    <w:rsid w:val="00D34545"/>
    <w:rsid w:val="00D34555"/>
    <w:rsid w:val="00D34992"/>
    <w:rsid w:val="00D37352"/>
    <w:rsid w:val="00D3777F"/>
    <w:rsid w:val="00D40CBC"/>
    <w:rsid w:val="00D41F77"/>
    <w:rsid w:val="00D41FE5"/>
    <w:rsid w:val="00D440A2"/>
    <w:rsid w:val="00D44A41"/>
    <w:rsid w:val="00D46134"/>
    <w:rsid w:val="00D4619E"/>
    <w:rsid w:val="00D472F8"/>
    <w:rsid w:val="00D47CE9"/>
    <w:rsid w:val="00D50846"/>
    <w:rsid w:val="00D51902"/>
    <w:rsid w:val="00D525E8"/>
    <w:rsid w:val="00D52713"/>
    <w:rsid w:val="00D52B95"/>
    <w:rsid w:val="00D53A6C"/>
    <w:rsid w:val="00D53DD8"/>
    <w:rsid w:val="00D54952"/>
    <w:rsid w:val="00D54A7D"/>
    <w:rsid w:val="00D559BA"/>
    <w:rsid w:val="00D56B33"/>
    <w:rsid w:val="00D5753F"/>
    <w:rsid w:val="00D57694"/>
    <w:rsid w:val="00D57829"/>
    <w:rsid w:val="00D60BD5"/>
    <w:rsid w:val="00D61809"/>
    <w:rsid w:val="00D63EB4"/>
    <w:rsid w:val="00D6521B"/>
    <w:rsid w:val="00D653E7"/>
    <w:rsid w:val="00D70FBC"/>
    <w:rsid w:val="00D75993"/>
    <w:rsid w:val="00D75B0B"/>
    <w:rsid w:val="00D76432"/>
    <w:rsid w:val="00D77965"/>
    <w:rsid w:val="00D80F5B"/>
    <w:rsid w:val="00D810E2"/>
    <w:rsid w:val="00D81460"/>
    <w:rsid w:val="00D864AC"/>
    <w:rsid w:val="00D872C6"/>
    <w:rsid w:val="00D87FC6"/>
    <w:rsid w:val="00D90289"/>
    <w:rsid w:val="00D918D6"/>
    <w:rsid w:val="00D9343A"/>
    <w:rsid w:val="00D949DE"/>
    <w:rsid w:val="00D94C31"/>
    <w:rsid w:val="00D95241"/>
    <w:rsid w:val="00D955AD"/>
    <w:rsid w:val="00D958B1"/>
    <w:rsid w:val="00D95B3D"/>
    <w:rsid w:val="00D96337"/>
    <w:rsid w:val="00D9692C"/>
    <w:rsid w:val="00D979B7"/>
    <w:rsid w:val="00D97BA2"/>
    <w:rsid w:val="00DA018E"/>
    <w:rsid w:val="00DA0788"/>
    <w:rsid w:val="00DA0A51"/>
    <w:rsid w:val="00DA1D07"/>
    <w:rsid w:val="00DA24D2"/>
    <w:rsid w:val="00DA2786"/>
    <w:rsid w:val="00DA541C"/>
    <w:rsid w:val="00DA78B5"/>
    <w:rsid w:val="00DA7C76"/>
    <w:rsid w:val="00DB0959"/>
    <w:rsid w:val="00DB1895"/>
    <w:rsid w:val="00DB47AA"/>
    <w:rsid w:val="00DB4930"/>
    <w:rsid w:val="00DB5F5C"/>
    <w:rsid w:val="00DB624D"/>
    <w:rsid w:val="00DB6EDF"/>
    <w:rsid w:val="00DB75D1"/>
    <w:rsid w:val="00DB7AE1"/>
    <w:rsid w:val="00DC0A21"/>
    <w:rsid w:val="00DC1A52"/>
    <w:rsid w:val="00DC1C69"/>
    <w:rsid w:val="00DC2003"/>
    <w:rsid w:val="00DC30C3"/>
    <w:rsid w:val="00DC6B76"/>
    <w:rsid w:val="00DC7690"/>
    <w:rsid w:val="00DD368A"/>
    <w:rsid w:val="00DD3BAD"/>
    <w:rsid w:val="00DD708E"/>
    <w:rsid w:val="00DE0341"/>
    <w:rsid w:val="00DE0ADB"/>
    <w:rsid w:val="00DE1594"/>
    <w:rsid w:val="00DE1B34"/>
    <w:rsid w:val="00DE1F3F"/>
    <w:rsid w:val="00DE5428"/>
    <w:rsid w:val="00DE7E8D"/>
    <w:rsid w:val="00DF1640"/>
    <w:rsid w:val="00DF1E60"/>
    <w:rsid w:val="00DF3BCB"/>
    <w:rsid w:val="00DF44E4"/>
    <w:rsid w:val="00DF4911"/>
    <w:rsid w:val="00DF5CC8"/>
    <w:rsid w:val="00DF6CA8"/>
    <w:rsid w:val="00DF76D9"/>
    <w:rsid w:val="00DF7903"/>
    <w:rsid w:val="00DF7E69"/>
    <w:rsid w:val="00E03B42"/>
    <w:rsid w:val="00E03F29"/>
    <w:rsid w:val="00E04338"/>
    <w:rsid w:val="00E04674"/>
    <w:rsid w:val="00E06737"/>
    <w:rsid w:val="00E06881"/>
    <w:rsid w:val="00E06A1C"/>
    <w:rsid w:val="00E07A99"/>
    <w:rsid w:val="00E07F79"/>
    <w:rsid w:val="00E10B27"/>
    <w:rsid w:val="00E11C62"/>
    <w:rsid w:val="00E145B8"/>
    <w:rsid w:val="00E15401"/>
    <w:rsid w:val="00E162FB"/>
    <w:rsid w:val="00E2008C"/>
    <w:rsid w:val="00E21317"/>
    <w:rsid w:val="00E2380A"/>
    <w:rsid w:val="00E24BDC"/>
    <w:rsid w:val="00E25587"/>
    <w:rsid w:val="00E25E1E"/>
    <w:rsid w:val="00E2681E"/>
    <w:rsid w:val="00E30534"/>
    <w:rsid w:val="00E3122E"/>
    <w:rsid w:val="00E3188C"/>
    <w:rsid w:val="00E32BD6"/>
    <w:rsid w:val="00E33051"/>
    <w:rsid w:val="00E34487"/>
    <w:rsid w:val="00E3524C"/>
    <w:rsid w:val="00E354BF"/>
    <w:rsid w:val="00E3574A"/>
    <w:rsid w:val="00E35F0F"/>
    <w:rsid w:val="00E363C5"/>
    <w:rsid w:val="00E36CDE"/>
    <w:rsid w:val="00E37796"/>
    <w:rsid w:val="00E37F38"/>
    <w:rsid w:val="00E40191"/>
    <w:rsid w:val="00E41F97"/>
    <w:rsid w:val="00E42286"/>
    <w:rsid w:val="00E43DB9"/>
    <w:rsid w:val="00E43E5F"/>
    <w:rsid w:val="00E448A9"/>
    <w:rsid w:val="00E46B5A"/>
    <w:rsid w:val="00E50781"/>
    <w:rsid w:val="00E515ED"/>
    <w:rsid w:val="00E53AA2"/>
    <w:rsid w:val="00E5523F"/>
    <w:rsid w:val="00E56578"/>
    <w:rsid w:val="00E566AD"/>
    <w:rsid w:val="00E569B6"/>
    <w:rsid w:val="00E57A11"/>
    <w:rsid w:val="00E607B1"/>
    <w:rsid w:val="00E60B91"/>
    <w:rsid w:val="00E60D38"/>
    <w:rsid w:val="00E624E6"/>
    <w:rsid w:val="00E6491E"/>
    <w:rsid w:val="00E67830"/>
    <w:rsid w:val="00E71ED2"/>
    <w:rsid w:val="00E7254D"/>
    <w:rsid w:val="00E72594"/>
    <w:rsid w:val="00E73FB7"/>
    <w:rsid w:val="00E760E4"/>
    <w:rsid w:val="00E77127"/>
    <w:rsid w:val="00E771FF"/>
    <w:rsid w:val="00E77AD0"/>
    <w:rsid w:val="00E77F32"/>
    <w:rsid w:val="00E804D8"/>
    <w:rsid w:val="00E8085F"/>
    <w:rsid w:val="00E8191D"/>
    <w:rsid w:val="00E82BC6"/>
    <w:rsid w:val="00E83FFC"/>
    <w:rsid w:val="00E8419C"/>
    <w:rsid w:val="00E85717"/>
    <w:rsid w:val="00E85BD7"/>
    <w:rsid w:val="00E87956"/>
    <w:rsid w:val="00E9026F"/>
    <w:rsid w:val="00E91EC0"/>
    <w:rsid w:val="00E92042"/>
    <w:rsid w:val="00E922E1"/>
    <w:rsid w:val="00E92E4D"/>
    <w:rsid w:val="00E93D2C"/>
    <w:rsid w:val="00E94095"/>
    <w:rsid w:val="00E94ECC"/>
    <w:rsid w:val="00E966CC"/>
    <w:rsid w:val="00E96CFA"/>
    <w:rsid w:val="00EA1C28"/>
    <w:rsid w:val="00EA25A1"/>
    <w:rsid w:val="00EA5870"/>
    <w:rsid w:val="00EA6632"/>
    <w:rsid w:val="00EA6652"/>
    <w:rsid w:val="00EA6E72"/>
    <w:rsid w:val="00EA723C"/>
    <w:rsid w:val="00EB15ED"/>
    <w:rsid w:val="00EB1D96"/>
    <w:rsid w:val="00EB27E1"/>
    <w:rsid w:val="00EB30C0"/>
    <w:rsid w:val="00EB3576"/>
    <w:rsid w:val="00EB573C"/>
    <w:rsid w:val="00EB6CBA"/>
    <w:rsid w:val="00EB7A61"/>
    <w:rsid w:val="00EC0FEC"/>
    <w:rsid w:val="00EC2322"/>
    <w:rsid w:val="00EC2473"/>
    <w:rsid w:val="00EC2530"/>
    <w:rsid w:val="00EC54CD"/>
    <w:rsid w:val="00ED08BD"/>
    <w:rsid w:val="00ED0993"/>
    <w:rsid w:val="00ED0C86"/>
    <w:rsid w:val="00ED0E0C"/>
    <w:rsid w:val="00ED1A6B"/>
    <w:rsid w:val="00ED3CE1"/>
    <w:rsid w:val="00ED43F8"/>
    <w:rsid w:val="00ED44F0"/>
    <w:rsid w:val="00ED47DE"/>
    <w:rsid w:val="00EE022B"/>
    <w:rsid w:val="00EE1BA1"/>
    <w:rsid w:val="00EE2283"/>
    <w:rsid w:val="00EE469E"/>
    <w:rsid w:val="00EE4F1F"/>
    <w:rsid w:val="00EE6895"/>
    <w:rsid w:val="00EE7FCC"/>
    <w:rsid w:val="00EF1481"/>
    <w:rsid w:val="00EF372B"/>
    <w:rsid w:val="00EF409C"/>
    <w:rsid w:val="00EF4833"/>
    <w:rsid w:val="00EF6101"/>
    <w:rsid w:val="00EF6F14"/>
    <w:rsid w:val="00EF727E"/>
    <w:rsid w:val="00EF7846"/>
    <w:rsid w:val="00F0000F"/>
    <w:rsid w:val="00F003D8"/>
    <w:rsid w:val="00F00CB6"/>
    <w:rsid w:val="00F01481"/>
    <w:rsid w:val="00F0249A"/>
    <w:rsid w:val="00F0260B"/>
    <w:rsid w:val="00F02616"/>
    <w:rsid w:val="00F026FC"/>
    <w:rsid w:val="00F05E82"/>
    <w:rsid w:val="00F05F94"/>
    <w:rsid w:val="00F06E86"/>
    <w:rsid w:val="00F101B5"/>
    <w:rsid w:val="00F10541"/>
    <w:rsid w:val="00F12F4E"/>
    <w:rsid w:val="00F13C8C"/>
    <w:rsid w:val="00F153FB"/>
    <w:rsid w:val="00F15FC4"/>
    <w:rsid w:val="00F170F9"/>
    <w:rsid w:val="00F179D1"/>
    <w:rsid w:val="00F205CA"/>
    <w:rsid w:val="00F20CC6"/>
    <w:rsid w:val="00F21C3E"/>
    <w:rsid w:val="00F224EE"/>
    <w:rsid w:val="00F23C82"/>
    <w:rsid w:val="00F23E20"/>
    <w:rsid w:val="00F24EA7"/>
    <w:rsid w:val="00F25F6B"/>
    <w:rsid w:val="00F260A3"/>
    <w:rsid w:val="00F270C2"/>
    <w:rsid w:val="00F27447"/>
    <w:rsid w:val="00F326A9"/>
    <w:rsid w:val="00F352DB"/>
    <w:rsid w:val="00F35D1B"/>
    <w:rsid w:val="00F41349"/>
    <w:rsid w:val="00F42EC7"/>
    <w:rsid w:val="00F43788"/>
    <w:rsid w:val="00F43DAD"/>
    <w:rsid w:val="00F447E6"/>
    <w:rsid w:val="00F4491B"/>
    <w:rsid w:val="00F45392"/>
    <w:rsid w:val="00F4548D"/>
    <w:rsid w:val="00F459DE"/>
    <w:rsid w:val="00F45D67"/>
    <w:rsid w:val="00F45EB6"/>
    <w:rsid w:val="00F46141"/>
    <w:rsid w:val="00F46540"/>
    <w:rsid w:val="00F46BA2"/>
    <w:rsid w:val="00F478CC"/>
    <w:rsid w:val="00F50878"/>
    <w:rsid w:val="00F52DB2"/>
    <w:rsid w:val="00F538F1"/>
    <w:rsid w:val="00F549A2"/>
    <w:rsid w:val="00F54C14"/>
    <w:rsid w:val="00F5520E"/>
    <w:rsid w:val="00F55D37"/>
    <w:rsid w:val="00F56319"/>
    <w:rsid w:val="00F56CFB"/>
    <w:rsid w:val="00F57DD8"/>
    <w:rsid w:val="00F62082"/>
    <w:rsid w:val="00F6234A"/>
    <w:rsid w:val="00F624AC"/>
    <w:rsid w:val="00F624ED"/>
    <w:rsid w:val="00F63CA7"/>
    <w:rsid w:val="00F643DB"/>
    <w:rsid w:val="00F6446B"/>
    <w:rsid w:val="00F64D39"/>
    <w:rsid w:val="00F656E6"/>
    <w:rsid w:val="00F65AF4"/>
    <w:rsid w:val="00F65B5E"/>
    <w:rsid w:val="00F6627A"/>
    <w:rsid w:val="00F66749"/>
    <w:rsid w:val="00F66A63"/>
    <w:rsid w:val="00F67F61"/>
    <w:rsid w:val="00F70452"/>
    <w:rsid w:val="00F71B22"/>
    <w:rsid w:val="00F73D98"/>
    <w:rsid w:val="00F76A06"/>
    <w:rsid w:val="00F8007D"/>
    <w:rsid w:val="00F8184F"/>
    <w:rsid w:val="00F8228D"/>
    <w:rsid w:val="00F83CE6"/>
    <w:rsid w:val="00F8625D"/>
    <w:rsid w:val="00F874BF"/>
    <w:rsid w:val="00F9253B"/>
    <w:rsid w:val="00F92EE6"/>
    <w:rsid w:val="00F93120"/>
    <w:rsid w:val="00F94075"/>
    <w:rsid w:val="00F949C2"/>
    <w:rsid w:val="00F97705"/>
    <w:rsid w:val="00FA0E86"/>
    <w:rsid w:val="00FA1B44"/>
    <w:rsid w:val="00FA2B9E"/>
    <w:rsid w:val="00FA6C5C"/>
    <w:rsid w:val="00FB05E1"/>
    <w:rsid w:val="00FB0A0E"/>
    <w:rsid w:val="00FB2A9B"/>
    <w:rsid w:val="00FB2F9F"/>
    <w:rsid w:val="00FB441C"/>
    <w:rsid w:val="00FB55EC"/>
    <w:rsid w:val="00FB5812"/>
    <w:rsid w:val="00FB694A"/>
    <w:rsid w:val="00FB6B16"/>
    <w:rsid w:val="00FB6F4A"/>
    <w:rsid w:val="00FC06A5"/>
    <w:rsid w:val="00FC12C2"/>
    <w:rsid w:val="00FC1395"/>
    <w:rsid w:val="00FC1851"/>
    <w:rsid w:val="00FC189F"/>
    <w:rsid w:val="00FC2056"/>
    <w:rsid w:val="00FC2201"/>
    <w:rsid w:val="00FC2697"/>
    <w:rsid w:val="00FC38D7"/>
    <w:rsid w:val="00FC64DC"/>
    <w:rsid w:val="00FC6707"/>
    <w:rsid w:val="00FC7ABF"/>
    <w:rsid w:val="00FD0055"/>
    <w:rsid w:val="00FD089D"/>
    <w:rsid w:val="00FD1F6D"/>
    <w:rsid w:val="00FD2282"/>
    <w:rsid w:val="00FD261F"/>
    <w:rsid w:val="00FD2D52"/>
    <w:rsid w:val="00FD4A40"/>
    <w:rsid w:val="00FD7A2E"/>
    <w:rsid w:val="00FD7C28"/>
    <w:rsid w:val="00FE1483"/>
    <w:rsid w:val="00FE2393"/>
    <w:rsid w:val="00FE24FA"/>
    <w:rsid w:val="00FE3858"/>
    <w:rsid w:val="00FE3EDF"/>
    <w:rsid w:val="00FE50EB"/>
    <w:rsid w:val="00FE52E6"/>
    <w:rsid w:val="00FE5B5C"/>
    <w:rsid w:val="00FE5F8B"/>
    <w:rsid w:val="00FE6972"/>
    <w:rsid w:val="00FE69BA"/>
    <w:rsid w:val="00FE69CB"/>
    <w:rsid w:val="00FE69F6"/>
    <w:rsid w:val="00FE7A9B"/>
    <w:rsid w:val="00FF01D2"/>
    <w:rsid w:val="00FF0D07"/>
    <w:rsid w:val="00FF3869"/>
    <w:rsid w:val="00FF3B5E"/>
    <w:rsid w:val="00FF3D0B"/>
    <w:rsid w:val="00FF6E2E"/>
    <w:rsid w:val="00FF7B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5877A"/>
  <w15:chartTrackingRefBased/>
  <w15:docId w15:val="{BD17F9D4-1EC3-46A0-9EB3-1F39BF5C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87D"/>
  </w:style>
  <w:style w:type="paragraph" w:styleId="Heading2">
    <w:name w:val="heading 2"/>
    <w:basedOn w:val="Normal"/>
    <w:link w:val="Heading2Char"/>
    <w:uiPriority w:val="9"/>
    <w:qFormat/>
    <w:rsid w:val="00001AA4"/>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FB7"/>
    <w:pPr>
      <w:ind w:left="720"/>
      <w:contextualSpacing/>
    </w:pPr>
  </w:style>
  <w:style w:type="paragraph" w:styleId="FootnoteText">
    <w:name w:val="footnote text"/>
    <w:basedOn w:val="Normal"/>
    <w:link w:val="FootnoteTextChar"/>
    <w:uiPriority w:val="99"/>
    <w:semiHidden/>
    <w:unhideWhenUsed/>
    <w:rsid w:val="00D01E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1EC0"/>
    <w:rPr>
      <w:sz w:val="20"/>
      <w:szCs w:val="20"/>
    </w:rPr>
  </w:style>
  <w:style w:type="character" w:styleId="FootnoteReference">
    <w:name w:val="footnote reference"/>
    <w:basedOn w:val="DefaultParagraphFont"/>
    <w:uiPriority w:val="99"/>
    <w:semiHidden/>
    <w:unhideWhenUsed/>
    <w:rsid w:val="00D01EC0"/>
    <w:rPr>
      <w:vertAlign w:val="superscript"/>
    </w:rPr>
  </w:style>
  <w:style w:type="character" w:styleId="Hyperlink">
    <w:name w:val="Hyperlink"/>
    <w:basedOn w:val="DefaultParagraphFont"/>
    <w:uiPriority w:val="99"/>
    <w:unhideWhenUsed/>
    <w:rsid w:val="00D01EC0"/>
    <w:rPr>
      <w:color w:val="0000FF"/>
      <w:u w:val="single"/>
    </w:rPr>
  </w:style>
  <w:style w:type="character" w:styleId="FollowedHyperlink">
    <w:name w:val="FollowedHyperlink"/>
    <w:basedOn w:val="DefaultParagraphFont"/>
    <w:uiPriority w:val="99"/>
    <w:semiHidden/>
    <w:unhideWhenUsed/>
    <w:rsid w:val="007B3C75"/>
    <w:rPr>
      <w:color w:val="954F72" w:themeColor="followedHyperlink"/>
      <w:u w:val="single"/>
    </w:rPr>
  </w:style>
  <w:style w:type="character" w:styleId="PlaceholderText">
    <w:name w:val="Placeholder Text"/>
    <w:basedOn w:val="DefaultParagraphFont"/>
    <w:uiPriority w:val="99"/>
    <w:semiHidden/>
    <w:rsid w:val="00B865F2"/>
    <w:rPr>
      <w:color w:val="808080"/>
    </w:rPr>
  </w:style>
  <w:style w:type="character" w:styleId="CommentReference">
    <w:name w:val="annotation reference"/>
    <w:basedOn w:val="DefaultParagraphFont"/>
    <w:uiPriority w:val="99"/>
    <w:semiHidden/>
    <w:unhideWhenUsed/>
    <w:rsid w:val="00EF7846"/>
    <w:rPr>
      <w:sz w:val="16"/>
      <w:szCs w:val="16"/>
    </w:rPr>
  </w:style>
  <w:style w:type="paragraph" w:styleId="CommentText">
    <w:name w:val="annotation text"/>
    <w:basedOn w:val="Normal"/>
    <w:link w:val="CommentTextChar"/>
    <w:uiPriority w:val="99"/>
    <w:unhideWhenUsed/>
    <w:rsid w:val="00EF7846"/>
    <w:pPr>
      <w:spacing w:line="240" w:lineRule="auto"/>
    </w:pPr>
    <w:rPr>
      <w:sz w:val="20"/>
      <w:szCs w:val="20"/>
    </w:rPr>
  </w:style>
  <w:style w:type="character" w:customStyle="1" w:styleId="CommentTextChar">
    <w:name w:val="Comment Text Char"/>
    <w:basedOn w:val="DefaultParagraphFont"/>
    <w:link w:val="CommentText"/>
    <w:uiPriority w:val="99"/>
    <w:rsid w:val="00EF7846"/>
    <w:rPr>
      <w:sz w:val="20"/>
      <w:szCs w:val="20"/>
    </w:rPr>
  </w:style>
  <w:style w:type="paragraph" w:styleId="CommentSubject">
    <w:name w:val="annotation subject"/>
    <w:basedOn w:val="CommentText"/>
    <w:next w:val="CommentText"/>
    <w:link w:val="CommentSubjectChar"/>
    <w:uiPriority w:val="99"/>
    <w:semiHidden/>
    <w:unhideWhenUsed/>
    <w:rsid w:val="00EF7846"/>
    <w:rPr>
      <w:b/>
      <w:bCs/>
    </w:rPr>
  </w:style>
  <w:style w:type="character" w:customStyle="1" w:styleId="CommentSubjectChar">
    <w:name w:val="Comment Subject Char"/>
    <w:basedOn w:val="CommentTextChar"/>
    <w:link w:val="CommentSubject"/>
    <w:uiPriority w:val="99"/>
    <w:semiHidden/>
    <w:rsid w:val="00EF7846"/>
    <w:rPr>
      <w:b/>
      <w:bCs/>
      <w:sz w:val="20"/>
      <w:szCs w:val="20"/>
    </w:rPr>
  </w:style>
  <w:style w:type="paragraph" w:styleId="BalloonText">
    <w:name w:val="Balloon Text"/>
    <w:basedOn w:val="Normal"/>
    <w:link w:val="BalloonTextChar"/>
    <w:uiPriority w:val="99"/>
    <w:semiHidden/>
    <w:unhideWhenUsed/>
    <w:rsid w:val="00EF7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846"/>
    <w:rPr>
      <w:rFonts w:ascii="Segoe UI" w:hAnsi="Segoe UI" w:cs="Segoe UI"/>
      <w:sz w:val="18"/>
      <w:szCs w:val="18"/>
    </w:rPr>
  </w:style>
  <w:style w:type="paragraph" w:styleId="Header">
    <w:name w:val="header"/>
    <w:basedOn w:val="Normal"/>
    <w:link w:val="HeaderChar"/>
    <w:uiPriority w:val="99"/>
    <w:unhideWhenUsed/>
    <w:rsid w:val="00EB7A61"/>
    <w:pPr>
      <w:tabs>
        <w:tab w:val="center" w:pos="4513"/>
        <w:tab w:val="right" w:pos="9026"/>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EB7A61"/>
    <w:rPr>
      <w:rFonts w:eastAsiaTheme="minorEastAsia"/>
      <w:lang w:eastAsia="zh-CN"/>
    </w:rPr>
  </w:style>
  <w:style w:type="paragraph" w:styleId="Footer">
    <w:name w:val="footer"/>
    <w:basedOn w:val="Normal"/>
    <w:link w:val="FooterChar"/>
    <w:uiPriority w:val="99"/>
    <w:unhideWhenUsed/>
    <w:rsid w:val="00EB7A61"/>
    <w:pPr>
      <w:tabs>
        <w:tab w:val="center" w:pos="4513"/>
        <w:tab w:val="right" w:pos="9026"/>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EB7A61"/>
    <w:rPr>
      <w:rFonts w:eastAsiaTheme="minorEastAsia"/>
      <w:lang w:eastAsia="zh-CN"/>
    </w:rPr>
  </w:style>
  <w:style w:type="paragraph" w:customStyle="1" w:styleId="Default">
    <w:name w:val="Default"/>
    <w:rsid w:val="006C436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B0DA7"/>
    <w:pPr>
      <w:spacing w:after="0" w:line="240" w:lineRule="auto"/>
    </w:pPr>
  </w:style>
  <w:style w:type="paragraph" w:styleId="HTMLPreformatted">
    <w:name w:val="HTML Preformatted"/>
    <w:basedOn w:val="Normal"/>
    <w:link w:val="HTMLPreformattedChar"/>
    <w:uiPriority w:val="99"/>
    <w:semiHidden/>
    <w:unhideWhenUsed/>
    <w:rsid w:val="003B2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3B2D4F"/>
    <w:rPr>
      <w:rFonts w:ascii="Courier New" w:eastAsia="Times New Roman" w:hAnsi="Courier New" w:cs="Courier New"/>
      <w:sz w:val="20"/>
      <w:szCs w:val="20"/>
      <w:lang w:eastAsia="zh-CN"/>
    </w:rPr>
  </w:style>
  <w:style w:type="character" w:customStyle="1" w:styleId="nlmyear">
    <w:name w:val="nlm_year"/>
    <w:basedOn w:val="DefaultParagraphFont"/>
    <w:rsid w:val="00D87FC6"/>
  </w:style>
  <w:style w:type="character" w:customStyle="1" w:styleId="nlmpublisher-loc">
    <w:name w:val="nlm_publisher-loc"/>
    <w:basedOn w:val="DefaultParagraphFont"/>
    <w:rsid w:val="00D87FC6"/>
  </w:style>
  <w:style w:type="character" w:customStyle="1" w:styleId="nlmpublisher-name">
    <w:name w:val="nlm_publisher-name"/>
    <w:basedOn w:val="DefaultParagraphFont"/>
    <w:rsid w:val="00D87FC6"/>
  </w:style>
  <w:style w:type="character" w:customStyle="1" w:styleId="ref-google">
    <w:name w:val="ref-google"/>
    <w:basedOn w:val="DefaultParagraphFont"/>
    <w:rsid w:val="00D87FC6"/>
  </w:style>
  <w:style w:type="character" w:customStyle="1" w:styleId="Heading2Char">
    <w:name w:val="Heading 2 Char"/>
    <w:basedOn w:val="DefaultParagraphFont"/>
    <w:link w:val="Heading2"/>
    <w:uiPriority w:val="9"/>
    <w:rsid w:val="00001AA4"/>
    <w:rPr>
      <w:rFonts w:ascii="Times New Roman" w:eastAsia="Times New Roman" w:hAnsi="Times New Roman" w:cs="Times New Roman"/>
      <w:b/>
      <w:bCs/>
      <w:sz w:val="36"/>
      <w:szCs w:val="36"/>
      <w:lang w:eastAsia="zh-CN"/>
    </w:rPr>
  </w:style>
  <w:style w:type="character" w:customStyle="1" w:styleId="ds-1col">
    <w:name w:val="ds-1col"/>
    <w:basedOn w:val="DefaultParagraphFont"/>
    <w:rsid w:val="00001AA4"/>
  </w:style>
  <w:style w:type="character" w:customStyle="1" w:styleId="separator">
    <w:name w:val="separator"/>
    <w:basedOn w:val="DefaultParagraphFont"/>
    <w:rsid w:val="00001AA4"/>
  </w:style>
  <w:style w:type="character" w:styleId="Emphasis">
    <w:name w:val="Emphasis"/>
    <w:basedOn w:val="DefaultParagraphFont"/>
    <w:uiPriority w:val="20"/>
    <w:qFormat/>
    <w:rsid w:val="00001AA4"/>
    <w:rPr>
      <w:i/>
      <w:iCs/>
    </w:rPr>
  </w:style>
  <w:style w:type="character" w:customStyle="1" w:styleId="date-display-single">
    <w:name w:val="date-display-single"/>
    <w:basedOn w:val="DefaultParagraphFont"/>
    <w:rsid w:val="00001AA4"/>
  </w:style>
  <w:style w:type="character" w:customStyle="1" w:styleId="UnresolvedMention1">
    <w:name w:val="Unresolved Mention1"/>
    <w:basedOn w:val="DefaultParagraphFont"/>
    <w:uiPriority w:val="99"/>
    <w:semiHidden/>
    <w:unhideWhenUsed/>
    <w:rsid w:val="00385660"/>
    <w:rPr>
      <w:color w:val="605E5C"/>
      <w:shd w:val="clear" w:color="auto" w:fill="E1DFDD"/>
    </w:rPr>
  </w:style>
  <w:style w:type="character" w:customStyle="1" w:styleId="UnresolvedMention2">
    <w:name w:val="Unresolved Mention2"/>
    <w:basedOn w:val="DefaultParagraphFont"/>
    <w:uiPriority w:val="99"/>
    <w:semiHidden/>
    <w:unhideWhenUsed/>
    <w:rsid w:val="007C4840"/>
    <w:rPr>
      <w:color w:val="605E5C"/>
      <w:shd w:val="clear" w:color="auto" w:fill="E1DFDD"/>
    </w:rPr>
  </w:style>
  <w:style w:type="paragraph" w:styleId="NormalWeb">
    <w:name w:val="Normal (Web)"/>
    <w:basedOn w:val="Normal"/>
    <w:uiPriority w:val="99"/>
    <w:unhideWhenUsed/>
    <w:rsid w:val="00D21E8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UnresolvedMention3">
    <w:name w:val="Unresolved Mention3"/>
    <w:basedOn w:val="DefaultParagraphFont"/>
    <w:uiPriority w:val="99"/>
    <w:semiHidden/>
    <w:unhideWhenUsed/>
    <w:rsid w:val="00091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87210">
      <w:bodyDiv w:val="1"/>
      <w:marLeft w:val="0"/>
      <w:marRight w:val="0"/>
      <w:marTop w:val="0"/>
      <w:marBottom w:val="0"/>
      <w:divBdr>
        <w:top w:val="none" w:sz="0" w:space="0" w:color="auto"/>
        <w:left w:val="none" w:sz="0" w:space="0" w:color="auto"/>
        <w:bottom w:val="none" w:sz="0" w:space="0" w:color="auto"/>
        <w:right w:val="none" w:sz="0" w:space="0" w:color="auto"/>
      </w:divBdr>
    </w:div>
    <w:div w:id="72942576">
      <w:bodyDiv w:val="1"/>
      <w:marLeft w:val="0"/>
      <w:marRight w:val="0"/>
      <w:marTop w:val="0"/>
      <w:marBottom w:val="0"/>
      <w:divBdr>
        <w:top w:val="none" w:sz="0" w:space="0" w:color="auto"/>
        <w:left w:val="none" w:sz="0" w:space="0" w:color="auto"/>
        <w:bottom w:val="none" w:sz="0" w:space="0" w:color="auto"/>
        <w:right w:val="none" w:sz="0" w:space="0" w:color="auto"/>
      </w:divBdr>
    </w:div>
    <w:div w:id="73627380">
      <w:bodyDiv w:val="1"/>
      <w:marLeft w:val="0"/>
      <w:marRight w:val="0"/>
      <w:marTop w:val="0"/>
      <w:marBottom w:val="0"/>
      <w:divBdr>
        <w:top w:val="none" w:sz="0" w:space="0" w:color="auto"/>
        <w:left w:val="none" w:sz="0" w:space="0" w:color="auto"/>
        <w:bottom w:val="none" w:sz="0" w:space="0" w:color="auto"/>
        <w:right w:val="none" w:sz="0" w:space="0" w:color="auto"/>
      </w:divBdr>
    </w:div>
    <w:div w:id="86851426">
      <w:bodyDiv w:val="1"/>
      <w:marLeft w:val="0"/>
      <w:marRight w:val="0"/>
      <w:marTop w:val="0"/>
      <w:marBottom w:val="0"/>
      <w:divBdr>
        <w:top w:val="none" w:sz="0" w:space="0" w:color="auto"/>
        <w:left w:val="none" w:sz="0" w:space="0" w:color="auto"/>
        <w:bottom w:val="none" w:sz="0" w:space="0" w:color="auto"/>
        <w:right w:val="none" w:sz="0" w:space="0" w:color="auto"/>
      </w:divBdr>
    </w:div>
    <w:div w:id="101924292">
      <w:bodyDiv w:val="1"/>
      <w:marLeft w:val="0"/>
      <w:marRight w:val="0"/>
      <w:marTop w:val="0"/>
      <w:marBottom w:val="0"/>
      <w:divBdr>
        <w:top w:val="none" w:sz="0" w:space="0" w:color="auto"/>
        <w:left w:val="none" w:sz="0" w:space="0" w:color="auto"/>
        <w:bottom w:val="none" w:sz="0" w:space="0" w:color="auto"/>
        <w:right w:val="none" w:sz="0" w:space="0" w:color="auto"/>
      </w:divBdr>
    </w:div>
    <w:div w:id="104351194">
      <w:bodyDiv w:val="1"/>
      <w:marLeft w:val="0"/>
      <w:marRight w:val="0"/>
      <w:marTop w:val="0"/>
      <w:marBottom w:val="0"/>
      <w:divBdr>
        <w:top w:val="none" w:sz="0" w:space="0" w:color="auto"/>
        <w:left w:val="none" w:sz="0" w:space="0" w:color="auto"/>
        <w:bottom w:val="none" w:sz="0" w:space="0" w:color="auto"/>
        <w:right w:val="none" w:sz="0" w:space="0" w:color="auto"/>
      </w:divBdr>
    </w:div>
    <w:div w:id="125662374">
      <w:bodyDiv w:val="1"/>
      <w:marLeft w:val="0"/>
      <w:marRight w:val="0"/>
      <w:marTop w:val="0"/>
      <w:marBottom w:val="0"/>
      <w:divBdr>
        <w:top w:val="none" w:sz="0" w:space="0" w:color="auto"/>
        <w:left w:val="none" w:sz="0" w:space="0" w:color="auto"/>
        <w:bottom w:val="none" w:sz="0" w:space="0" w:color="auto"/>
        <w:right w:val="none" w:sz="0" w:space="0" w:color="auto"/>
      </w:divBdr>
    </w:div>
    <w:div w:id="152987336">
      <w:bodyDiv w:val="1"/>
      <w:marLeft w:val="0"/>
      <w:marRight w:val="0"/>
      <w:marTop w:val="0"/>
      <w:marBottom w:val="0"/>
      <w:divBdr>
        <w:top w:val="none" w:sz="0" w:space="0" w:color="auto"/>
        <w:left w:val="none" w:sz="0" w:space="0" w:color="auto"/>
        <w:bottom w:val="none" w:sz="0" w:space="0" w:color="auto"/>
        <w:right w:val="none" w:sz="0" w:space="0" w:color="auto"/>
      </w:divBdr>
    </w:div>
    <w:div w:id="168257561">
      <w:bodyDiv w:val="1"/>
      <w:marLeft w:val="0"/>
      <w:marRight w:val="0"/>
      <w:marTop w:val="0"/>
      <w:marBottom w:val="0"/>
      <w:divBdr>
        <w:top w:val="none" w:sz="0" w:space="0" w:color="auto"/>
        <w:left w:val="none" w:sz="0" w:space="0" w:color="auto"/>
        <w:bottom w:val="none" w:sz="0" w:space="0" w:color="auto"/>
        <w:right w:val="none" w:sz="0" w:space="0" w:color="auto"/>
      </w:divBdr>
    </w:div>
    <w:div w:id="250510118">
      <w:bodyDiv w:val="1"/>
      <w:marLeft w:val="0"/>
      <w:marRight w:val="0"/>
      <w:marTop w:val="0"/>
      <w:marBottom w:val="0"/>
      <w:divBdr>
        <w:top w:val="none" w:sz="0" w:space="0" w:color="auto"/>
        <w:left w:val="none" w:sz="0" w:space="0" w:color="auto"/>
        <w:bottom w:val="none" w:sz="0" w:space="0" w:color="auto"/>
        <w:right w:val="none" w:sz="0" w:space="0" w:color="auto"/>
      </w:divBdr>
    </w:div>
    <w:div w:id="275332072">
      <w:bodyDiv w:val="1"/>
      <w:marLeft w:val="0"/>
      <w:marRight w:val="0"/>
      <w:marTop w:val="0"/>
      <w:marBottom w:val="0"/>
      <w:divBdr>
        <w:top w:val="none" w:sz="0" w:space="0" w:color="auto"/>
        <w:left w:val="none" w:sz="0" w:space="0" w:color="auto"/>
        <w:bottom w:val="none" w:sz="0" w:space="0" w:color="auto"/>
        <w:right w:val="none" w:sz="0" w:space="0" w:color="auto"/>
      </w:divBdr>
    </w:div>
    <w:div w:id="298654344">
      <w:bodyDiv w:val="1"/>
      <w:marLeft w:val="0"/>
      <w:marRight w:val="0"/>
      <w:marTop w:val="0"/>
      <w:marBottom w:val="0"/>
      <w:divBdr>
        <w:top w:val="none" w:sz="0" w:space="0" w:color="auto"/>
        <w:left w:val="none" w:sz="0" w:space="0" w:color="auto"/>
        <w:bottom w:val="none" w:sz="0" w:space="0" w:color="auto"/>
        <w:right w:val="none" w:sz="0" w:space="0" w:color="auto"/>
      </w:divBdr>
    </w:div>
    <w:div w:id="329793442">
      <w:bodyDiv w:val="1"/>
      <w:marLeft w:val="0"/>
      <w:marRight w:val="0"/>
      <w:marTop w:val="0"/>
      <w:marBottom w:val="0"/>
      <w:divBdr>
        <w:top w:val="none" w:sz="0" w:space="0" w:color="auto"/>
        <w:left w:val="none" w:sz="0" w:space="0" w:color="auto"/>
        <w:bottom w:val="none" w:sz="0" w:space="0" w:color="auto"/>
        <w:right w:val="none" w:sz="0" w:space="0" w:color="auto"/>
      </w:divBdr>
    </w:div>
    <w:div w:id="403141018">
      <w:bodyDiv w:val="1"/>
      <w:marLeft w:val="0"/>
      <w:marRight w:val="0"/>
      <w:marTop w:val="0"/>
      <w:marBottom w:val="0"/>
      <w:divBdr>
        <w:top w:val="none" w:sz="0" w:space="0" w:color="auto"/>
        <w:left w:val="none" w:sz="0" w:space="0" w:color="auto"/>
        <w:bottom w:val="none" w:sz="0" w:space="0" w:color="auto"/>
        <w:right w:val="none" w:sz="0" w:space="0" w:color="auto"/>
      </w:divBdr>
    </w:div>
    <w:div w:id="468858624">
      <w:bodyDiv w:val="1"/>
      <w:marLeft w:val="0"/>
      <w:marRight w:val="0"/>
      <w:marTop w:val="0"/>
      <w:marBottom w:val="0"/>
      <w:divBdr>
        <w:top w:val="none" w:sz="0" w:space="0" w:color="auto"/>
        <w:left w:val="none" w:sz="0" w:space="0" w:color="auto"/>
        <w:bottom w:val="none" w:sz="0" w:space="0" w:color="auto"/>
        <w:right w:val="none" w:sz="0" w:space="0" w:color="auto"/>
      </w:divBdr>
    </w:div>
    <w:div w:id="482043803">
      <w:bodyDiv w:val="1"/>
      <w:marLeft w:val="0"/>
      <w:marRight w:val="0"/>
      <w:marTop w:val="0"/>
      <w:marBottom w:val="0"/>
      <w:divBdr>
        <w:top w:val="none" w:sz="0" w:space="0" w:color="auto"/>
        <w:left w:val="none" w:sz="0" w:space="0" w:color="auto"/>
        <w:bottom w:val="none" w:sz="0" w:space="0" w:color="auto"/>
        <w:right w:val="none" w:sz="0" w:space="0" w:color="auto"/>
      </w:divBdr>
    </w:div>
    <w:div w:id="563688375">
      <w:bodyDiv w:val="1"/>
      <w:marLeft w:val="0"/>
      <w:marRight w:val="0"/>
      <w:marTop w:val="0"/>
      <w:marBottom w:val="0"/>
      <w:divBdr>
        <w:top w:val="none" w:sz="0" w:space="0" w:color="auto"/>
        <w:left w:val="none" w:sz="0" w:space="0" w:color="auto"/>
        <w:bottom w:val="none" w:sz="0" w:space="0" w:color="auto"/>
        <w:right w:val="none" w:sz="0" w:space="0" w:color="auto"/>
      </w:divBdr>
    </w:div>
    <w:div w:id="583495556">
      <w:bodyDiv w:val="1"/>
      <w:marLeft w:val="0"/>
      <w:marRight w:val="0"/>
      <w:marTop w:val="0"/>
      <w:marBottom w:val="0"/>
      <w:divBdr>
        <w:top w:val="none" w:sz="0" w:space="0" w:color="auto"/>
        <w:left w:val="none" w:sz="0" w:space="0" w:color="auto"/>
        <w:bottom w:val="none" w:sz="0" w:space="0" w:color="auto"/>
        <w:right w:val="none" w:sz="0" w:space="0" w:color="auto"/>
      </w:divBdr>
    </w:div>
    <w:div w:id="612249108">
      <w:bodyDiv w:val="1"/>
      <w:marLeft w:val="0"/>
      <w:marRight w:val="0"/>
      <w:marTop w:val="0"/>
      <w:marBottom w:val="0"/>
      <w:divBdr>
        <w:top w:val="none" w:sz="0" w:space="0" w:color="auto"/>
        <w:left w:val="none" w:sz="0" w:space="0" w:color="auto"/>
        <w:bottom w:val="none" w:sz="0" w:space="0" w:color="auto"/>
        <w:right w:val="none" w:sz="0" w:space="0" w:color="auto"/>
      </w:divBdr>
    </w:div>
    <w:div w:id="624695164">
      <w:bodyDiv w:val="1"/>
      <w:marLeft w:val="0"/>
      <w:marRight w:val="0"/>
      <w:marTop w:val="0"/>
      <w:marBottom w:val="0"/>
      <w:divBdr>
        <w:top w:val="none" w:sz="0" w:space="0" w:color="auto"/>
        <w:left w:val="none" w:sz="0" w:space="0" w:color="auto"/>
        <w:bottom w:val="none" w:sz="0" w:space="0" w:color="auto"/>
        <w:right w:val="none" w:sz="0" w:space="0" w:color="auto"/>
      </w:divBdr>
    </w:div>
    <w:div w:id="629870095">
      <w:bodyDiv w:val="1"/>
      <w:marLeft w:val="0"/>
      <w:marRight w:val="0"/>
      <w:marTop w:val="0"/>
      <w:marBottom w:val="0"/>
      <w:divBdr>
        <w:top w:val="none" w:sz="0" w:space="0" w:color="auto"/>
        <w:left w:val="none" w:sz="0" w:space="0" w:color="auto"/>
        <w:bottom w:val="none" w:sz="0" w:space="0" w:color="auto"/>
        <w:right w:val="none" w:sz="0" w:space="0" w:color="auto"/>
      </w:divBdr>
    </w:div>
    <w:div w:id="660086621">
      <w:bodyDiv w:val="1"/>
      <w:marLeft w:val="0"/>
      <w:marRight w:val="0"/>
      <w:marTop w:val="0"/>
      <w:marBottom w:val="0"/>
      <w:divBdr>
        <w:top w:val="none" w:sz="0" w:space="0" w:color="auto"/>
        <w:left w:val="none" w:sz="0" w:space="0" w:color="auto"/>
        <w:bottom w:val="none" w:sz="0" w:space="0" w:color="auto"/>
        <w:right w:val="none" w:sz="0" w:space="0" w:color="auto"/>
      </w:divBdr>
    </w:div>
    <w:div w:id="667438926">
      <w:bodyDiv w:val="1"/>
      <w:marLeft w:val="0"/>
      <w:marRight w:val="0"/>
      <w:marTop w:val="0"/>
      <w:marBottom w:val="0"/>
      <w:divBdr>
        <w:top w:val="none" w:sz="0" w:space="0" w:color="auto"/>
        <w:left w:val="none" w:sz="0" w:space="0" w:color="auto"/>
        <w:bottom w:val="none" w:sz="0" w:space="0" w:color="auto"/>
        <w:right w:val="none" w:sz="0" w:space="0" w:color="auto"/>
      </w:divBdr>
    </w:div>
    <w:div w:id="716391752">
      <w:bodyDiv w:val="1"/>
      <w:marLeft w:val="0"/>
      <w:marRight w:val="0"/>
      <w:marTop w:val="0"/>
      <w:marBottom w:val="0"/>
      <w:divBdr>
        <w:top w:val="none" w:sz="0" w:space="0" w:color="auto"/>
        <w:left w:val="none" w:sz="0" w:space="0" w:color="auto"/>
        <w:bottom w:val="none" w:sz="0" w:space="0" w:color="auto"/>
        <w:right w:val="none" w:sz="0" w:space="0" w:color="auto"/>
      </w:divBdr>
    </w:div>
    <w:div w:id="787966971">
      <w:bodyDiv w:val="1"/>
      <w:marLeft w:val="0"/>
      <w:marRight w:val="0"/>
      <w:marTop w:val="0"/>
      <w:marBottom w:val="0"/>
      <w:divBdr>
        <w:top w:val="none" w:sz="0" w:space="0" w:color="auto"/>
        <w:left w:val="none" w:sz="0" w:space="0" w:color="auto"/>
        <w:bottom w:val="none" w:sz="0" w:space="0" w:color="auto"/>
        <w:right w:val="none" w:sz="0" w:space="0" w:color="auto"/>
      </w:divBdr>
    </w:div>
    <w:div w:id="806968134">
      <w:bodyDiv w:val="1"/>
      <w:marLeft w:val="0"/>
      <w:marRight w:val="0"/>
      <w:marTop w:val="0"/>
      <w:marBottom w:val="0"/>
      <w:divBdr>
        <w:top w:val="none" w:sz="0" w:space="0" w:color="auto"/>
        <w:left w:val="none" w:sz="0" w:space="0" w:color="auto"/>
        <w:bottom w:val="none" w:sz="0" w:space="0" w:color="auto"/>
        <w:right w:val="none" w:sz="0" w:space="0" w:color="auto"/>
      </w:divBdr>
    </w:div>
    <w:div w:id="826440402">
      <w:bodyDiv w:val="1"/>
      <w:marLeft w:val="0"/>
      <w:marRight w:val="0"/>
      <w:marTop w:val="0"/>
      <w:marBottom w:val="0"/>
      <w:divBdr>
        <w:top w:val="none" w:sz="0" w:space="0" w:color="auto"/>
        <w:left w:val="none" w:sz="0" w:space="0" w:color="auto"/>
        <w:bottom w:val="none" w:sz="0" w:space="0" w:color="auto"/>
        <w:right w:val="none" w:sz="0" w:space="0" w:color="auto"/>
      </w:divBdr>
    </w:div>
    <w:div w:id="837768875">
      <w:bodyDiv w:val="1"/>
      <w:marLeft w:val="0"/>
      <w:marRight w:val="0"/>
      <w:marTop w:val="0"/>
      <w:marBottom w:val="0"/>
      <w:divBdr>
        <w:top w:val="none" w:sz="0" w:space="0" w:color="auto"/>
        <w:left w:val="none" w:sz="0" w:space="0" w:color="auto"/>
        <w:bottom w:val="none" w:sz="0" w:space="0" w:color="auto"/>
        <w:right w:val="none" w:sz="0" w:space="0" w:color="auto"/>
      </w:divBdr>
    </w:div>
    <w:div w:id="954487276">
      <w:bodyDiv w:val="1"/>
      <w:marLeft w:val="0"/>
      <w:marRight w:val="0"/>
      <w:marTop w:val="0"/>
      <w:marBottom w:val="0"/>
      <w:divBdr>
        <w:top w:val="none" w:sz="0" w:space="0" w:color="auto"/>
        <w:left w:val="none" w:sz="0" w:space="0" w:color="auto"/>
        <w:bottom w:val="none" w:sz="0" w:space="0" w:color="auto"/>
        <w:right w:val="none" w:sz="0" w:space="0" w:color="auto"/>
      </w:divBdr>
    </w:div>
    <w:div w:id="1037315649">
      <w:bodyDiv w:val="1"/>
      <w:marLeft w:val="0"/>
      <w:marRight w:val="0"/>
      <w:marTop w:val="0"/>
      <w:marBottom w:val="0"/>
      <w:divBdr>
        <w:top w:val="none" w:sz="0" w:space="0" w:color="auto"/>
        <w:left w:val="none" w:sz="0" w:space="0" w:color="auto"/>
        <w:bottom w:val="none" w:sz="0" w:space="0" w:color="auto"/>
        <w:right w:val="none" w:sz="0" w:space="0" w:color="auto"/>
      </w:divBdr>
    </w:div>
    <w:div w:id="1053188430">
      <w:bodyDiv w:val="1"/>
      <w:marLeft w:val="0"/>
      <w:marRight w:val="0"/>
      <w:marTop w:val="0"/>
      <w:marBottom w:val="0"/>
      <w:divBdr>
        <w:top w:val="none" w:sz="0" w:space="0" w:color="auto"/>
        <w:left w:val="none" w:sz="0" w:space="0" w:color="auto"/>
        <w:bottom w:val="none" w:sz="0" w:space="0" w:color="auto"/>
        <w:right w:val="none" w:sz="0" w:space="0" w:color="auto"/>
      </w:divBdr>
    </w:div>
    <w:div w:id="1057359890">
      <w:bodyDiv w:val="1"/>
      <w:marLeft w:val="0"/>
      <w:marRight w:val="0"/>
      <w:marTop w:val="0"/>
      <w:marBottom w:val="0"/>
      <w:divBdr>
        <w:top w:val="none" w:sz="0" w:space="0" w:color="auto"/>
        <w:left w:val="none" w:sz="0" w:space="0" w:color="auto"/>
        <w:bottom w:val="none" w:sz="0" w:space="0" w:color="auto"/>
        <w:right w:val="none" w:sz="0" w:space="0" w:color="auto"/>
      </w:divBdr>
    </w:div>
    <w:div w:id="1210266846">
      <w:bodyDiv w:val="1"/>
      <w:marLeft w:val="0"/>
      <w:marRight w:val="0"/>
      <w:marTop w:val="0"/>
      <w:marBottom w:val="0"/>
      <w:divBdr>
        <w:top w:val="none" w:sz="0" w:space="0" w:color="auto"/>
        <w:left w:val="none" w:sz="0" w:space="0" w:color="auto"/>
        <w:bottom w:val="none" w:sz="0" w:space="0" w:color="auto"/>
        <w:right w:val="none" w:sz="0" w:space="0" w:color="auto"/>
      </w:divBdr>
    </w:div>
    <w:div w:id="1211957860">
      <w:bodyDiv w:val="1"/>
      <w:marLeft w:val="0"/>
      <w:marRight w:val="0"/>
      <w:marTop w:val="0"/>
      <w:marBottom w:val="0"/>
      <w:divBdr>
        <w:top w:val="none" w:sz="0" w:space="0" w:color="auto"/>
        <w:left w:val="none" w:sz="0" w:space="0" w:color="auto"/>
        <w:bottom w:val="none" w:sz="0" w:space="0" w:color="auto"/>
        <w:right w:val="none" w:sz="0" w:space="0" w:color="auto"/>
      </w:divBdr>
    </w:div>
    <w:div w:id="1236891300">
      <w:bodyDiv w:val="1"/>
      <w:marLeft w:val="0"/>
      <w:marRight w:val="0"/>
      <w:marTop w:val="0"/>
      <w:marBottom w:val="0"/>
      <w:divBdr>
        <w:top w:val="none" w:sz="0" w:space="0" w:color="auto"/>
        <w:left w:val="none" w:sz="0" w:space="0" w:color="auto"/>
        <w:bottom w:val="none" w:sz="0" w:space="0" w:color="auto"/>
        <w:right w:val="none" w:sz="0" w:space="0" w:color="auto"/>
      </w:divBdr>
    </w:div>
    <w:div w:id="1239052133">
      <w:bodyDiv w:val="1"/>
      <w:marLeft w:val="0"/>
      <w:marRight w:val="0"/>
      <w:marTop w:val="0"/>
      <w:marBottom w:val="0"/>
      <w:divBdr>
        <w:top w:val="none" w:sz="0" w:space="0" w:color="auto"/>
        <w:left w:val="none" w:sz="0" w:space="0" w:color="auto"/>
        <w:bottom w:val="none" w:sz="0" w:space="0" w:color="auto"/>
        <w:right w:val="none" w:sz="0" w:space="0" w:color="auto"/>
      </w:divBdr>
    </w:div>
    <w:div w:id="1274365006">
      <w:bodyDiv w:val="1"/>
      <w:marLeft w:val="0"/>
      <w:marRight w:val="0"/>
      <w:marTop w:val="0"/>
      <w:marBottom w:val="0"/>
      <w:divBdr>
        <w:top w:val="none" w:sz="0" w:space="0" w:color="auto"/>
        <w:left w:val="none" w:sz="0" w:space="0" w:color="auto"/>
        <w:bottom w:val="none" w:sz="0" w:space="0" w:color="auto"/>
        <w:right w:val="none" w:sz="0" w:space="0" w:color="auto"/>
      </w:divBdr>
    </w:div>
    <w:div w:id="1275599214">
      <w:bodyDiv w:val="1"/>
      <w:marLeft w:val="0"/>
      <w:marRight w:val="0"/>
      <w:marTop w:val="0"/>
      <w:marBottom w:val="0"/>
      <w:divBdr>
        <w:top w:val="none" w:sz="0" w:space="0" w:color="auto"/>
        <w:left w:val="none" w:sz="0" w:space="0" w:color="auto"/>
        <w:bottom w:val="none" w:sz="0" w:space="0" w:color="auto"/>
        <w:right w:val="none" w:sz="0" w:space="0" w:color="auto"/>
      </w:divBdr>
    </w:div>
    <w:div w:id="1317294399">
      <w:bodyDiv w:val="1"/>
      <w:marLeft w:val="0"/>
      <w:marRight w:val="0"/>
      <w:marTop w:val="0"/>
      <w:marBottom w:val="0"/>
      <w:divBdr>
        <w:top w:val="none" w:sz="0" w:space="0" w:color="auto"/>
        <w:left w:val="none" w:sz="0" w:space="0" w:color="auto"/>
        <w:bottom w:val="none" w:sz="0" w:space="0" w:color="auto"/>
        <w:right w:val="none" w:sz="0" w:space="0" w:color="auto"/>
      </w:divBdr>
    </w:div>
    <w:div w:id="1417366078">
      <w:bodyDiv w:val="1"/>
      <w:marLeft w:val="0"/>
      <w:marRight w:val="0"/>
      <w:marTop w:val="0"/>
      <w:marBottom w:val="0"/>
      <w:divBdr>
        <w:top w:val="none" w:sz="0" w:space="0" w:color="auto"/>
        <w:left w:val="none" w:sz="0" w:space="0" w:color="auto"/>
        <w:bottom w:val="none" w:sz="0" w:space="0" w:color="auto"/>
        <w:right w:val="none" w:sz="0" w:space="0" w:color="auto"/>
      </w:divBdr>
    </w:div>
    <w:div w:id="1488788599">
      <w:bodyDiv w:val="1"/>
      <w:marLeft w:val="0"/>
      <w:marRight w:val="0"/>
      <w:marTop w:val="0"/>
      <w:marBottom w:val="0"/>
      <w:divBdr>
        <w:top w:val="none" w:sz="0" w:space="0" w:color="auto"/>
        <w:left w:val="none" w:sz="0" w:space="0" w:color="auto"/>
        <w:bottom w:val="none" w:sz="0" w:space="0" w:color="auto"/>
        <w:right w:val="none" w:sz="0" w:space="0" w:color="auto"/>
      </w:divBdr>
    </w:div>
    <w:div w:id="1502964363">
      <w:bodyDiv w:val="1"/>
      <w:marLeft w:val="0"/>
      <w:marRight w:val="0"/>
      <w:marTop w:val="0"/>
      <w:marBottom w:val="0"/>
      <w:divBdr>
        <w:top w:val="none" w:sz="0" w:space="0" w:color="auto"/>
        <w:left w:val="none" w:sz="0" w:space="0" w:color="auto"/>
        <w:bottom w:val="none" w:sz="0" w:space="0" w:color="auto"/>
        <w:right w:val="none" w:sz="0" w:space="0" w:color="auto"/>
      </w:divBdr>
    </w:div>
    <w:div w:id="1505705501">
      <w:bodyDiv w:val="1"/>
      <w:marLeft w:val="0"/>
      <w:marRight w:val="0"/>
      <w:marTop w:val="0"/>
      <w:marBottom w:val="0"/>
      <w:divBdr>
        <w:top w:val="none" w:sz="0" w:space="0" w:color="auto"/>
        <w:left w:val="none" w:sz="0" w:space="0" w:color="auto"/>
        <w:bottom w:val="none" w:sz="0" w:space="0" w:color="auto"/>
        <w:right w:val="none" w:sz="0" w:space="0" w:color="auto"/>
      </w:divBdr>
      <w:divsChild>
        <w:div w:id="1170487701">
          <w:marLeft w:val="0"/>
          <w:marRight w:val="0"/>
          <w:marTop w:val="0"/>
          <w:marBottom w:val="0"/>
          <w:divBdr>
            <w:top w:val="none" w:sz="0" w:space="0" w:color="auto"/>
            <w:left w:val="none" w:sz="0" w:space="0" w:color="auto"/>
            <w:bottom w:val="none" w:sz="0" w:space="0" w:color="auto"/>
            <w:right w:val="none" w:sz="0" w:space="0" w:color="auto"/>
          </w:divBdr>
          <w:divsChild>
            <w:div w:id="1711031663">
              <w:marLeft w:val="0"/>
              <w:marRight w:val="0"/>
              <w:marTop w:val="0"/>
              <w:marBottom w:val="0"/>
              <w:divBdr>
                <w:top w:val="none" w:sz="0" w:space="0" w:color="auto"/>
                <w:left w:val="none" w:sz="0" w:space="0" w:color="auto"/>
                <w:bottom w:val="none" w:sz="0" w:space="0" w:color="auto"/>
                <w:right w:val="none" w:sz="0" w:space="0" w:color="auto"/>
              </w:divBdr>
            </w:div>
          </w:divsChild>
        </w:div>
        <w:div w:id="1385838121">
          <w:marLeft w:val="0"/>
          <w:marRight w:val="0"/>
          <w:marTop w:val="0"/>
          <w:marBottom w:val="60"/>
          <w:divBdr>
            <w:top w:val="none" w:sz="0" w:space="0" w:color="auto"/>
            <w:left w:val="none" w:sz="0" w:space="0" w:color="auto"/>
            <w:bottom w:val="none" w:sz="0" w:space="0" w:color="auto"/>
            <w:right w:val="none" w:sz="0" w:space="0" w:color="auto"/>
          </w:divBdr>
          <w:divsChild>
            <w:div w:id="363868786">
              <w:marLeft w:val="0"/>
              <w:marRight w:val="0"/>
              <w:marTop w:val="0"/>
              <w:marBottom w:val="0"/>
              <w:divBdr>
                <w:top w:val="none" w:sz="0" w:space="0" w:color="auto"/>
                <w:left w:val="none" w:sz="0" w:space="0" w:color="auto"/>
                <w:bottom w:val="none" w:sz="0" w:space="0" w:color="auto"/>
                <w:right w:val="none" w:sz="0" w:space="0" w:color="auto"/>
              </w:divBdr>
            </w:div>
          </w:divsChild>
        </w:div>
        <w:div w:id="1440685904">
          <w:marLeft w:val="0"/>
          <w:marRight w:val="0"/>
          <w:marTop w:val="0"/>
          <w:marBottom w:val="0"/>
          <w:divBdr>
            <w:top w:val="none" w:sz="0" w:space="0" w:color="auto"/>
            <w:left w:val="none" w:sz="0" w:space="0" w:color="auto"/>
            <w:bottom w:val="none" w:sz="0" w:space="0" w:color="auto"/>
            <w:right w:val="none" w:sz="0" w:space="0" w:color="auto"/>
          </w:divBdr>
        </w:div>
      </w:divsChild>
    </w:div>
    <w:div w:id="1506750248">
      <w:bodyDiv w:val="1"/>
      <w:marLeft w:val="0"/>
      <w:marRight w:val="0"/>
      <w:marTop w:val="0"/>
      <w:marBottom w:val="0"/>
      <w:divBdr>
        <w:top w:val="none" w:sz="0" w:space="0" w:color="auto"/>
        <w:left w:val="none" w:sz="0" w:space="0" w:color="auto"/>
        <w:bottom w:val="none" w:sz="0" w:space="0" w:color="auto"/>
        <w:right w:val="none" w:sz="0" w:space="0" w:color="auto"/>
      </w:divBdr>
    </w:div>
    <w:div w:id="1515725762">
      <w:bodyDiv w:val="1"/>
      <w:marLeft w:val="0"/>
      <w:marRight w:val="0"/>
      <w:marTop w:val="0"/>
      <w:marBottom w:val="0"/>
      <w:divBdr>
        <w:top w:val="none" w:sz="0" w:space="0" w:color="auto"/>
        <w:left w:val="none" w:sz="0" w:space="0" w:color="auto"/>
        <w:bottom w:val="none" w:sz="0" w:space="0" w:color="auto"/>
        <w:right w:val="none" w:sz="0" w:space="0" w:color="auto"/>
      </w:divBdr>
    </w:div>
    <w:div w:id="1530726181">
      <w:bodyDiv w:val="1"/>
      <w:marLeft w:val="0"/>
      <w:marRight w:val="0"/>
      <w:marTop w:val="0"/>
      <w:marBottom w:val="0"/>
      <w:divBdr>
        <w:top w:val="none" w:sz="0" w:space="0" w:color="auto"/>
        <w:left w:val="none" w:sz="0" w:space="0" w:color="auto"/>
        <w:bottom w:val="none" w:sz="0" w:space="0" w:color="auto"/>
        <w:right w:val="none" w:sz="0" w:space="0" w:color="auto"/>
      </w:divBdr>
    </w:div>
    <w:div w:id="1539389090">
      <w:bodyDiv w:val="1"/>
      <w:marLeft w:val="0"/>
      <w:marRight w:val="0"/>
      <w:marTop w:val="0"/>
      <w:marBottom w:val="0"/>
      <w:divBdr>
        <w:top w:val="none" w:sz="0" w:space="0" w:color="auto"/>
        <w:left w:val="none" w:sz="0" w:space="0" w:color="auto"/>
        <w:bottom w:val="none" w:sz="0" w:space="0" w:color="auto"/>
        <w:right w:val="none" w:sz="0" w:space="0" w:color="auto"/>
      </w:divBdr>
    </w:div>
    <w:div w:id="1602756635">
      <w:bodyDiv w:val="1"/>
      <w:marLeft w:val="0"/>
      <w:marRight w:val="0"/>
      <w:marTop w:val="0"/>
      <w:marBottom w:val="0"/>
      <w:divBdr>
        <w:top w:val="none" w:sz="0" w:space="0" w:color="auto"/>
        <w:left w:val="none" w:sz="0" w:space="0" w:color="auto"/>
        <w:bottom w:val="none" w:sz="0" w:space="0" w:color="auto"/>
        <w:right w:val="none" w:sz="0" w:space="0" w:color="auto"/>
      </w:divBdr>
    </w:div>
    <w:div w:id="1619531892">
      <w:bodyDiv w:val="1"/>
      <w:marLeft w:val="0"/>
      <w:marRight w:val="0"/>
      <w:marTop w:val="0"/>
      <w:marBottom w:val="0"/>
      <w:divBdr>
        <w:top w:val="none" w:sz="0" w:space="0" w:color="auto"/>
        <w:left w:val="none" w:sz="0" w:space="0" w:color="auto"/>
        <w:bottom w:val="none" w:sz="0" w:space="0" w:color="auto"/>
        <w:right w:val="none" w:sz="0" w:space="0" w:color="auto"/>
      </w:divBdr>
    </w:div>
    <w:div w:id="1645769848">
      <w:bodyDiv w:val="1"/>
      <w:marLeft w:val="0"/>
      <w:marRight w:val="0"/>
      <w:marTop w:val="0"/>
      <w:marBottom w:val="0"/>
      <w:divBdr>
        <w:top w:val="none" w:sz="0" w:space="0" w:color="auto"/>
        <w:left w:val="none" w:sz="0" w:space="0" w:color="auto"/>
        <w:bottom w:val="none" w:sz="0" w:space="0" w:color="auto"/>
        <w:right w:val="none" w:sz="0" w:space="0" w:color="auto"/>
      </w:divBdr>
    </w:div>
    <w:div w:id="1647391450">
      <w:bodyDiv w:val="1"/>
      <w:marLeft w:val="0"/>
      <w:marRight w:val="0"/>
      <w:marTop w:val="0"/>
      <w:marBottom w:val="0"/>
      <w:divBdr>
        <w:top w:val="none" w:sz="0" w:space="0" w:color="auto"/>
        <w:left w:val="none" w:sz="0" w:space="0" w:color="auto"/>
        <w:bottom w:val="none" w:sz="0" w:space="0" w:color="auto"/>
        <w:right w:val="none" w:sz="0" w:space="0" w:color="auto"/>
      </w:divBdr>
    </w:div>
    <w:div w:id="1650093164">
      <w:bodyDiv w:val="1"/>
      <w:marLeft w:val="0"/>
      <w:marRight w:val="0"/>
      <w:marTop w:val="0"/>
      <w:marBottom w:val="0"/>
      <w:divBdr>
        <w:top w:val="none" w:sz="0" w:space="0" w:color="auto"/>
        <w:left w:val="none" w:sz="0" w:space="0" w:color="auto"/>
        <w:bottom w:val="none" w:sz="0" w:space="0" w:color="auto"/>
        <w:right w:val="none" w:sz="0" w:space="0" w:color="auto"/>
      </w:divBdr>
    </w:div>
    <w:div w:id="1682316735">
      <w:bodyDiv w:val="1"/>
      <w:marLeft w:val="0"/>
      <w:marRight w:val="0"/>
      <w:marTop w:val="0"/>
      <w:marBottom w:val="0"/>
      <w:divBdr>
        <w:top w:val="none" w:sz="0" w:space="0" w:color="auto"/>
        <w:left w:val="none" w:sz="0" w:space="0" w:color="auto"/>
        <w:bottom w:val="none" w:sz="0" w:space="0" w:color="auto"/>
        <w:right w:val="none" w:sz="0" w:space="0" w:color="auto"/>
      </w:divBdr>
    </w:div>
    <w:div w:id="1684362722">
      <w:bodyDiv w:val="1"/>
      <w:marLeft w:val="0"/>
      <w:marRight w:val="0"/>
      <w:marTop w:val="0"/>
      <w:marBottom w:val="0"/>
      <w:divBdr>
        <w:top w:val="none" w:sz="0" w:space="0" w:color="auto"/>
        <w:left w:val="none" w:sz="0" w:space="0" w:color="auto"/>
        <w:bottom w:val="none" w:sz="0" w:space="0" w:color="auto"/>
        <w:right w:val="none" w:sz="0" w:space="0" w:color="auto"/>
      </w:divBdr>
    </w:div>
    <w:div w:id="1715961411">
      <w:bodyDiv w:val="1"/>
      <w:marLeft w:val="0"/>
      <w:marRight w:val="0"/>
      <w:marTop w:val="0"/>
      <w:marBottom w:val="0"/>
      <w:divBdr>
        <w:top w:val="none" w:sz="0" w:space="0" w:color="auto"/>
        <w:left w:val="none" w:sz="0" w:space="0" w:color="auto"/>
        <w:bottom w:val="none" w:sz="0" w:space="0" w:color="auto"/>
        <w:right w:val="none" w:sz="0" w:space="0" w:color="auto"/>
      </w:divBdr>
    </w:div>
    <w:div w:id="1722048186">
      <w:bodyDiv w:val="1"/>
      <w:marLeft w:val="0"/>
      <w:marRight w:val="0"/>
      <w:marTop w:val="0"/>
      <w:marBottom w:val="0"/>
      <w:divBdr>
        <w:top w:val="none" w:sz="0" w:space="0" w:color="auto"/>
        <w:left w:val="none" w:sz="0" w:space="0" w:color="auto"/>
        <w:bottom w:val="none" w:sz="0" w:space="0" w:color="auto"/>
        <w:right w:val="none" w:sz="0" w:space="0" w:color="auto"/>
      </w:divBdr>
    </w:div>
    <w:div w:id="1726173889">
      <w:bodyDiv w:val="1"/>
      <w:marLeft w:val="0"/>
      <w:marRight w:val="0"/>
      <w:marTop w:val="0"/>
      <w:marBottom w:val="0"/>
      <w:divBdr>
        <w:top w:val="none" w:sz="0" w:space="0" w:color="auto"/>
        <w:left w:val="none" w:sz="0" w:space="0" w:color="auto"/>
        <w:bottom w:val="none" w:sz="0" w:space="0" w:color="auto"/>
        <w:right w:val="none" w:sz="0" w:space="0" w:color="auto"/>
      </w:divBdr>
    </w:div>
    <w:div w:id="1727989069">
      <w:bodyDiv w:val="1"/>
      <w:marLeft w:val="0"/>
      <w:marRight w:val="0"/>
      <w:marTop w:val="0"/>
      <w:marBottom w:val="0"/>
      <w:divBdr>
        <w:top w:val="none" w:sz="0" w:space="0" w:color="auto"/>
        <w:left w:val="none" w:sz="0" w:space="0" w:color="auto"/>
        <w:bottom w:val="none" w:sz="0" w:space="0" w:color="auto"/>
        <w:right w:val="none" w:sz="0" w:space="0" w:color="auto"/>
      </w:divBdr>
    </w:div>
    <w:div w:id="1747074241">
      <w:bodyDiv w:val="1"/>
      <w:marLeft w:val="0"/>
      <w:marRight w:val="0"/>
      <w:marTop w:val="0"/>
      <w:marBottom w:val="0"/>
      <w:divBdr>
        <w:top w:val="none" w:sz="0" w:space="0" w:color="auto"/>
        <w:left w:val="none" w:sz="0" w:space="0" w:color="auto"/>
        <w:bottom w:val="none" w:sz="0" w:space="0" w:color="auto"/>
        <w:right w:val="none" w:sz="0" w:space="0" w:color="auto"/>
      </w:divBdr>
    </w:div>
    <w:div w:id="1771126507">
      <w:bodyDiv w:val="1"/>
      <w:marLeft w:val="0"/>
      <w:marRight w:val="0"/>
      <w:marTop w:val="0"/>
      <w:marBottom w:val="0"/>
      <w:divBdr>
        <w:top w:val="none" w:sz="0" w:space="0" w:color="auto"/>
        <w:left w:val="none" w:sz="0" w:space="0" w:color="auto"/>
        <w:bottom w:val="none" w:sz="0" w:space="0" w:color="auto"/>
        <w:right w:val="none" w:sz="0" w:space="0" w:color="auto"/>
      </w:divBdr>
    </w:div>
    <w:div w:id="1782728151">
      <w:bodyDiv w:val="1"/>
      <w:marLeft w:val="0"/>
      <w:marRight w:val="0"/>
      <w:marTop w:val="0"/>
      <w:marBottom w:val="0"/>
      <w:divBdr>
        <w:top w:val="none" w:sz="0" w:space="0" w:color="auto"/>
        <w:left w:val="none" w:sz="0" w:space="0" w:color="auto"/>
        <w:bottom w:val="none" w:sz="0" w:space="0" w:color="auto"/>
        <w:right w:val="none" w:sz="0" w:space="0" w:color="auto"/>
      </w:divBdr>
    </w:div>
    <w:div w:id="1790974447">
      <w:bodyDiv w:val="1"/>
      <w:marLeft w:val="0"/>
      <w:marRight w:val="0"/>
      <w:marTop w:val="0"/>
      <w:marBottom w:val="0"/>
      <w:divBdr>
        <w:top w:val="none" w:sz="0" w:space="0" w:color="auto"/>
        <w:left w:val="none" w:sz="0" w:space="0" w:color="auto"/>
        <w:bottom w:val="none" w:sz="0" w:space="0" w:color="auto"/>
        <w:right w:val="none" w:sz="0" w:space="0" w:color="auto"/>
      </w:divBdr>
    </w:div>
    <w:div w:id="1811939473">
      <w:bodyDiv w:val="1"/>
      <w:marLeft w:val="0"/>
      <w:marRight w:val="0"/>
      <w:marTop w:val="0"/>
      <w:marBottom w:val="0"/>
      <w:divBdr>
        <w:top w:val="none" w:sz="0" w:space="0" w:color="auto"/>
        <w:left w:val="none" w:sz="0" w:space="0" w:color="auto"/>
        <w:bottom w:val="none" w:sz="0" w:space="0" w:color="auto"/>
        <w:right w:val="none" w:sz="0" w:space="0" w:color="auto"/>
      </w:divBdr>
    </w:div>
    <w:div w:id="1823084071">
      <w:bodyDiv w:val="1"/>
      <w:marLeft w:val="0"/>
      <w:marRight w:val="0"/>
      <w:marTop w:val="0"/>
      <w:marBottom w:val="0"/>
      <w:divBdr>
        <w:top w:val="none" w:sz="0" w:space="0" w:color="auto"/>
        <w:left w:val="none" w:sz="0" w:space="0" w:color="auto"/>
        <w:bottom w:val="none" w:sz="0" w:space="0" w:color="auto"/>
        <w:right w:val="none" w:sz="0" w:space="0" w:color="auto"/>
      </w:divBdr>
    </w:div>
    <w:div w:id="1852841550">
      <w:bodyDiv w:val="1"/>
      <w:marLeft w:val="0"/>
      <w:marRight w:val="0"/>
      <w:marTop w:val="0"/>
      <w:marBottom w:val="0"/>
      <w:divBdr>
        <w:top w:val="none" w:sz="0" w:space="0" w:color="auto"/>
        <w:left w:val="none" w:sz="0" w:space="0" w:color="auto"/>
        <w:bottom w:val="none" w:sz="0" w:space="0" w:color="auto"/>
        <w:right w:val="none" w:sz="0" w:space="0" w:color="auto"/>
      </w:divBdr>
    </w:div>
    <w:div w:id="1922370180">
      <w:bodyDiv w:val="1"/>
      <w:marLeft w:val="0"/>
      <w:marRight w:val="0"/>
      <w:marTop w:val="0"/>
      <w:marBottom w:val="0"/>
      <w:divBdr>
        <w:top w:val="none" w:sz="0" w:space="0" w:color="auto"/>
        <w:left w:val="none" w:sz="0" w:space="0" w:color="auto"/>
        <w:bottom w:val="none" w:sz="0" w:space="0" w:color="auto"/>
        <w:right w:val="none" w:sz="0" w:space="0" w:color="auto"/>
      </w:divBdr>
    </w:div>
    <w:div w:id="2009861492">
      <w:bodyDiv w:val="1"/>
      <w:marLeft w:val="0"/>
      <w:marRight w:val="0"/>
      <w:marTop w:val="0"/>
      <w:marBottom w:val="0"/>
      <w:divBdr>
        <w:top w:val="none" w:sz="0" w:space="0" w:color="auto"/>
        <w:left w:val="none" w:sz="0" w:space="0" w:color="auto"/>
        <w:bottom w:val="none" w:sz="0" w:space="0" w:color="auto"/>
        <w:right w:val="none" w:sz="0" w:space="0" w:color="auto"/>
      </w:divBdr>
    </w:div>
    <w:div w:id="2010136270">
      <w:bodyDiv w:val="1"/>
      <w:marLeft w:val="0"/>
      <w:marRight w:val="0"/>
      <w:marTop w:val="0"/>
      <w:marBottom w:val="0"/>
      <w:divBdr>
        <w:top w:val="none" w:sz="0" w:space="0" w:color="auto"/>
        <w:left w:val="none" w:sz="0" w:space="0" w:color="auto"/>
        <w:bottom w:val="none" w:sz="0" w:space="0" w:color="auto"/>
        <w:right w:val="none" w:sz="0" w:space="0" w:color="auto"/>
      </w:divBdr>
    </w:div>
    <w:div w:id="2014647469">
      <w:bodyDiv w:val="1"/>
      <w:marLeft w:val="0"/>
      <w:marRight w:val="0"/>
      <w:marTop w:val="0"/>
      <w:marBottom w:val="0"/>
      <w:divBdr>
        <w:top w:val="none" w:sz="0" w:space="0" w:color="auto"/>
        <w:left w:val="none" w:sz="0" w:space="0" w:color="auto"/>
        <w:bottom w:val="none" w:sz="0" w:space="0" w:color="auto"/>
        <w:right w:val="none" w:sz="0" w:space="0" w:color="auto"/>
      </w:divBdr>
    </w:div>
    <w:div w:id="2020041836">
      <w:bodyDiv w:val="1"/>
      <w:marLeft w:val="0"/>
      <w:marRight w:val="0"/>
      <w:marTop w:val="0"/>
      <w:marBottom w:val="0"/>
      <w:divBdr>
        <w:top w:val="none" w:sz="0" w:space="0" w:color="auto"/>
        <w:left w:val="none" w:sz="0" w:space="0" w:color="auto"/>
        <w:bottom w:val="none" w:sz="0" w:space="0" w:color="auto"/>
        <w:right w:val="none" w:sz="0" w:space="0" w:color="auto"/>
      </w:divBdr>
    </w:div>
    <w:div w:id="2042776357">
      <w:bodyDiv w:val="1"/>
      <w:marLeft w:val="0"/>
      <w:marRight w:val="0"/>
      <w:marTop w:val="0"/>
      <w:marBottom w:val="0"/>
      <w:divBdr>
        <w:top w:val="none" w:sz="0" w:space="0" w:color="auto"/>
        <w:left w:val="none" w:sz="0" w:space="0" w:color="auto"/>
        <w:bottom w:val="none" w:sz="0" w:space="0" w:color="auto"/>
        <w:right w:val="none" w:sz="0" w:space="0" w:color="auto"/>
      </w:divBdr>
    </w:div>
    <w:div w:id="2069304945">
      <w:bodyDiv w:val="1"/>
      <w:marLeft w:val="0"/>
      <w:marRight w:val="0"/>
      <w:marTop w:val="0"/>
      <w:marBottom w:val="0"/>
      <w:divBdr>
        <w:top w:val="none" w:sz="0" w:space="0" w:color="auto"/>
        <w:left w:val="none" w:sz="0" w:space="0" w:color="auto"/>
        <w:bottom w:val="none" w:sz="0" w:space="0" w:color="auto"/>
        <w:right w:val="none" w:sz="0" w:space="0" w:color="auto"/>
      </w:divBdr>
    </w:div>
    <w:div w:id="2121800285">
      <w:bodyDiv w:val="1"/>
      <w:marLeft w:val="0"/>
      <w:marRight w:val="0"/>
      <w:marTop w:val="0"/>
      <w:marBottom w:val="0"/>
      <w:divBdr>
        <w:top w:val="none" w:sz="0" w:space="0" w:color="auto"/>
        <w:left w:val="none" w:sz="0" w:space="0" w:color="auto"/>
        <w:bottom w:val="none" w:sz="0" w:space="0" w:color="auto"/>
        <w:right w:val="none" w:sz="0" w:space="0" w:color="auto"/>
      </w:divBdr>
    </w:div>
    <w:div w:id="213532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evron.com/-/media/shared-media/documents/2018-corporate-responsibility-repor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srn.com/abstract=229638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e211a95-ccc1-460c-909e-8e115f89dd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C3A1D52A4B2848922DA3F46BF4D1A0" ma:contentTypeVersion="14" ma:contentTypeDescription="Create a new document." ma:contentTypeScope="" ma:versionID="d5039333a66e93f5e7be94d490805441">
  <xsd:schema xmlns:xsd="http://www.w3.org/2001/XMLSchema" xmlns:xs="http://www.w3.org/2001/XMLSchema" xmlns:p="http://schemas.microsoft.com/office/2006/metadata/properties" xmlns:ns3="de211a95-ccc1-460c-909e-8e115f89dde1" xmlns:ns4="0dc198e2-dcf2-4856-9fdb-28141e00b705" targetNamespace="http://schemas.microsoft.com/office/2006/metadata/properties" ma:root="true" ma:fieldsID="70b5bf13bb806fee846f1da228f3d690" ns3:_="" ns4:_="">
    <xsd:import namespace="de211a95-ccc1-460c-909e-8e115f89dde1"/>
    <xsd:import namespace="0dc198e2-dcf2-4856-9fdb-28141e00b7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LengthInSeconds" minOccurs="0"/>
                <xsd:element ref="ns3:_activity" minOccurs="0"/>
                <xsd:element ref="ns3:MediaServiceDateTaken" minOccurs="0"/>
                <xsd:element ref="ns3:MediaServiceAutoTags"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11a95-ccc1-460c-909e-8e115f89d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c198e2-dcf2-4856-9fdb-28141e00b7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10268-8DB8-48D5-8469-9B76CE7907CD}">
  <ds:schemaRefs>
    <ds:schemaRef ds:uri="http://schemas.microsoft.com/sharepoint/v3/contenttype/forms"/>
  </ds:schemaRefs>
</ds:datastoreItem>
</file>

<file path=customXml/itemProps2.xml><?xml version="1.0" encoding="utf-8"?>
<ds:datastoreItem xmlns:ds="http://schemas.openxmlformats.org/officeDocument/2006/customXml" ds:itemID="{94664538-4A2A-4DC3-9B7D-11C2A4EF4655}">
  <ds:schemaRefs>
    <ds:schemaRef ds:uri="http://schemas.openxmlformats.org/officeDocument/2006/bibliography"/>
  </ds:schemaRefs>
</ds:datastoreItem>
</file>

<file path=customXml/itemProps3.xml><?xml version="1.0" encoding="utf-8"?>
<ds:datastoreItem xmlns:ds="http://schemas.openxmlformats.org/officeDocument/2006/customXml" ds:itemID="{98D4FC71-D4E6-4FE8-8B42-E7849D57967B}">
  <ds:schemaRefs>
    <ds:schemaRef ds:uri="http://schemas.microsoft.com/office/2006/metadata/properties"/>
    <ds:schemaRef ds:uri="http://schemas.microsoft.com/office/infopath/2007/PartnerControls"/>
    <ds:schemaRef ds:uri="de211a95-ccc1-460c-909e-8e115f89dde1"/>
  </ds:schemaRefs>
</ds:datastoreItem>
</file>

<file path=customXml/itemProps4.xml><?xml version="1.0" encoding="utf-8"?>
<ds:datastoreItem xmlns:ds="http://schemas.openxmlformats.org/officeDocument/2006/customXml" ds:itemID="{F64F5944-7B3D-420B-A3AC-E1B6474B7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11a95-ccc1-460c-909e-8e115f89dde1"/>
    <ds:schemaRef ds:uri="0dc198e2-dcf2-4856-9fdb-28141e00b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14531</Words>
  <Characters>81380</Characters>
  <Application>Microsoft Office Word</Application>
  <DocSecurity>0</DocSecurity>
  <Lines>1660</Lines>
  <Paragraphs>799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Trzeciakiewicz</dc:creator>
  <cp:keywords/>
  <dc:description/>
  <cp:lastModifiedBy>Agnieszka Trzeciakiewicz</cp:lastModifiedBy>
  <cp:revision>2</cp:revision>
  <cp:lastPrinted>2024-06-04T08:11:00Z</cp:lastPrinted>
  <dcterms:created xsi:type="dcterms:W3CDTF">2024-08-21T11:46:00Z</dcterms:created>
  <dcterms:modified xsi:type="dcterms:W3CDTF">2024-08-21T11:46:00Z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9b874e1fe39060f9ef294e640d7f2ed6b783c05d494880b40f39dbfc14b416ad</vt:lpwstr>
  </property>
  <property fmtid="{D5CDD505-2E9C-101B-9397-08002B2CF9AE}" pid="3" name="ContentTypeId">
    <vt:lpwstr>0x010100A9C3A1D52A4B2848922DA3F46BF4D1A0</vt:lpwstr>
  </property>
</Properties>
</file>