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24FD6" w14:textId="5DFF4049" w:rsidR="00A14648" w:rsidRDefault="00A14648" w:rsidP="002C6CB0">
      <w:pPr>
        <w:pStyle w:val="Title"/>
        <w:spacing w:line="480" w:lineRule="auto"/>
        <w:jc w:val="center"/>
        <w:rPr>
          <w:rFonts w:ascii="Times New Roman" w:hAnsi="Times New Roman" w:cs="Times New Roman"/>
          <w:bCs/>
          <w:caps/>
          <w:sz w:val="32"/>
          <w:szCs w:val="32"/>
        </w:rPr>
      </w:pPr>
      <w:r w:rsidRPr="00A14648">
        <w:rPr>
          <w:rFonts w:ascii="Times New Roman" w:hAnsi="Times New Roman" w:cs="Times New Roman"/>
          <w:bCs/>
          <w:caps/>
          <w:sz w:val="32"/>
          <w:szCs w:val="32"/>
        </w:rPr>
        <w:t>The Limits of Concentrated Power:</w:t>
      </w:r>
    </w:p>
    <w:p w14:paraId="54DE0C05" w14:textId="42BB6B5B" w:rsidR="002C6CB0" w:rsidRPr="00AA1887" w:rsidRDefault="00A14648" w:rsidP="002C6CB0">
      <w:pPr>
        <w:pStyle w:val="Title"/>
        <w:spacing w:line="480" w:lineRule="auto"/>
        <w:jc w:val="center"/>
        <w:rPr>
          <w:rFonts w:ascii="Times New Roman" w:hAnsi="Times New Roman" w:cs="Times New Roman"/>
          <w:bCs/>
          <w:sz w:val="32"/>
          <w:szCs w:val="32"/>
        </w:rPr>
      </w:pPr>
      <w:r w:rsidRPr="00A14648">
        <w:rPr>
          <w:rFonts w:ascii="Times New Roman" w:hAnsi="Times New Roman" w:cs="Times New Roman"/>
          <w:bCs/>
          <w:caps/>
          <w:sz w:val="32"/>
          <w:szCs w:val="32"/>
        </w:rPr>
        <w:t>Bureaucratic Independence and Electricity Crises in Rwanda</w:t>
      </w:r>
    </w:p>
    <w:p w14:paraId="657FEBEA" w14:textId="755A9ACB" w:rsidR="002C6CB0" w:rsidRPr="00AA1887" w:rsidRDefault="00244E9C" w:rsidP="00244E9C">
      <w:pPr>
        <w:jc w:val="center"/>
        <w:rPr>
          <w:rFonts w:cs="Times New Roman"/>
          <w:smallCaps/>
        </w:rPr>
      </w:pPr>
      <w:r>
        <w:rPr>
          <w:rFonts w:cs="Times New Roman"/>
          <w:smallCaps/>
        </w:rPr>
        <w:t>Benjamin Chemouni and Barnaby Dye</w:t>
      </w:r>
      <w:r w:rsidR="00E15B43">
        <w:rPr>
          <w:rStyle w:val="FootnoteReference"/>
          <w:rFonts w:cs="Times New Roman"/>
          <w:smallCaps/>
        </w:rPr>
        <w:footnoteReference w:id="1"/>
      </w:r>
    </w:p>
    <w:p w14:paraId="778A5083" w14:textId="77777777" w:rsidR="002C6CB0" w:rsidRPr="00AA1887" w:rsidRDefault="002C6CB0" w:rsidP="002C6CB0">
      <w:pPr>
        <w:rPr>
          <w:rFonts w:cs="Times New Roman"/>
        </w:rPr>
      </w:pPr>
    </w:p>
    <w:p w14:paraId="103FAFFF" w14:textId="77777777" w:rsidR="002C6CB0" w:rsidRPr="00AA1887" w:rsidRDefault="002C6CB0" w:rsidP="002C6CB0">
      <w:pPr>
        <w:spacing w:line="480" w:lineRule="auto"/>
        <w:jc w:val="center"/>
        <w:rPr>
          <w:rFonts w:cs="Times New Roman"/>
          <w:b/>
          <w:smallCaps/>
        </w:rPr>
      </w:pPr>
      <w:r w:rsidRPr="00AA1887">
        <w:rPr>
          <w:rFonts w:cs="Times New Roman"/>
          <w:b/>
          <w:smallCaps/>
        </w:rPr>
        <w:t>Abstract</w:t>
      </w:r>
    </w:p>
    <w:p w14:paraId="64F7F6C1" w14:textId="6E31330F" w:rsidR="002C6CB0" w:rsidRPr="00AA1887" w:rsidRDefault="002C6CB0" w:rsidP="00CA2CE6">
      <w:pPr>
        <w:ind w:left="1134" w:right="1134"/>
        <w:jc w:val="both"/>
        <w:rPr>
          <w:rFonts w:cs="Times New Roman"/>
        </w:rPr>
      </w:pPr>
      <w:r w:rsidRPr="00AA1887">
        <w:rPr>
          <w:rFonts w:cs="Times New Roman"/>
        </w:rPr>
        <w:t>Rwanda is a posterchild of economic success in 21</w:t>
      </w:r>
      <w:r w:rsidRPr="00AA1887">
        <w:rPr>
          <w:rFonts w:cs="Times New Roman"/>
          <w:vertAlign w:val="superscript"/>
        </w:rPr>
        <w:t>st</w:t>
      </w:r>
      <w:r w:rsidRPr="00AA1887">
        <w:rPr>
          <w:rFonts w:cs="Times New Roman"/>
        </w:rPr>
        <w:t xml:space="preserve"> Century Africa. Dominant explanations </w:t>
      </w:r>
      <w:r w:rsidR="00E929A9" w:rsidRPr="00AA1887">
        <w:rPr>
          <w:rFonts w:cs="Times New Roman"/>
        </w:rPr>
        <w:t xml:space="preserve">for the country’s growth </w:t>
      </w:r>
      <w:r w:rsidRPr="00AA1887">
        <w:rPr>
          <w:rFonts w:cs="Times New Roman"/>
        </w:rPr>
        <w:t xml:space="preserve">use the political </w:t>
      </w:r>
      <w:r w:rsidR="00E15B43">
        <w:rPr>
          <w:rFonts w:cs="Times New Roman"/>
        </w:rPr>
        <w:t xml:space="preserve">settlements </w:t>
      </w:r>
      <w:r w:rsidRPr="00AA1887">
        <w:rPr>
          <w:rFonts w:cs="Times New Roman"/>
        </w:rPr>
        <w:t>framework</w:t>
      </w:r>
      <w:r w:rsidR="006246F5">
        <w:rPr>
          <w:rFonts w:cs="Times New Roman"/>
        </w:rPr>
        <w:t xml:space="preserve">, </w:t>
      </w:r>
      <w:r w:rsidR="00E929A9" w:rsidRPr="00AA1887">
        <w:rPr>
          <w:rFonts w:cs="Times New Roman"/>
        </w:rPr>
        <w:t>assert</w:t>
      </w:r>
      <w:r w:rsidR="006246F5">
        <w:rPr>
          <w:rFonts w:cs="Times New Roman"/>
        </w:rPr>
        <w:t>ing</w:t>
      </w:r>
      <w:r w:rsidR="00E929A9" w:rsidRPr="00AA1887">
        <w:rPr>
          <w:rFonts w:cs="Times New Roman"/>
        </w:rPr>
        <w:t xml:space="preserve"> that</w:t>
      </w:r>
      <w:r w:rsidRPr="00AA1887">
        <w:rPr>
          <w:rFonts w:cs="Times New Roman"/>
        </w:rPr>
        <w:t xml:space="preserve"> concentrated</w:t>
      </w:r>
      <w:r w:rsidR="006246F5">
        <w:rPr>
          <w:rFonts w:cs="Times New Roman"/>
        </w:rPr>
        <w:t xml:space="preserve"> political</w:t>
      </w:r>
      <w:r w:rsidRPr="00AA1887">
        <w:rPr>
          <w:rFonts w:cs="Times New Roman"/>
        </w:rPr>
        <w:t xml:space="preserve"> power enable</w:t>
      </w:r>
      <w:r w:rsidR="006246F5">
        <w:rPr>
          <w:rFonts w:cs="Times New Roman"/>
        </w:rPr>
        <w:t>d</w:t>
      </w:r>
      <w:r w:rsidRPr="00AA1887">
        <w:rPr>
          <w:rFonts w:cs="Times New Roman"/>
        </w:rPr>
        <w:t xml:space="preserve"> long-term planning. </w:t>
      </w:r>
      <w:r w:rsidR="00E929A9" w:rsidRPr="00AA1887">
        <w:rPr>
          <w:rFonts w:cs="Times New Roman"/>
        </w:rPr>
        <w:t>In contrast, this article uses the case of Rwanda’s</w:t>
      </w:r>
      <w:r w:rsidR="00315E90" w:rsidRPr="00AA1887">
        <w:rPr>
          <w:rFonts w:cs="Times New Roman"/>
        </w:rPr>
        <w:t xml:space="preserve"> </w:t>
      </w:r>
      <w:r w:rsidR="00E929A9" w:rsidRPr="00AA1887">
        <w:rPr>
          <w:rFonts w:cs="Times New Roman"/>
        </w:rPr>
        <w:t>impressive boom in electricity generation to demonstrate that such concentrated power also distorts policymaking processes,</w:t>
      </w:r>
      <w:r w:rsidR="006246F5">
        <w:rPr>
          <w:rFonts w:cs="Times New Roman"/>
        </w:rPr>
        <w:t xml:space="preserve"> creating a fiscal crisis that</w:t>
      </w:r>
      <w:r w:rsidR="00E929A9" w:rsidRPr="00AA1887">
        <w:rPr>
          <w:rFonts w:cs="Times New Roman"/>
        </w:rPr>
        <w:t xml:space="preserve"> jeopardis</w:t>
      </w:r>
      <w:r w:rsidR="006246F5">
        <w:rPr>
          <w:rFonts w:cs="Times New Roman"/>
        </w:rPr>
        <w:t>es Rwanda’s</w:t>
      </w:r>
      <w:r w:rsidR="00E929A9" w:rsidRPr="00AA1887">
        <w:rPr>
          <w:rFonts w:cs="Times New Roman"/>
        </w:rPr>
        <w:t xml:space="preserve"> economic transformation</w:t>
      </w:r>
      <w:r w:rsidR="006246F5">
        <w:rPr>
          <w:rFonts w:cs="Times New Roman"/>
        </w:rPr>
        <w:t xml:space="preserve">. The article </w:t>
      </w:r>
      <w:r w:rsidR="00315E90" w:rsidRPr="00AA1887">
        <w:rPr>
          <w:rFonts w:cs="Times New Roman"/>
        </w:rPr>
        <w:t xml:space="preserve">therefore </w:t>
      </w:r>
      <w:r w:rsidR="006F28E2" w:rsidRPr="00AA1887">
        <w:rPr>
          <w:rFonts w:cs="Times New Roman"/>
        </w:rPr>
        <w:t>questions</w:t>
      </w:r>
      <w:r w:rsidR="00315E90" w:rsidRPr="00AA1887">
        <w:rPr>
          <w:rFonts w:cs="Times New Roman"/>
        </w:rPr>
        <w:t xml:space="preserve"> a central premise of the political </w:t>
      </w:r>
      <w:proofErr w:type="gramStart"/>
      <w:r w:rsidR="00E15B43">
        <w:rPr>
          <w:rFonts w:cs="Times New Roman"/>
        </w:rPr>
        <w:t>settlements</w:t>
      </w:r>
      <w:proofErr w:type="gramEnd"/>
      <w:r w:rsidR="00E15B43">
        <w:rPr>
          <w:rFonts w:cs="Times New Roman"/>
        </w:rPr>
        <w:t xml:space="preserve"> </w:t>
      </w:r>
      <w:r w:rsidR="00315E90" w:rsidRPr="00AA1887">
        <w:rPr>
          <w:rFonts w:cs="Times New Roman"/>
        </w:rPr>
        <w:t xml:space="preserve">framework. </w:t>
      </w:r>
      <w:r w:rsidR="00E929A9" w:rsidRPr="00AA1887">
        <w:rPr>
          <w:rFonts w:cs="Times New Roman"/>
        </w:rPr>
        <w:t xml:space="preserve">Concentrated political power </w:t>
      </w:r>
      <w:r w:rsidR="00315E90" w:rsidRPr="00AA1887">
        <w:rPr>
          <w:rFonts w:cs="Times New Roman"/>
        </w:rPr>
        <w:t xml:space="preserve">in Rwanda </w:t>
      </w:r>
      <w:r w:rsidRPr="00AA1887">
        <w:rPr>
          <w:rFonts w:cs="Times New Roman"/>
        </w:rPr>
        <w:t xml:space="preserve">enabled </w:t>
      </w:r>
      <w:r w:rsidR="00E929A9" w:rsidRPr="00AA1887">
        <w:rPr>
          <w:rFonts w:cs="Times New Roman"/>
        </w:rPr>
        <w:t xml:space="preserve">rapid and ambitious construction of power plants </w:t>
      </w:r>
      <w:r w:rsidRPr="00AA1887">
        <w:rPr>
          <w:rFonts w:cs="Times New Roman"/>
        </w:rPr>
        <w:t xml:space="preserve">but </w:t>
      </w:r>
      <w:r w:rsidR="00E929A9" w:rsidRPr="00AA1887">
        <w:rPr>
          <w:rFonts w:cs="Times New Roman"/>
        </w:rPr>
        <w:t xml:space="preserve">resulted in </w:t>
      </w:r>
      <w:r w:rsidRPr="00AA1887">
        <w:rPr>
          <w:rFonts w:cs="Times New Roman"/>
        </w:rPr>
        <w:t>an oversupply crisis, plunging the sector into significant debt</w:t>
      </w:r>
      <w:r w:rsidR="00E929A9" w:rsidRPr="00AA1887">
        <w:rPr>
          <w:rFonts w:cs="Times New Roman"/>
        </w:rPr>
        <w:t xml:space="preserve"> and raising the cost of electricity</w:t>
      </w:r>
      <w:r w:rsidRPr="00AA1887">
        <w:rPr>
          <w:rFonts w:cs="Times New Roman"/>
        </w:rPr>
        <w:t xml:space="preserve">. </w:t>
      </w:r>
      <w:r w:rsidR="00315E90" w:rsidRPr="00AA1887">
        <w:rPr>
          <w:rFonts w:cs="Times New Roman"/>
        </w:rPr>
        <w:t xml:space="preserve">Rwanda’s </w:t>
      </w:r>
      <w:r w:rsidR="000F2839">
        <w:rPr>
          <w:rFonts w:cs="Times New Roman"/>
        </w:rPr>
        <w:t xml:space="preserve">political </w:t>
      </w:r>
      <w:r w:rsidR="00315E90" w:rsidRPr="00AA1887">
        <w:rPr>
          <w:rFonts w:cs="Times New Roman"/>
        </w:rPr>
        <w:t>settlement</w:t>
      </w:r>
      <w:r w:rsidRPr="00AA1887">
        <w:rPr>
          <w:rFonts w:cs="Times New Roman"/>
        </w:rPr>
        <w:t xml:space="preserve"> prevented </w:t>
      </w:r>
      <w:r w:rsidR="00E929A9" w:rsidRPr="00AA1887">
        <w:rPr>
          <w:rFonts w:cs="Times New Roman"/>
        </w:rPr>
        <w:t xml:space="preserve">experts from </w:t>
      </w:r>
      <w:r w:rsidRPr="00AA1887">
        <w:rPr>
          <w:rFonts w:cs="Times New Roman"/>
        </w:rPr>
        <w:t>challeng</w:t>
      </w:r>
      <w:r w:rsidR="00E929A9" w:rsidRPr="00AA1887">
        <w:rPr>
          <w:rFonts w:cs="Times New Roman"/>
        </w:rPr>
        <w:t>ing</w:t>
      </w:r>
      <w:r w:rsidRPr="00AA1887">
        <w:rPr>
          <w:rFonts w:cs="Times New Roman"/>
        </w:rPr>
        <w:t xml:space="preserve"> unrealistic target</w:t>
      </w:r>
      <w:r w:rsidR="006246F5">
        <w:rPr>
          <w:rFonts w:cs="Times New Roman"/>
        </w:rPr>
        <w:t>s</w:t>
      </w:r>
      <w:r w:rsidR="00315E90" w:rsidRPr="00AA1887">
        <w:rPr>
          <w:rFonts w:cs="Times New Roman"/>
        </w:rPr>
        <w:t xml:space="preserve"> set by top politicians</w:t>
      </w:r>
      <w:r w:rsidR="00903897" w:rsidRPr="00AA1887">
        <w:rPr>
          <w:rFonts w:cs="Times New Roman"/>
        </w:rPr>
        <w:t xml:space="preserve">, which led to </w:t>
      </w:r>
      <w:r w:rsidRPr="00AA1887">
        <w:rPr>
          <w:rFonts w:cs="Times New Roman"/>
        </w:rPr>
        <w:t xml:space="preserve">a headlong pursuit of </w:t>
      </w:r>
      <w:r w:rsidR="006F28E2" w:rsidRPr="00AA1887">
        <w:rPr>
          <w:rFonts w:cs="Times New Roman"/>
        </w:rPr>
        <w:t>electricity generation</w:t>
      </w:r>
      <w:r w:rsidRPr="00AA1887">
        <w:rPr>
          <w:rFonts w:cs="Times New Roman"/>
        </w:rPr>
        <w:t xml:space="preserve"> capacity</w:t>
      </w:r>
      <w:r w:rsidR="00E929A9" w:rsidRPr="00AA1887">
        <w:rPr>
          <w:rFonts w:cs="Times New Roman"/>
        </w:rPr>
        <w:t xml:space="preserve">. </w:t>
      </w:r>
      <w:r w:rsidR="00903897" w:rsidRPr="00AA1887">
        <w:rPr>
          <w:rFonts w:cs="Times New Roman"/>
        </w:rPr>
        <w:t xml:space="preserve">To understand this process, we </w:t>
      </w:r>
      <w:r w:rsidR="00CA2CE6" w:rsidRPr="00AA1887">
        <w:rPr>
          <w:rFonts w:cs="Times New Roman"/>
        </w:rPr>
        <w:t xml:space="preserve">assert the importance of </w:t>
      </w:r>
      <w:r w:rsidR="00903897" w:rsidRPr="00AA1887">
        <w:rPr>
          <w:rFonts w:cs="Times New Roman"/>
        </w:rPr>
        <w:t>focusing on</w:t>
      </w:r>
      <w:r w:rsidR="00CA2CE6" w:rsidRPr="00AA1887">
        <w:rPr>
          <w:rFonts w:cs="Times New Roman"/>
        </w:rPr>
        <w:t xml:space="preserve"> </w:t>
      </w:r>
      <w:r w:rsidR="00903897" w:rsidRPr="00AA1887">
        <w:rPr>
          <w:rFonts w:cs="Times New Roman"/>
        </w:rPr>
        <w:t xml:space="preserve">the </w:t>
      </w:r>
      <w:r w:rsidR="00CA2CE6" w:rsidRPr="00AA1887">
        <w:rPr>
          <w:rFonts w:cs="Times New Roman"/>
        </w:rPr>
        <w:t>bureaucratic</w:t>
      </w:r>
      <w:r w:rsidR="00903897" w:rsidRPr="00AA1887">
        <w:rPr>
          <w:rFonts w:cs="Times New Roman"/>
        </w:rPr>
        <w:t>/</w:t>
      </w:r>
      <w:r w:rsidR="00CA2CE6" w:rsidRPr="00AA1887">
        <w:rPr>
          <w:rFonts w:cs="Times New Roman"/>
        </w:rPr>
        <w:t>politician relationship,</w:t>
      </w:r>
      <w:r w:rsidR="00903897" w:rsidRPr="00AA1887">
        <w:rPr>
          <w:rFonts w:cs="Times New Roman"/>
        </w:rPr>
        <w:t xml:space="preserve"> which we label ‘bureaucratic independence’, </w:t>
      </w:r>
      <w:r w:rsidR="00CA2CE6" w:rsidRPr="00AA1887">
        <w:rPr>
          <w:rFonts w:cs="Times New Roman"/>
        </w:rPr>
        <w:t>rather than</w:t>
      </w:r>
      <w:r w:rsidR="00903897" w:rsidRPr="00AA1887">
        <w:rPr>
          <w:rFonts w:cs="Times New Roman"/>
        </w:rPr>
        <w:t xml:space="preserve"> on</w:t>
      </w:r>
      <w:r w:rsidR="00CA2CE6" w:rsidRPr="00AA1887">
        <w:rPr>
          <w:rFonts w:cs="Times New Roman"/>
        </w:rPr>
        <w:t xml:space="preserve"> the oft-used concept of ‘bureaucratic autonomy’ usually associated with </w:t>
      </w:r>
      <w:r w:rsidR="00D3504A" w:rsidRPr="00AA1887">
        <w:rPr>
          <w:rFonts w:cs="Times New Roman"/>
        </w:rPr>
        <w:t xml:space="preserve">the </w:t>
      </w:r>
      <w:r w:rsidR="00AA2C3F" w:rsidRPr="00AA1887">
        <w:rPr>
          <w:rFonts w:cs="Times New Roman"/>
        </w:rPr>
        <w:t xml:space="preserve">concentration of </w:t>
      </w:r>
      <w:r w:rsidR="00F3401F">
        <w:rPr>
          <w:rFonts w:cs="Times New Roman"/>
        </w:rPr>
        <w:t xml:space="preserve">political </w:t>
      </w:r>
      <w:r w:rsidR="00AA2C3F" w:rsidRPr="00AA1887">
        <w:rPr>
          <w:rFonts w:cs="Times New Roman"/>
        </w:rPr>
        <w:t>power</w:t>
      </w:r>
      <w:r w:rsidR="00CA2CE6" w:rsidRPr="00AA1887">
        <w:rPr>
          <w:rFonts w:cs="Times New Roman"/>
        </w:rPr>
        <w:t xml:space="preserve">. </w:t>
      </w:r>
    </w:p>
    <w:p w14:paraId="30C57821" w14:textId="77777777" w:rsidR="00CA2CE6" w:rsidRPr="00AA1887" w:rsidRDefault="00CA2CE6" w:rsidP="00CA2CE6">
      <w:pPr>
        <w:ind w:left="1134" w:right="1134"/>
        <w:jc w:val="both"/>
        <w:rPr>
          <w:rFonts w:cs="Times New Roman"/>
        </w:rPr>
      </w:pPr>
    </w:p>
    <w:p w14:paraId="59BFEBAD" w14:textId="77777777" w:rsidR="00CA2CE6" w:rsidRPr="00AA1887" w:rsidRDefault="00CA2CE6" w:rsidP="00CA2CE6">
      <w:pPr>
        <w:ind w:left="1134" w:right="1134"/>
        <w:jc w:val="both"/>
        <w:rPr>
          <w:rFonts w:cs="Times New Roman"/>
        </w:rPr>
      </w:pPr>
    </w:p>
    <w:p w14:paraId="09593FF4" w14:textId="77777777" w:rsidR="00CA2CE6" w:rsidRPr="00AA1887" w:rsidRDefault="00CA2CE6" w:rsidP="004A3135">
      <w:pPr>
        <w:ind w:left="1134" w:right="1134"/>
        <w:jc w:val="both"/>
        <w:rPr>
          <w:rFonts w:cs="Times New Roman"/>
        </w:rPr>
      </w:pPr>
    </w:p>
    <w:p w14:paraId="5EDDC46B" w14:textId="412B1F7A" w:rsidR="00806B2D" w:rsidRPr="00AA1887" w:rsidRDefault="00A46356" w:rsidP="0056761B">
      <w:pPr>
        <w:spacing w:line="480" w:lineRule="auto"/>
        <w:jc w:val="both"/>
        <w:rPr>
          <w:rFonts w:cs="Times New Roman"/>
        </w:rPr>
      </w:pPr>
      <w:r w:rsidRPr="00E205A2">
        <w:rPr>
          <w:rFonts w:cs="Times New Roman"/>
          <w:smallCaps/>
        </w:rPr>
        <w:t xml:space="preserve">Over the last decade, </w:t>
      </w:r>
      <w:r w:rsidR="00D76CC4" w:rsidRPr="003554DD">
        <w:rPr>
          <w:rFonts w:cs="Times New Roman"/>
        </w:rPr>
        <w:t>in political economy scholarship</w:t>
      </w:r>
      <w:r w:rsidR="00D76CC4" w:rsidRPr="00AA1887">
        <w:rPr>
          <w:rFonts w:cs="Times New Roman"/>
        </w:rPr>
        <w:t xml:space="preserve"> on Africa, </w:t>
      </w:r>
      <w:r w:rsidRPr="00AA1887">
        <w:rPr>
          <w:rFonts w:cs="Times New Roman"/>
        </w:rPr>
        <w:t>the political settlement</w:t>
      </w:r>
      <w:r w:rsidR="00E15B43">
        <w:rPr>
          <w:rFonts w:cs="Times New Roman"/>
        </w:rPr>
        <w:t>s</w:t>
      </w:r>
      <w:r w:rsidRPr="00AA1887">
        <w:rPr>
          <w:rFonts w:cs="Times New Roman"/>
        </w:rPr>
        <w:t xml:space="preserve"> framework</w:t>
      </w:r>
      <w:r w:rsidR="003D698D" w:rsidRPr="00AA1887">
        <w:rPr>
          <w:rFonts w:cs="Times New Roman"/>
        </w:rPr>
        <w:t xml:space="preserve"> (PSF)</w:t>
      </w:r>
      <w:r w:rsidR="002C6CB0" w:rsidRPr="00AA1887">
        <w:rPr>
          <w:rFonts w:cs="Times New Roman"/>
        </w:rPr>
        <w:t xml:space="preserve"> </w:t>
      </w:r>
      <w:r w:rsidR="00557BED" w:rsidRPr="00AA1887">
        <w:rPr>
          <w:rFonts w:cs="Times New Roman"/>
        </w:rPr>
        <w:t>has gained prominence</w:t>
      </w:r>
      <w:r w:rsidR="00D76CC4">
        <w:rPr>
          <w:rFonts w:cs="Times New Roman"/>
        </w:rPr>
        <w:t xml:space="preserve"> as a theory for understanding </w:t>
      </w:r>
      <w:r w:rsidR="00D76CC4" w:rsidRPr="00AA1887">
        <w:rPr>
          <w:rFonts w:cs="Times New Roman"/>
        </w:rPr>
        <w:t xml:space="preserve">countries’ development </w:t>
      </w:r>
      <w:r w:rsidR="003E3FEB" w:rsidRPr="00AA1887">
        <w:rPr>
          <w:rFonts w:cs="Times New Roman"/>
        </w:rPr>
        <w:t>trajectories.</w:t>
      </w:r>
      <w:r w:rsidR="004302CE" w:rsidRPr="00AA1887">
        <w:rPr>
          <w:rFonts w:cs="Times New Roman"/>
        </w:rPr>
        <w:t xml:space="preserve"> </w:t>
      </w:r>
      <w:r w:rsidR="00CA2CE6" w:rsidRPr="00AA1887">
        <w:rPr>
          <w:rFonts w:cs="Times New Roman"/>
        </w:rPr>
        <w:t>T</w:t>
      </w:r>
      <w:r w:rsidR="00806B2D" w:rsidRPr="00AA1887">
        <w:rPr>
          <w:rFonts w:cs="Times New Roman"/>
        </w:rPr>
        <w:t xml:space="preserve">his is welcome. </w:t>
      </w:r>
      <w:r w:rsidR="00BD388F" w:rsidRPr="00AA1887">
        <w:rPr>
          <w:rFonts w:cs="Times New Roman"/>
        </w:rPr>
        <w:t>The framework counters</w:t>
      </w:r>
      <w:r w:rsidR="00806B2D" w:rsidRPr="00AA1887">
        <w:rPr>
          <w:rFonts w:cs="Times New Roman"/>
        </w:rPr>
        <w:t xml:space="preserve"> </w:t>
      </w:r>
      <w:r w:rsidR="00BD388F" w:rsidRPr="00AA1887">
        <w:rPr>
          <w:rFonts w:cs="Times New Roman"/>
        </w:rPr>
        <w:t>new institutional economics that underpins the ‘g</w:t>
      </w:r>
      <w:r w:rsidR="00806B2D" w:rsidRPr="00AA1887">
        <w:rPr>
          <w:rFonts w:cs="Times New Roman"/>
        </w:rPr>
        <w:t xml:space="preserve">ood </w:t>
      </w:r>
      <w:r w:rsidR="00BD388F" w:rsidRPr="00AA1887">
        <w:rPr>
          <w:rFonts w:cs="Times New Roman"/>
        </w:rPr>
        <w:t>g</w:t>
      </w:r>
      <w:r w:rsidR="00806B2D" w:rsidRPr="00AA1887">
        <w:rPr>
          <w:rFonts w:cs="Times New Roman"/>
        </w:rPr>
        <w:t>overnance</w:t>
      </w:r>
      <w:r w:rsidR="00BD388F" w:rsidRPr="00AA1887">
        <w:rPr>
          <w:rFonts w:cs="Times New Roman"/>
        </w:rPr>
        <w:t xml:space="preserve">’ policy school, which </w:t>
      </w:r>
      <w:r w:rsidR="002C6CB0" w:rsidRPr="00AA1887">
        <w:rPr>
          <w:rFonts w:cs="Times New Roman"/>
        </w:rPr>
        <w:t xml:space="preserve">narrowly </w:t>
      </w:r>
      <w:r w:rsidR="00BD388F" w:rsidRPr="00AA1887">
        <w:rPr>
          <w:rFonts w:cs="Times New Roman"/>
        </w:rPr>
        <w:t>focuses</w:t>
      </w:r>
      <w:r w:rsidR="00295C70">
        <w:rPr>
          <w:rFonts w:cs="Times New Roman"/>
        </w:rPr>
        <w:t xml:space="preserve"> on reforming formal institutions in a depoliticised manner</w:t>
      </w:r>
      <w:r w:rsidR="00BD388F" w:rsidRPr="00AA1887">
        <w:rPr>
          <w:rFonts w:cs="Times New Roman"/>
        </w:rPr>
        <w:t>. In contrast,</w:t>
      </w:r>
      <w:r w:rsidR="00692A22" w:rsidRPr="00AA1887">
        <w:rPr>
          <w:rFonts w:cs="Times New Roman"/>
        </w:rPr>
        <w:t xml:space="preserve"> the </w:t>
      </w:r>
      <w:r w:rsidR="000F2839">
        <w:rPr>
          <w:rFonts w:cs="Times New Roman"/>
        </w:rPr>
        <w:t>PSF</w:t>
      </w:r>
      <w:r w:rsidR="00692A22" w:rsidRPr="00AA1887">
        <w:rPr>
          <w:rFonts w:cs="Times New Roman"/>
        </w:rPr>
        <w:t xml:space="preserve"> asserts the </w:t>
      </w:r>
      <w:r w:rsidR="00B23D32" w:rsidRPr="00AA1887">
        <w:rPr>
          <w:rFonts w:cs="Times New Roman"/>
        </w:rPr>
        <w:t xml:space="preserve">importance of underlying </w:t>
      </w:r>
      <w:r w:rsidR="00B23D32" w:rsidRPr="00AA1887">
        <w:rPr>
          <w:rFonts w:cs="Times New Roman"/>
        </w:rPr>
        <w:lastRenderedPageBreak/>
        <w:t>political power</w:t>
      </w:r>
      <w:r w:rsidR="00BD388F" w:rsidRPr="00AA1887">
        <w:rPr>
          <w:rFonts w:cs="Times New Roman"/>
        </w:rPr>
        <w:t xml:space="preserve"> in shaping a country’s political economy</w:t>
      </w:r>
      <w:r w:rsidR="00D76CC4">
        <w:rPr>
          <w:rFonts w:cs="Times New Roman"/>
        </w:rPr>
        <w:t xml:space="preserve"> and thereby its governing </w:t>
      </w:r>
      <w:r w:rsidR="00D715CD" w:rsidRPr="00AA1887">
        <w:rPr>
          <w:rFonts w:cs="Times New Roman"/>
        </w:rPr>
        <w:t>institutions, since</w:t>
      </w:r>
      <w:r w:rsidR="008C0475">
        <w:rPr>
          <w:rFonts w:cs="Times New Roman"/>
        </w:rPr>
        <w:t>, as Mushtaq Khan notes,</w:t>
      </w:r>
      <w:r w:rsidR="00D715CD" w:rsidRPr="00AA1887">
        <w:rPr>
          <w:rFonts w:cs="Times New Roman"/>
        </w:rPr>
        <w:t xml:space="preserve"> ‘if powerful groups are not getting an acceptable distribution of benefits from an institutional structure, they will strive to change it</w:t>
      </w:r>
      <w:r w:rsidR="006C33E5">
        <w:rPr>
          <w:rFonts w:cs="Times New Roman"/>
        </w:rPr>
        <w:t>.</w:t>
      </w:r>
      <w:r w:rsidR="00D715CD" w:rsidRPr="00AA1887">
        <w:rPr>
          <w:rFonts w:cs="Times New Roman"/>
        </w:rPr>
        <w:t>’</w:t>
      </w:r>
      <w:r w:rsidR="00061086" w:rsidRPr="00AA1887">
        <w:rPr>
          <w:rStyle w:val="FootnoteReference"/>
          <w:rFonts w:cs="Times New Roman"/>
        </w:rPr>
        <w:footnoteReference w:id="2"/>
      </w:r>
      <w:r w:rsidR="00D715CD" w:rsidRPr="00AA1887">
        <w:rPr>
          <w:rFonts w:cs="Times New Roman"/>
        </w:rPr>
        <w:t xml:space="preserve"> </w:t>
      </w:r>
      <w:r w:rsidR="006C33E5">
        <w:rPr>
          <w:rFonts w:cs="Times New Roman"/>
        </w:rPr>
        <w:t>The framework</w:t>
      </w:r>
      <w:r w:rsidR="006C33E5" w:rsidRPr="00AA1887">
        <w:rPr>
          <w:rFonts w:cs="Times New Roman"/>
        </w:rPr>
        <w:t xml:space="preserve"> </w:t>
      </w:r>
      <w:r w:rsidR="00BD388F" w:rsidRPr="00AA1887">
        <w:rPr>
          <w:rFonts w:cs="Times New Roman"/>
        </w:rPr>
        <w:t>emphas</w:t>
      </w:r>
      <w:r w:rsidR="006C33E5">
        <w:rPr>
          <w:rFonts w:cs="Times New Roman"/>
        </w:rPr>
        <w:t>ise</w:t>
      </w:r>
      <w:r w:rsidR="00BD388F" w:rsidRPr="00AA1887">
        <w:rPr>
          <w:rFonts w:cs="Times New Roman"/>
        </w:rPr>
        <w:t xml:space="preserve">s </w:t>
      </w:r>
      <w:r w:rsidR="006C33E5">
        <w:rPr>
          <w:rFonts w:cs="Times New Roman"/>
        </w:rPr>
        <w:t xml:space="preserve">the importance of </w:t>
      </w:r>
      <w:r w:rsidR="00BD388F" w:rsidRPr="00AA1887">
        <w:rPr>
          <w:rFonts w:cs="Times New Roman"/>
        </w:rPr>
        <w:t xml:space="preserve">pressures faced by ruling elites in maintaining power, </w:t>
      </w:r>
      <w:r w:rsidR="006B5B9E">
        <w:rPr>
          <w:rFonts w:cs="Times New Roman"/>
        </w:rPr>
        <w:t xml:space="preserve">tracing how this </w:t>
      </w:r>
      <w:r w:rsidR="00BD388F" w:rsidRPr="00AA1887">
        <w:rPr>
          <w:rFonts w:cs="Times New Roman"/>
        </w:rPr>
        <w:t xml:space="preserve">affects their ability to </w:t>
      </w:r>
      <w:r w:rsidR="00524047" w:rsidRPr="00AA1887">
        <w:rPr>
          <w:rFonts w:cs="Times New Roman"/>
        </w:rPr>
        <w:t>conduct institutional change</w:t>
      </w:r>
      <w:r w:rsidR="006B5B9E">
        <w:rPr>
          <w:rFonts w:cs="Times New Roman"/>
        </w:rPr>
        <w:t xml:space="preserve"> and thereby direct development</w:t>
      </w:r>
      <w:r w:rsidR="0050411E" w:rsidRPr="00AA1887">
        <w:rPr>
          <w:rFonts w:cs="Times New Roman"/>
        </w:rPr>
        <w:t>.</w:t>
      </w:r>
      <w:r w:rsidR="00D715CD" w:rsidRPr="00AA1887">
        <w:rPr>
          <w:rFonts w:cs="Times New Roman"/>
        </w:rPr>
        <w:t xml:space="preserve"> </w:t>
      </w:r>
      <w:r w:rsidR="006B5B9E">
        <w:rPr>
          <w:rFonts w:cs="Times New Roman"/>
        </w:rPr>
        <w:t>The framework tends to theori</w:t>
      </w:r>
      <w:r w:rsidR="003554DD">
        <w:rPr>
          <w:rFonts w:cs="Times New Roman"/>
        </w:rPr>
        <w:t>z</w:t>
      </w:r>
      <w:r w:rsidR="006B5B9E">
        <w:rPr>
          <w:rFonts w:cs="Times New Roman"/>
        </w:rPr>
        <w:t>e</w:t>
      </w:r>
      <w:r w:rsidR="006B5B9E" w:rsidRPr="00AA1887">
        <w:rPr>
          <w:rFonts w:cs="Times New Roman"/>
        </w:rPr>
        <w:t xml:space="preserve"> </w:t>
      </w:r>
      <w:r w:rsidR="007947DB">
        <w:rPr>
          <w:rFonts w:cs="Times New Roman"/>
        </w:rPr>
        <w:t xml:space="preserve">that </w:t>
      </w:r>
      <w:r w:rsidR="006B5B9E">
        <w:rPr>
          <w:rFonts w:cs="Times New Roman"/>
        </w:rPr>
        <w:t>concentrated political</w:t>
      </w:r>
      <w:r w:rsidR="00D715CD" w:rsidRPr="00AA1887">
        <w:rPr>
          <w:rFonts w:cs="Times New Roman"/>
        </w:rPr>
        <w:t xml:space="preserve"> power</w:t>
      </w:r>
      <w:r w:rsidR="00D3504A" w:rsidRPr="00AA1887">
        <w:rPr>
          <w:rFonts w:cs="Times New Roman"/>
        </w:rPr>
        <w:t xml:space="preserve">, generally labelled </w:t>
      </w:r>
      <w:r w:rsidR="003F399E">
        <w:rPr>
          <w:rFonts w:cs="Times New Roman"/>
        </w:rPr>
        <w:t>‘</w:t>
      </w:r>
      <w:r w:rsidR="00D3504A" w:rsidRPr="00AA1887">
        <w:rPr>
          <w:rFonts w:cs="Times New Roman"/>
        </w:rPr>
        <w:t>dominant party settlement</w:t>
      </w:r>
      <w:r w:rsidR="003F399E">
        <w:rPr>
          <w:rFonts w:cs="Times New Roman"/>
        </w:rPr>
        <w:t>’</w:t>
      </w:r>
      <w:r w:rsidR="00F859ED" w:rsidRPr="00AA1887">
        <w:rPr>
          <w:rFonts w:cs="Times New Roman"/>
        </w:rPr>
        <w:t>,</w:t>
      </w:r>
      <w:r w:rsidR="00D715CD" w:rsidRPr="00AA1887">
        <w:rPr>
          <w:rFonts w:cs="Times New Roman"/>
        </w:rPr>
        <w:t xml:space="preserve"> </w:t>
      </w:r>
      <w:r w:rsidR="006B5B9E">
        <w:rPr>
          <w:rFonts w:cs="Times New Roman"/>
        </w:rPr>
        <w:t>as most</w:t>
      </w:r>
      <w:r w:rsidR="006B5B9E" w:rsidRPr="00AA1887">
        <w:rPr>
          <w:rFonts w:cs="Times New Roman"/>
        </w:rPr>
        <w:t xml:space="preserve"> </w:t>
      </w:r>
      <w:r w:rsidR="00D715CD" w:rsidRPr="00AA1887">
        <w:rPr>
          <w:rFonts w:cs="Times New Roman"/>
        </w:rPr>
        <w:t>conducive to development: rulers</w:t>
      </w:r>
      <w:r w:rsidR="006B5B9E">
        <w:rPr>
          <w:rFonts w:cs="Times New Roman"/>
        </w:rPr>
        <w:t xml:space="preserve">, </w:t>
      </w:r>
      <w:r w:rsidR="00D715CD" w:rsidRPr="00AA1887">
        <w:rPr>
          <w:rFonts w:cs="Times New Roman"/>
        </w:rPr>
        <w:t>feel</w:t>
      </w:r>
      <w:r w:rsidR="006B5B9E">
        <w:rPr>
          <w:rFonts w:cs="Times New Roman"/>
        </w:rPr>
        <w:t>ing</w:t>
      </w:r>
      <w:r w:rsidR="00D715CD" w:rsidRPr="00AA1887">
        <w:rPr>
          <w:rFonts w:cs="Times New Roman"/>
        </w:rPr>
        <w:t xml:space="preserve"> secure</w:t>
      </w:r>
      <w:r w:rsidR="00281226">
        <w:rPr>
          <w:rFonts w:cs="Times New Roman"/>
        </w:rPr>
        <w:t xml:space="preserve">, can focus on </w:t>
      </w:r>
      <w:r w:rsidR="00D715CD" w:rsidRPr="00AA1887">
        <w:rPr>
          <w:rFonts w:cs="Times New Roman"/>
        </w:rPr>
        <w:t xml:space="preserve">longer-term </w:t>
      </w:r>
      <w:r w:rsidR="00281226">
        <w:rPr>
          <w:rFonts w:cs="Times New Roman"/>
        </w:rPr>
        <w:t xml:space="preserve">outcomes and discipline </w:t>
      </w:r>
      <w:r w:rsidR="00211F12">
        <w:rPr>
          <w:rFonts w:cs="Times New Roman"/>
        </w:rPr>
        <w:t>rent-seeking</w:t>
      </w:r>
      <w:r w:rsidR="00D715CD" w:rsidRPr="00AA1887">
        <w:rPr>
          <w:rFonts w:cs="Times New Roman"/>
        </w:rPr>
        <w:t>. Conversely, when power is largely contested</w:t>
      </w:r>
      <w:r w:rsidR="00281226">
        <w:rPr>
          <w:rFonts w:cs="Times New Roman"/>
        </w:rPr>
        <w:t xml:space="preserve"> and dispersed</w:t>
      </w:r>
      <w:r w:rsidR="00D715CD" w:rsidRPr="00AA1887">
        <w:rPr>
          <w:rFonts w:cs="Times New Roman"/>
        </w:rPr>
        <w:t xml:space="preserve">, rulers </w:t>
      </w:r>
      <w:r w:rsidR="00281226">
        <w:rPr>
          <w:rFonts w:cs="Times New Roman"/>
        </w:rPr>
        <w:t xml:space="preserve">may use </w:t>
      </w:r>
      <w:r w:rsidR="00D715CD" w:rsidRPr="00AA1887">
        <w:rPr>
          <w:rFonts w:cs="Times New Roman"/>
        </w:rPr>
        <w:t>clientelis</w:t>
      </w:r>
      <w:r w:rsidR="00281226">
        <w:rPr>
          <w:rFonts w:cs="Times New Roman"/>
        </w:rPr>
        <w:t xml:space="preserve">t deals, and allow </w:t>
      </w:r>
      <w:r w:rsidR="00D715CD" w:rsidRPr="00AA1887">
        <w:rPr>
          <w:rFonts w:cs="Times New Roman"/>
        </w:rPr>
        <w:t>corruption</w:t>
      </w:r>
      <w:r w:rsidR="00281226">
        <w:rPr>
          <w:rFonts w:cs="Times New Roman"/>
        </w:rPr>
        <w:t>,</w:t>
      </w:r>
      <w:r w:rsidR="00D715CD" w:rsidRPr="00AA1887">
        <w:rPr>
          <w:rFonts w:cs="Times New Roman"/>
        </w:rPr>
        <w:t xml:space="preserve"> to </w:t>
      </w:r>
      <w:r w:rsidR="00A50C6F" w:rsidRPr="00AA1887">
        <w:rPr>
          <w:rFonts w:cs="Times New Roman"/>
        </w:rPr>
        <w:t xml:space="preserve">cement </w:t>
      </w:r>
      <w:r w:rsidR="006A39DE" w:rsidRPr="00AA1887">
        <w:rPr>
          <w:rFonts w:cs="Times New Roman"/>
        </w:rPr>
        <w:t xml:space="preserve">short-term </w:t>
      </w:r>
      <w:r w:rsidR="00A50C6F" w:rsidRPr="00AA1887">
        <w:rPr>
          <w:rFonts w:cs="Times New Roman"/>
        </w:rPr>
        <w:t xml:space="preserve">support </w:t>
      </w:r>
      <w:r w:rsidR="00211F12">
        <w:rPr>
          <w:rFonts w:cs="Times New Roman"/>
        </w:rPr>
        <w:t>and</w:t>
      </w:r>
      <w:r w:rsidR="00A50C6F" w:rsidRPr="00AA1887">
        <w:rPr>
          <w:rFonts w:cs="Times New Roman"/>
        </w:rPr>
        <w:t xml:space="preserve"> </w:t>
      </w:r>
      <w:r w:rsidR="00D715CD" w:rsidRPr="00AA1887">
        <w:rPr>
          <w:rFonts w:cs="Times New Roman"/>
        </w:rPr>
        <w:t>co-opt opposition</w:t>
      </w:r>
      <w:r w:rsidR="00D3504A" w:rsidRPr="00AA1887">
        <w:rPr>
          <w:rFonts w:cs="Times New Roman"/>
        </w:rPr>
        <w:t xml:space="preserve">. Overall, </w:t>
      </w:r>
      <w:r w:rsidR="003F399E">
        <w:rPr>
          <w:rFonts w:cs="Times New Roman"/>
        </w:rPr>
        <w:t>‘</w:t>
      </w:r>
      <w:r w:rsidR="00D3504A" w:rsidRPr="00AA1887">
        <w:rPr>
          <w:rFonts w:cs="Times New Roman"/>
        </w:rPr>
        <w:t xml:space="preserve">the emerging consensus is that </w:t>
      </w:r>
      <w:r w:rsidR="001666A4">
        <w:rPr>
          <w:rFonts w:cs="Times New Roman"/>
        </w:rPr>
        <w:t>d</w:t>
      </w:r>
      <w:r w:rsidR="00D3504A" w:rsidRPr="00AA1887">
        <w:rPr>
          <w:rFonts w:cs="Times New Roman"/>
        </w:rPr>
        <w:t xml:space="preserve">ominant </w:t>
      </w:r>
      <w:r w:rsidR="001666A4">
        <w:rPr>
          <w:rFonts w:cs="Times New Roman"/>
        </w:rPr>
        <w:t>p</w:t>
      </w:r>
      <w:r w:rsidR="00D3504A" w:rsidRPr="00AA1887">
        <w:rPr>
          <w:rFonts w:cs="Times New Roman"/>
        </w:rPr>
        <w:t>arty settlements, all things being equal, may be most conducive to industrial policy</w:t>
      </w:r>
      <w:r w:rsidR="003554DD">
        <w:rPr>
          <w:rFonts w:cs="Times New Roman"/>
        </w:rPr>
        <w:t>.</w:t>
      </w:r>
      <w:r w:rsidR="003F399E">
        <w:rPr>
          <w:rFonts w:cs="Times New Roman"/>
        </w:rPr>
        <w:t>’</w:t>
      </w:r>
      <w:r w:rsidR="00061086" w:rsidRPr="00AA1887">
        <w:rPr>
          <w:rStyle w:val="FootnoteReference"/>
          <w:rFonts w:cs="Times New Roman"/>
        </w:rPr>
        <w:footnoteReference w:id="3"/>
      </w:r>
    </w:p>
    <w:p w14:paraId="06E9E01B" w14:textId="310B9781" w:rsidR="00236A1C" w:rsidRPr="00AA1887" w:rsidRDefault="00A029E4" w:rsidP="0056761B">
      <w:pPr>
        <w:spacing w:line="480" w:lineRule="auto"/>
        <w:ind w:firstLine="720"/>
        <w:jc w:val="both"/>
        <w:rPr>
          <w:rFonts w:cs="Times New Roman"/>
        </w:rPr>
      </w:pPr>
      <w:r w:rsidRPr="0036660E">
        <w:rPr>
          <w:rFonts w:cs="Times New Roman"/>
        </w:rPr>
        <w:t xml:space="preserve">We </w:t>
      </w:r>
      <w:r w:rsidR="0030443C" w:rsidRPr="0036660E">
        <w:rPr>
          <w:rFonts w:cs="Times New Roman"/>
        </w:rPr>
        <w:t>question</w:t>
      </w:r>
      <w:r w:rsidRPr="0036660E">
        <w:rPr>
          <w:rFonts w:cs="Times New Roman"/>
        </w:rPr>
        <w:t xml:space="preserve"> </w:t>
      </w:r>
      <w:r w:rsidR="00BD51E6" w:rsidRPr="0036660E">
        <w:rPr>
          <w:rFonts w:cs="Times New Roman"/>
        </w:rPr>
        <w:t xml:space="preserve">a core premise of the </w:t>
      </w:r>
      <w:r w:rsidR="000F2839">
        <w:rPr>
          <w:rFonts w:cs="Times New Roman"/>
        </w:rPr>
        <w:t>PSF</w:t>
      </w:r>
      <w:r w:rsidR="00BD51E6" w:rsidRPr="0036660E">
        <w:rPr>
          <w:rFonts w:cs="Times New Roman"/>
        </w:rPr>
        <w:t xml:space="preserve">, namely </w:t>
      </w:r>
      <w:r w:rsidR="00F0116C" w:rsidRPr="0036660E">
        <w:rPr>
          <w:rFonts w:cs="Times New Roman"/>
        </w:rPr>
        <w:t xml:space="preserve">the </w:t>
      </w:r>
      <w:r w:rsidR="00B97B1C" w:rsidRPr="00406B02">
        <w:rPr>
          <w:rFonts w:cs="Times New Roman"/>
        </w:rPr>
        <w:t>causal</w:t>
      </w:r>
      <w:r w:rsidR="00890B30" w:rsidRPr="0036660E">
        <w:rPr>
          <w:rFonts w:cs="Times New Roman"/>
        </w:rPr>
        <w:t xml:space="preserve"> link</w:t>
      </w:r>
      <w:r w:rsidR="00F0116C" w:rsidRPr="0036660E">
        <w:rPr>
          <w:rFonts w:cs="Times New Roman"/>
        </w:rPr>
        <w:t xml:space="preserve"> between highly concentrated political power and development</w:t>
      </w:r>
      <w:r w:rsidR="00236A1C" w:rsidRPr="0036660E">
        <w:rPr>
          <w:rFonts w:cs="Times New Roman"/>
        </w:rPr>
        <w:t xml:space="preserve">. Rather than </w:t>
      </w:r>
      <w:r w:rsidR="00C73609">
        <w:rPr>
          <w:rFonts w:cs="Times New Roman"/>
        </w:rPr>
        <w:t xml:space="preserve">constituting </w:t>
      </w:r>
      <w:r w:rsidR="00236A1C" w:rsidRPr="0036660E">
        <w:rPr>
          <w:rFonts w:cs="Times New Roman"/>
        </w:rPr>
        <w:t>the</w:t>
      </w:r>
      <w:r w:rsidR="00F369C6" w:rsidRPr="00406B02">
        <w:rPr>
          <w:rFonts w:cs="Times New Roman"/>
        </w:rPr>
        <w:t xml:space="preserve"> primary</w:t>
      </w:r>
      <w:r w:rsidR="00B97B1C" w:rsidRPr="00406B02">
        <w:rPr>
          <w:rFonts w:cs="Times New Roman"/>
        </w:rPr>
        <w:t xml:space="preserve"> </w:t>
      </w:r>
      <w:r w:rsidR="00236A1C" w:rsidRPr="0036660E">
        <w:rPr>
          <w:rFonts w:cs="Times New Roman"/>
        </w:rPr>
        <w:t xml:space="preserve">enabler of effective </w:t>
      </w:r>
      <w:r w:rsidR="00B12D58" w:rsidRPr="0036660E">
        <w:rPr>
          <w:rFonts w:cs="Times New Roman"/>
        </w:rPr>
        <w:t>decision-making</w:t>
      </w:r>
      <w:r w:rsidR="00236A1C" w:rsidRPr="0036660E">
        <w:rPr>
          <w:rFonts w:cs="Times New Roman"/>
        </w:rPr>
        <w:t xml:space="preserve"> and transformative economic investment, we</w:t>
      </w:r>
      <w:r w:rsidR="00236A1C" w:rsidRPr="00AA1887">
        <w:rPr>
          <w:rFonts w:cs="Times New Roman"/>
        </w:rPr>
        <w:t xml:space="preserve"> demonstrate how the concentration of ruling power </w:t>
      </w:r>
      <w:r w:rsidR="00520BB0">
        <w:rPr>
          <w:rFonts w:cs="Times New Roman"/>
        </w:rPr>
        <w:t xml:space="preserve">can </w:t>
      </w:r>
      <w:r w:rsidR="0030443C">
        <w:rPr>
          <w:rFonts w:cs="Times New Roman"/>
        </w:rPr>
        <w:t xml:space="preserve">also </w:t>
      </w:r>
      <w:r w:rsidR="00520BB0">
        <w:rPr>
          <w:rFonts w:cs="Times New Roman"/>
        </w:rPr>
        <w:t xml:space="preserve">prevent </w:t>
      </w:r>
      <w:r w:rsidR="00AE789C" w:rsidRPr="00AA1887">
        <w:rPr>
          <w:rFonts w:eastAsia="Times New Roman" w:cs="Times New Roman"/>
        </w:rPr>
        <w:t>rulers</w:t>
      </w:r>
      <w:r w:rsidR="00520BB0">
        <w:rPr>
          <w:rFonts w:eastAsia="Times New Roman" w:cs="Times New Roman"/>
        </w:rPr>
        <w:t xml:space="preserve"> </w:t>
      </w:r>
      <w:r w:rsidR="003E3FEB">
        <w:rPr>
          <w:rFonts w:eastAsia="Times New Roman" w:cs="Times New Roman"/>
        </w:rPr>
        <w:t xml:space="preserve">from </w:t>
      </w:r>
      <w:r w:rsidR="00520BB0">
        <w:rPr>
          <w:rFonts w:eastAsia="Times New Roman" w:cs="Times New Roman"/>
        </w:rPr>
        <w:t>receiving necessary critique</w:t>
      </w:r>
      <w:r w:rsidR="00890B30">
        <w:rPr>
          <w:rFonts w:eastAsia="Times New Roman" w:cs="Times New Roman"/>
        </w:rPr>
        <w:t>s</w:t>
      </w:r>
      <w:r w:rsidR="00520BB0">
        <w:rPr>
          <w:rFonts w:eastAsia="Times New Roman" w:cs="Times New Roman"/>
        </w:rPr>
        <w:t xml:space="preserve"> and technical inputs</w:t>
      </w:r>
      <w:r w:rsidR="00520A2B">
        <w:rPr>
          <w:rFonts w:cs="Times New Roman"/>
        </w:rPr>
        <w:t xml:space="preserve">, thereby </w:t>
      </w:r>
      <w:r w:rsidR="00AD3DA0" w:rsidRPr="00AA1887">
        <w:rPr>
          <w:rFonts w:cs="Times New Roman"/>
        </w:rPr>
        <w:t>hinder</w:t>
      </w:r>
      <w:r w:rsidR="00520A2B">
        <w:rPr>
          <w:rFonts w:cs="Times New Roman"/>
        </w:rPr>
        <w:t>ing</w:t>
      </w:r>
      <w:r w:rsidR="00236A1C" w:rsidRPr="00AA1887">
        <w:rPr>
          <w:rFonts w:cs="Times New Roman"/>
        </w:rPr>
        <w:t xml:space="preserve"> </w:t>
      </w:r>
      <w:r w:rsidR="00520A2B">
        <w:rPr>
          <w:rFonts w:cs="Times New Roman"/>
        </w:rPr>
        <w:t xml:space="preserve">policy </w:t>
      </w:r>
      <w:r w:rsidR="00236A1C" w:rsidRPr="00AA1887">
        <w:rPr>
          <w:rFonts w:cs="Times New Roman"/>
        </w:rPr>
        <w:t>course corrections</w:t>
      </w:r>
      <w:r w:rsidR="00B12D58" w:rsidRPr="00AA1887">
        <w:rPr>
          <w:rFonts w:cs="Times New Roman"/>
        </w:rPr>
        <w:t xml:space="preserve"> to the point of endangering structural transformation</w:t>
      </w:r>
      <w:r w:rsidR="00236A1C" w:rsidRPr="00AA1887">
        <w:rPr>
          <w:rFonts w:cs="Times New Roman"/>
        </w:rPr>
        <w:t xml:space="preserve">. This underlines </w:t>
      </w:r>
      <w:r w:rsidR="00520A2B">
        <w:rPr>
          <w:rFonts w:cs="Times New Roman"/>
        </w:rPr>
        <w:t xml:space="preserve">how </w:t>
      </w:r>
      <w:r w:rsidR="00B12D58" w:rsidRPr="00AA1887">
        <w:rPr>
          <w:rFonts w:cs="Times New Roman"/>
        </w:rPr>
        <w:t>the concentration of</w:t>
      </w:r>
      <w:r w:rsidR="00520A2B">
        <w:rPr>
          <w:rFonts w:cs="Times New Roman"/>
        </w:rPr>
        <w:t xml:space="preserve"> political</w:t>
      </w:r>
      <w:r w:rsidR="00B12D58" w:rsidRPr="00AA1887">
        <w:rPr>
          <w:rFonts w:cs="Times New Roman"/>
        </w:rPr>
        <w:t xml:space="preserve"> power </w:t>
      </w:r>
      <w:r w:rsidR="00520A2B">
        <w:rPr>
          <w:rFonts w:cs="Times New Roman"/>
        </w:rPr>
        <w:t>is</w:t>
      </w:r>
      <w:r w:rsidR="00520A2B" w:rsidRPr="00AA1887">
        <w:rPr>
          <w:rFonts w:cs="Times New Roman"/>
        </w:rPr>
        <w:t xml:space="preserve"> </w:t>
      </w:r>
      <w:r w:rsidR="00B12D58" w:rsidRPr="00AA1887">
        <w:rPr>
          <w:rFonts w:cs="Times New Roman"/>
        </w:rPr>
        <w:t xml:space="preserve">a </w:t>
      </w:r>
      <w:r w:rsidR="00AA1887">
        <w:rPr>
          <w:rFonts w:cs="Times New Roman"/>
        </w:rPr>
        <w:t>double-edged sword</w:t>
      </w:r>
      <w:r w:rsidR="00B12D58" w:rsidRPr="00AA1887">
        <w:rPr>
          <w:rFonts w:cs="Times New Roman"/>
        </w:rPr>
        <w:t>.</w:t>
      </w:r>
      <w:r w:rsidR="007A2DE5">
        <w:rPr>
          <w:rFonts w:cs="Times New Roman"/>
        </w:rPr>
        <w:t xml:space="preserve"> </w:t>
      </w:r>
      <w:r w:rsidR="00B12D58" w:rsidRPr="00AA1887">
        <w:rPr>
          <w:rFonts w:cs="Times New Roman"/>
        </w:rPr>
        <w:t xml:space="preserve">While it </w:t>
      </w:r>
      <w:r w:rsidR="00890B30">
        <w:rPr>
          <w:rFonts w:cs="Times New Roman"/>
        </w:rPr>
        <w:t xml:space="preserve">enables </w:t>
      </w:r>
      <w:r w:rsidR="00B12D58" w:rsidRPr="00AA1887">
        <w:rPr>
          <w:rFonts w:cs="Times New Roman"/>
        </w:rPr>
        <w:t>disciplin</w:t>
      </w:r>
      <w:r w:rsidR="00890B30">
        <w:rPr>
          <w:rFonts w:cs="Times New Roman"/>
        </w:rPr>
        <w:t>e to secure</w:t>
      </w:r>
      <w:r w:rsidR="004C58CF">
        <w:rPr>
          <w:rFonts w:cs="Times New Roman"/>
        </w:rPr>
        <w:t xml:space="preserve"> long-term goals</w:t>
      </w:r>
      <w:r w:rsidR="00A8489F" w:rsidRPr="00AA1887">
        <w:rPr>
          <w:rFonts w:cs="Times New Roman"/>
        </w:rPr>
        <w:t xml:space="preserve">, it </w:t>
      </w:r>
      <w:r w:rsidR="00AA1887">
        <w:rPr>
          <w:rFonts w:cs="Times New Roman"/>
        </w:rPr>
        <w:t>can</w:t>
      </w:r>
      <w:r w:rsidR="00A8489F" w:rsidRPr="00AA1887">
        <w:rPr>
          <w:rFonts w:cs="Times New Roman"/>
        </w:rPr>
        <w:t xml:space="preserve"> also suppress the key challenging function of </w:t>
      </w:r>
      <w:r w:rsidR="00FE3EC3" w:rsidRPr="00AA1887">
        <w:rPr>
          <w:rFonts w:cs="Times New Roman"/>
        </w:rPr>
        <w:t>the civil service</w:t>
      </w:r>
      <w:r w:rsidR="00A8489F" w:rsidRPr="00AA1887">
        <w:rPr>
          <w:rFonts w:cs="Times New Roman"/>
        </w:rPr>
        <w:t xml:space="preserve">. </w:t>
      </w:r>
      <w:r w:rsidR="00AA1887">
        <w:rPr>
          <w:rFonts w:cs="Times New Roman"/>
        </w:rPr>
        <w:t>C</w:t>
      </w:r>
      <w:r w:rsidR="00A8489F" w:rsidRPr="00AA1887">
        <w:rPr>
          <w:rFonts w:cs="Times New Roman"/>
        </w:rPr>
        <w:t xml:space="preserve">oncentrated power </w:t>
      </w:r>
      <w:r w:rsidR="004749FB">
        <w:rPr>
          <w:rFonts w:cs="Times New Roman"/>
        </w:rPr>
        <w:t xml:space="preserve">unlocks rapid </w:t>
      </w:r>
      <w:proofErr w:type="gramStart"/>
      <w:r w:rsidR="004749FB">
        <w:rPr>
          <w:rFonts w:cs="Times New Roman"/>
        </w:rPr>
        <w:t>change, but</w:t>
      </w:r>
      <w:proofErr w:type="gramEnd"/>
      <w:r w:rsidR="004749FB">
        <w:rPr>
          <w:rFonts w:cs="Times New Roman"/>
        </w:rPr>
        <w:t xml:space="preserve"> does not determine </w:t>
      </w:r>
      <w:r w:rsidR="00573FCC">
        <w:rPr>
          <w:rFonts w:cs="Times New Roman"/>
        </w:rPr>
        <w:t xml:space="preserve">the positive or negative economic outcomes of </w:t>
      </w:r>
      <w:r w:rsidR="004749FB">
        <w:rPr>
          <w:rFonts w:cs="Times New Roman"/>
        </w:rPr>
        <w:t>such transformation</w:t>
      </w:r>
      <w:r w:rsidR="00A8489F" w:rsidRPr="00AA1887">
        <w:rPr>
          <w:rFonts w:cs="Times New Roman"/>
        </w:rPr>
        <w:t xml:space="preserve">. </w:t>
      </w:r>
    </w:p>
    <w:p w14:paraId="3760F6C0" w14:textId="68212A5E" w:rsidR="00BD388F" w:rsidRPr="00AA1887" w:rsidRDefault="00BD388F" w:rsidP="0056761B">
      <w:pPr>
        <w:spacing w:line="480" w:lineRule="auto"/>
        <w:ind w:firstLine="720"/>
        <w:jc w:val="both"/>
        <w:rPr>
          <w:rFonts w:cs="Times New Roman"/>
        </w:rPr>
      </w:pPr>
      <w:r w:rsidRPr="00AA1887">
        <w:rPr>
          <w:rFonts w:cs="Times New Roman"/>
        </w:rPr>
        <w:t xml:space="preserve">We demonstrate this argument with the case study of Rwanda and its electricity sector. </w:t>
      </w:r>
      <w:r w:rsidR="00C73609">
        <w:rPr>
          <w:rFonts w:cs="Times New Roman"/>
        </w:rPr>
        <w:t>E</w:t>
      </w:r>
      <w:r w:rsidR="00C73609" w:rsidRPr="00AA1887">
        <w:rPr>
          <w:rFonts w:cs="Times New Roman"/>
        </w:rPr>
        <w:t xml:space="preserve">mblematic of the rise of </w:t>
      </w:r>
      <w:r w:rsidR="003C1D66">
        <w:rPr>
          <w:rFonts w:cs="Times New Roman"/>
        </w:rPr>
        <w:t>PSF</w:t>
      </w:r>
      <w:r w:rsidR="00C73609" w:rsidRPr="00AA1887">
        <w:rPr>
          <w:rFonts w:cs="Times New Roman"/>
        </w:rPr>
        <w:t xml:space="preserve"> within academia</w:t>
      </w:r>
      <w:r w:rsidR="00C73609">
        <w:rPr>
          <w:rFonts w:cs="Times New Roman"/>
        </w:rPr>
        <w:t>,</w:t>
      </w:r>
      <w:r w:rsidR="00C73609" w:rsidRPr="00AA1887">
        <w:rPr>
          <w:rFonts w:cs="Times New Roman"/>
        </w:rPr>
        <w:t xml:space="preserve"> </w:t>
      </w:r>
      <w:r w:rsidRPr="00AA1887">
        <w:rPr>
          <w:rFonts w:cs="Times New Roman"/>
        </w:rPr>
        <w:t xml:space="preserve">Rwanda is touted for </w:t>
      </w:r>
      <w:r w:rsidR="002C6CB0" w:rsidRPr="00AA1887">
        <w:rPr>
          <w:rFonts w:cs="Times New Roman"/>
        </w:rPr>
        <w:t>its ruling elite’s</w:t>
      </w:r>
      <w:r w:rsidRPr="00AA1887">
        <w:rPr>
          <w:rFonts w:cs="Times New Roman"/>
        </w:rPr>
        <w:t xml:space="preserve"> commitment to development, manage</w:t>
      </w:r>
      <w:r w:rsidR="002C6CB0" w:rsidRPr="00AA1887">
        <w:rPr>
          <w:rFonts w:cs="Times New Roman"/>
        </w:rPr>
        <w:t>ment of</w:t>
      </w:r>
      <w:r w:rsidRPr="00AA1887">
        <w:rPr>
          <w:rFonts w:cs="Times New Roman"/>
        </w:rPr>
        <w:t xml:space="preserve"> rents and, thanks to a degree of authoritarianism, </w:t>
      </w:r>
      <w:r w:rsidR="002C6CB0" w:rsidRPr="00AA1887">
        <w:rPr>
          <w:rFonts w:cs="Times New Roman"/>
        </w:rPr>
        <w:lastRenderedPageBreak/>
        <w:t>ability to make longer-term decisions</w:t>
      </w:r>
      <w:r w:rsidRPr="00AA1887">
        <w:rPr>
          <w:rFonts w:cs="Times New Roman"/>
        </w:rPr>
        <w:t xml:space="preserve">. </w:t>
      </w:r>
      <w:r w:rsidR="00A8489F" w:rsidRPr="00AA1887">
        <w:rPr>
          <w:rFonts w:cs="Times New Roman"/>
        </w:rPr>
        <w:t xml:space="preserve">As a result, </w:t>
      </w:r>
      <w:r w:rsidRPr="00AA1887">
        <w:rPr>
          <w:rFonts w:cs="Times New Roman"/>
        </w:rPr>
        <w:t xml:space="preserve">Rwanda </w:t>
      </w:r>
      <w:r w:rsidR="0065567B">
        <w:rPr>
          <w:rFonts w:cs="Times New Roman"/>
        </w:rPr>
        <w:t xml:space="preserve">is often considered </w:t>
      </w:r>
      <w:r w:rsidR="00A67AD6">
        <w:rPr>
          <w:rFonts w:cs="Times New Roman"/>
        </w:rPr>
        <w:t>an</w:t>
      </w:r>
      <w:r w:rsidR="0065567B">
        <w:rPr>
          <w:rFonts w:cs="Times New Roman"/>
        </w:rPr>
        <w:t xml:space="preserve"> African developmental state</w:t>
      </w:r>
      <w:r w:rsidRPr="00AA1887">
        <w:rPr>
          <w:rFonts w:cs="Times New Roman"/>
        </w:rPr>
        <w:t>.</w:t>
      </w:r>
      <w:r w:rsidR="00061086" w:rsidRPr="00AA1887">
        <w:rPr>
          <w:rStyle w:val="FootnoteReference"/>
          <w:rFonts w:cs="Times New Roman"/>
        </w:rPr>
        <w:footnoteReference w:id="4"/>
      </w:r>
      <w:r w:rsidRPr="00AA1887">
        <w:rPr>
          <w:rFonts w:cs="Times New Roman"/>
        </w:rPr>
        <w:t xml:space="preserve"> Beyond critiquing </w:t>
      </w:r>
      <w:r w:rsidR="002C6CB0" w:rsidRPr="00AA1887">
        <w:rPr>
          <w:rFonts w:cs="Times New Roman"/>
        </w:rPr>
        <w:t>this</w:t>
      </w:r>
      <w:r w:rsidRPr="00AA1887">
        <w:rPr>
          <w:rFonts w:cs="Times New Roman"/>
        </w:rPr>
        <w:t xml:space="preserve"> premature</w:t>
      </w:r>
      <w:r w:rsidR="00CB34EE" w:rsidRPr="00AA1887">
        <w:rPr>
          <w:rFonts w:cs="Times New Roman"/>
        </w:rPr>
        <w:t xml:space="preserve"> </w:t>
      </w:r>
      <w:r w:rsidRPr="00AA1887">
        <w:rPr>
          <w:rFonts w:cs="Times New Roman"/>
        </w:rPr>
        <w:t xml:space="preserve">label, we </w:t>
      </w:r>
      <w:r w:rsidR="00B0192A">
        <w:rPr>
          <w:rFonts w:cs="Times New Roman"/>
        </w:rPr>
        <w:t>use</w:t>
      </w:r>
      <w:r w:rsidR="00B0192A" w:rsidRPr="00AA1887">
        <w:rPr>
          <w:rFonts w:cs="Times New Roman"/>
        </w:rPr>
        <w:t xml:space="preserve"> </w:t>
      </w:r>
      <w:r w:rsidRPr="00AA1887">
        <w:rPr>
          <w:rFonts w:cs="Times New Roman"/>
        </w:rPr>
        <w:t xml:space="preserve">a </w:t>
      </w:r>
      <w:r w:rsidR="00B0192A">
        <w:rPr>
          <w:rFonts w:cs="Times New Roman"/>
        </w:rPr>
        <w:t>major</w:t>
      </w:r>
      <w:r w:rsidR="00B0192A" w:rsidRPr="00AA1887">
        <w:rPr>
          <w:rFonts w:cs="Times New Roman"/>
        </w:rPr>
        <w:t xml:space="preserve"> </w:t>
      </w:r>
      <w:r w:rsidRPr="00AA1887">
        <w:rPr>
          <w:rFonts w:cs="Times New Roman"/>
        </w:rPr>
        <w:t>policy failure in the electricity sector to</w:t>
      </w:r>
      <w:r w:rsidR="00B0192A">
        <w:rPr>
          <w:rFonts w:cs="Times New Roman"/>
        </w:rPr>
        <w:t xml:space="preserve"> demonstrate </w:t>
      </w:r>
      <w:r w:rsidR="00CB34EE" w:rsidRPr="00AA1887">
        <w:rPr>
          <w:rFonts w:cs="Times New Roman"/>
        </w:rPr>
        <w:t xml:space="preserve">the limitations of </w:t>
      </w:r>
      <w:r w:rsidRPr="00AA1887">
        <w:rPr>
          <w:rFonts w:cs="Times New Roman"/>
        </w:rPr>
        <w:t xml:space="preserve">the </w:t>
      </w:r>
      <w:r w:rsidR="002C6CB0" w:rsidRPr="00AA1887">
        <w:rPr>
          <w:rFonts w:cs="Times New Roman"/>
        </w:rPr>
        <w:t xml:space="preserve">political </w:t>
      </w:r>
      <w:r w:rsidR="00E15B43">
        <w:rPr>
          <w:rFonts w:cs="Times New Roman"/>
        </w:rPr>
        <w:t xml:space="preserve">settlements </w:t>
      </w:r>
      <w:r w:rsidR="002C6CB0" w:rsidRPr="00AA1887">
        <w:rPr>
          <w:rFonts w:cs="Times New Roman"/>
        </w:rPr>
        <w:t>literature</w:t>
      </w:r>
      <w:r w:rsidR="00B0192A">
        <w:rPr>
          <w:rFonts w:cs="Times New Roman"/>
        </w:rPr>
        <w:t xml:space="preserve"> and </w:t>
      </w:r>
      <w:r w:rsidR="000F2839">
        <w:rPr>
          <w:rFonts w:cs="Times New Roman"/>
        </w:rPr>
        <w:t xml:space="preserve">call into question </w:t>
      </w:r>
      <w:r w:rsidR="00B0192A">
        <w:rPr>
          <w:rFonts w:cs="Times New Roman"/>
        </w:rPr>
        <w:t>one of its</w:t>
      </w:r>
      <w:r w:rsidR="002C6CB0" w:rsidRPr="00AA1887">
        <w:rPr>
          <w:rFonts w:cs="Times New Roman"/>
        </w:rPr>
        <w:t xml:space="preserve"> </w:t>
      </w:r>
      <w:r w:rsidR="00CB34EE" w:rsidRPr="00AA1887">
        <w:rPr>
          <w:rFonts w:cs="Times New Roman"/>
        </w:rPr>
        <w:t xml:space="preserve">key </w:t>
      </w:r>
      <w:r w:rsidR="002C6CB0" w:rsidRPr="00AA1887">
        <w:rPr>
          <w:rFonts w:cs="Times New Roman"/>
        </w:rPr>
        <w:t>premise</w:t>
      </w:r>
      <w:r w:rsidR="00B0192A">
        <w:rPr>
          <w:rFonts w:cs="Times New Roman"/>
        </w:rPr>
        <w:t>s; namely</w:t>
      </w:r>
      <w:r w:rsidRPr="00AA1887">
        <w:rPr>
          <w:rFonts w:cs="Times New Roman"/>
        </w:rPr>
        <w:t xml:space="preserve"> that </w:t>
      </w:r>
      <w:r w:rsidR="002C6CB0" w:rsidRPr="00AA1887">
        <w:rPr>
          <w:rFonts w:cs="Times New Roman"/>
        </w:rPr>
        <w:t>centrali</w:t>
      </w:r>
      <w:r w:rsidR="00C73609">
        <w:rPr>
          <w:rFonts w:cs="Times New Roman"/>
        </w:rPr>
        <w:t>z</w:t>
      </w:r>
      <w:r w:rsidR="002C6CB0" w:rsidRPr="00AA1887">
        <w:rPr>
          <w:rFonts w:cs="Times New Roman"/>
        </w:rPr>
        <w:t>ed, dominant political power</w:t>
      </w:r>
      <w:r w:rsidRPr="00AA1887">
        <w:rPr>
          <w:rFonts w:cs="Times New Roman"/>
        </w:rPr>
        <w:t xml:space="preserve"> is a </w:t>
      </w:r>
      <w:r w:rsidR="00CB34EE" w:rsidRPr="00AA1887">
        <w:rPr>
          <w:rFonts w:cs="Times New Roman"/>
        </w:rPr>
        <w:t>simple</w:t>
      </w:r>
      <w:r w:rsidRPr="00AA1887">
        <w:rPr>
          <w:rFonts w:cs="Times New Roman"/>
        </w:rPr>
        <w:t xml:space="preserve"> boon to development. </w:t>
      </w:r>
    </w:p>
    <w:p w14:paraId="52C2EF3E" w14:textId="087E8350" w:rsidR="00BD388F" w:rsidRPr="00AA1887" w:rsidRDefault="00BD388F" w:rsidP="00BD388F">
      <w:pPr>
        <w:spacing w:line="480" w:lineRule="auto"/>
        <w:ind w:firstLine="720"/>
        <w:jc w:val="both"/>
        <w:rPr>
          <w:rFonts w:eastAsia="Times New Roman" w:cs="Times New Roman"/>
        </w:rPr>
      </w:pPr>
      <w:r w:rsidRPr="00AA1887">
        <w:rPr>
          <w:rFonts w:cs="Times New Roman"/>
        </w:rPr>
        <w:t xml:space="preserve">The electricity sector is an especially </w:t>
      </w:r>
      <w:r w:rsidR="000F2839">
        <w:rPr>
          <w:rFonts w:cs="Times New Roman"/>
        </w:rPr>
        <w:t>important</w:t>
      </w:r>
      <w:r w:rsidR="000F2839" w:rsidRPr="00AA1887">
        <w:rPr>
          <w:rFonts w:cs="Times New Roman"/>
        </w:rPr>
        <w:t xml:space="preserve"> </w:t>
      </w:r>
      <w:r w:rsidRPr="00AA1887">
        <w:rPr>
          <w:rFonts w:cs="Times New Roman"/>
        </w:rPr>
        <w:t xml:space="preserve">case study as it presents a puzzle. </w:t>
      </w:r>
      <w:r w:rsidR="0086280E">
        <w:rPr>
          <w:rFonts w:eastAsia="Times New Roman" w:cs="Times New Roman"/>
        </w:rPr>
        <w:t>It</w:t>
      </w:r>
      <w:r w:rsidRPr="00AA1887">
        <w:rPr>
          <w:rFonts w:eastAsia="Times New Roman" w:cs="Times New Roman"/>
        </w:rPr>
        <w:t xml:space="preserve"> has been at the forefront of Rwandan elites’ developmental ambitions </w:t>
      </w:r>
      <w:r w:rsidR="002C6CB0" w:rsidRPr="00AA1887">
        <w:rPr>
          <w:rFonts w:eastAsia="Times New Roman" w:cs="Times New Roman"/>
        </w:rPr>
        <w:t>for two decades</w:t>
      </w:r>
      <w:r w:rsidRPr="00AA1887">
        <w:rPr>
          <w:rFonts w:eastAsia="Times New Roman" w:cs="Times New Roman"/>
        </w:rPr>
        <w:t xml:space="preserve">, identified as a key source </w:t>
      </w:r>
      <w:r w:rsidR="00C73609">
        <w:rPr>
          <w:rFonts w:eastAsia="Times New Roman" w:cs="Times New Roman"/>
        </w:rPr>
        <w:t>of</w:t>
      </w:r>
      <w:r w:rsidRPr="00AA1887">
        <w:rPr>
          <w:rFonts w:eastAsia="Times New Roman" w:cs="Times New Roman"/>
        </w:rPr>
        <w:t xml:space="preserve"> economic growth</w:t>
      </w:r>
      <w:r w:rsidRPr="00AA1887">
        <w:rPr>
          <w:rFonts w:cs="Times New Roman"/>
        </w:rPr>
        <w:t xml:space="preserve">, with significant international technical support, </w:t>
      </w:r>
      <w:r w:rsidR="002C6CB0" w:rsidRPr="00AA1887">
        <w:rPr>
          <w:rFonts w:cs="Times New Roman"/>
        </w:rPr>
        <w:t>and domestic and international investment</w:t>
      </w:r>
      <w:r w:rsidRPr="00AA1887">
        <w:rPr>
          <w:rFonts w:eastAsia="Times New Roman" w:cs="Times New Roman"/>
        </w:rPr>
        <w:t xml:space="preserve">. On the surface, </w:t>
      </w:r>
      <w:r w:rsidR="002C6CB0" w:rsidRPr="00AA1887">
        <w:rPr>
          <w:rFonts w:eastAsia="Times New Roman" w:cs="Times New Roman"/>
        </w:rPr>
        <w:t>there is a</w:t>
      </w:r>
      <w:r w:rsidRPr="00AA1887">
        <w:rPr>
          <w:rFonts w:eastAsia="Times New Roman" w:cs="Times New Roman"/>
        </w:rPr>
        <w:t xml:space="preserve"> success</w:t>
      </w:r>
      <w:r w:rsidR="002C6CB0" w:rsidRPr="00AA1887">
        <w:rPr>
          <w:rFonts w:eastAsia="Times New Roman" w:cs="Times New Roman"/>
        </w:rPr>
        <w:t xml:space="preserve"> story</w:t>
      </w:r>
      <w:r w:rsidRPr="00AA1887">
        <w:rPr>
          <w:rFonts w:eastAsia="Times New Roman" w:cs="Times New Roman"/>
        </w:rPr>
        <w:t>:</w:t>
      </w:r>
      <w:r w:rsidR="002C6CB0" w:rsidRPr="00AA1887">
        <w:rPr>
          <w:rFonts w:eastAsia="Times New Roman" w:cs="Times New Roman"/>
        </w:rPr>
        <w:t xml:space="preserve"> Rwanda’s </w:t>
      </w:r>
      <w:r w:rsidR="00C73609">
        <w:rPr>
          <w:rFonts w:eastAsia="Times New Roman" w:cs="Times New Roman"/>
        </w:rPr>
        <w:t xml:space="preserve">electricity </w:t>
      </w:r>
      <w:r w:rsidR="002C6CB0" w:rsidRPr="00AA1887">
        <w:rPr>
          <w:rFonts w:eastAsia="Times New Roman" w:cs="Times New Roman"/>
        </w:rPr>
        <w:t xml:space="preserve">generation capacity rose </w:t>
      </w:r>
      <w:r w:rsidRPr="00AA1887">
        <w:rPr>
          <w:rFonts w:eastAsia="Times New Roman" w:cs="Times New Roman"/>
        </w:rPr>
        <w:t>exponential</w:t>
      </w:r>
      <w:r w:rsidR="002C6CB0" w:rsidRPr="00AA1887">
        <w:rPr>
          <w:rFonts w:eastAsia="Times New Roman" w:cs="Times New Roman"/>
        </w:rPr>
        <w:t xml:space="preserve">ly </w:t>
      </w:r>
      <w:r w:rsidRPr="00AA1887">
        <w:rPr>
          <w:rFonts w:eastAsia="Times New Roman" w:cs="Times New Roman"/>
        </w:rPr>
        <w:t xml:space="preserve">from 39.95MW in 2003 to 218.9MW in 2017 (Figure 1) whilst </w:t>
      </w:r>
      <w:r w:rsidR="00295C70" w:rsidRPr="00295C70">
        <w:rPr>
          <w:rFonts w:eastAsia="Times New Roman" w:cs="Times New Roman"/>
        </w:rPr>
        <w:t>the percentage of the population with access to electricity</w:t>
      </w:r>
      <w:r w:rsidR="00295C70" w:rsidRPr="00AA1887">
        <w:rPr>
          <w:rFonts w:eastAsia="Times New Roman" w:cs="Times New Roman"/>
        </w:rPr>
        <w:t xml:space="preserve"> </w:t>
      </w:r>
      <w:r w:rsidR="002C6CB0" w:rsidRPr="00AA1887">
        <w:rPr>
          <w:rFonts w:eastAsia="Times New Roman" w:cs="Times New Roman"/>
        </w:rPr>
        <w:t>grew</w:t>
      </w:r>
      <w:r w:rsidRPr="00AA1887">
        <w:rPr>
          <w:rFonts w:eastAsia="Times New Roman" w:cs="Times New Roman"/>
        </w:rPr>
        <w:t xml:space="preserve"> from 6% in 2009</w:t>
      </w:r>
      <w:r w:rsidRPr="00AA1887">
        <w:rPr>
          <w:rFonts w:eastAsia="Times New Roman" w:cs="Times New Roman"/>
          <w:vertAlign w:val="superscript"/>
        </w:rPr>
        <w:footnoteReference w:id="5"/>
      </w:r>
      <w:r w:rsidRPr="00AA1887">
        <w:rPr>
          <w:rFonts w:eastAsia="Times New Roman" w:cs="Times New Roman"/>
        </w:rPr>
        <w:t xml:space="preserve"> to a reported 24% in 2017</w:t>
      </w:r>
      <w:r w:rsidR="00295C70">
        <w:rPr>
          <w:rStyle w:val="FootnoteReference"/>
          <w:rFonts w:eastAsia="Times New Roman" w:cs="Times New Roman"/>
        </w:rPr>
        <w:footnoteReference w:id="6"/>
      </w:r>
      <w:r w:rsidRPr="00AA1887">
        <w:rPr>
          <w:rFonts w:eastAsia="Times New Roman" w:cs="Times New Roman"/>
        </w:rPr>
        <w:t xml:space="preserve">. This is remarkable for a country emerging from </w:t>
      </w:r>
      <w:r w:rsidR="008B551D" w:rsidRPr="00AA1887">
        <w:rPr>
          <w:rFonts w:eastAsia="Times New Roman" w:cs="Times New Roman"/>
        </w:rPr>
        <w:t xml:space="preserve">a </w:t>
      </w:r>
      <w:r w:rsidRPr="00AA1887">
        <w:rPr>
          <w:rFonts w:eastAsia="Times New Roman" w:cs="Times New Roman"/>
        </w:rPr>
        <w:t xml:space="preserve">genocide and years of war, </w:t>
      </w:r>
      <w:r w:rsidR="00DC475E">
        <w:rPr>
          <w:rFonts w:eastAsia="Times New Roman" w:cs="Times New Roman"/>
        </w:rPr>
        <w:t>which cause</w:t>
      </w:r>
      <w:r w:rsidR="0073252A">
        <w:rPr>
          <w:rFonts w:eastAsia="Times New Roman" w:cs="Times New Roman"/>
        </w:rPr>
        <w:t>d</w:t>
      </w:r>
      <w:r w:rsidR="00DC475E">
        <w:rPr>
          <w:rFonts w:eastAsia="Times New Roman" w:cs="Times New Roman"/>
        </w:rPr>
        <w:t xml:space="preserve"> </w:t>
      </w:r>
      <w:r w:rsidR="00635984">
        <w:rPr>
          <w:rFonts w:eastAsia="Times New Roman" w:cs="Times New Roman"/>
        </w:rPr>
        <w:t>near</w:t>
      </w:r>
      <w:r w:rsidR="0073252A">
        <w:rPr>
          <w:rFonts w:eastAsia="Times New Roman" w:cs="Times New Roman"/>
        </w:rPr>
        <w:t>-</w:t>
      </w:r>
      <w:r w:rsidR="00635984">
        <w:rPr>
          <w:rFonts w:eastAsia="Times New Roman" w:cs="Times New Roman"/>
        </w:rPr>
        <w:t xml:space="preserve">total </w:t>
      </w:r>
      <w:r w:rsidRPr="00AA1887">
        <w:rPr>
          <w:rFonts w:eastAsia="Times New Roman" w:cs="Times New Roman"/>
        </w:rPr>
        <w:t>debilitat</w:t>
      </w:r>
      <w:r w:rsidR="00635984">
        <w:rPr>
          <w:rFonts w:eastAsia="Times New Roman" w:cs="Times New Roman"/>
        </w:rPr>
        <w:t xml:space="preserve">ion of </w:t>
      </w:r>
      <w:r w:rsidRPr="00AA1887">
        <w:rPr>
          <w:rFonts w:eastAsia="Times New Roman" w:cs="Times New Roman"/>
        </w:rPr>
        <w:t>the country’s electricity system.</w:t>
      </w:r>
      <w:r w:rsidRPr="00AA1887">
        <w:rPr>
          <w:rFonts w:eastAsia="Times New Roman" w:cs="Times New Roman"/>
          <w:vertAlign w:val="superscript"/>
        </w:rPr>
        <w:footnoteReference w:id="7"/>
      </w:r>
      <w:r w:rsidRPr="00AA1887">
        <w:rPr>
          <w:rFonts w:eastAsia="Times New Roman" w:cs="Times New Roman"/>
        </w:rPr>
        <w:t xml:space="preserve"> However, </w:t>
      </w:r>
      <w:r w:rsidR="008B551D" w:rsidRPr="00AA1887">
        <w:rPr>
          <w:rFonts w:eastAsia="Times New Roman" w:cs="Times New Roman"/>
        </w:rPr>
        <w:t xml:space="preserve">a </w:t>
      </w:r>
      <w:r w:rsidRPr="00AA1887">
        <w:rPr>
          <w:rFonts w:eastAsia="Times New Roman" w:cs="Times New Roman"/>
        </w:rPr>
        <w:t>closer study of the energy boom reveals substantive mistakes</w:t>
      </w:r>
      <w:r w:rsidR="00C73609">
        <w:rPr>
          <w:rFonts w:eastAsia="Times New Roman" w:cs="Times New Roman"/>
        </w:rPr>
        <w:t xml:space="preserve"> which </w:t>
      </w:r>
      <w:r w:rsidR="00D10D73">
        <w:rPr>
          <w:rFonts w:eastAsia="Times New Roman" w:cs="Times New Roman"/>
        </w:rPr>
        <w:t>are</w:t>
      </w:r>
      <w:r w:rsidR="00D10D73" w:rsidRPr="00AA1887">
        <w:rPr>
          <w:rFonts w:eastAsia="Times New Roman" w:cs="Times New Roman"/>
        </w:rPr>
        <w:t xml:space="preserve"> </w:t>
      </w:r>
      <w:r w:rsidRPr="00AA1887">
        <w:rPr>
          <w:rFonts w:eastAsia="Times New Roman" w:cs="Times New Roman"/>
        </w:rPr>
        <w:t>damag</w:t>
      </w:r>
      <w:r w:rsidR="00D10D73">
        <w:rPr>
          <w:rFonts w:eastAsia="Times New Roman" w:cs="Times New Roman"/>
        </w:rPr>
        <w:t>ing</w:t>
      </w:r>
      <w:r w:rsidRPr="00AA1887">
        <w:rPr>
          <w:rFonts w:eastAsia="Times New Roman" w:cs="Times New Roman"/>
        </w:rPr>
        <w:t xml:space="preserve"> the country’s long-term growth. Rwanda is producing too much power, with installed generation capacity far exceeding annual demand. Additionally, projects are poorly attuned to Rwanda’s daily energy-demand profile and were often ill</w:t>
      </w:r>
      <w:r w:rsidR="002C6CB0" w:rsidRPr="00AA1887">
        <w:rPr>
          <w:rFonts w:eastAsia="Times New Roman" w:cs="Times New Roman"/>
        </w:rPr>
        <w:t>-</w:t>
      </w:r>
      <w:r w:rsidRPr="00AA1887">
        <w:rPr>
          <w:rFonts w:eastAsia="Times New Roman" w:cs="Times New Roman"/>
        </w:rPr>
        <w:t>conceived. Two-thirds of electricity production was contracted through 20-year private-sector agreements with a ‘take-or-pay’ clause</w:t>
      </w:r>
      <w:r w:rsidR="0086280E">
        <w:rPr>
          <w:rFonts w:eastAsia="Times New Roman" w:cs="Times New Roman"/>
        </w:rPr>
        <w:t>,</w:t>
      </w:r>
      <w:r w:rsidRPr="00AA1887">
        <w:rPr>
          <w:rFonts w:eastAsia="Times New Roman" w:cs="Times New Roman"/>
        </w:rPr>
        <w:t xml:space="preserve"> meaning that </w:t>
      </w:r>
      <w:r w:rsidR="00C73609">
        <w:rPr>
          <w:rFonts w:eastAsia="Times New Roman" w:cs="Times New Roman"/>
        </w:rPr>
        <w:t xml:space="preserve">90 </w:t>
      </w:r>
      <w:r w:rsidR="00635984">
        <w:rPr>
          <w:rFonts w:eastAsia="Times New Roman" w:cs="Times New Roman"/>
        </w:rPr>
        <w:t xml:space="preserve">percent </w:t>
      </w:r>
      <w:r w:rsidR="008436F0">
        <w:rPr>
          <w:rFonts w:eastAsia="Times New Roman" w:cs="Times New Roman"/>
        </w:rPr>
        <w:t xml:space="preserve">of </w:t>
      </w:r>
      <w:r w:rsidRPr="00AA1887">
        <w:rPr>
          <w:rFonts w:eastAsia="Times New Roman" w:cs="Times New Roman"/>
        </w:rPr>
        <w:t xml:space="preserve">electricity </w:t>
      </w:r>
      <w:r w:rsidR="00AD08B0">
        <w:rPr>
          <w:rFonts w:eastAsia="Times New Roman" w:cs="Times New Roman"/>
        </w:rPr>
        <w:t xml:space="preserve">provided </w:t>
      </w:r>
      <w:r w:rsidRPr="00AA1887">
        <w:rPr>
          <w:rFonts w:eastAsia="Times New Roman" w:cs="Times New Roman"/>
        </w:rPr>
        <w:t>must be paid for</w:t>
      </w:r>
      <w:r w:rsidR="00AD08B0">
        <w:rPr>
          <w:rFonts w:eastAsia="Times New Roman" w:cs="Times New Roman"/>
        </w:rPr>
        <w:t>, even when not consumed</w:t>
      </w:r>
      <w:r w:rsidRPr="00AA1887">
        <w:rPr>
          <w:rFonts w:eastAsia="Times New Roman" w:cs="Times New Roman"/>
        </w:rPr>
        <w:t xml:space="preserve">. Consequently, increased electricity generation has locked the country into high-energy costs and spiralling debt for a predicted two decades, checking efforts of poverty </w:t>
      </w:r>
      <w:r w:rsidRPr="00AA1887">
        <w:rPr>
          <w:rFonts w:eastAsia="Times New Roman" w:cs="Times New Roman"/>
        </w:rPr>
        <w:lastRenderedPageBreak/>
        <w:t xml:space="preserve">reduction and </w:t>
      </w:r>
      <w:r w:rsidR="002C6CB0" w:rsidRPr="00AA1887">
        <w:rPr>
          <w:rFonts w:eastAsia="Times New Roman" w:cs="Times New Roman"/>
        </w:rPr>
        <w:t>economic transformation.</w:t>
      </w:r>
      <w:r w:rsidRPr="00AA1887">
        <w:rPr>
          <w:rFonts w:eastAsia="Times New Roman" w:cs="Times New Roman"/>
          <w:vertAlign w:val="superscript"/>
        </w:rPr>
        <w:footnoteReference w:id="8"/>
      </w:r>
      <w:r w:rsidRPr="00AA1887">
        <w:rPr>
          <w:rFonts w:eastAsia="Times New Roman" w:cs="Times New Roman"/>
        </w:rPr>
        <w:t xml:space="preserve"> Wider economic malaise was only prevented by Rwanda’s small </w:t>
      </w:r>
      <w:r w:rsidR="000F2839">
        <w:rPr>
          <w:rFonts w:eastAsia="Times New Roman" w:cs="Times New Roman"/>
        </w:rPr>
        <w:t xml:space="preserve">economic </w:t>
      </w:r>
      <w:r w:rsidRPr="00AA1887">
        <w:rPr>
          <w:rFonts w:eastAsia="Times New Roman" w:cs="Times New Roman"/>
        </w:rPr>
        <w:t xml:space="preserve">size, </w:t>
      </w:r>
      <w:r w:rsidR="002C6CB0" w:rsidRPr="00AA1887">
        <w:rPr>
          <w:rFonts w:eastAsia="Times New Roman" w:cs="Times New Roman"/>
        </w:rPr>
        <w:t>which</w:t>
      </w:r>
      <w:r w:rsidRPr="00AA1887">
        <w:rPr>
          <w:rFonts w:eastAsia="Times New Roman" w:cs="Times New Roman"/>
        </w:rPr>
        <w:t xml:space="preserve"> </w:t>
      </w:r>
      <w:r w:rsidR="002C6CB0" w:rsidRPr="00AA1887">
        <w:rPr>
          <w:rFonts w:eastAsia="Times New Roman" w:cs="Times New Roman"/>
        </w:rPr>
        <w:t xml:space="preserve">allowed the </w:t>
      </w:r>
      <w:r w:rsidRPr="00AA1887">
        <w:rPr>
          <w:rFonts w:eastAsia="Times New Roman" w:cs="Times New Roman"/>
        </w:rPr>
        <w:t xml:space="preserve">World Bank </w:t>
      </w:r>
      <w:r w:rsidR="002C6CB0" w:rsidRPr="00AA1887">
        <w:rPr>
          <w:rFonts w:eastAsia="Times New Roman" w:cs="Times New Roman"/>
        </w:rPr>
        <w:t>to quickly step in with grants and loans</w:t>
      </w:r>
      <w:r w:rsidRPr="00AA1887">
        <w:rPr>
          <w:rFonts w:eastAsia="Times New Roman" w:cs="Times New Roman"/>
        </w:rPr>
        <w:t>.</w:t>
      </w:r>
      <w:r w:rsidR="009E0CB1" w:rsidRPr="00AA1887">
        <w:rPr>
          <w:rFonts w:eastAsia="Times New Roman" w:cs="Times New Roman"/>
        </w:rPr>
        <w:t xml:space="preserve"> </w:t>
      </w:r>
      <w:bookmarkStart w:id="0" w:name="_Hlk140668129"/>
      <w:r w:rsidR="008B551D" w:rsidRPr="00AA1887">
        <w:rPr>
          <w:rFonts w:eastAsia="Times New Roman" w:cs="Times New Roman"/>
        </w:rPr>
        <w:t>Why</w:t>
      </w:r>
      <w:r w:rsidR="007116A7">
        <w:rPr>
          <w:rFonts w:eastAsia="Times New Roman" w:cs="Times New Roman"/>
        </w:rPr>
        <w:t xml:space="preserve"> did</w:t>
      </w:r>
      <w:r w:rsidR="008B551D" w:rsidRPr="00AA1887">
        <w:rPr>
          <w:rFonts w:eastAsia="Times New Roman" w:cs="Times New Roman"/>
        </w:rPr>
        <w:t xml:space="preserve"> such significant failures </w:t>
      </w:r>
      <w:r w:rsidR="005F20C2" w:rsidRPr="00AA1887">
        <w:rPr>
          <w:rFonts w:eastAsia="Times New Roman" w:cs="Times New Roman"/>
        </w:rPr>
        <w:t>occur</w:t>
      </w:r>
      <w:r w:rsidR="008B551D" w:rsidRPr="00AA1887">
        <w:rPr>
          <w:rFonts w:eastAsia="Times New Roman" w:cs="Times New Roman"/>
        </w:rPr>
        <w:t xml:space="preserve"> despite the Rwanda case exhibiting </w:t>
      </w:r>
      <w:r w:rsidR="004C2DFB">
        <w:rPr>
          <w:rFonts w:eastAsia="Times New Roman" w:cs="Times New Roman"/>
        </w:rPr>
        <w:t xml:space="preserve">many of the </w:t>
      </w:r>
      <w:r w:rsidR="000F2839">
        <w:rPr>
          <w:rFonts w:eastAsia="Times New Roman" w:cs="Times New Roman"/>
        </w:rPr>
        <w:t xml:space="preserve">PSF </w:t>
      </w:r>
      <w:r w:rsidR="008B551D" w:rsidRPr="00AA1887">
        <w:rPr>
          <w:rFonts w:eastAsia="Times New Roman" w:cs="Times New Roman"/>
        </w:rPr>
        <w:t>gold standard preconditions for development?</w:t>
      </w:r>
      <w:bookmarkEnd w:id="0"/>
    </w:p>
    <w:p w14:paraId="3161C347" w14:textId="49951DB8" w:rsidR="00C90E4F" w:rsidRDefault="002C6CB0" w:rsidP="002C6CB0">
      <w:pPr>
        <w:spacing w:line="480" w:lineRule="auto"/>
        <w:jc w:val="both"/>
        <w:rPr>
          <w:rFonts w:eastAsia="Times New Roman" w:cs="Times New Roman"/>
          <w:i/>
        </w:rPr>
      </w:pPr>
      <w:r w:rsidRPr="00AA1887">
        <w:rPr>
          <w:rFonts w:cs="Times New Roman"/>
          <w:noProof/>
        </w:rPr>
        <mc:AlternateContent>
          <mc:Choice Requires="wps">
            <w:drawing>
              <wp:anchor distT="0" distB="0" distL="114300" distR="114300" simplePos="0" relativeHeight="251668480" behindDoc="0" locked="0" layoutInCell="1" allowOverlap="1" wp14:anchorId="4FE4C856" wp14:editId="16E65D37">
                <wp:simplePos x="0" y="0"/>
                <wp:positionH relativeFrom="margin">
                  <wp:align>right</wp:align>
                </wp:positionH>
                <wp:positionV relativeFrom="paragraph">
                  <wp:posOffset>4019550</wp:posOffset>
                </wp:positionV>
                <wp:extent cx="5727065" cy="54546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545465"/>
                        </a:xfrm>
                        <a:prstGeom prst="rect">
                          <a:avLst/>
                        </a:prstGeom>
                        <a:solidFill>
                          <a:prstClr val="white"/>
                        </a:solidFill>
                        <a:ln>
                          <a:noFill/>
                        </a:ln>
                      </wps:spPr>
                      <wps:txbx>
                        <w:txbxContent>
                          <w:p w14:paraId="49355FE2" w14:textId="77777777" w:rsidR="002C6CB0" w:rsidRDefault="002C6CB0" w:rsidP="002C6CB0">
                            <w:pPr>
                              <w:pStyle w:val="Caption1"/>
                              <w:spacing w:after="0"/>
                            </w:pPr>
                            <w:r>
                              <w:t>Note</w:t>
                            </w:r>
                            <w:r>
                              <w:rPr>
                                <w:i w:val="0"/>
                              </w:rPr>
                              <w:t>: *Projections based on projects under contract.</w:t>
                            </w:r>
                          </w:p>
                          <w:p w14:paraId="1FAC4BF4" w14:textId="0F78BF0D" w:rsidR="002C6CB0" w:rsidRDefault="002C6CB0" w:rsidP="002C6CB0">
                            <w:pPr>
                              <w:pStyle w:val="Caption1"/>
                              <w:rPr>
                                <w:noProof/>
                                <w:sz w:val="20"/>
                                <w:szCs w:val="20"/>
                              </w:rPr>
                            </w:pPr>
                            <w:r>
                              <w:t xml:space="preserve">Source: Authors’ statistics gathered from </w:t>
                            </w:r>
                            <w:r w:rsidR="000F2839">
                              <w:t xml:space="preserve">Ministry of Infrastructure (Mininfra) </w:t>
                            </w:r>
                            <w:r>
                              <w:t>press releases and ministerial strategy reports (e.g. Republic of Rwanda, M. of I., 2018), from the Rwanda Energy Group’s published statistics and news articles between 2014-202</w:t>
                            </w:r>
                            <w:r w:rsidR="00FE02BB">
                              <w:t>3</w:t>
                            </w:r>
                            <w:r>
                              <w:t>.</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FE4C856" id="_x0000_t202" coordsize="21600,21600" o:spt="202" path="m,l,21600r21600,l21600,xe">
                <v:stroke joinstyle="miter"/>
                <v:path gradientshapeok="t" o:connecttype="rect"/>
              </v:shapetype>
              <v:shape id="Text Box 2" o:spid="_x0000_s1026" type="#_x0000_t202" style="position:absolute;left:0;text-align:left;margin-left:399.75pt;margin-top:316.5pt;width:450.95pt;height:42.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" stroked="f">
                <v:textbox style="mso-fit-shape-to-text:t" inset="0,0,0,0">
                  <w:txbxContent>
                    <w:p w14:paraId="49355FE2" w14:textId="77777777" w:rsidR="002C6CB0" w:rsidRDefault="002C6CB0" w:rsidP="002C6CB0">
                      <w:pPr>
                        <w:pStyle w:val="Caption1"/>
                        <w:spacing w:after="0"/>
                      </w:pPr>
                      <w:r>
                        <w:t>Note</w:t>
                      </w:r>
                      <w:r>
                        <w:rPr>
                          <w:i w:val="0"/>
                        </w:rPr>
                        <w:t>: *Projections based on projects under contract.</w:t>
                      </w:r>
                    </w:p>
                    <w:p w14:paraId="1FAC4BF4" w14:textId="0F78BF0D" w:rsidR="002C6CB0" w:rsidRDefault="002C6CB0" w:rsidP="002C6CB0">
                      <w:pPr>
                        <w:pStyle w:val="Caption1"/>
                        <w:rPr>
                          <w:noProof/>
                          <w:sz w:val="20"/>
                          <w:szCs w:val="20"/>
                        </w:rPr>
                      </w:pPr>
                      <w:r>
                        <w:t xml:space="preserve">Source: Authors’ statistics gathered from </w:t>
                      </w:r>
                      <w:r w:rsidR="000F2839">
                        <w:t xml:space="preserve">Ministry of Infrastructure (Mininfra) </w:t>
                      </w:r>
                      <w:r>
                        <w:t>press releases and ministerial strategy reports (e.g. Republic of Rwanda, M. of I., 2018), from the Rwanda Energy Group’s published statistics and news articles between 2014-202</w:t>
                      </w:r>
                      <w:r w:rsidR="00FE02BB">
                        <w:t>3</w:t>
                      </w:r>
                      <w:r>
                        <w:t>.</w:t>
                      </w:r>
                    </w:p>
                  </w:txbxContent>
                </v:textbox>
                <w10:wrap type="topAndBottom" anchorx="margin"/>
              </v:shape>
            </w:pict>
          </mc:Fallback>
        </mc:AlternateContent>
      </w:r>
    </w:p>
    <w:p w14:paraId="52D1A647" w14:textId="71828898" w:rsidR="002C6CB0" w:rsidRPr="00AA1887" w:rsidRDefault="00C90E4F" w:rsidP="002C6CB0">
      <w:pPr>
        <w:spacing w:line="480" w:lineRule="auto"/>
        <w:jc w:val="both"/>
        <w:rPr>
          <w:rFonts w:eastAsia="Times New Roman" w:cs="Times New Roman"/>
        </w:rPr>
      </w:pPr>
      <w:r>
        <w:rPr>
          <w:noProof/>
        </w:rPr>
        <w:drawing>
          <wp:inline distT="0" distB="0" distL="0" distR="0" wp14:anchorId="70CEE96C" wp14:editId="192B35F1">
            <wp:extent cx="5924550" cy="2977515"/>
            <wp:effectExtent l="0" t="0" r="0" b="0"/>
            <wp:docPr id="10" name="Chart 10">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A1887">
        <w:rPr>
          <w:rFonts w:eastAsia="Times New Roman" w:cs="Times New Roman"/>
          <w:i/>
        </w:rPr>
        <w:t xml:space="preserve"> </w:t>
      </w:r>
      <w:r w:rsidR="002C6CB0" w:rsidRPr="00AA1887">
        <w:rPr>
          <w:rFonts w:eastAsia="Times New Roman" w:cs="Times New Roman"/>
          <w:i/>
        </w:rPr>
        <w:t>Figure 1</w:t>
      </w:r>
      <w:r w:rsidR="002C6CB0" w:rsidRPr="00AA1887">
        <w:rPr>
          <w:rFonts w:eastAsia="Times New Roman" w:cs="Times New Roman"/>
        </w:rPr>
        <w:t>: Installed electricity generation in Rwanda (MW)</w:t>
      </w:r>
    </w:p>
    <w:p w14:paraId="4767C768" w14:textId="06323863" w:rsidR="00DC1BA2" w:rsidRPr="00AA1887" w:rsidRDefault="00240442" w:rsidP="002D5F05">
      <w:pPr>
        <w:spacing w:line="480" w:lineRule="auto"/>
        <w:ind w:firstLine="720"/>
        <w:jc w:val="both"/>
        <w:rPr>
          <w:rFonts w:eastAsia="Times New Roman" w:cs="Times New Roman"/>
        </w:rPr>
      </w:pPr>
      <w:r w:rsidRPr="00AA1887">
        <w:rPr>
          <w:rFonts w:eastAsia="Times New Roman" w:cs="Times New Roman"/>
        </w:rPr>
        <w:t>Th</w:t>
      </w:r>
      <w:r w:rsidR="007116A7">
        <w:rPr>
          <w:rFonts w:eastAsia="Times New Roman" w:cs="Times New Roman"/>
        </w:rPr>
        <w:t>is</w:t>
      </w:r>
      <w:r w:rsidRPr="00AA1887">
        <w:rPr>
          <w:rFonts w:eastAsia="Times New Roman" w:cs="Times New Roman"/>
        </w:rPr>
        <w:t xml:space="preserve"> article argues </w:t>
      </w:r>
      <w:r w:rsidR="00F21988">
        <w:rPr>
          <w:rFonts w:eastAsia="Times New Roman" w:cs="Times New Roman"/>
        </w:rPr>
        <w:t xml:space="preserve">that </w:t>
      </w:r>
      <w:r w:rsidR="000D0D67" w:rsidRPr="00AA1887">
        <w:rPr>
          <w:rFonts w:eastAsia="Times New Roman" w:cs="Times New Roman"/>
        </w:rPr>
        <w:t>t</w:t>
      </w:r>
      <w:r w:rsidR="00DC1BA2" w:rsidRPr="00AA1887">
        <w:rPr>
          <w:rFonts w:eastAsia="Times New Roman" w:cs="Times New Roman"/>
        </w:rPr>
        <w:t xml:space="preserve">he </w:t>
      </w:r>
      <w:r w:rsidR="00483E08">
        <w:rPr>
          <w:rFonts w:eastAsia="Times New Roman" w:cs="Times New Roman"/>
        </w:rPr>
        <w:t>PSF</w:t>
      </w:r>
      <w:r w:rsidR="00F21988" w:rsidRPr="00AA1887">
        <w:rPr>
          <w:rFonts w:eastAsia="Times New Roman" w:cs="Times New Roman"/>
        </w:rPr>
        <w:t xml:space="preserve"> </w:t>
      </w:r>
      <w:r w:rsidR="000E5A9A" w:rsidRPr="00AA1887">
        <w:rPr>
          <w:rFonts w:eastAsia="Times New Roman" w:cs="Times New Roman"/>
        </w:rPr>
        <w:t>misses the crucial role of the politician-bureaucratic interface</w:t>
      </w:r>
      <w:r w:rsidR="00F21988">
        <w:rPr>
          <w:rFonts w:eastAsia="Times New Roman" w:cs="Times New Roman"/>
        </w:rPr>
        <w:t>, which reflects the broader absence of the state in the original PSF work</w:t>
      </w:r>
      <w:r w:rsidR="00DC1BA2" w:rsidRPr="00AA1887">
        <w:rPr>
          <w:rFonts w:eastAsia="Times New Roman" w:cs="Times New Roman"/>
        </w:rPr>
        <w:t xml:space="preserve">. </w:t>
      </w:r>
      <w:r w:rsidR="00F21988">
        <w:rPr>
          <w:rFonts w:eastAsia="Times New Roman" w:cs="Times New Roman"/>
        </w:rPr>
        <w:t xml:space="preserve">Typically, </w:t>
      </w:r>
      <w:r w:rsidR="000D0BAC">
        <w:rPr>
          <w:rFonts w:eastAsia="Times New Roman" w:cs="Times New Roman"/>
        </w:rPr>
        <w:t xml:space="preserve">political settlement-type analysis, </w:t>
      </w:r>
      <w:r w:rsidR="00D33792">
        <w:rPr>
          <w:rFonts w:eastAsia="Times New Roman" w:cs="Times New Roman"/>
        </w:rPr>
        <w:t>regarding</w:t>
      </w:r>
      <w:r w:rsidR="00F21988">
        <w:rPr>
          <w:rFonts w:eastAsia="Times New Roman" w:cs="Times New Roman"/>
        </w:rPr>
        <w:t xml:space="preserve"> the</w:t>
      </w:r>
      <w:r w:rsidR="00295C70">
        <w:rPr>
          <w:rFonts w:eastAsia="Times New Roman" w:cs="Times New Roman"/>
        </w:rPr>
        <w:t xml:space="preserve"> bureaucracy</w:t>
      </w:r>
      <w:r w:rsidR="000D0BAC">
        <w:rPr>
          <w:rFonts w:eastAsia="Times New Roman" w:cs="Times New Roman"/>
        </w:rPr>
        <w:t>,</w:t>
      </w:r>
      <w:r w:rsidR="000637F1">
        <w:rPr>
          <w:rFonts w:eastAsia="Times New Roman" w:cs="Times New Roman"/>
        </w:rPr>
        <w:t xml:space="preserve"> highlight</w:t>
      </w:r>
      <w:r w:rsidR="008436F0">
        <w:rPr>
          <w:rFonts w:eastAsia="Times New Roman" w:cs="Times New Roman"/>
        </w:rPr>
        <w:t>s</w:t>
      </w:r>
      <w:r w:rsidR="000637F1">
        <w:rPr>
          <w:rFonts w:eastAsia="Times New Roman" w:cs="Times New Roman"/>
        </w:rPr>
        <w:t xml:space="preserve"> </w:t>
      </w:r>
      <w:r w:rsidR="000D0BAC">
        <w:rPr>
          <w:rFonts w:eastAsia="Times New Roman" w:cs="Times New Roman"/>
        </w:rPr>
        <w:t>how a</w:t>
      </w:r>
      <w:r w:rsidR="000637F1">
        <w:rPr>
          <w:rFonts w:eastAsia="Times New Roman" w:cs="Times New Roman"/>
        </w:rPr>
        <w:t xml:space="preserve"> </w:t>
      </w:r>
      <w:r w:rsidR="003F399E">
        <w:rPr>
          <w:rFonts w:eastAsia="Times New Roman" w:cs="Times New Roman"/>
        </w:rPr>
        <w:t>‘</w:t>
      </w:r>
      <w:r w:rsidR="000637F1">
        <w:rPr>
          <w:rFonts w:eastAsia="Times New Roman" w:cs="Times New Roman"/>
        </w:rPr>
        <w:t>dominant party settlement</w:t>
      </w:r>
      <w:r w:rsidR="003F399E">
        <w:rPr>
          <w:rFonts w:eastAsia="Times New Roman" w:cs="Times New Roman"/>
        </w:rPr>
        <w:t>’</w:t>
      </w:r>
      <w:r w:rsidR="000637F1">
        <w:rPr>
          <w:rFonts w:eastAsia="Times New Roman" w:cs="Times New Roman"/>
        </w:rPr>
        <w:t xml:space="preserve"> </w:t>
      </w:r>
      <w:r w:rsidR="00D33792">
        <w:rPr>
          <w:rFonts w:eastAsia="Times New Roman" w:cs="Times New Roman"/>
        </w:rPr>
        <w:t xml:space="preserve">can give </w:t>
      </w:r>
      <w:r w:rsidR="000637F1">
        <w:rPr>
          <w:rFonts w:eastAsia="Times New Roman" w:cs="Times New Roman"/>
        </w:rPr>
        <w:t>t</w:t>
      </w:r>
      <w:r w:rsidR="00DC1BA2" w:rsidRPr="00AA1887">
        <w:rPr>
          <w:rFonts w:eastAsia="Times New Roman" w:cs="Times New Roman"/>
        </w:rPr>
        <w:t>echnicians autonomy from societal pressures</w:t>
      </w:r>
      <w:r w:rsidR="00145539">
        <w:rPr>
          <w:rFonts w:eastAsia="Times New Roman" w:cs="Times New Roman"/>
        </w:rPr>
        <w:t xml:space="preserve">. </w:t>
      </w:r>
      <w:r w:rsidR="007262D7">
        <w:rPr>
          <w:rFonts w:eastAsia="Times New Roman" w:cs="Times New Roman"/>
        </w:rPr>
        <w:t>F</w:t>
      </w:r>
      <w:r w:rsidR="00145539">
        <w:rPr>
          <w:rFonts w:eastAsia="Times New Roman" w:cs="Times New Roman"/>
        </w:rPr>
        <w:t>ollowing Max Weber’s archetype of the “legal-rational” state,</w:t>
      </w:r>
      <w:r w:rsidR="000301D5">
        <w:rPr>
          <w:rStyle w:val="FootnoteReference"/>
          <w:rFonts w:eastAsia="Times New Roman" w:cs="Times New Roman"/>
        </w:rPr>
        <w:footnoteReference w:id="9"/>
      </w:r>
      <w:r w:rsidR="00D33792">
        <w:rPr>
          <w:rFonts w:eastAsia="Times New Roman" w:cs="Times New Roman"/>
        </w:rPr>
        <w:t xml:space="preserve"> </w:t>
      </w:r>
      <w:r w:rsidR="007262D7">
        <w:rPr>
          <w:rFonts w:eastAsia="Times New Roman" w:cs="Times New Roman"/>
        </w:rPr>
        <w:t xml:space="preserve">it can also </w:t>
      </w:r>
      <w:r w:rsidR="00D33792">
        <w:rPr>
          <w:rFonts w:eastAsia="Times New Roman" w:cs="Times New Roman"/>
        </w:rPr>
        <w:t xml:space="preserve">drive a </w:t>
      </w:r>
      <w:r w:rsidR="00DC1BA2" w:rsidRPr="00AA1887">
        <w:rPr>
          <w:rFonts w:eastAsia="Times New Roman" w:cs="Times New Roman"/>
        </w:rPr>
        <w:t xml:space="preserve">degree of </w:t>
      </w:r>
      <w:r w:rsidR="001807C6" w:rsidRPr="00534C1F">
        <w:rPr>
          <w:rFonts w:eastAsia="Times New Roman" w:cs="Times New Roman"/>
        </w:rPr>
        <w:t>merit-based recruitment</w:t>
      </w:r>
      <w:r w:rsidR="001807C6">
        <w:rPr>
          <w:rFonts w:eastAsia="Times New Roman" w:cs="Times New Roman"/>
        </w:rPr>
        <w:t xml:space="preserve"> </w:t>
      </w:r>
      <w:r w:rsidR="001807C6">
        <w:rPr>
          <w:rFonts w:eastAsia="Times New Roman" w:cs="Times New Roman"/>
        </w:rPr>
        <w:lastRenderedPageBreak/>
        <w:t xml:space="preserve">and </w:t>
      </w:r>
      <w:r w:rsidR="00EC0CBF">
        <w:rPr>
          <w:rFonts w:eastAsia="Times New Roman" w:cs="Times New Roman"/>
        </w:rPr>
        <w:t xml:space="preserve">the </w:t>
      </w:r>
      <w:r w:rsidR="002D5F05">
        <w:rPr>
          <w:rFonts w:eastAsia="Times New Roman" w:cs="Times New Roman"/>
        </w:rPr>
        <w:t xml:space="preserve">adoption </w:t>
      </w:r>
      <w:r w:rsidR="001807C6">
        <w:rPr>
          <w:rFonts w:eastAsia="Times New Roman" w:cs="Times New Roman"/>
        </w:rPr>
        <w:t xml:space="preserve">of </w:t>
      </w:r>
      <w:r w:rsidR="00534C1F" w:rsidRPr="00534C1F">
        <w:rPr>
          <w:rFonts w:eastAsia="Times New Roman" w:cs="Times New Roman"/>
        </w:rPr>
        <w:t>formal, impersonal</w:t>
      </w:r>
      <w:r w:rsidR="001807C6">
        <w:rPr>
          <w:rFonts w:eastAsia="Times New Roman" w:cs="Times New Roman"/>
        </w:rPr>
        <w:t>, performance-</w:t>
      </w:r>
      <w:r w:rsidR="002D5F05">
        <w:rPr>
          <w:rFonts w:eastAsia="Times New Roman" w:cs="Times New Roman"/>
        </w:rPr>
        <w:t xml:space="preserve">focused processes across the state or </w:t>
      </w:r>
      <w:r w:rsidR="000637F1">
        <w:rPr>
          <w:rFonts w:eastAsia="Times New Roman" w:cs="Times New Roman"/>
        </w:rPr>
        <w:t xml:space="preserve">at least in some key </w:t>
      </w:r>
      <w:r w:rsidR="003F399E">
        <w:rPr>
          <w:rFonts w:eastAsia="Times New Roman" w:cs="Times New Roman"/>
        </w:rPr>
        <w:t>‘</w:t>
      </w:r>
      <w:r w:rsidR="000637F1">
        <w:rPr>
          <w:rFonts w:eastAsia="Times New Roman" w:cs="Times New Roman"/>
        </w:rPr>
        <w:t>pockets of effectiveness</w:t>
      </w:r>
      <w:r w:rsidR="003F399E">
        <w:rPr>
          <w:rFonts w:eastAsia="Times New Roman" w:cs="Times New Roman"/>
        </w:rPr>
        <w:t>’</w:t>
      </w:r>
      <w:r w:rsidR="000637F1">
        <w:rPr>
          <w:rFonts w:eastAsia="Times New Roman" w:cs="Times New Roman"/>
        </w:rPr>
        <w:t xml:space="preserve"> seen as crucial for economic transformation</w:t>
      </w:r>
      <w:r w:rsidR="00DC1BA2" w:rsidRPr="00AA1887">
        <w:rPr>
          <w:rFonts w:eastAsia="Times New Roman" w:cs="Times New Roman"/>
        </w:rPr>
        <w:t>.</w:t>
      </w:r>
      <w:r w:rsidR="00061086" w:rsidRPr="00AA1887">
        <w:rPr>
          <w:rStyle w:val="FootnoteReference"/>
          <w:rFonts w:eastAsia="Times New Roman" w:cs="Times New Roman"/>
        </w:rPr>
        <w:footnoteReference w:id="10"/>
      </w:r>
      <w:r w:rsidR="00D33792">
        <w:rPr>
          <w:rFonts w:eastAsia="Times New Roman" w:cs="Times New Roman"/>
        </w:rPr>
        <w:t xml:space="preserve"> </w:t>
      </w:r>
      <w:r w:rsidR="00DC1BA2" w:rsidRPr="00AA1887">
        <w:rPr>
          <w:rFonts w:eastAsia="Times New Roman" w:cs="Times New Roman"/>
        </w:rPr>
        <w:t xml:space="preserve">We </w:t>
      </w:r>
      <w:r w:rsidR="000D0BAC">
        <w:rPr>
          <w:rFonts w:eastAsia="Times New Roman" w:cs="Times New Roman"/>
        </w:rPr>
        <w:t xml:space="preserve">advance this discussion by </w:t>
      </w:r>
      <w:r w:rsidR="00DC1BA2" w:rsidRPr="00AA1887">
        <w:rPr>
          <w:rFonts w:eastAsia="Times New Roman" w:cs="Times New Roman"/>
        </w:rPr>
        <w:t>introduc</w:t>
      </w:r>
      <w:r w:rsidR="000D0BAC">
        <w:rPr>
          <w:rFonts w:eastAsia="Times New Roman" w:cs="Times New Roman"/>
        </w:rPr>
        <w:t>ing</w:t>
      </w:r>
      <w:r w:rsidR="00DC1BA2" w:rsidRPr="00AA1887">
        <w:rPr>
          <w:rFonts w:eastAsia="Times New Roman" w:cs="Times New Roman"/>
        </w:rPr>
        <w:t xml:space="preserve"> the concept of </w:t>
      </w:r>
      <w:r w:rsidR="003F399E">
        <w:rPr>
          <w:rFonts w:eastAsia="Times New Roman" w:cs="Times New Roman"/>
        </w:rPr>
        <w:t>‘</w:t>
      </w:r>
      <w:r w:rsidR="008436F0" w:rsidRPr="00AA1887">
        <w:rPr>
          <w:rFonts w:eastAsia="Times New Roman" w:cs="Times New Roman"/>
        </w:rPr>
        <w:t>bureaucrat</w:t>
      </w:r>
      <w:r w:rsidR="008436F0">
        <w:rPr>
          <w:rFonts w:eastAsia="Times New Roman" w:cs="Times New Roman"/>
        </w:rPr>
        <w:t>ic</w:t>
      </w:r>
      <w:r w:rsidR="00DC1BA2" w:rsidRPr="00AA1887">
        <w:rPr>
          <w:rFonts w:eastAsia="Times New Roman" w:cs="Times New Roman"/>
        </w:rPr>
        <w:t xml:space="preserve"> independence</w:t>
      </w:r>
      <w:r w:rsidR="003F399E">
        <w:rPr>
          <w:rFonts w:eastAsia="Times New Roman" w:cs="Times New Roman"/>
        </w:rPr>
        <w:t>’</w:t>
      </w:r>
      <w:r w:rsidR="000D0BAC">
        <w:rPr>
          <w:rFonts w:eastAsia="Times New Roman" w:cs="Times New Roman"/>
        </w:rPr>
        <w:t xml:space="preserve">, which </w:t>
      </w:r>
      <w:r w:rsidR="00DC1BA2" w:rsidRPr="00AA1887">
        <w:rPr>
          <w:rFonts w:eastAsia="Times New Roman" w:cs="Times New Roman"/>
        </w:rPr>
        <w:t>highlight</w:t>
      </w:r>
      <w:r w:rsidR="000D0BAC">
        <w:rPr>
          <w:rFonts w:eastAsia="Times New Roman" w:cs="Times New Roman"/>
        </w:rPr>
        <w:t>s</w:t>
      </w:r>
      <w:r w:rsidR="00DC1BA2" w:rsidRPr="00AA1887">
        <w:rPr>
          <w:rFonts w:eastAsia="Times New Roman" w:cs="Times New Roman"/>
        </w:rPr>
        <w:t xml:space="preserve"> the importance of the distribution of power between politicians and bureaucrats and the way this </w:t>
      </w:r>
      <w:r w:rsidR="000D0BAC">
        <w:rPr>
          <w:rFonts w:eastAsia="Times New Roman" w:cs="Times New Roman"/>
        </w:rPr>
        <w:t>enables or disables</w:t>
      </w:r>
      <w:r w:rsidR="000D0BAC" w:rsidRPr="00AA1887">
        <w:rPr>
          <w:rFonts w:eastAsia="Times New Roman" w:cs="Times New Roman"/>
        </w:rPr>
        <w:t xml:space="preserve"> </w:t>
      </w:r>
      <w:r w:rsidR="00DC1BA2" w:rsidRPr="00AA1887">
        <w:rPr>
          <w:rFonts w:eastAsia="Times New Roman" w:cs="Times New Roman"/>
        </w:rPr>
        <w:t>the latter’s ability to offer crucial critique and technical</w:t>
      </w:r>
      <w:r w:rsidR="000D0BAC">
        <w:rPr>
          <w:rFonts w:eastAsia="Times New Roman" w:cs="Times New Roman"/>
        </w:rPr>
        <w:t xml:space="preserve"> </w:t>
      </w:r>
      <w:r w:rsidR="00DC1BA2" w:rsidRPr="00AA1887">
        <w:rPr>
          <w:rFonts w:eastAsia="Times New Roman" w:cs="Times New Roman"/>
        </w:rPr>
        <w:t>inputs.</w:t>
      </w:r>
    </w:p>
    <w:p w14:paraId="5DA86434" w14:textId="0ADEF83C" w:rsidR="00ED70AD" w:rsidRPr="008E2316" w:rsidRDefault="00ED70AD" w:rsidP="00DC475E">
      <w:pPr>
        <w:spacing w:line="480" w:lineRule="auto"/>
        <w:ind w:firstLine="720"/>
        <w:jc w:val="both"/>
        <w:rPr>
          <w:rFonts w:cs="Times New Roman"/>
        </w:rPr>
      </w:pPr>
      <w:r w:rsidRPr="00AA1887">
        <w:rPr>
          <w:rFonts w:cs="Times New Roman"/>
        </w:rPr>
        <w:t xml:space="preserve">Overall, the article makes three </w:t>
      </w:r>
      <w:r w:rsidR="00D33792">
        <w:rPr>
          <w:rFonts w:cs="Times New Roman"/>
        </w:rPr>
        <w:t>key</w:t>
      </w:r>
      <w:r w:rsidRPr="00AA1887">
        <w:rPr>
          <w:rFonts w:cs="Times New Roman"/>
        </w:rPr>
        <w:t xml:space="preserve"> contributions. First, our empirical analysis deepens understanding of </w:t>
      </w:r>
      <w:r w:rsidR="00EC0CBF">
        <w:rPr>
          <w:rFonts w:cs="Times New Roman"/>
        </w:rPr>
        <w:t xml:space="preserve">Rwanda’s </w:t>
      </w:r>
      <w:r w:rsidRPr="00AA1887">
        <w:rPr>
          <w:rFonts w:cs="Times New Roman"/>
        </w:rPr>
        <w:t>political economy</w:t>
      </w:r>
      <w:r>
        <w:rPr>
          <w:rFonts w:cs="Times New Roman"/>
        </w:rPr>
        <w:t xml:space="preserve">, its electricity sector and </w:t>
      </w:r>
      <w:r w:rsidRPr="00AA1887">
        <w:rPr>
          <w:rFonts w:cs="Times New Roman"/>
        </w:rPr>
        <w:t>elite-level decision</w:t>
      </w:r>
      <w:r w:rsidR="006949F3">
        <w:rPr>
          <w:rFonts w:cs="Times New Roman"/>
        </w:rPr>
        <w:t xml:space="preserve"> </w:t>
      </w:r>
      <w:r w:rsidRPr="00AA1887">
        <w:rPr>
          <w:rFonts w:cs="Times New Roman"/>
        </w:rPr>
        <w:t xml:space="preserve">making. Second, we </w:t>
      </w:r>
      <w:r w:rsidR="00D33792">
        <w:rPr>
          <w:rFonts w:cs="Times New Roman"/>
        </w:rPr>
        <w:t>contribute to</w:t>
      </w:r>
      <w:r w:rsidRPr="00AA1887">
        <w:rPr>
          <w:rFonts w:cs="Times New Roman"/>
        </w:rPr>
        <w:t xml:space="preserve"> </w:t>
      </w:r>
      <w:r w:rsidR="00D33792">
        <w:rPr>
          <w:rFonts w:cs="Times New Roman"/>
        </w:rPr>
        <w:t xml:space="preserve">theorising </w:t>
      </w:r>
      <w:r w:rsidRPr="00AA1887">
        <w:rPr>
          <w:rFonts w:cs="Times New Roman"/>
        </w:rPr>
        <w:t>the under-conceptuali</w:t>
      </w:r>
      <w:r w:rsidR="00C73609">
        <w:rPr>
          <w:rFonts w:cs="Times New Roman"/>
        </w:rPr>
        <w:t>z</w:t>
      </w:r>
      <w:r w:rsidRPr="00AA1887">
        <w:rPr>
          <w:rFonts w:cs="Times New Roman"/>
        </w:rPr>
        <w:t xml:space="preserve">ed relationship between the civil service and top politicians. The Rwandan case </w:t>
      </w:r>
      <w:proofErr w:type="gramStart"/>
      <w:r w:rsidR="00D33792">
        <w:rPr>
          <w:rFonts w:cs="Times New Roman"/>
        </w:rPr>
        <w:t>evidences</w:t>
      </w:r>
      <w:proofErr w:type="gramEnd"/>
      <w:r w:rsidR="00D33792">
        <w:rPr>
          <w:rFonts w:cs="Times New Roman"/>
        </w:rPr>
        <w:t xml:space="preserve"> why </w:t>
      </w:r>
      <w:r w:rsidR="00D33792" w:rsidRPr="00AA1887">
        <w:rPr>
          <w:rFonts w:cs="Times New Roman"/>
        </w:rPr>
        <w:t xml:space="preserve">the popular concept of ‘bureaucratic autonomy’ </w:t>
      </w:r>
      <w:r w:rsidR="00D33792">
        <w:rPr>
          <w:rFonts w:cs="Times New Roman"/>
        </w:rPr>
        <w:t>should be</w:t>
      </w:r>
      <w:r w:rsidRPr="00AA1887">
        <w:rPr>
          <w:rFonts w:cs="Times New Roman"/>
        </w:rPr>
        <w:t xml:space="preserve"> </w:t>
      </w:r>
      <w:r w:rsidR="007116A7">
        <w:rPr>
          <w:rFonts w:cs="Times New Roman"/>
        </w:rPr>
        <w:t>unpack</w:t>
      </w:r>
      <w:r w:rsidR="00D33792">
        <w:rPr>
          <w:rFonts w:cs="Times New Roman"/>
        </w:rPr>
        <w:t>ed</w:t>
      </w:r>
      <w:r w:rsidRPr="00AA1887">
        <w:rPr>
          <w:rFonts w:cs="Times New Roman"/>
        </w:rPr>
        <w:t xml:space="preserve"> </w:t>
      </w:r>
      <w:r w:rsidR="00DC475E">
        <w:rPr>
          <w:rFonts w:cs="Times New Roman"/>
        </w:rPr>
        <w:t>to better</w:t>
      </w:r>
      <w:r w:rsidR="0028332A">
        <w:rPr>
          <w:rFonts w:cs="Times New Roman"/>
        </w:rPr>
        <w:t xml:space="preserve"> conceptuali</w:t>
      </w:r>
      <w:r w:rsidR="00C73609">
        <w:rPr>
          <w:rFonts w:cs="Times New Roman"/>
        </w:rPr>
        <w:t>z</w:t>
      </w:r>
      <w:r w:rsidR="00DC475E">
        <w:rPr>
          <w:rFonts w:cs="Times New Roman"/>
        </w:rPr>
        <w:t>e</w:t>
      </w:r>
      <w:r w:rsidR="0028332A">
        <w:rPr>
          <w:rFonts w:cs="Times New Roman"/>
        </w:rPr>
        <w:t xml:space="preserve"> </w:t>
      </w:r>
      <w:r w:rsidR="007116A7">
        <w:rPr>
          <w:rFonts w:cs="Times New Roman"/>
        </w:rPr>
        <w:t>the ideal balance of power between officials and the state</w:t>
      </w:r>
      <w:r w:rsidR="0028332A">
        <w:rPr>
          <w:rFonts w:cs="Times New Roman"/>
        </w:rPr>
        <w:t xml:space="preserve"> that best supports </w:t>
      </w:r>
      <w:r w:rsidR="006949F3">
        <w:rPr>
          <w:rFonts w:cs="Times New Roman"/>
        </w:rPr>
        <w:t>developmental outcomes</w:t>
      </w:r>
      <w:r w:rsidRPr="00AA1887">
        <w:rPr>
          <w:rFonts w:cs="Times New Roman"/>
        </w:rPr>
        <w:t>. Third,</w:t>
      </w:r>
      <w:r w:rsidR="008436F0">
        <w:rPr>
          <w:rFonts w:cs="Times New Roman"/>
        </w:rPr>
        <w:t xml:space="preserve"> </w:t>
      </w:r>
      <w:r w:rsidR="008436F0" w:rsidRPr="00AA1887">
        <w:rPr>
          <w:rFonts w:cs="Times New Roman"/>
        </w:rPr>
        <w:t>theoretically</w:t>
      </w:r>
      <w:r w:rsidRPr="00AA1887">
        <w:rPr>
          <w:rFonts w:cs="Times New Roman"/>
        </w:rPr>
        <w:t xml:space="preserve"> we question </w:t>
      </w:r>
      <w:r w:rsidR="00C73609">
        <w:rPr>
          <w:rFonts w:cs="Times New Roman"/>
        </w:rPr>
        <w:t xml:space="preserve">the </w:t>
      </w:r>
      <w:r w:rsidR="00483E08">
        <w:rPr>
          <w:rFonts w:cs="Times New Roman"/>
        </w:rPr>
        <w:t>PSF</w:t>
      </w:r>
      <w:r w:rsidR="00654F40">
        <w:rPr>
          <w:rFonts w:cs="Times New Roman"/>
        </w:rPr>
        <w:t>’</w:t>
      </w:r>
      <w:r w:rsidR="00C73609">
        <w:rPr>
          <w:rFonts w:cs="Times New Roman"/>
        </w:rPr>
        <w:t>s</w:t>
      </w:r>
      <w:r w:rsidRPr="00AA1887">
        <w:rPr>
          <w:rFonts w:cs="Times New Roman"/>
        </w:rPr>
        <w:t xml:space="preserve"> premise that concentrat</w:t>
      </w:r>
      <w:r w:rsidR="00654F40">
        <w:rPr>
          <w:rFonts w:cs="Times New Roman"/>
        </w:rPr>
        <w:t xml:space="preserve">ed </w:t>
      </w:r>
      <w:r w:rsidRPr="00AA1887">
        <w:rPr>
          <w:rFonts w:cs="Times New Roman"/>
        </w:rPr>
        <w:t>power in a ruling group generates conditions directly conducive to development.</w:t>
      </w:r>
    </w:p>
    <w:p w14:paraId="16D17B38" w14:textId="5E10CC87" w:rsidR="00BC64C9" w:rsidRPr="00AA1887" w:rsidRDefault="00F93A28" w:rsidP="002C6CB0">
      <w:pPr>
        <w:spacing w:line="480" w:lineRule="auto"/>
        <w:ind w:firstLine="720"/>
        <w:jc w:val="both"/>
        <w:rPr>
          <w:rFonts w:eastAsia="Times New Roman" w:cs="Times New Roman"/>
        </w:rPr>
      </w:pPr>
      <w:r w:rsidRPr="00AA1887">
        <w:rPr>
          <w:rFonts w:eastAsia="Times New Roman" w:cs="Times New Roman"/>
        </w:rPr>
        <w:t>T</w:t>
      </w:r>
      <w:r w:rsidR="00BD388F" w:rsidRPr="00AA1887">
        <w:rPr>
          <w:rFonts w:eastAsia="Times New Roman" w:cs="Times New Roman"/>
        </w:rPr>
        <w:t xml:space="preserve">his article draws on qualitative research conducted between 2013 and 2018 during repeated fieldwork by the two authors. It involved 90 semi-structured interviews with a variety of actors selected purposively due to their knowledge of policies, decision-making </w:t>
      </w:r>
      <w:r w:rsidR="00FB3F69" w:rsidRPr="00AA1887">
        <w:rPr>
          <w:rFonts w:eastAsia="Times New Roman" w:cs="Times New Roman"/>
        </w:rPr>
        <w:t>processes,</w:t>
      </w:r>
      <w:r w:rsidR="00BD388F" w:rsidRPr="00AA1887">
        <w:rPr>
          <w:rFonts w:eastAsia="Times New Roman" w:cs="Times New Roman"/>
        </w:rPr>
        <w:t xml:space="preserve"> and infrastructure projects. They included Rwandan current and former PRF officials, especially former ministers, civil servants, advisors in the Ministry of Infrastructure (</w:t>
      </w:r>
      <w:proofErr w:type="spellStart"/>
      <w:r w:rsidR="00BD388F" w:rsidRPr="00AA1887">
        <w:rPr>
          <w:rFonts w:eastAsia="Times New Roman" w:cs="Times New Roman"/>
        </w:rPr>
        <w:t>Mininfra</w:t>
      </w:r>
      <w:proofErr w:type="spellEnd"/>
      <w:r w:rsidR="00BD388F" w:rsidRPr="00AA1887">
        <w:rPr>
          <w:rFonts w:eastAsia="Times New Roman" w:cs="Times New Roman"/>
        </w:rPr>
        <w:t xml:space="preserve">) and in the Energy Utility, employees from private companies, as well as </w:t>
      </w:r>
      <w:r w:rsidR="003C1D66">
        <w:rPr>
          <w:rFonts w:eastAsia="Times New Roman" w:cs="Times New Roman"/>
        </w:rPr>
        <w:t xml:space="preserve">aid </w:t>
      </w:r>
      <w:r w:rsidR="00BD388F" w:rsidRPr="00AA1887">
        <w:rPr>
          <w:rFonts w:eastAsia="Times New Roman" w:cs="Times New Roman"/>
        </w:rPr>
        <w:t xml:space="preserve">donor organisations and consultancies involved in the electricity sector. </w:t>
      </w:r>
      <w:r w:rsidR="000D0BAC">
        <w:rPr>
          <w:rFonts w:eastAsia="Times New Roman" w:cs="Times New Roman"/>
        </w:rPr>
        <w:t>This rich data</w:t>
      </w:r>
      <w:r w:rsidR="000D0BAC" w:rsidRPr="00AA1887">
        <w:rPr>
          <w:rFonts w:eastAsia="Times New Roman" w:cs="Times New Roman"/>
        </w:rPr>
        <w:t xml:space="preserve"> </w:t>
      </w:r>
      <w:r w:rsidR="000D0BAC">
        <w:rPr>
          <w:rFonts w:eastAsia="Times New Roman" w:cs="Times New Roman"/>
        </w:rPr>
        <w:t>underpinned</w:t>
      </w:r>
      <w:r w:rsidR="00BD388F" w:rsidRPr="00AA1887">
        <w:rPr>
          <w:rFonts w:eastAsia="Times New Roman" w:cs="Times New Roman"/>
        </w:rPr>
        <w:t xml:space="preserve"> process tracing, </w:t>
      </w:r>
      <w:r w:rsidR="000D0BAC">
        <w:rPr>
          <w:rFonts w:eastAsia="Times New Roman" w:cs="Times New Roman"/>
        </w:rPr>
        <w:t>the tracing of the</w:t>
      </w:r>
      <w:r w:rsidR="00BD388F" w:rsidRPr="00AA1887">
        <w:rPr>
          <w:rFonts w:eastAsia="Times New Roman" w:cs="Times New Roman"/>
        </w:rPr>
        <w:t xml:space="preserve"> </w:t>
      </w:r>
      <w:r w:rsidR="003F399E">
        <w:rPr>
          <w:rFonts w:eastAsia="Times New Roman" w:cs="Times New Roman"/>
        </w:rPr>
        <w:t>‘</w:t>
      </w:r>
      <w:r w:rsidR="00BD388F" w:rsidRPr="00AA1887">
        <w:rPr>
          <w:rFonts w:eastAsia="Times New Roman" w:cs="Times New Roman"/>
        </w:rPr>
        <w:t xml:space="preserve">decision process by which various initial conditions are translated into </w:t>
      </w:r>
      <w:proofErr w:type="gramStart"/>
      <w:r w:rsidR="00BD388F" w:rsidRPr="00AA1887">
        <w:rPr>
          <w:rFonts w:eastAsia="Times New Roman" w:cs="Times New Roman"/>
        </w:rPr>
        <w:t>outcomes</w:t>
      </w:r>
      <w:r w:rsidR="003F399E">
        <w:rPr>
          <w:rFonts w:eastAsia="Times New Roman" w:cs="Times New Roman"/>
        </w:rPr>
        <w:t>’</w:t>
      </w:r>
      <w:proofErr w:type="gramEnd"/>
      <w:r w:rsidR="00BD388F" w:rsidRPr="00AA1887">
        <w:rPr>
          <w:rFonts w:eastAsia="Times New Roman" w:cs="Times New Roman"/>
        </w:rPr>
        <w:t>.</w:t>
      </w:r>
      <w:r w:rsidR="00BD388F" w:rsidRPr="00AA1887">
        <w:rPr>
          <w:rFonts w:eastAsia="Times New Roman" w:cs="Times New Roman"/>
          <w:vertAlign w:val="superscript"/>
        </w:rPr>
        <w:footnoteReference w:id="11"/>
      </w:r>
      <w:r w:rsidR="00BD388F" w:rsidRPr="00AA1887">
        <w:rPr>
          <w:rFonts w:eastAsia="Times New Roman" w:cs="Times New Roman"/>
        </w:rPr>
        <w:t xml:space="preserve"> </w:t>
      </w:r>
      <w:r w:rsidR="00FB3F69">
        <w:rPr>
          <w:rFonts w:eastAsia="Times New Roman" w:cs="Times New Roman"/>
        </w:rPr>
        <w:t xml:space="preserve">Following Fairfield, we tried to improve the transparency of </w:t>
      </w:r>
      <w:r w:rsidR="00FB3F69">
        <w:rPr>
          <w:rFonts w:eastAsia="Times New Roman" w:cs="Times New Roman"/>
        </w:rPr>
        <w:lastRenderedPageBreak/>
        <w:t>process tracing by including quotes of people directly involved in the decisions being analysed as well as considering alternative explanations in a dedicated section.</w:t>
      </w:r>
      <w:r w:rsidR="00FB3F69">
        <w:rPr>
          <w:rStyle w:val="FootnoteReference"/>
          <w:rFonts w:eastAsia="Times New Roman" w:cs="Times New Roman"/>
        </w:rPr>
        <w:footnoteReference w:id="12"/>
      </w:r>
      <w:r w:rsidR="00590037">
        <w:rPr>
          <w:rFonts w:eastAsia="Times New Roman" w:cs="Times New Roman"/>
        </w:rPr>
        <w:t xml:space="preserve"> </w:t>
      </w:r>
      <w:r w:rsidR="000F5C78">
        <w:rPr>
          <w:rFonts w:eastAsia="Times New Roman" w:cs="Times New Roman"/>
        </w:rPr>
        <w:t>A key challenge in this research is the sensitivity of the topic</w:t>
      </w:r>
      <w:r w:rsidR="001666A4">
        <w:rPr>
          <w:rFonts w:eastAsia="Times New Roman" w:cs="Times New Roman"/>
        </w:rPr>
        <w:t xml:space="preserve">. It required </w:t>
      </w:r>
      <w:r w:rsidR="0097491D">
        <w:rPr>
          <w:rFonts w:eastAsia="Times New Roman" w:cs="Times New Roman"/>
        </w:rPr>
        <w:t>understanding of</w:t>
      </w:r>
      <w:r w:rsidR="000F5C78">
        <w:rPr>
          <w:rFonts w:eastAsia="Times New Roman" w:cs="Times New Roman"/>
        </w:rPr>
        <w:t xml:space="preserve"> top decision-making about a crucial sector</w:t>
      </w:r>
      <w:r w:rsidR="0097491D">
        <w:rPr>
          <w:rFonts w:eastAsia="Times New Roman" w:cs="Times New Roman"/>
        </w:rPr>
        <w:t>, but</w:t>
      </w:r>
      <w:r w:rsidR="000F5C78">
        <w:rPr>
          <w:rFonts w:eastAsia="Times New Roman" w:cs="Times New Roman"/>
        </w:rPr>
        <w:t xml:space="preserve"> in a closed regime devoting significant resources to protect its reputation. This potentially </w:t>
      </w:r>
      <w:r w:rsidR="00864EBF">
        <w:rPr>
          <w:rFonts w:eastAsia="Times New Roman" w:cs="Times New Roman"/>
        </w:rPr>
        <w:t>creates</w:t>
      </w:r>
      <w:r w:rsidR="000F5C78">
        <w:rPr>
          <w:rFonts w:eastAsia="Times New Roman" w:cs="Times New Roman"/>
        </w:rPr>
        <w:t xml:space="preserve"> self-censorship from informants, especially towards </w:t>
      </w:r>
      <w:r w:rsidR="00864EBF">
        <w:rPr>
          <w:rFonts w:eastAsia="Times New Roman" w:cs="Times New Roman"/>
        </w:rPr>
        <w:t>foreign researchers</w:t>
      </w:r>
      <w:r w:rsidR="000F5C78">
        <w:rPr>
          <w:rFonts w:eastAsia="Times New Roman" w:cs="Times New Roman"/>
        </w:rPr>
        <w:t xml:space="preserve">. </w:t>
      </w:r>
      <w:r w:rsidR="00864EBF">
        <w:rPr>
          <w:rFonts w:eastAsia="Times New Roman" w:cs="Times New Roman"/>
        </w:rPr>
        <w:t>While aware of these limits,</w:t>
      </w:r>
      <w:r w:rsidR="002C6CB0" w:rsidRPr="00AA1887">
        <w:rPr>
          <w:rFonts w:eastAsia="Times New Roman" w:cs="Times New Roman"/>
        </w:rPr>
        <w:t xml:space="preserve"> </w:t>
      </w:r>
      <w:r w:rsidR="00864EBF">
        <w:rPr>
          <w:rFonts w:eastAsia="Times New Roman" w:cs="Times New Roman"/>
        </w:rPr>
        <w:t>we followed others</w:t>
      </w:r>
      <w:r w:rsidR="002C6CB0" w:rsidRPr="00AA1887">
        <w:rPr>
          <w:rFonts w:eastAsia="Times New Roman" w:cs="Times New Roman"/>
        </w:rPr>
        <w:t xml:space="preserve"> working in authoritarian contexts,</w:t>
      </w:r>
      <w:r w:rsidR="00301E35" w:rsidRPr="00AA1887">
        <w:rPr>
          <w:rStyle w:val="FootnoteReference"/>
          <w:rFonts w:eastAsia="Times New Roman" w:cs="Times New Roman"/>
        </w:rPr>
        <w:footnoteReference w:id="13"/>
      </w:r>
      <w:r w:rsidR="002C6CB0" w:rsidRPr="00AA1887">
        <w:rPr>
          <w:rFonts w:eastAsia="Times New Roman" w:cs="Times New Roman"/>
        </w:rPr>
        <w:t xml:space="preserve"> </w:t>
      </w:r>
      <w:r w:rsidR="00864EBF">
        <w:rPr>
          <w:rFonts w:eastAsia="Times New Roman" w:cs="Times New Roman"/>
        </w:rPr>
        <w:t xml:space="preserve">considering that </w:t>
      </w:r>
      <w:r w:rsidR="002C6CB0" w:rsidRPr="00AA1887">
        <w:rPr>
          <w:rFonts w:eastAsia="Times New Roman" w:cs="Times New Roman"/>
        </w:rPr>
        <w:t>analytical rigour stems from the authors’ deep</w:t>
      </w:r>
      <w:r w:rsidR="00E935E1">
        <w:rPr>
          <w:rFonts w:eastAsia="Times New Roman" w:cs="Times New Roman"/>
        </w:rPr>
        <w:t xml:space="preserve"> and long-lasting</w:t>
      </w:r>
      <w:r w:rsidR="002C6CB0" w:rsidRPr="00AA1887">
        <w:rPr>
          <w:rFonts w:eastAsia="Times New Roman" w:cs="Times New Roman"/>
        </w:rPr>
        <w:t xml:space="preserve"> empirical engagement</w:t>
      </w:r>
      <w:r w:rsidR="00864EBF">
        <w:rPr>
          <w:rFonts w:eastAsia="Times New Roman" w:cs="Times New Roman"/>
        </w:rPr>
        <w:t xml:space="preserve"> with </w:t>
      </w:r>
      <w:r w:rsidR="002C6CB0" w:rsidRPr="00AA1887">
        <w:rPr>
          <w:rFonts w:eastAsia="Times New Roman" w:cs="Times New Roman"/>
        </w:rPr>
        <w:t>the country,</w:t>
      </w:r>
      <w:r w:rsidR="00864EBF">
        <w:rPr>
          <w:rFonts w:eastAsia="Times New Roman" w:cs="Times New Roman"/>
        </w:rPr>
        <w:t xml:space="preserve"> which allows </w:t>
      </w:r>
      <w:r w:rsidR="00E935E1">
        <w:rPr>
          <w:rFonts w:eastAsia="Times New Roman" w:cs="Times New Roman"/>
        </w:rPr>
        <w:t>time to build trust</w:t>
      </w:r>
      <w:r w:rsidR="00ED70AD">
        <w:rPr>
          <w:rFonts w:eastAsia="Times New Roman" w:cs="Times New Roman"/>
        </w:rPr>
        <w:t>ed contacts</w:t>
      </w:r>
      <w:r w:rsidR="00864EBF">
        <w:rPr>
          <w:rFonts w:eastAsia="Times New Roman" w:cs="Times New Roman"/>
        </w:rPr>
        <w:t>,</w:t>
      </w:r>
      <w:r w:rsidR="002C6CB0" w:rsidRPr="00AA1887">
        <w:rPr>
          <w:rFonts w:eastAsia="Times New Roman" w:cs="Times New Roman"/>
        </w:rPr>
        <w:t xml:space="preserve"> alongside triangulation that pieces together </w:t>
      </w:r>
      <w:r w:rsidR="00ED70AD">
        <w:rPr>
          <w:rFonts w:eastAsia="Times New Roman" w:cs="Times New Roman"/>
        </w:rPr>
        <w:t>different types of sources (internal/external of government) and evidence</w:t>
      </w:r>
      <w:r w:rsidR="002C6CB0" w:rsidRPr="00AA1887">
        <w:rPr>
          <w:rFonts w:eastAsia="Times New Roman" w:cs="Times New Roman"/>
        </w:rPr>
        <w:t xml:space="preserve"> </w:t>
      </w:r>
      <w:r w:rsidR="00ED70AD">
        <w:rPr>
          <w:rFonts w:eastAsia="Times New Roman" w:cs="Times New Roman"/>
        </w:rPr>
        <w:t>(interviews, documents)</w:t>
      </w:r>
      <w:r w:rsidR="00BD388F" w:rsidRPr="00AA1887">
        <w:rPr>
          <w:rFonts w:eastAsia="Times New Roman" w:cs="Times New Roman"/>
        </w:rPr>
        <w:t>. Because of the need to protect sources, quotes are anonymi</w:t>
      </w:r>
      <w:r w:rsidR="00C73609">
        <w:rPr>
          <w:rFonts w:eastAsia="Times New Roman" w:cs="Times New Roman"/>
        </w:rPr>
        <w:t>z</w:t>
      </w:r>
      <w:r w:rsidR="00BD388F" w:rsidRPr="00AA1887">
        <w:rPr>
          <w:rFonts w:eastAsia="Times New Roman" w:cs="Times New Roman"/>
        </w:rPr>
        <w:t>ed.</w:t>
      </w:r>
    </w:p>
    <w:p w14:paraId="22D68344" w14:textId="77777777" w:rsidR="00E205A2" w:rsidRDefault="00E205A2" w:rsidP="004A3135">
      <w:pPr>
        <w:spacing w:line="480" w:lineRule="auto"/>
        <w:jc w:val="both"/>
        <w:rPr>
          <w:rFonts w:cs="Times New Roman"/>
          <w:b/>
          <w:bCs/>
        </w:rPr>
      </w:pPr>
    </w:p>
    <w:p w14:paraId="4F68D97C" w14:textId="77777777" w:rsidR="00E205A2" w:rsidRDefault="00E205A2" w:rsidP="004A3135">
      <w:pPr>
        <w:spacing w:line="480" w:lineRule="auto"/>
        <w:jc w:val="both"/>
        <w:rPr>
          <w:rFonts w:cs="Times New Roman"/>
          <w:b/>
          <w:bCs/>
        </w:rPr>
      </w:pPr>
    </w:p>
    <w:p w14:paraId="7A6BA742" w14:textId="6BDE3CB4" w:rsidR="00CB6B3E" w:rsidRPr="00E205A2" w:rsidRDefault="00CB6B3E" w:rsidP="004A3135">
      <w:pPr>
        <w:spacing w:line="480" w:lineRule="auto"/>
        <w:jc w:val="both"/>
        <w:rPr>
          <w:rFonts w:eastAsia="Times New Roman" w:cs="Times New Roman"/>
          <w:i/>
          <w:iCs/>
        </w:rPr>
      </w:pPr>
      <w:r w:rsidRPr="00E205A2">
        <w:rPr>
          <w:rFonts w:cs="Times New Roman"/>
          <w:i/>
          <w:iCs/>
        </w:rPr>
        <w:t xml:space="preserve">The blind spots of </w:t>
      </w:r>
      <w:r w:rsidR="00C73609">
        <w:rPr>
          <w:rFonts w:cs="Times New Roman"/>
          <w:i/>
          <w:iCs/>
        </w:rPr>
        <w:t xml:space="preserve">the </w:t>
      </w:r>
      <w:r w:rsidRPr="00E205A2">
        <w:rPr>
          <w:rFonts w:cs="Times New Roman"/>
          <w:i/>
          <w:iCs/>
        </w:rPr>
        <w:t xml:space="preserve">political </w:t>
      </w:r>
      <w:proofErr w:type="gramStart"/>
      <w:r w:rsidR="00E15B43">
        <w:rPr>
          <w:rFonts w:cs="Times New Roman"/>
          <w:i/>
          <w:iCs/>
        </w:rPr>
        <w:t>settlements</w:t>
      </w:r>
      <w:proofErr w:type="gramEnd"/>
      <w:r w:rsidR="00E15B43">
        <w:rPr>
          <w:rFonts w:cs="Times New Roman"/>
          <w:i/>
          <w:iCs/>
        </w:rPr>
        <w:t xml:space="preserve"> </w:t>
      </w:r>
      <w:r w:rsidRPr="00E205A2">
        <w:rPr>
          <w:rFonts w:cs="Times New Roman"/>
          <w:i/>
          <w:iCs/>
        </w:rPr>
        <w:t>framework and bureaucratic autonomy</w:t>
      </w:r>
    </w:p>
    <w:p w14:paraId="57F0C405" w14:textId="77777777" w:rsidR="00E205A2" w:rsidRDefault="00E205A2" w:rsidP="00E205A2">
      <w:pPr>
        <w:spacing w:line="480" w:lineRule="auto"/>
        <w:jc w:val="both"/>
        <w:rPr>
          <w:rFonts w:cs="Times New Roman"/>
        </w:rPr>
      </w:pPr>
    </w:p>
    <w:p w14:paraId="6684D36A" w14:textId="2E940D73" w:rsidR="00AA2C3F" w:rsidRPr="00AA1887" w:rsidRDefault="00AA2C3F" w:rsidP="00E205A2">
      <w:pPr>
        <w:spacing w:line="480" w:lineRule="auto"/>
        <w:jc w:val="both"/>
        <w:rPr>
          <w:rFonts w:cs="Times New Roman"/>
        </w:rPr>
      </w:pPr>
      <w:r w:rsidRPr="00AA1887">
        <w:rPr>
          <w:rFonts w:cs="Times New Roman"/>
        </w:rPr>
        <w:t xml:space="preserve">Mushtaq Khan’s </w:t>
      </w:r>
      <w:r w:rsidR="003D698D" w:rsidRPr="00AA1887">
        <w:rPr>
          <w:rFonts w:cs="Times New Roman"/>
        </w:rPr>
        <w:t>PSF</w:t>
      </w:r>
      <w:r w:rsidR="00CA0631" w:rsidRPr="00AA1887">
        <w:rPr>
          <w:rStyle w:val="FootnoteReference"/>
          <w:rFonts w:cs="Times New Roman"/>
        </w:rPr>
        <w:footnoteReference w:id="14"/>
      </w:r>
      <w:r w:rsidRPr="00AA1887">
        <w:rPr>
          <w:rFonts w:cs="Times New Roman"/>
        </w:rPr>
        <w:t xml:space="preserve"> has</w:t>
      </w:r>
      <w:r w:rsidR="007262D7">
        <w:rPr>
          <w:rFonts w:cs="Times New Roman"/>
        </w:rPr>
        <w:t xml:space="preserve"> become increasingly popular</w:t>
      </w:r>
      <w:r w:rsidR="002146AA">
        <w:rPr>
          <w:rFonts w:cs="Times New Roman"/>
        </w:rPr>
        <w:t xml:space="preserve"> since the 2010s</w:t>
      </w:r>
      <w:r w:rsidR="007262D7">
        <w:rPr>
          <w:rFonts w:cs="Times New Roman"/>
        </w:rPr>
        <w:t>.</w:t>
      </w:r>
      <w:r w:rsidRPr="00AA1887">
        <w:rPr>
          <w:rFonts w:cs="Times New Roman"/>
        </w:rPr>
        <w:t xml:space="preserve"> The framework's core premise is that </w:t>
      </w:r>
      <w:r w:rsidR="003F399E">
        <w:rPr>
          <w:rFonts w:cs="Times New Roman"/>
        </w:rPr>
        <w:t>‘</w:t>
      </w:r>
      <w:r w:rsidRPr="00AA1887">
        <w:rPr>
          <w:rFonts w:cs="Times New Roman"/>
        </w:rPr>
        <w:t>the distribution of power across organizations [is] usually the most important determinant of the path of institutional change, and the effectiveness of particular institutions</w:t>
      </w:r>
      <w:r w:rsidR="003F399E">
        <w:rPr>
          <w:rFonts w:cs="Times New Roman"/>
        </w:rPr>
        <w:t>’</w:t>
      </w:r>
      <w:r w:rsidR="0004068B">
        <w:rPr>
          <w:rFonts w:cs="Times New Roman"/>
        </w:rPr>
        <w:t>.</w:t>
      </w:r>
      <w:r w:rsidR="00667415" w:rsidRPr="00AA1887">
        <w:rPr>
          <w:rStyle w:val="FootnoteReference"/>
          <w:rFonts w:cs="Times New Roman"/>
        </w:rPr>
        <w:footnoteReference w:id="15"/>
      </w:r>
      <w:r w:rsidRPr="00AA1887">
        <w:rPr>
          <w:rFonts w:cs="Times New Roman"/>
        </w:rPr>
        <w:t xml:space="preserve"> Political settlements theory assumes that concentrated political power in a ruling coalition creates the most conducive conditions for development.</w:t>
      </w:r>
      <w:r w:rsidRPr="00AA1887">
        <w:rPr>
          <w:rFonts w:cs="Times New Roman"/>
          <w:vertAlign w:val="superscript"/>
        </w:rPr>
        <w:footnoteReference w:id="16"/>
      </w:r>
      <w:r w:rsidRPr="00AA1887">
        <w:rPr>
          <w:rFonts w:cs="Times New Roman"/>
        </w:rPr>
        <w:t xml:space="preserve"> </w:t>
      </w:r>
      <w:r w:rsidR="00A3052A">
        <w:rPr>
          <w:rFonts w:cs="Times New Roman"/>
        </w:rPr>
        <w:t>These conditions, given insulation from societal, or democratic, pressures</w:t>
      </w:r>
      <w:r w:rsidR="00A3052A" w:rsidRPr="00AA1887">
        <w:rPr>
          <w:rFonts w:cs="Times New Roman"/>
        </w:rPr>
        <w:t xml:space="preserve"> </w:t>
      </w:r>
      <w:r w:rsidR="00387BDD">
        <w:rPr>
          <w:rFonts w:cs="Times New Roman"/>
        </w:rPr>
        <w:t>allows</w:t>
      </w:r>
      <w:r w:rsidR="00CB6B3E" w:rsidRPr="00AA1887">
        <w:rPr>
          <w:rFonts w:cs="Times New Roman"/>
        </w:rPr>
        <w:t xml:space="preserve"> </w:t>
      </w:r>
      <w:r w:rsidR="00353EE1">
        <w:rPr>
          <w:rFonts w:cs="Times New Roman"/>
        </w:rPr>
        <w:t xml:space="preserve">rulers a longer-term time horizon as </w:t>
      </w:r>
      <w:r w:rsidR="00353EE1">
        <w:rPr>
          <w:rFonts w:cs="Times New Roman"/>
        </w:rPr>
        <w:lastRenderedPageBreak/>
        <w:t xml:space="preserve">they feel more secure and are thus more likely to implement </w:t>
      </w:r>
      <w:r w:rsidR="00A67AD6">
        <w:rPr>
          <w:rFonts w:cs="Times New Roman"/>
        </w:rPr>
        <w:t xml:space="preserve">unhindered </w:t>
      </w:r>
      <w:r w:rsidR="00056915">
        <w:rPr>
          <w:rFonts w:cs="Times New Roman"/>
        </w:rPr>
        <w:t xml:space="preserve">effective </w:t>
      </w:r>
      <w:r w:rsidR="00353EE1">
        <w:rPr>
          <w:rFonts w:cs="Times New Roman"/>
        </w:rPr>
        <w:t>polic</w:t>
      </w:r>
      <w:r w:rsidR="00A67AD6">
        <w:rPr>
          <w:rFonts w:cs="Times New Roman"/>
        </w:rPr>
        <w:t>ies</w:t>
      </w:r>
      <w:r w:rsidR="00353EE1">
        <w:rPr>
          <w:rFonts w:cs="Times New Roman"/>
        </w:rPr>
        <w:t>.</w:t>
      </w:r>
      <w:r w:rsidR="00CA0631">
        <w:rPr>
          <w:rStyle w:val="FootnoteReference"/>
          <w:rFonts w:cs="Times New Roman"/>
        </w:rPr>
        <w:footnoteReference w:id="17"/>
      </w:r>
      <w:r w:rsidR="008F142A" w:rsidRPr="00AA1887">
        <w:rPr>
          <w:rFonts w:cs="Times New Roman"/>
        </w:rPr>
        <w:t xml:space="preserve"> </w:t>
      </w:r>
      <w:r w:rsidRPr="00AA1887">
        <w:rPr>
          <w:rFonts w:cs="Times New Roman"/>
        </w:rPr>
        <w:t>Such ruling coalition</w:t>
      </w:r>
      <w:r w:rsidR="00CB6B3E" w:rsidRPr="00AA1887">
        <w:rPr>
          <w:rFonts w:cs="Times New Roman"/>
        </w:rPr>
        <w:t xml:space="preserve">s, generally labelled </w:t>
      </w:r>
      <w:r w:rsidR="003F399E">
        <w:rPr>
          <w:rFonts w:cs="Times New Roman"/>
        </w:rPr>
        <w:t>‘</w:t>
      </w:r>
      <w:r w:rsidR="00CB6B3E" w:rsidRPr="00AA1887">
        <w:rPr>
          <w:rFonts w:cs="Times New Roman"/>
        </w:rPr>
        <w:t>dominant party settlements</w:t>
      </w:r>
      <w:r w:rsidR="003F399E">
        <w:rPr>
          <w:rFonts w:cs="Times New Roman"/>
        </w:rPr>
        <w:t>’</w:t>
      </w:r>
      <w:r w:rsidR="00CB6B3E" w:rsidRPr="00AA1887">
        <w:rPr>
          <w:rFonts w:cs="Times New Roman"/>
        </w:rPr>
        <w:t>,</w:t>
      </w:r>
      <w:r w:rsidRPr="00AA1887">
        <w:rPr>
          <w:rFonts w:cs="Times New Roman"/>
        </w:rPr>
        <w:t xml:space="preserve"> can insulate their bureaucracies from societal pressures, allowing supposedly technically-optimum decisions. </w:t>
      </w:r>
      <w:r w:rsidR="008F142A" w:rsidRPr="00AA1887">
        <w:rPr>
          <w:rFonts w:cs="Times New Roman"/>
        </w:rPr>
        <w:t xml:space="preserve">Conversely, when power is fragmented, with groups vying for </w:t>
      </w:r>
      <w:r w:rsidR="009563B9">
        <w:rPr>
          <w:rFonts w:cs="Times New Roman"/>
        </w:rPr>
        <w:t>supremacy</w:t>
      </w:r>
      <w:r w:rsidR="009563B9" w:rsidRPr="00AA1887">
        <w:rPr>
          <w:rFonts w:cs="Times New Roman"/>
        </w:rPr>
        <w:t xml:space="preserve"> </w:t>
      </w:r>
      <w:r w:rsidR="008F142A" w:rsidRPr="00AA1887">
        <w:rPr>
          <w:rFonts w:cs="Times New Roman"/>
        </w:rPr>
        <w:t xml:space="preserve">and the population multiplying demands on the centre, </w:t>
      </w:r>
      <w:r w:rsidR="00056915">
        <w:rPr>
          <w:rFonts w:cs="Times New Roman"/>
        </w:rPr>
        <w:t xml:space="preserve">long-term developmental policies are less likely </w:t>
      </w:r>
      <w:r w:rsidR="00353EE1">
        <w:rPr>
          <w:rFonts w:cs="Times New Roman"/>
        </w:rPr>
        <w:t>given the incentive</w:t>
      </w:r>
      <w:r w:rsidR="00056915">
        <w:rPr>
          <w:rFonts w:cs="Times New Roman"/>
        </w:rPr>
        <w:t>s</w:t>
      </w:r>
      <w:r w:rsidR="00353EE1">
        <w:rPr>
          <w:rFonts w:cs="Times New Roman"/>
        </w:rPr>
        <w:t xml:space="preserve"> to</w:t>
      </w:r>
      <w:r w:rsidR="00056915">
        <w:rPr>
          <w:rFonts w:cs="Times New Roman"/>
        </w:rPr>
        <w:t xml:space="preserve"> use the state to</w:t>
      </w:r>
      <w:r w:rsidR="00353EE1">
        <w:rPr>
          <w:rFonts w:cs="Times New Roman"/>
        </w:rPr>
        <w:t xml:space="preserve"> </w:t>
      </w:r>
      <w:r w:rsidR="00056915">
        <w:rPr>
          <w:rFonts w:cs="Times New Roman"/>
        </w:rPr>
        <w:t>pursue</w:t>
      </w:r>
      <w:r w:rsidR="008F142A" w:rsidRPr="00AA1887">
        <w:rPr>
          <w:rFonts w:cs="Times New Roman"/>
        </w:rPr>
        <w:t xml:space="preserve"> short-term political gains</w:t>
      </w:r>
      <w:r w:rsidR="00056915">
        <w:rPr>
          <w:rFonts w:cs="Times New Roman"/>
        </w:rPr>
        <w:t>.</w:t>
      </w:r>
      <w:r w:rsidR="00CA0631">
        <w:rPr>
          <w:rStyle w:val="FootnoteReference"/>
          <w:rFonts w:cs="Times New Roman"/>
        </w:rPr>
        <w:footnoteReference w:id="18"/>
      </w:r>
    </w:p>
    <w:p w14:paraId="10AF7B1A" w14:textId="711EB674" w:rsidR="00AA2C3F" w:rsidRPr="00AA1887" w:rsidRDefault="00AA2C3F" w:rsidP="004A3135">
      <w:pPr>
        <w:spacing w:line="480" w:lineRule="auto"/>
        <w:ind w:firstLine="720"/>
        <w:jc w:val="both"/>
        <w:rPr>
          <w:rFonts w:cs="Times New Roman"/>
        </w:rPr>
      </w:pPr>
      <w:r w:rsidRPr="00AA1887">
        <w:rPr>
          <w:rFonts w:cs="Times New Roman"/>
        </w:rPr>
        <w:t>These insights are not wholly new</w:t>
      </w:r>
      <w:r w:rsidR="00CA0631">
        <w:rPr>
          <w:rFonts w:cs="Times New Roman"/>
        </w:rPr>
        <w:t>.</w:t>
      </w:r>
      <w:r w:rsidRPr="00AA1887">
        <w:rPr>
          <w:rFonts w:cs="Times New Roman"/>
        </w:rPr>
        <w:t xml:space="preserve"> </w:t>
      </w:r>
      <w:r w:rsidR="00CA0631">
        <w:rPr>
          <w:rFonts w:cs="Times New Roman"/>
        </w:rPr>
        <w:t>T</w:t>
      </w:r>
      <w:r w:rsidRPr="00AA1887">
        <w:rPr>
          <w:rFonts w:cs="Times New Roman"/>
        </w:rPr>
        <w:t xml:space="preserve">he </w:t>
      </w:r>
      <w:r w:rsidR="003D698D" w:rsidRPr="00AA1887">
        <w:rPr>
          <w:rFonts w:cs="Times New Roman"/>
        </w:rPr>
        <w:t>PSF</w:t>
      </w:r>
      <w:r w:rsidRPr="00AA1887">
        <w:rPr>
          <w:rFonts w:cs="Times New Roman"/>
        </w:rPr>
        <w:t xml:space="preserve"> owes much to the older ‘developmental state’ literature that explained the economic transformation </w:t>
      </w:r>
      <w:r w:rsidR="00CA0631">
        <w:rPr>
          <w:rFonts w:cs="Times New Roman"/>
        </w:rPr>
        <w:t xml:space="preserve">of </w:t>
      </w:r>
      <w:r w:rsidR="00F23AA6">
        <w:rPr>
          <w:rFonts w:cs="Times New Roman"/>
        </w:rPr>
        <w:t xml:space="preserve">a range of </w:t>
      </w:r>
      <w:r w:rsidRPr="00AA1887">
        <w:rPr>
          <w:rFonts w:cs="Times New Roman"/>
        </w:rPr>
        <w:t xml:space="preserve">East and South-East Asian states. It echoes this literature’s identification of the state’s centrality to development, the crucial role of politics-business relations and </w:t>
      </w:r>
      <w:r w:rsidR="008F142A" w:rsidRPr="00AA1887">
        <w:rPr>
          <w:rFonts w:cs="Times New Roman"/>
        </w:rPr>
        <w:t xml:space="preserve">the </w:t>
      </w:r>
      <w:r w:rsidRPr="00AA1887">
        <w:rPr>
          <w:rFonts w:cs="Times New Roman"/>
        </w:rPr>
        <w:t xml:space="preserve">importance of </w:t>
      </w:r>
      <w:r w:rsidR="00A3052A">
        <w:rPr>
          <w:rFonts w:cs="Times New Roman"/>
        </w:rPr>
        <w:t xml:space="preserve">concentrated </w:t>
      </w:r>
      <w:r w:rsidRPr="00AA1887">
        <w:rPr>
          <w:rFonts w:cs="Times New Roman"/>
        </w:rPr>
        <w:t>power in directing rents in generating industrialisation</w:t>
      </w:r>
      <w:r w:rsidR="003D698D" w:rsidRPr="00CA0631">
        <w:rPr>
          <w:rStyle w:val="FootnoteReference"/>
          <w:rFonts w:cs="Times New Roman"/>
        </w:rPr>
        <w:footnoteReference w:id="19"/>
      </w:r>
      <w:r w:rsidRPr="00AA1887">
        <w:rPr>
          <w:rFonts w:cs="Times New Roman"/>
        </w:rPr>
        <w:t xml:space="preserve"> However, the developmental state literature does not provide a systematic model to explain how developmental </w:t>
      </w:r>
      <w:r w:rsidR="008A5EF1" w:rsidRPr="00AA1887">
        <w:rPr>
          <w:rFonts w:cs="Times New Roman"/>
        </w:rPr>
        <w:t>states</w:t>
      </w:r>
      <w:r w:rsidRPr="00AA1887">
        <w:rPr>
          <w:rFonts w:cs="Times New Roman"/>
        </w:rPr>
        <w:t xml:space="preserve"> emerge,</w:t>
      </w:r>
      <w:r w:rsidR="006A1E68">
        <w:rPr>
          <w:rFonts w:cs="Times New Roman"/>
        </w:rPr>
        <w:t xml:space="preserve"> in contrast to the PSF’s identification of the </w:t>
      </w:r>
      <w:r w:rsidR="008A5EF1" w:rsidRPr="00AA1887">
        <w:rPr>
          <w:rFonts w:cs="Times New Roman"/>
        </w:rPr>
        <w:t>configurations</w:t>
      </w:r>
      <w:r w:rsidRPr="00AA1887">
        <w:rPr>
          <w:rFonts w:cs="Times New Roman"/>
        </w:rPr>
        <w:t xml:space="preserve"> of power conducive to economic transformation. </w:t>
      </w:r>
      <w:r w:rsidR="003D698D" w:rsidRPr="00AA1887">
        <w:rPr>
          <w:rFonts w:cs="Times New Roman"/>
        </w:rPr>
        <w:t xml:space="preserve">In this respect, the framework </w:t>
      </w:r>
      <w:proofErr w:type="gramStart"/>
      <w:r w:rsidRPr="00AA1887">
        <w:rPr>
          <w:rFonts w:cs="Times New Roman"/>
        </w:rPr>
        <w:t xml:space="preserve">has </w:t>
      </w:r>
      <w:r w:rsidR="00A66F17">
        <w:rPr>
          <w:rFonts w:cs="Times New Roman"/>
        </w:rPr>
        <w:t xml:space="preserve"> </w:t>
      </w:r>
      <w:r w:rsidRPr="00AA1887">
        <w:rPr>
          <w:rFonts w:cs="Times New Roman"/>
        </w:rPr>
        <w:t>most</w:t>
      </w:r>
      <w:proofErr w:type="gramEnd"/>
      <w:r w:rsidRPr="00AA1887">
        <w:rPr>
          <w:rFonts w:cs="Times New Roman"/>
        </w:rPr>
        <w:t xml:space="preserve"> </w:t>
      </w:r>
      <w:r w:rsidR="00A66F17">
        <w:rPr>
          <w:rFonts w:cs="Times New Roman"/>
        </w:rPr>
        <w:t xml:space="preserve">in common </w:t>
      </w:r>
      <w:r w:rsidRPr="00AA1887">
        <w:rPr>
          <w:rFonts w:cs="Times New Roman"/>
        </w:rPr>
        <w:t xml:space="preserve"> with Kohli’s</w:t>
      </w:r>
      <w:r w:rsidR="00D65D52" w:rsidRPr="00AA1887">
        <w:rPr>
          <w:rFonts w:cs="Times New Roman"/>
        </w:rPr>
        <w:t xml:space="preserve"> </w:t>
      </w:r>
      <w:r w:rsidRPr="00AA1887">
        <w:rPr>
          <w:rFonts w:cs="Times New Roman"/>
        </w:rPr>
        <w:t xml:space="preserve">comparative analyses of a series of countries and the importance of a cohesive state and low political </w:t>
      </w:r>
      <w:r w:rsidR="008F142A" w:rsidRPr="00AA1887">
        <w:rPr>
          <w:rFonts w:cs="Times New Roman"/>
        </w:rPr>
        <w:t>fragmentation</w:t>
      </w:r>
      <w:r w:rsidRPr="00AA1887">
        <w:rPr>
          <w:rFonts w:cs="Times New Roman"/>
        </w:rPr>
        <w:t xml:space="preserve"> in explaining industriali</w:t>
      </w:r>
      <w:r w:rsidR="00F23AA6">
        <w:rPr>
          <w:rFonts w:cs="Times New Roman"/>
        </w:rPr>
        <w:t>z</w:t>
      </w:r>
      <w:r w:rsidRPr="00AA1887">
        <w:rPr>
          <w:rFonts w:cs="Times New Roman"/>
        </w:rPr>
        <w:t>ation</w:t>
      </w:r>
      <w:r w:rsidR="008A5EF1" w:rsidRPr="00AA1887">
        <w:rPr>
          <w:rFonts w:cs="Times New Roman"/>
        </w:rPr>
        <w:t>.</w:t>
      </w:r>
      <w:r w:rsidR="00D65D52" w:rsidRPr="00AA1887">
        <w:rPr>
          <w:rStyle w:val="FootnoteReference"/>
          <w:rFonts w:cs="Times New Roman"/>
        </w:rPr>
        <w:footnoteReference w:id="20"/>
      </w:r>
      <w:r w:rsidR="00590037">
        <w:rPr>
          <w:rFonts w:cs="Times New Roman"/>
        </w:rPr>
        <w:t xml:space="preserve"> </w:t>
      </w:r>
      <w:r w:rsidR="006A7FD8">
        <w:rPr>
          <w:rFonts w:cs="Times New Roman"/>
        </w:rPr>
        <w:t>The original framework has since developed into variety of directions</w:t>
      </w:r>
      <w:r w:rsidRPr="00AA1887">
        <w:rPr>
          <w:rFonts w:cs="Times New Roman"/>
        </w:rPr>
        <w:t>.</w:t>
      </w:r>
      <w:r w:rsidR="009E0CB1" w:rsidRPr="00AA1887">
        <w:rPr>
          <w:rFonts w:cs="Times New Roman"/>
        </w:rPr>
        <w:t xml:space="preserve"> </w:t>
      </w:r>
      <w:r w:rsidR="00D65D52" w:rsidRPr="00AA1887">
        <w:rPr>
          <w:rFonts w:cs="Times New Roman"/>
        </w:rPr>
        <w:t xml:space="preserve">Originally PSF was used by Khan to understand economic growth but was later adapted to understand state-building and public policy </w:t>
      </w:r>
      <w:r w:rsidR="00667415" w:rsidRPr="00AA1887">
        <w:rPr>
          <w:rFonts w:cs="Times New Roman"/>
        </w:rPr>
        <w:t>outcomes</w:t>
      </w:r>
      <w:r w:rsidR="00D65D52" w:rsidRPr="00AA1887">
        <w:rPr>
          <w:rFonts w:cs="Times New Roman"/>
        </w:rPr>
        <w:t>.</w:t>
      </w:r>
      <w:r w:rsidR="001F2304">
        <w:rPr>
          <w:rStyle w:val="FootnoteReference"/>
          <w:rFonts w:cs="Times New Roman"/>
        </w:rPr>
        <w:footnoteReference w:id="21"/>
      </w:r>
      <w:r w:rsidR="00D65D52" w:rsidRPr="00AA1887">
        <w:rPr>
          <w:rFonts w:cs="Times New Roman"/>
        </w:rPr>
        <w:t xml:space="preserve"> </w:t>
      </w:r>
      <w:r w:rsidRPr="00AA1887">
        <w:rPr>
          <w:rFonts w:cs="Times New Roman"/>
        </w:rPr>
        <w:t xml:space="preserve">Some works have pointed </w:t>
      </w:r>
      <w:r w:rsidR="003D698D" w:rsidRPr="00AA1887">
        <w:rPr>
          <w:rFonts w:cs="Times New Roman"/>
        </w:rPr>
        <w:t xml:space="preserve">out </w:t>
      </w:r>
      <w:r w:rsidRPr="00AA1887">
        <w:rPr>
          <w:rFonts w:cs="Times New Roman"/>
        </w:rPr>
        <w:t>the limit of a purely material approach to interest</w:t>
      </w:r>
      <w:r w:rsidR="008A5EF1" w:rsidRPr="00AA1887">
        <w:rPr>
          <w:rFonts w:cs="Times New Roman"/>
        </w:rPr>
        <w:t>s</w:t>
      </w:r>
      <w:r w:rsidRPr="00AA1887">
        <w:rPr>
          <w:rFonts w:cs="Times New Roman"/>
        </w:rPr>
        <w:t xml:space="preserve"> in PS</w:t>
      </w:r>
      <w:r w:rsidR="003D698D" w:rsidRPr="00AA1887">
        <w:rPr>
          <w:rFonts w:cs="Times New Roman"/>
        </w:rPr>
        <w:t>F</w:t>
      </w:r>
      <w:r w:rsidRPr="00AA1887">
        <w:rPr>
          <w:rFonts w:cs="Times New Roman"/>
        </w:rPr>
        <w:t>, highlighting the importance of</w:t>
      </w:r>
      <w:r w:rsidR="008A5EF1" w:rsidRPr="00AA1887">
        <w:rPr>
          <w:rFonts w:cs="Times New Roman"/>
        </w:rPr>
        <w:t xml:space="preserve"> </w:t>
      </w:r>
      <w:r w:rsidRPr="00AA1887">
        <w:rPr>
          <w:rFonts w:cs="Times New Roman"/>
        </w:rPr>
        <w:t>ideas in shaping the mobili</w:t>
      </w:r>
      <w:r w:rsidR="00F23AA6">
        <w:rPr>
          <w:rFonts w:cs="Times New Roman"/>
        </w:rPr>
        <w:t>z</w:t>
      </w:r>
      <w:r w:rsidRPr="00AA1887">
        <w:rPr>
          <w:rFonts w:cs="Times New Roman"/>
        </w:rPr>
        <w:t>ation</w:t>
      </w:r>
      <w:r w:rsidR="008A5EF1" w:rsidRPr="00AA1887">
        <w:rPr>
          <w:rFonts w:cs="Times New Roman"/>
        </w:rPr>
        <w:t xml:space="preserve"> and cohesion</w:t>
      </w:r>
      <w:r w:rsidRPr="00AA1887">
        <w:rPr>
          <w:rFonts w:cs="Times New Roman"/>
        </w:rPr>
        <w:t xml:space="preserve"> of coalitions, as well as </w:t>
      </w:r>
      <w:r w:rsidR="009A52CC">
        <w:rPr>
          <w:rFonts w:cs="Times New Roman"/>
        </w:rPr>
        <w:t xml:space="preserve">in </w:t>
      </w:r>
      <w:r w:rsidRPr="00AA1887">
        <w:rPr>
          <w:rFonts w:cs="Times New Roman"/>
        </w:rPr>
        <w:lastRenderedPageBreak/>
        <w:t xml:space="preserve">explaining </w:t>
      </w:r>
      <w:r w:rsidR="009A52CC">
        <w:rPr>
          <w:rFonts w:cs="Times New Roman"/>
        </w:rPr>
        <w:t xml:space="preserve">specific </w:t>
      </w:r>
      <w:r w:rsidRPr="00AA1887">
        <w:rPr>
          <w:rFonts w:cs="Times New Roman"/>
        </w:rPr>
        <w:t>policy choices.</w:t>
      </w:r>
      <w:r w:rsidR="003D57EE" w:rsidRPr="00AA1887">
        <w:rPr>
          <w:rStyle w:val="FootnoteReference"/>
          <w:rFonts w:cs="Times New Roman"/>
        </w:rPr>
        <w:footnoteReference w:id="22"/>
      </w:r>
      <w:r w:rsidRPr="00AA1887">
        <w:rPr>
          <w:rFonts w:cs="Times New Roman"/>
        </w:rPr>
        <w:t xml:space="preserve"> </w:t>
      </w:r>
      <w:r w:rsidR="003D698D" w:rsidRPr="00AA1887">
        <w:rPr>
          <w:rFonts w:cs="Times New Roman"/>
        </w:rPr>
        <w:t>The</w:t>
      </w:r>
      <w:r w:rsidRPr="00AA1887">
        <w:rPr>
          <w:rFonts w:cs="Times New Roman"/>
        </w:rPr>
        <w:t xml:space="preserve"> </w:t>
      </w:r>
      <w:r w:rsidR="008A5EF1" w:rsidRPr="00AA1887">
        <w:rPr>
          <w:rFonts w:cs="Times New Roman"/>
        </w:rPr>
        <w:t>most hotly debated change</w:t>
      </w:r>
      <w:r w:rsidR="00ED4712">
        <w:rPr>
          <w:rFonts w:cs="Times New Roman"/>
        </w:rPr>
        <w:t>s</w:t>
      </w:r>
      <w:r w:rsidR="008A5EF1" w:rsidRPr="00AA1887">
        <w:rPr>
          <w:rFonts w:cs="Times New Roman"/>
        </w:rPr>
        <w:t xml:space="preserve"> with the original framework, includ</w:t>
      </w:r>
      <w:r w:rsidR="003D698D" w:rsidRPr="00AA1887">
        <w:rPr>
          <w:rFonts w:cs="Times New Roman"/>
        </w:rPr>
        <w:t>ing</w:t>
      </w:r>
      <w:r w:rsidR="008A5EF1" w:rsidRPr="00AA1887">
        <w:rPr>
          <w:rFonts w:cs="Times New Roman"/>
        </w:rPr>
        <w:t xml:space="preserve"> in the pages of this journal</w:t>
      </w:r>
      <w:r w:rsidR="008A5EF1" w:rsidRPr="00AA1887">
        <w:rPr>
          <w:rStyle w:val="FootnoteReference"/>
          <w:rFonts w:cs="Times New Roman"/>
        </w:rPr>
        <w:footnoteReference w:id="23"/>
      </w:r>
      <w:r w:rsidR="008A5EF1" w:rsidRPr="00AA1887">
        <w:rPr>
          <w:rFonts w:cs="Times New Roman"/>
        </w:rPr>
        <w:t>,</w:t>
      </w:r>
      <w:r w:rsidRPr="00AA1887">
        <w:rPr>
          <w:rFonts w:cs="Times New Roman"/>
        </w:rPr>
        <w:t xml:space="preserve"> </w:t>
      </w:r>
      <w:r w:rsidR="00ED4712">
        <w:rPr>
          <w:rFonts w:cs="Times New Roman"/>
        </w:rPr>
        <w:t xml:space="preserve">pertain to </w:t>
      </w:r>
      <w:r w:rsidR="002746BD">
        <w:rPr>
          <w:rFonts w:cs="Times New Roman"/>
        </w:rPr>
        <w:t xml:space="preserve">whether </w:t>
      </w:r>
      <w:r w:rsidRPr="00AA1887">
        <w:rPr>
          <w:rFonts w:cs="Times New Roman"/>
        </w:rPr>
        <w:t xml:space="preserve">a settlement </w:t>
      </w:r>
      <w:r w:rsidR="002746BD">
        <w:rPr>
          <w:rFonts w:cs="Times New Roman"/>
        </w:rPr>
        <w:t>should be understood as</w:t>
      </w:r>
      <w:r w:rsidR="002746BD" w:rsidRPr="00AA1887">
        <w:rPr>
          <w:rFonts w:cs="Times New Roman"/>
        </w:rPr>
        <w:t xml:space="preserve"> </w:t>
      </w:r>
      <w:r w:rsidRPr="00AA1887">
        <w:rPr>
          <w:rFonts w:cs="Times New Roman"/>
        </w:rPr>
        <w:t xml:space="preserve">a structural feature of a polity </w:t>
      </w:r>
      <w:r w:rsidR="002746BD">
        <w:rPr>
          <w:rFonts w:cs="Times New Roman"/>
        </w:rPr>
        <w:t>or</w:t>
      </w:r>
      <w:r w:rsidR="002746BD" w:rsidRPr="00AA1887">
        <w:rPr>
          <w:rFonts w:cs="Times New Roman"/>
        </w:rPr>
        <w:t xml:space="preserve"> </w:t>
      </w:r>
      <w:r w:rsidRPr="00AA1887">
        <w:rPr>
          <w:rFonts w:cs="Times New Roman"/>
        </w:rPr>
        <w:t>an agency-based agreement</w:t>
      </w:r>
      <w:r w:rsidR="00ED4712">
        <w:rPr>
          <w:rFonts w:cs="Times New Roman"/>
        </w:rPr>
        <w:t xml:space="preserve">, the need to consider groups’ </w:t>
      </w:r>
      <w:r w:rsidR="00FE668C">
        <w:rPr>
          <w:rFonts w:cs="Times New Roman"/>
        </w:rPr>
        <w:t xml:space="preserve">social </w:t>
      </w:r>
      <w:r w:rsidR="00ED4712">
        <w:rPr>
          <w:rFonts w:cs="Times New Roman"/>
        </w:rPr>
        <w:t xml:space="preserve">identity and vulnerability in the model </w:t>
      </w:r>
      <w:r w:rsidR="002746BD" w:rsidRPr="00AA1887">
        <w:rPr>
          <w:rStyle w:val="FootnoteReference"/>
          <w:rFonts w:cs="Times New Roman"/>
        </w:rPr>
        <w:footnoteReference w:id="24"/>
      </w:r>
      <w:r w:rsidR="00ED4712">
        <w:rPr>
          <w:rFonts w:cs="Times New Roman"/>
        </w:rPr>
        <w:t xml:space="preserve">, or </w:t>
      </w:r>
      <w:r w:rsidR="00B50488" w:rsidRPr="00AA1887">
        <w:rPr>
          <w:rFonts w:cs="Times New Roman"/>
        </w:rPr>
        <w:t>the PSF</w:t>
      </w:r>
      <w:r w:rsidR="00B50488">
        <w:rPr>
          <w:rFonts w:cs="Times New Roman"/>
        </w:rPr>
        <w:t xml:space="preserve">’s </w:t>
      </w:r>
      <w:r w:rsidRPr="00AA1887">
        <w:rPr>
          <w:rFonts w:cs="Times New Roman"/>
        </w:rPr>
        <w:t xml:space="preserve">intellectual </w:t>
      </w:r>
      <w:r w:rsidR="00B50488">
        <w:rPr>
          <w:rFonts w:cs="Times New Roman"/>
        </w:rPr>
        <w:t>purpose</w:t>
      </w:r>
      <w:r w:rsidR="00ED4712">
        <w:rPr>
          <w:rFonts w:cs="Times New Roman"/>
        </w:rPr>
        <w:t xml:space="preserve"> itself</w:t>
      </w:r>
      <w:r w:rsidRPr="00AA1887">
        <w:rPr>
          <w:rFonts w:cs="Times New Roman"/>
        </w:rPr>
        <w:t xml:space="preserve">, </w:t>
      </w:r>
      <w:r w:rsidR="0064065F">
        <w:rPr>
          <w:rFonts w:cs="Times New Roman"/>
        </w:rPr>
        <w:t xml:space="preserve">pitting </w:t>
      </w:r>
      <w:r w:rsidRPr="00AA1887">
        <w:rPr>
          <w:rFonts w:cs="Times New Roman"/>
        </w:rPr>
        <w:t xml:space="preserve">academics </w:t>
      </w:r>
      <w:r w:rsidR="00B500C8">
        <w:rPr>
          <w:rFonts w:cs="Times New Roman"/>
        </w:rPr>
        <w:t>advocating</w:t>
      </w:r>
      <w:r w:rsidR="006A7FD8">
        <w:rPr>
          <w:rFonts w:cs="Times New Roman"/>
        </w:rPr>
        <w:t xml:space="preserve"> for </w:t>
      </w:r>
      <w:r w:rsidR="0064065F">
        <w:rPr>
          <w:rFonts w:cs="Times New Roman"/>
        </w:rPr>
        <w:t>an</w:t>
      </w:r>
      <w:r w:rsidR="006A7FD8">
        <w:rPr>
          <w:rFonts w:cs="Times New Roman"/>
        </w:rPr>
        <w:t xml:space="preserve"> </w:t>
      </w:r>
      <w:r w:rsidRPr="00AA1887">
        <w:rPr>
          <w:rFonts w:cs="Times New Roman"/>
        </w:rPr>
        <w:t>open-ended</w:t>
      </w:r>
      <w:r w:rsidR="00AA1FB1">
        <w:rPr>
          <w:rFonts w:cs="Times New Roman"/>
        </w:rPr>
        <w:t>,</w:t>
      </w:r>
      <w:r w:rsidRPr="00AA1887">
        <w:rPr>
          <w:rFonts w:cs="Times New Roman"/>
        </w:rPr>
        <w:t xml:space="preserve"> </w:t>
      </w:r>
      <w:r w:rsidR="006A7FD8">
        <w:rPr>
          <w:rFonts w:cs="Times New Roman"/>
        </w:rPr>
        <w:t xml:space="preserve">descriptive </w:t>
      </w:r>
      <w:r w:rsidR="00AA1FB1">
        <w:rPr>
          <w:rFonts w:cs="Times New Roman"/>
        </w:rPr>
        <w:t>use</w:t>
      </w:r>
      <w:r w:rsidR="0064065F">
        <w:rPr>
          <w:rFonts w:cs="Times New Roman"/>
        </w:rPr>
        <w:t xml:space="preserve"> of the framework</w:t>
      </w:r>
      <w:r w:rsidRPr="00AA1887">
        <w:rPr>
          <w:rStyle w:val="FootnoteReference"/>
          <w:rFonts w:cs="Times New Roman"/>
        </w:rPr>
        <w:footnoteReference w:id="25"/>
      </w:r>
      <w:r w:rsidRPr="00AA1887">
        <w:rPr>
          <w:rFonts w:cs="Times New Roman"/>
        </w:rPr>
        <w:t xml:space="preserve"> </w:t>
      </w:r>
      <w:r w:rsidR="0064065F">
        <w:rPr>
          <w:rFonts w:cs="Times New Roman"/>
        </w:rPr>
        <w:t xml:space="preserve">against </w:t>
      </w:r>
      <w:r w:rsidR="003E3FEB">
        <w:rPr>
          <w:rFonts w:cs="Times New Roman"/>
        </w:rPr>
        <w:t xml:space="preserve">others </w:t>
      </w:r>
      <w:r w:rsidR="003E3FEB" w:rsidRPr="00AA1887">
        <w:rPr>
          <w:rFonts w:cs="Times New Roman"/>
        </w:rPr>
        <w:t>operationali</w:t>
      </w:r>
      <w:r w:rsidR="00F23AA6">
        <w:rPr>
          <w:rFonts w:cs="Times New Roman"/>
        </w:rPr>
        <w:t>z</w:t>
      </w:r>
      <w:r w:rsidR="003E3FEB" w:rsidRPr="00AA1887">
        <w:rPr>
          <w:rFonts w:cs="Times New Roman"/>
        </w:rPr>
        <w:t>ing</w:t>
      </w:r>
      <w:r w:rsidR="0064065F">
        <w:rPr>
          <w:rFonts w:cs="Times New Roman"/>
        </w:rPr>
        <w:t xml:space="preserve"> PSF</w:t>
      </w:r>
      <w:r w:rsidR="00AA1FB1">
        <w:rPr>
          <w:rFonts w:cs="Times New Roman"/>
        </w:rPr>
        <w:t xml:space="preserve"> for predictive purposes, even pioneering </w:t>
      </w:r>
      <w:r w:rsidR="00215633">
        <w:rPr>
          <w:rFonts w:cs="Times New Roman"/>
        </w:rPr>
        <w:t xml:space="preserve">the </w:t>
      </w:r>
      <w:r w:rsidR="006A7FD8">
        <w:rPr>
          <w:rFonts w:cs="Times New Roman"/>
        </w:rPr>
        <w:t>inclusion of</w:t>
      </w:r>
      <w:r w:rsidRPr="00AA1887">
        <w:rPr>
          <w:rFonts w:cs="Times New Roman"/>
        </w:rPr>
        <w:t xml:space="preserve"> quantitative</w:t>
      </w:r>
      <w:r w:rsidR="0064065F">
        <w:rPr>
          <w:rFonts w:cs="Times New Roman"/>
        </w:rPr>
        <w:t xml:space="preserve"> data</w:t>
      </w:r>
      <w:r w:rsidRPr="00AA1887">
        <w:rPr>
          <w:rFonts w:cs="Times New Roman"/>
        </w:rPr>
        <w:t>.</w:t>
      </w:r>
      <w:r w:rsidR="00D83E21" w:rsidRPr="00AA1887">
        <w:rPr>
          <w:rStyle w:val="FootnoteReference"/>
          <w:rFonts w:cs="Times New Roman"/>
        </w:rPr>
        <w:t xml:space="preserve"> </w:t>
      </w:r>
      <w:r w:rsidR="00D83E21" w:rsidRPr="00AA1887">
        <w:rPr>
          <w:rStyle w:val="FootnoteReference"/>
          <w:rFonts w:cs="Times New Roman"/>
        </w:rPr>
        <w:footnoteReference w:id="26"/>
      </w:r>
    </w:p>
    <w:p w14:paraId="052C7DFA" w14:textId="269F7498" w:rsidR="00BC64C9" w:rsidRPr="00AA1887" w:rsidRDefault="00E87A72" w:rsidP="00D139C6">
      <w:pPr>
        <w:spacing w:line="480" w:lineRule="auto"/>
        <w:ind w:firstLine="720"/>
        <w:jc w:val="both"/>
        <w:rPr>
          <w:rFonts w:cs="Times New Roman"/>
        </w:rPr>
      </w:pPr>
      <w:r>
        <w:rPr>
          <w:rFonts w:cs="Times New Roman"/>
        </w:rPr>
        <w:t xml:space="preserve">These debates are important, but none address </w:t>
      </w:r>
      <w:r w:rsidR="002F3BE2" w:rsidRPr="00AA1887">
        <w:rPr>
          <w:rFonts w:cs="Times New Roman"/>
        </w:rPr>
        <w:t xml:space="preserve">two </w:t>
      </w:r>
      <w:r w:rsidR="00A43726">
        <w:rPr>
          <w:rFonts w:cs="Times New Roman"/>
        </w:rPr>
        <w:t xml:space="preserve">major </w:t>
      </w:r>
      <w:r w:rsidR="00AA2C3F" w:rsidRPr="00AA1887">
        <w:rPr>
          <w:rFonts w:cs="Times New Roman"/>
        </w:rPr>
        <w:t>weakness</w:t>
      </w:r>
      <w:r w:rsidR="002F3BE2" w:rsidRPr="00AA1887">
        <w:rPr>
          <w:rFonts w:cs="Times New Roman"/>
        </w:rPr>
        <w:t xml:space="preserve">es. First, the concentration of power </w:t>
      </w:r>
      <w:r w:rsidR="00D23EA3">
        <w:rPr>
          <w:rFonts w:cs="Times New Roman"/>
        </w:rPr>
        <w:t>is systematically</w:t>
      </w:r>
      <w:r w:rsidR="00D23EA3" w:rsidRPr="00AA1887">
        <w:rPr>
          <w:rFonts w:cs="Times New Roman"/>
        </w:rPr>
        <w:t xml:space="preserve"> </w:t>
      </w:r>
      <w:r w:rsidR="00D23EA3">
        <w:rPr>
          <w:rFonts w:cs="Times New Roman"/>
        </w:rPr>
        <w:t>analysed as an</w:t>
      </w:r>
      <w:r w:rsidR="002F3BE2" w:rsidRPr="00AA1887">
        <w:rPr>
          <w:rFonts w:cs="Times New Roman"/>
        </w:rPr>
        <w:t xml:space="preserve"> </w:t>
      </w:r>
      <w:r w:rsidR="00A43726">
        <w:rPr>
          <w:rFonts w:cs="Times New Roman"/>
        </w:rPr>
        <w:t>enabl</w:t>
      </w:r>
      <w:r w:rsidR="00D23EA3">
        <w:rPr>
          <w:rFonts w:cs="Times New Roman"/>
        </w:rPr>
        <w:t>ing</w:t>
      </w:r>
      <w:r w:rsidR="002F3BE2" w:rsidRPr="00AA1887">
        <w:rPr>
          <w:rFonts w:cs="Times New Roman"/>
        </w:rPr>
        <w:t xml:space="preserve"> </w:t>
      </w:r>
      <w:r w:rsidR="00D23EA3">
        <w:rPr>
          <w:rFonts w:cs="Times New Roman"/>
        </w:rPr>
        <w:t xml:space="preserve">(yet not always sufficient) </w:t>
      </w:r>
      <w:r w:rsidR="002F3BE2" w:rsidRPr="00AA1887">
        <w:rPr>
          <w:rFonts w:cs="Times New Roman"/>
        </w:rPr>
        <w:t>condition for development</w:t>
      </w:r>
      <w:r w:rsidR="00AA2C3F" w:rsidRPr="00AA1887">
        <w:rPr>
          <w:rFonts w:cs="Times New Roman"/>
        </w:rPr>
        <w:t xml:space="preserve">. </w:t>
      </w:r>
      <w:r w:rsidR="0041366B" w:rsidRPr="00AA1887">
        <w:rPr>
          <w:rFonts w:cs="Times New Roman"/>
        </w:rPr>
        <w:t xml:space="preserve">Second, </w:t>
      </w:r>
      <w:r w:rsidR="002F3BE2" w:rsidRPr="00AA1887">
        <w:rPr>
          <w:rFonts w:cs="Times New Roman"/>
        </w:rPr>
        <w:t xml:space="preserve">these approaches have </w:t>
      </w:r>
      <w:r w:rsidR="00F23AA6">
        <w:rPr>
          <w:rFonts w:cs="Times New Roman"/>
        </w:rPr>
        <w:t>little</w:t>
      </w:r>
      <w:r w:rsidR="002F3BE2" w:rsidRPr="00AA1887">
        <w:rPr>
          <w:rFonts w:cs="Times New Roman"/>
        </w:rPr>
        <w:t xml:space="preserve"> to say on the role of the </w:t>
      </w:r>
      <w:r w:rsidR="001469B9">
        <w:rPr>
          <w:rFonts w:cs="Times New Roman"/>
        </w:rPr>
        <w:t>civil service</w:t>
      </w:r>
      <w:r w:rsidR="002F3BE2" w:rsidRPr="00AA1887">
        <w:rPr>
          <w:rFonts w:cs="Times New Roman"/>
        </w:rPr>
        <w:t xml:space="preserve">. </w:t>
      </w:r>
      <w:r w:rsidR="00D23EA3">
        <w:rPr>
          <w:rFonts w:cs="Times New Roman"/>
        </w:rPr>
        <w:t>Exceptions are</w:t>
      </w:r>
      <w:r w:rsidR="00C14D66" w:rsidRPr="00AA1887">
        <w:rPr>
          <w:rFonts w:cs="Times New Roman"/>
        </w:rPr>
        <w:t xml:space="preserve"> the work</w:t>
      </w:r>
      <w:r w:rsidR="00D23EA3">
        <w:rPr>
          <w:rFonts w:cs="Times New Roman"/>
        </w:rPr>
        <w:t>s</w:t>
      </w:r>
      <w:r w:rsidR="00C14D66" w:rsidRPr="00AA1887">
        <w:rPr>
          <w:rFonts w:cs="Times New Roman"/>
        </w:rPr>
        <w:t xml:space="preserve"> of Hickey</w:t>
      </w:r>
      <w:r w:rsidR="00A66F17">
        <w:rPr>
          <w:rFonts w:cs="Times New Roman"/>
        </w:rPr>
        <w:t xml:space="preserve"> et al.</w:t>
      </w:r>
      <w:r w:rsidR="00947A31">
        <w:rPr>
          <w:rFonts w:cs="Times New Roman"/>
        </w:rPr>
        <w:t>,</w:t>
      </w:r>
      <w:r w:rsidR="00D23EA3">
        <w:rPr>
          <w:rFonts w:cs="Times New Roman"/>
        </w:rPr>
        <w:t xml:space="preserve"> and Whitfield et al.,</w:t>
      </w:r>
      <w:r w:rsidR="00947A31">
        <w:rPr>
          <w:rFonts w:cs="Times New Roman"/>
        </w:rPr>
        <w:t xml:space="preserve"> who find</w:t>
      </w:r>
      <w:r w:rsidR="00C14D66" w:rsidRPr="00AA1887">
        <w:rPr>
          <w:rFonts w:cs="Times New Roman"/>
        </w:rPr>
        <w:t xml:space="preserve"> that concentrat</w:t>
      </w:r>
      <w:r w:rsidR="00947A31">
        <w:rPr>
          <w:rFonts w:cs="Times New Roman"/>
        </w:rPr>
        <w:t xml:space="preserve">ed </w:t>
      </w:r>
      <w:r w:rsidR="00947A31" w:rsidRPr="00AA1887">
        <w:rPr>
          <w:rFonts w:cs="Times New Roman"/>
        </w:rPr>
        <w:t xml:space="preserve">power </w:t>
      </w:r>
      <w:r w:rsidR="00C14D66" w:rsidRPr="00AA1887">
        <w:rPr>
          <w:rFonts w:cs="Times New Roman"/>
        </w:rPr>
        <w:t xml:space="preserve">is likely to </w:t>
      </w:r>
      <w:r w:rsidR="00947A31">
        <w:rPr>
          <w:rFonts w:cs="Times New Roman"/>
        </w:rPr>
        <w:t>create so-called</w:t>
      </w:r>
      <w:r w:rsidR="00C14D66" w:rsidRPr="00AA1887">
        <w:rPr>
          <w:rFonts w:cs="Times New Roman"/>
        </w:rPr>
        <w:t xml:space="preserve"> pockets of effectiveness in the bureaucracy</w:t>
      </w:r>
      <w:r w:rsidR="00947A31">
        <w:rPr>
          <w:rFonts w:cs="Times New Roman"/>
        </w:rPr>
        <w:t>. The</w:t>
      </w:r>
      <w:r w:rsidR="00F23AA6">
        <w:rPr>
          <w:rFonts w:cs="Times New Roman"/>
        </w:rPr>
        <w:t>se</w:t>
      </w:r>
      <w:r w:rsidR="00947A31">
        <w:rPr>
          <w:rFonts w:cs="Times New Roman"/>
        </w:rPr>
        <w:t xml:space="preserve"> </w:t>
      </w:r>
      <w:r w:rsidR="00185DDB">
        <w:rPr>
          <w:rFonts w:cs="Times New Roman"/>
        </w:rPr>
        <w:t xml:space="preserve">give </w:t>
      </w:r>
      <w:r w:rsidR="008E2CF6">
        <w:rPr>
          <w:rFonts w:cs="Times New Roman"/>
        </w:rPr>
        <w:t>technicians</w:t>
      </w:r>
      <w:r w:rsidR="00185DDB">
        <w:rPr>
          <w:rFonts w:cs="Times New Roman"/>
        </w:rPr>
        <w:t xml:space="preserve"> degrees of policymaking</w:t>
      </w:r>
      <w:r w:rsidR="008E2CF6">
        <w:rPr>
          <w:rFonts w:cs="Times New Roman"/>
        </w:rPr>
        <w:t xml:space="preserve"> autonomy and </w:t>
      </w:r>
      <w:r w:rsidR="00185DDB">
        <w:rPr>
          <w:rFonts w:cs="Times New Roman"/>
        </w:rPr>
        <w:t>support</w:t>
      </w:r>
      <w:r w:rsidR="008E2CF6">
        <w:rPr>
          <w:rFonts w:cs="Times New Roman"/>
        </w:rPr>
        <w:t xml:space="preserve"> </w:t>
      </w:r>
      <w:r w:rsidR="00185DDB">
        <w:rPr>
          <w:rFonts w:cs="Times New Roman"/>
        </w:rPr>
        <w:t xml:space="preserve">a </w:t>
      </w:r>
      <w:r w:rsidR="008E2CF6" w:rsidRPr="00AA1887">
        <w:rPr>
          <w:rFonts w:cs="Times New Roman"/>
        </w:rPr>
        <w:t>Weberian</w:t>
      </w:r>
      <w:r w:rsidR="00185DDB">
        <w:rPr>
          <w:rFonts w:cs="Times New Roman"/>
        </w:rPr>
        <w:t xml:space="preserve"> </w:t>
      </w:r>
      <w:proofErr w:type="gramStart"/>
      <w:r w:rsidR="00185DDB">
        <w:rPr>
          <w:rFonts w:cs="Times New Roman"/>
        </w:rPr>
        <w:t>culture</w:t>
      </w:r>
      <w:r w:rsidR="008E2CF6">
        <w:rPr>
          <w:rFonts w:cs="Times New Roman"/>
        </w:rPr>
        <w:t>,</w:t>
      </w:r>
      <w:r w:rsidR="00E401A1">
        <w:rPr>
          <w:rFonts w:cs="Times New Roman"/>
        </w:rPr>
        <w:t xml:space="preserve"> but</w:t>
      </w:r>
      <w:proofErr w:type="gramEnd"/>
      <w:r w:rsidR="00E401A1">
        <w:rPr>
          <w:rFonts w:cs="Times New Roman"/>
        </w:rPr>
        <w:t xml:space="preserve"> are</w:t>
      </w:r>
      <w:r w:rsidR="008E2CF6">
        <w:rPr>
          <w:rFonts w:cs="Times New Roman"/>
        </w:rPr>
        <w:t xml:space="preserve"> </w:t>
      </w:r>
      <w:r w:rsidR="00E401A1">
        <w:rPr>
          <w:rFonts w:cs="Times New Roman"/>
        </w:rPr>
        <w:t xml:space="preserve">underpinned by </w:t>
      </w:r>
      <w:r w:rsidR="008E2CF6">
        <w:rPr>
          <w:rFonts w:cs="Times New Roman"/>
        </w:rPr>
        <w:t xml:space="preserve">concentrated power </w:t>
      </w:r>
      <w:r w:rsidR="00E401A1">
        <w:rPr>
          <w:rFonts w:cs="Times New Roman"/>
        </w:rPr>
        <w:t xml:space="preserve">which </w:t>
      </w:r>
      <w:r w:rsidR="00ED4712">
        <w:rPr>
          <w:rFonts w:cs="Times New Roman"/>
        </w:rPr>
        <w:t>give rulers the enforcement capabilities for the difficult process of developing state capacities.</w:t>
      </w:r>
      <w:r w:rsidR="003F399E">
        <w:rPr>
          <w:rFonts w:cs="Times New Roman"/>
        </w:rPr>
        <w:t>’</w:t>
      </w:r>
      <w:r w:rsidR="008E2CF6" w:rsidRPr="00AA1887">
        <w:rPr>
          <w:rStyle w:val="FootnoteReference"/>
          <w:rFonts w:cs="Times New Roman"/>
        </w:rPr>
        <w:footnoteReference w:id="27"/>
      </w:r>
      <w:r w:rsidR="00C14D66" w:rsidRPr="00AA1887">
        <w:rPr>
          <w:rFonts w:cs="Times New Roman"/>
        </w:rPr>
        <w:t xml:space="preserve"> </w:t>
      </w:r>
      <w:r w:rsidR="00C25FD3">
        <w:rPr>
          <w:rFonts w:cs="Times New Roman"/>
        </w:rPr>
        <w:t>In contrast to these favourable analyses, we demonstrate how</w:t>
      </w:r>
      <w:r w:rsidR="00AA2C3F" w:rsidRPr="00AA1887">
        <w:rPr>
          <w:rFonts w:cs="Times New Roman"/>
        </w:rPr>
        <w:t xml:space="preserve"> highly </w:t>
      </w:r>
      <w:r w:rsidR="009F6394" w:rsidRPr="00AA1887">
        <w:rPr>
          <w:rFonts w:cs="Times New Roman"/>
        </w:rPr>
        <w:t xml:space="preserve">concentrated </w:t>
      </w:r>
      <w:r w:rsidR="00AA2C3F" w:rsidRPr="00AA1887">
        <w:rPr>
          <w:rFonts w:cs="Times New Roman"/>
        </w:rPr>
        <w:t xml:space="preserve">political power </w:t>
      </w:r>
      <w:r w:rsidR="009F6394" w:rsidRPr="00AA1887">
        <w:rPr>
          <w:rFonts w:cs="Times New Roman"/>
        </w:rPr>
        <w:t xml:space="preserve">can also </w:t>
      </w:r>
      <w:r w:rsidR="00F23AA6">
        <w:rPr>
          <w:rFonts w:cs="Times New Roman"/>
        </w:rPr>
        <w:t>un</w:t>
      </w:r>
      <w:r w:rsidR="00C25FD3">
        <w:rPr>
          <w:rFonts w:cs="Times New Roman"/>
        </w:rPr>
        <w:t xml:space="preserve">balance relations between </w:t>
      </w:r>
      <w:r w:rsidR="00AA2C3F" w:rsidRPr="00AA1887">
        <w:rPr>
          <w:rFonts w:cs="Times New Roman"/>
        </w:rPr>
        <w:t>politicians</w:t>
      </w:r>
      <w:r w:rsidR="00C25FD3">
        <w:rPr>
          <w:rFonts w:cs="Times New Roman"/>
        </w:rPr>
        <w:t>, t</w:t>
      </w:r>
      <w:r w:rsidR="00AA2C3F" w:rsidRPr="00AA1887">
        <w:rPr>
          <w:rFonts w:cs="Times New Roman"/>
        </w:rPr>
        <w:t>echnical advisors and civil servants</w:t>
      </w:r>
      <w:r w:rsidR="00C25FD3">
        <w:rPr>
          <w:rFonts w:cs="Times New Roman"/>
        </w:rPr>
        <w:t xml:space="preserve">, </w:t>
      </w:r>
      <w:r w:rsidR="002C025B">
        <w:rPr>
          <w:rFonts w:cs="Times New Roman"/>
        </w:rPr>
        <w:t>to</w:t>
      </w:r>
      <w:r w:rsidR="00C25FD3" w:rsidRPr="00AA1887">
        <w:rPr>
          <w:rFonts w:cs="Times New Roman"/>
        </w:rPr>
        <w:t xml:space="preserve"> significant</w:t>
      </w:r>
      <w:r w:rsidR="00C25FD3">
        <w:rPr>
          <w:rFonts w:cs="Times New Roman"/>
        </w:rPr>
        <w:t>,</w:t>
      </w:r>
      <w:r w:rsidR="00C25FD3" w:rsidRPr="00AA1887">
        <w:rPr>
          <w:rFonts w:cs="Times New Roman"/>
        </w:rPr>
        <w:t xml:space="preserve"> negative </w:t>
      </w:r>
      <w:r w:rsidR="002C025B">
        <w:rPr>
          <w:rFonts w:cs="Times New Roman"/>
        </w:rPr>
        <w:t>effect.</w:t>
      </w:r>
    </w:p>
    <w:p w14:paraId="4AA7832D" w14:textId="0798E338" w:rsidR="00F23AA6" w:rsidRDefault="002C6CB0" w:rsidP="00545633">
      <w:pPr>
        <w:spacing w:line="480" w:lineRule="auto"/>
        <w:ind w:firstLine="720"/>
        <w:jc w:val="both"/>
        <w:rPr>
          <w:rFonts w:eastAsia="Times New Roman" w:cs="Times New Roman"/>
        </w:rPr>
      </w:pPr>
      <w:r w:rsidRPr="00AA1887">
        <w:rPr>
          <w:rFonts w:eastAsia="Times New Roman" w:cs="Times New Roman"/>
        </w:rPr>
        <w:t xml:space="preserve">As </w:t>
      </w:r>
      <w:proofErr w:type="spellStart"/>
      <w:r w:rsidRPr="00AA1887">
        <w:rPr>
          <w:rFonts w:eastAsia="Times New Roman" w:cs="Times New Roman"/>
        </w:rPr>
        <w:t>Dasandi</w:t>
      </w:r>
      <w:proofErr w:type="spellEnd"/>
      <w:r w:rsidRPr="00AA1887">
        <w:rPr>
          <w:rFonts w:eastAsia="Times New Roman" w:cs="Times New Roman"/>
        </w:rPr>
        <w:t xml:space="preserve"> and Esteve observe, </w:t>
      </w:r>
      <w:r w:rsidR="003F399E">
        <w:rPr>
          <w:rFonts w:eastAsia="Times New Roman" w:cs="Times New Roman"/>
        </w:rPr>
        <w:t>‘</w:t>
      </w:r>
      <w:r w:rsidRPr="00AA1887">
        <w:rPr>
          <w:rFonts w:eastAsia="Times New Roman" w:cs="Times New Roman"/>
        </w:rPr>
        <w:t xml:space="preserve">there has been very little attention given to the relationship between politicians and top bureaucrats in developing countries, and how this </w:t>
      </w:r>
      <w:r w:rsidRPr="00AA1887">
        <w:rPr>
          <w:rFonts w:eastAsia="Times New Roman" w:cs="Times New Roman"/>
        </w:rPr>
        <w:lastRenderedPageBreak/>
        <w:t>relationship might shape the development process</w:t>
      </w:r>
      <w:r w:rsidR="00215633">
        <w:rPr>
          <w:rFonts w:eastAsia="Times New Roman" w:cs="Times New Roman"/>
        </w:rPr>
        <w:t>.</w:t>
      </w:r>
      <w:r w:rsidR="003F399E">
        <w:rPr>
          <w:rFonts w:eastAsia="Times New Roman" w:cs="Times New Roman"/>
        </w:rPr>
        <w:t>’</w:t>
      </w:r>
      <w:r w:rsidR="00EE3222" w:rsidRPr="00AA1887">
        <w:rPr>
          <w:rFonts w:eastAsia="Times New Roman" w:cs="Times New Roman"/>
          <w:vertAlign w:val="superscript"/>
        </w:rPr>
        <w:footnoteReference w:id="28"/>
      </w:r>
      <w:r w:rsidRPr="00AA1887">
        <w:rPr>
          <w:rFonts w:eastAsia="Times New Roman" w:cs="Times New Roman"/>
        </w:rPr>
        <w:t xml:space="preserve"> </w:t>
      </w:r>
      <w:r w:rsidR="00215633">
        <w:rPr>
          <w:rFonts w:eastAsia="Times New Roman" w:cs="Times New Roman"/>
        </w:rPr>
        <w:t xml:space="preserve">This is </w:t>
      </w:r>
      <w:r w:rsidRPr="00AA1887">
        <w:rPr>
          <w:rFonts w:eastAsia="Times New Roman" w:cs="Times New Roman"/>
        </w:rPr>
        <w:t>surprising</w:t>
      </w:r>
      <w:r w:rsidR="00B0417D">
        <w:rPr>
          <w:rFonts w:eastAsia="Times New Roman" w:cs="Times New Roman"/>
        </w:rPr>
        <w:t>,</w:t>
      </w:r>
      <w:r w:rsidRPr="00AA1887">
        <w:rPr>
          <w:rFonts w:eastAsia="Times New Roman" w:cs="Times New Roman"/>
        </w:rPr>
        <w:t xml:space="preserve"> as it contrasts with the volume of </w:t>
      </w:r>
      <w:r w:rsidR="00B0417D">
        <w:rPr>
          <w:rFonts w:eastAsia="Times New Roman" w:cs="Times New Roman"/>
        </w:rPr>
        <w:t>literature</w:t>
      </w:r>
      <w:r w:rsidR="00B0417D" w:rsidRPr="00AA1887">
        <w:rPr>
          <w:rFonts w:eastAsia="Times New Roman" w:cs="Times New Roman"/>
        </w:rPr>
        <w:t xml:space="preserve"> </w:t>
      </w:r>
      <w:r w:rsidRPr="00AA1887">
        <w:rPr>
          <w:rFonts w:eastAsia="Times New Roman" w:cs="Times New Roman"/>
        </w:rPr>
        <w:t>on the politics–bureaucracy interface in industriali</w:t>
      </w:r>
      <w:r w:rsidR="00F23AA6">
        <w:rPr>
          <w:rFonts w:eastAsia="Times New Roman" w:cs="Times New Roman"/>
        </w:rPr>
        <w:t>z</w:t>
      </w:r>
      <w:r w:rsidRPr="00AA1887">
        <w:rPr>
          <w:rFonts w:eastAsia="Times New Roman" w:cs="Times New Roman"/>
        </w:rPr>
        <w:t>ed</w:t>
      </w:r>
      <w:r w:rsidR="00F23AA6">
        <w:rPr>
          <w:rFonts w:eastAsia="Times New Roman" w:cs="Times New Roman"/>
        </w:rPr>
        <w:t>,</w:t>
      </w:r>
      <w:r w:rsidRPr="00AA1887">
        <w:rPr>
          <w:rFonts w:eastAsia="Times New Roman" w:cs="Times New Roman"/>
        </w:rPr>
        <w:t xml:space="preserve"> democratic countries.</w:t>
      </w:r>
      <w:r w:rsidRPr="00AA1887">
        <w:rPr>
          <w:rFonts w:eastAsia="Times New Roman" w:cs="Times New Roman"/>
          <w:vertAlign w:val="superscript"/>
        </w:rPr>
        <w:footnoteReference w:id="29"/>
      </w:r>
      <w:r w:rsidRPr="00AA1887">
        <w:rPr>
          <w:rFonts w:eastAsia="Times New Roman" w:cs="Times New Roman"/>
        </w:rPr>
        <w:t xml:space="preserve"> </w:t>
      </w:r>
      <w:r w:rsidR="0016167F">
        <w:rPr>
          <w:rFonts w:eastAsia="Times New Roman" w:cs="Times New Roman"/>
        </w:rPr>
        <w:t xml:space="preserve">The wider </w:t>
      </w:r>
      <w:r w:rsidR="0016167F" w:rsidRPr="00AA1887">
        <w:rPr>
          <w:rFonts w:eastAsia="Times New Roman" w:cs="Times New Roman"/>
        </w:rPr>
        <w:t>political-economy analysis</w:t>
      </w:r>
      <w:r w:rsidR="0016167F">
        <w:rPr>
          <w:rFonts w:eastAsia="Times New Roman" w:cs="Times New Roman"/>
        </w:rPr>
        <w:t xml:space="preserve"> </w:t>
      </w:r>
      <w:r w:rsidR="0016167F" w:rsidRPr="00AA1887">
        <w:rPr>
          <w:rFonts w:eastAsia="Times New Roman" w:cs="Times New Roman"/>
        </w:rPr>
        <w:t>on bureaucratic effectiveness</w:t>
      </w:r>
      <w:r w:rsidR="0016167F">
        <w:rPr>
          <w:rFonts w:eastAsia="Times New Roman" w:cs="Times New Roman"/>
        </w:rPr>
        <w:t xml:space="preserve"> that does exist is</w:t>
      </w:r>
      <w:r w:rsidR="00B0417D">
        <w:rPr>
          <w:rFonts w:eastAsia="Times New Roman" w:cs="Times New Roman"/>
        </w:rPr>
        <w:t xml:space="preserve"> </w:t>
      </w:r>
      <w:r w:rsidR="00E926DA" w:rsidRPr="00AA1887">
        <w:rPr>
          <w:rFonts w:eastAsia="Times New Roman" w:cs="Times New Roman"/>
        </w:rPr>
        <w:t xml:space="preserve">heavily influenced by </w:t>
      </w:r>
      <w:r w:rsidR="00B0417D">
        <w:rPr>
          <w:rFonts w:eastAsia="Times New Roman" w:cs="Times New Roman"/>
        </w:rPr>
        <w:t xml:space="preserve">selective </w:t>
      </w:r>
      <w:r w:rsidR="00E926DA" w:rsidRPr="00AA1887">
        <w:rPr>
          <w:rFonts w:eastAsia="Times New Roman" w:cs="Times New Roman"/>
        </w:rPr>
        <w:t>East-Asian developmental state</w:t>
      </w:r>
      <w:r w:rsidR="0016167F">
        <w:rPr>
          <w:rFonts w:eastAsia="Times New Roman" w:cs="Times New Roman"/>
        </w:rPr>
        <w:t xml:space="preserve">s. It typically stresses </w:t>
      </w:r>
      <w:r w:rsidR="00E926DA" w:rsidRPr="00AA1887">
        <w:rPr>
          <w:rFonts w:eastAsia="Times New Roman" w:cs="Times New Roman"/>
        </w:rPr>
        <w:t>the benefits of autonomy from societal pressure</w:t>
      </w:r>
      <w:r w:rsidR="00B17788" w:rsidRPr="00AA1887">
        <w:rPr>
          <w:rFonts w:eastAsia="Times New Roman" w:cs="Times New Roman"/>
        </w:rPr>
        <w:t xml:space="preserve"> in parallel with</w:t>
      </w:r>
      <w:r w:rsidR="00E926DA" w:rsidRPr="00AA1887">
        <w:rPr>
          <w:rFonts w:eastAsia="Times New Roman" w:cs="Times New Roman"/>
        </w:rPr>
        <w:t xml:space="preserve"> capacity to access information from society and business circles (its </w:t>
      </w:r>
      <w:r w:rsidR="003F399E">
        <w:rPr>
          <w:rFonts w:eastAsia="Times New Roman" w:cs="Times New Roman"/>
        </w:rPr>
        <w:t>‘</w:t>
      </w:r>
      <w:r w:rsidR="00E926DA" w:rsidRPr="00AA1887">
        <w:rPr>
          <w:rFonts w:eastAsia="Times New Roman" w:cs="Times New Roman"/>
        </w:rPr>
        <w:t>embedded</w:t>
      </w:r>
      <w:r w:rsidR="00B17788" w:rsidRPr="00AA1887">
        <w:rPr>
          <w:rFonts w:eastAsia="Times New Roman" w:cs="Times New Roman"/>
        </w:rPr>
        <w:t xml:space="preserve"> autonomy</w:t>
      </w:r>
      <w:r w:rsidR="003F399E">
        <w:rPr>
          <w:rFonts w:eastAsia="Times New Roman" w:cs="Times New Roman"/>
        </w:rPr>
        <w:t>’</w:t>
      </w:r>
      <w:r w:rsidR="00E926DA" w:rsidRPr="00AA1887">
        <w:rPr>
          <w:rFonts w:eastAsia="Times New Roman" w:cs="Times New Roman"/>
        </w:rPr>
        <w:t>)</w:t>
      </w:r>
      <w:r w:rsidR="00F04F9F" w:rsidRPr="00AA1887">
        <w:rPr>
          <w:rFonts w:eastAsia="Times New Roman" w:cs="Times New Roman"/>
        </w:rPr>
        <w:t xml:space="preserve">, as well as </w:t>
      </w:r>
      <w:r w:rsidR="00E926DA" w:rsidRPr="00AA1887">
        <w:rPr>
          <w:rFonts w:eastAsia="Times New Roman" w:cs="Times New Roman"/>
        </w:rPr>
        <w:t>its Weberian characteristics</w:t>
      </w:r>
      <w:r w:rsidR="00F04F9F" w:rsidRPr="00AA1887">
        <w:rPr>
          <w:rFonts w:eastAsia="Times New Roman" w:cs="Times New Roman"/>
        </w:rPr>
        <w:t>.</w:t>
      </w:r>
      <w:r w:rsidR="00D83E21" w:rsidRPr="00AA1887">
        <w:rPr>
          <w:rStyle w:val="FootnoteReference"/>
          <w:rFonts w:eastAsia="Times New Roman" w:cs="Times New Roman"/>
        </w:rPr>
        <w:footnoteReference w:id="30"/>
      </w:r>
      <w:r w:rsidR="00F04F9F" w:rsidRPr="00AA1887">
        <w:rPr>
          <w:rFonts w:eastAsia="Times New Roman" w:cs="Times New Roman"/>
        </w:rPr>
        <w:t xml:space="preserve"> </w:t>
      </w:r>
      <w:r w:rsidR="00B17788" w:rsidRPr="00AA1887">
        <w:rPr>
          <w:rFonts w:eastAsia="Times New Roman" w:cs="Times New Roman"/>
        </w:rPr>
        <w:t xml:space="preserve">Overall, the focus is </w:t>
      </w:r>
      <w:r w:rsidR="006C7ABF" w:rsidRPr="00AA1887">
        <w:rPr>
          <w:rFonts w:eastAsia="Times New Roman" w:cs="Times New Roman"/>
        </w:rPr>
        <w:t>on</w:t>
      </w:r>
      <w:r w:rsidR="00F375B5" w:rsidRPr="00AA1887">
        <w:rPr>
          <w:rFonts w:eastAsia="Times New Roman" w:cs="Times New Roman"/>
        </w:rPr>
        <w:t xml:space="preserve"> </w:t>
      </w:r>
      <w:r w:rsidR="006C7ABF" w:rsidRPr="00AA1887">
        <w:rPr>
          <w:rFonts w:eastAsia="Times New Roman" w:cs="Times New Roman"/>
        </w:rPr>
        <w:t xml:space="preserve">the </w:t>
      </w:r>
      <w:r w:rsidRPr="00AA1887">
        <w:rPr>
          <w:rFonts w:eastAsia="Times New Roman" w:cs="Times New Roman"/>
        </w:rPr>
        <w:t xml:space="preserve">conditions creating separation </w:t>
      </w:r>
      <w:r w:rsidR="00F375B5" w:rsidRPr="00AA1887">
        <w:rPr>
          <w:rFonts w:eastAsia="Times New Roman" w:cs="Times New Roman"/>
        </w:rPr>
        <w:t xml:space="preserve">from </w:t>
      </w:r>
      <w:r w:rsidR="006C7ABF" w:rsidRPr="00AA1887">
        <w:rPr>
          <w:rFonts w:eastAsia="Times New Roman" w:cs="Times New Roman"/>
        </w:rPr>
        <w:t>society, viewed as the best antidote to clientelist pressure, corruption, or state capture.</w:t>
      </w:r>
      <w:r w:rsidR="006C7ABF" w:rsidRPr="00AA1887">
        <w:rPr>
          <w:rFonts w:eastAsia="Times New Roman" w:cs="Times New Roman"/>
          <w:vertAlign w:val="superscript"/>
        </w:rPr>
        <w:footnoteReference w:id="31"/>
      </w:r>
      <w:r w:rsidR="0035636C" w:rsidRPr="00AA1887">
        <w:rPr>
          <w:rFonts w:eastAsia="Times New Roman" w:cs="Times New Roman"/>
        </w:rPr>
        <w:t xml:space="preserve"> Fukuyama revived this argument, stating the vital importance of bureaucratic autonomy</w:t>
      </w:r>
      <w:r w:rsidR="00CE6C89" w:rsidRPr="00AA1887">
        <w:rPr>
          <w:rFonts w:eastAsia="Times New Roman" w:cs="Times New Roman"/>
        </w:rPr>
        <w:t xml:space="preserve"> in the quality of states. Autonomy is </w:t>
      </w:r>
      <w:r w:rsidR="00E401A1">
        <w:rPr>
          <w:rFonts w:eastAsia="Times New Roman" w:cs="Times New Roman"/>
        </w:rPr>
        <w:t>conceived as a</w:t>
      </w:r>
      <w:r w:rsidR="00CE6C89" w:rsidRPr="00AA1887">
        <w:rPr>
          <w:rFonts w:eastAsia="Times New Roman" w:cs="Times New Roman"/>
        </w:rPr>
        <w:t xml:space="preserve"> shield </w:t>
      </w:r>
      <w:r w:rsidR="003F399E">
        <w:rPr>
          <w:rFonts w:eastAsia="Times New Roman" w:cs="Times New Roman"/>
        </w:rPr>
        <w:t>‘</w:t>
      </w:r>
      <w:r w:rsidR="00CE6C89" w:rsidRPr="00AA1887">
        <w:rPr>
          <w:rFonts w:eastAsia="Times New Roman" w:cs="Times New Roman"/>
        </w:rPr>
        <w:t>from certain influences of social actors</w:t>
      </w:r>
      <w:r w:rsidR="003F399E">
        <w:rPr>
          <w:rFonts w:eastAsia="Times New Roman" w:cs="Times New Roman"/>
        </w:rPr>
        <w:t>’</w:t>
      </w:r>
      <w:r w:rsidR="00BD4D7B">
        <w:rPr>
          <w:rFonts w:eastAsia="Times New Roman" w:cs="Times New Roman"/>
        </w:rPr>
        <w:t xml:space="preserve"> which would otherwise </w:t>
      </w:r>
      <w:r w:rsidR="0035636C" w:rsidRPr="00AA1887">
        <w:rPr>
          <w:rFonts w:eastAsia="Times New Roman" w:cs="Times New Roman"/>
        </w:rPr>
        <w:t xml:space="preserve">prevent civil servants from having </w:t>
      </w:r>
      <w:r w:rsidR="003F399E">
        <w:rPr>
          <w:rFonts w:eastAsia="Times New Roman" w:cs="Times New Roman"/>
        </w:rPr>
        <w:t>‘</w:t>
      </w:r>
      <w:r w:rsidR="0035636C" w:rsidRPr="00AA1887">
        <w:rPr>
          <w:rFonts w:eastAsia="Times New Roman" w:cs="Times New Roman"/>
        </w:rPr>
        <w:t>room for discretion or independent judgment</w:t>
      </w:r>
      <w:r w:rsidR="003F399E">
        <w:rPr>
          <w:rFonts w:eastAsia="Times New Roman" w:cs="Times New Roman"/>
        </w:rPr>
        <w:t>’</w:t>
      </w:r>
      <w:r w:rsidR="00BD4D7B">
        <w:rPr>
          <w:rFonts w:eastAsia="Times New Roman" w:cs="Times New Roman"/>
        </w:rPr>
        <w:t xml:space="preserve"> and being </w:t>
      </w:r>
      <w:r w:rsidR="003F399E">
        <w:rPr>
          <w:rFonts w:eastAsia="Times New Roman" w:cs="Times New Roman"/>
        </w:rPr>
        <w:t>‘</w:t>
      </w:r>
      <w:r w:rsidR="000A0F91" w:rsidRPr="00AA1887">
        <w:rPr>
          <w:rFonts w:eastAsia="Times New Roman" w:cs="Times New Roman"/>
        </w:rPr>
        <w:t>completely bound by detailed rules set by the political</w:t>
      </w:r>
      <w:r w:rsidR="003F399E">
        <w:rPr>
          <w:rFonts w:eastAsia="Times New Roman" w:cs="Times New Roman"/>
        </w:rPr>
        <w:t>’</w:t>
      </w:r>
      <w:r w:rsidR="000A0F91" w:rsidRPr="00AA1887">
        <w:rPr>
          <w:rFonts w:eastAsia="Times New Roman" w:cs="Times New Roman"/>
        </w:rPr>
        <w:t xml:space="preserve"> principal</w:t>
      </w:r>
      <w:r w:rsidR="00BD4D7B">
        <w:rPr>
          <w:rFonts w:eastAsia="Times New Roman" w:cs="Times New Roman"/>
        </w:rPr>
        <w:t xml:space="preserve">. At </w:t>
      </w:r>
      <w:r w:rsidR="0035636C" w:rsidRPr="00AA1887">
        <w:rPr>
          <w:rFonts w:eastAsia="Times New Roman" w:cs="Times New Roman"/>
        </w:rPr>
        <w:t>worst</w:t>
      </w:r>
      <w:r w:rsidR="00BD4D7B">
        <w:rPr>
          <w:rFonts w:eastAsia="Times New Roman" w:cs="Times New Roman"/>
        </w:rPr>
        <w:t>, a lack of autonomy would mean</w:t>
      </w:r>
      <w:r w:rsidR="0035636C" w:rsidRPr="00AA1887">
        <w:rPr>
          <w:rFonts w:eastAsia="Times New Roman" w:cs="Times New Roman"/>
        </w:rPr>
        <w:t xml:space="preserve"> </w:t>
      </w:r>
      <w:r w:rsidR="003F399E">
        <w:rPr>
          <w:rFonts w:eastAsia="Times New Roman" w:cs="Times New Roman"/>
        </w:rPr>
        <w:t>‘</w:t>
      </w:r>
      <w:proofErr w:type="spellStart"/>
      <w:r w:rsidR="0035636C" w:rsidRPr="00AA1887">
        <w:rPr>
          <w:rFonts w:eastAsia="Times New Roman" w:cs="Times New Roman"/>
        </w:rPr>
        <w:t>los</w:t>
      </w:r>
      <w:proofErr w:type="spellEnd"/>
      <w:r w:rsidR="0035636C" w:rsidRPr="00AA1887">
        <w:rPr>
          <w:rFonts w:eastAsia="Times New Roman" w:cs="Times New Roman"/>
        </w:rPr>
        <w:t>[</w:t>
      </w:r>
      <w:proofErr w:type="spellStart"/>
      <w:r w:rsidR="0035636C" w:rsidRPr="00AA1887">
        <w:rPr>
          <w:rFonts w:eastAsia="Times New Roman" w:cs="Times New Roman"/>
        </w:rPr>
        <w:t>ing</w:t>
      </w:r>
      <w:proofErr w:type="spellEnd"/>
      <w:r w:rsidR="0035636C" w:rsidRPr="00AA1887">
        <w:rPr>
          <w:rFonts w:eastAsia="Times New Roman" w:cs="Times New Roman"/>
        </w:rPr>
        <w:t xml:space="preserve">] control over internal recruitment and promotion to the political authorities </w:t>
      </w:r>
      <w:r w:rsidR="00BD4D7B">
        <w:rPr>
          <w:rFonts w:eastAsia="Times New Roman" w:cs="Times New Roman"/>
        </w:rPr>
        <w:t>[resulting in the bureaucracy being]</w:t>
      </w:r>
      <w:r w:rsidR="0035636C" w:rsidRPr="00AA1887">
        <w:rPr>
          <w:rFonts w:eastAsia="Times New Roman" w:cs="Times New Roman"/>
        </w:rPr>
        <w:t xml:space="preserve"> </w:t>
      </w:r>
      <w:r w:rsidR="00BD4D7B">
        <w:rPr>
          <w:rFonts w:eastAsia="Times New Roman" w:cs="Times New Roman"/>
        </w:rPr>
        <w:t xml:space="preserve">… </w:t>
      </w:r>
      <w:r w:rsidR="0035636C" w:rsidRPr="00AA1887">
        <w:rPr>
          <w:rFonts w:eastAsia="Times New Roman" w:cs="Times New Roman"/>
        </w:rPr>
        <w:t>staffed entirely by political appointees</w:t>
      </w:r>
      <w:r w:rsidR="003F399E">
        <w:rPr>
          <w:rFonts w:eastAsia="Times New Roman" w:cs="Times New Roman"/>
        </w:rPr>
        <w:t>’</w:t>
      </w:r>
      <w:r w:rsidR="000A0F91" w:rsidRPr="00AA1887">
        <w:rPr>
          <w:rFonts w:eastAsia="Times New Roman" w:cs="Times New Roman"/>
          <w:vertAlign w:val="superscript"/>
        </w:rPr>
        <w:footnoteReference w:id="32"/>
      </w:r>
      <w:r w:rsidR="0035636C" w:rsidRPr="00AA1887">
        <w:rPr>
          <w:rFonts w:eastAsia="Times New Roman" w:cs="Times New Roman"/>
        </w:rPr>
        <w:t xml:space="preserve">. </w:t>
      </w:r>
    </w:p>
    <w:p w14:paraId="5CF6CE83" w14:textId="6FA0DAD5" w:rsidR="002C6CB0" w:rsidRDefault="00F23AA6" w:rsidP="00545633">
      <w:pPr>
        <w:spacing w:line="480" w:lineRule="auto"/>
        <w:ind w:firstLine="720"/>
        <w:jc w:val="both"/>
        <w:rPr>
          <w:rFonts w:cs="Times New Roman"/>
          <w:lang w:val="en-US"/>
        </w:rPr>
      </w:pPr>
      <w:r>
        <w:rPr>
          <w:rFonts w:eastAsia="Times New Roman" w:cs="Times New Roman"/>
        </w:rPr>
        <w:t>S</w:t>
      </w:r>
      <w:r w:rsidR="002800A9" w:rsidRPr="00AA1887">
        <w:rPr>
          <w:rFonts w:eastAsia="Times New Roman" w:cs="Times New Roman"/>
        </w:rPr>
        <w:t xml:space="preserve">uch </w:t>
      </w:r>
      <w:r w:rsidR="0035636C" w:rsidRPr="00AA1887">
        <w:rPr>
          <w:rFonts w:eastAsia="Times New Roman" w:cs="Times New Roman"/>
        </w:rPr>
        <w:t>a conception of autonomy</w:t>
      </w:r>
      <w:r w:rsidR="002800A9" w:rsidRPr="00AA1887">
        <w:rPr>
          <w:rFonts w:eastAsia="Times New Roman" w:cs="Times New Roman"/>
        </w:rPr>
        <w:t xml:space="preserve"> is</w:t>
      </w:r>
      <w:r>
        <w:rPr>
          <w:rFonts w:eastAsia="Times New Roman" w:cs="Times New Roman"/>
        </w:rPr>
        <w:t>, however,</w:t>
      </w:r>
      <w:r w:rsidR="002800A9" w:rsidRPr="00AA1887">
        <w:rPr>
          <w:rFonts w:eastAsia="Times New Roman" w:cs="Times New Roman"/>
        </w:rPr>
        <w:t xml:space="preserve"> problematic as it</w:t>
      </w:r>
      <w:r w:rsidR="0035636C" w:rsidRPr="00AA1887">
        <w:rPr>
          <w:rFonts w:eastAsia="Times New Roman" w:cs="Times New Roman"/>
        </w:rPr>
        <w:t xml:space="preserve"> </w:t>
      </w:r>
      <w:r w:rsidR="002C6CB0" w:rsidRPr="00AA1887">
        <w:rPr>
          <w:rFonts w:eastAsia="Times New Roman" w:cs="Times New Roman"/>
        </w:rPr>
        <w:t>mixes autonomy from societal forces and autonomy from political masters, leaving an inadequate description of the nuances and distribution of policymaking power within the state.</w:t>
      </w:r>
      <w:r w:rsidR="0035636C" w:rsidRPr="00AA1887">
        <w:rPr>
          <w:rFonts w:eastAsia="Times New Roman" w:cs="Times New Roman"/>
        </w:rPr>
        <w:t xml:space="preserve"> Evans similarly </w:t>
      </w:r>
      <w:r w:rsidR="000A0F91" w:rsidRPr="00AA1887">
        <w:rPr>
          <w:rFonts w:eastAsia="Times New Roman" w:cs="Times New Roman"/>
        </w:rPr>
        <w:t>conflates autonomy from society and from political power when he writes</w:t>
      </w:r>
      <w:r w:rsidR="008D0788" w:rsidRPr="00AA1887">
        <w:rPr>
          <w:rFonts w:eastAsia="Times New Roman" w:cs="Times New Roman"/>
        </w:rPr>
        <w:t xml:space="preserve"> in the introduction of his </w:t>
      </w:r>
      <w:r w:rsidR="00DF4E03" w:rsidRPr="00AA1887">
        <w:rPr>
          <w:rFonts w:eastAsia="Times New Roman" w:cs="Times New Roman"/>
        </w:rPr>
        <w:t xml:space="preserve">famous </w:t>
      </w:r>
      <w:r w:rsidR="008D0788" w:rsidRPr="00AA1887">
        <w:rPr>
          <w:rFonts w:eastAsia="Times New Roman" w:cs="Times New Roman"/>
        </w:rPr>
        <w:t>book that</w:t>
      </w:r>
      <w:r w:rsidR="000A0F91" w:rsidRPr="00AA1887">
        <w:rPr>
          <w:rFonts w:eastAsia="Times New Roman" w:cs="Times New Roman"/>
        </w:rPr>
        <w:t xml:space="preserve"> </w:t>
      </w:r>
      <w:r w:rsidR="003F399E">
        <w:rPr>
          <w:rFonts w:eastAsia="Times New Roman" w:cs="Times New Roman"/>
        </w:rPr>
        <w:t>‘</w:t>
      </w:r>
      <w:r w:rsidR="00DF4E03" w:rsidRPr="00AA1887">
        <w:rPr>
          <w:rFonts w:eastAsia="Times New Roman" w:cs="Times New Roman"/>
        </w:rPr>
        <w:t>p</w:t>
      </w:r>
      <w:r w:rsidR="000A0F91" w:rsidRPr="00AA1887">
        <w:rPr>
          <w:rFonts w:eastAsia="Times New Roman" w:cs="Times New Roman"/>
        </w:rPr>
        <w:t>redatory states [i.e.</w:t>
      </w:r>
      <w:r w:rsidR="00DF4E03" w:rsidRPr="00AA1887">
        <w:rPr>
          <w:rFonts w:eastAsia="Times New Roman" w:cs="Times New Roman"/>
        </w:rPr>
        <w:t xml:space="preserve"> those</w:t>
      </w:r>
      <w:r w:rsidR="000A0F91" w:rsidRPr="00AA1887">
        <w:rPr>
          <w:rFonts w:eastAsia="Times New Roman" w:cs="Times New Roman"/>
        </w:rPr>
        <w:t xml:space="preserve"> </w:t>
      </w:r>
      <w:r w:rsidR="00485E47" w:rsidRPr="00AA1887">
        <w:rPr>
          <w:rFonts w:eastAsia="Times New Roman" w:cs="Times New Roman"/>
        </w:rPr>
        <w:t>missing</w:t>
      </w:r>
      <w:r w:rsidR="000A0F91" w:rsidRPr="00AA1887">
        <w:rPr>
          <w:rFonts w:eastAsia="Times New Roman" w:cs="Times New Roman"/>
        </w:rPr>
        <w:t xml:space="preserve"> autonomy] lack the ability to prevent </w:t>
      </w:r>
      <w:r w:rsidR="000A0F91" w:rsidRPr="00AA1887">
        <w:rPr>
          <w:rFonts w:eastAsia="Times New Roman" w:cs="Times New Roman"/>
        </w:rPr>
        <w:lastRenderedPageBreak/>
        <w:t>individual incumbents from pursuing their own goals</w:t>
      </w:r>
      <w:r w:rsidR="003F399E">
        <w:rPr>
          <w:rFonts w:eastAsia="Times New Roman" w:cs="Times New Roman"/>
        </w:rPr>
        <w:t>’</w:t>
      </w:r>
      <w:r w:rsidR="000A0F91" w:rsidRPr="00AA1887">
        <w:rPr>
          <w:rFonts w:eastAsia="Times New Roman" w:cs="Times New Roman"/>
        </w:rPr>
        <w:t xml:space="preserve"> and that in this context,</w:t>
      </w:r>
      <w:r w:rsidR="008D7CC2" w:rsidRPr="00AA1887">
        <w:rPr>
          <w:rFonts w:eastAsia="Times New Roman" w:cs="Times New Roman"/>
        </w:rPr>
        <w:t xml:space="preserve"> the state’s</w:t>
      </w:r>
      <w:r w:rsidR="008D0788" w:rsidRPr="00AA1887">
        <w:rPr>
          <w:rFonts w:eastAsia="Times New Roman" w:cs="Times New Roman"/>
        </w:rPr>
        <w:t xml:space="preserve"> </w:t>
      </w:r>
      <w:r w:rsidR="003F399E">
        <w:rPr>
          <w:rFonts w:eastAsia="Times New Roman" w:cs="Times New Roman"/>
        </w:rPr>
        <w:t>‘</w:t>
      </w:r>
      <w:r w:rsidR="008D0788" w:rsidRPr="00AA1887">
        <w:rPr>
          <w:rFonts w:eastAsia="Times New Roman" w:cs="Times New Roman"/>
        </w:rPr>
        <w:t>ties to society are ties to individual incumbents</w:t>
      </w:r>
      <w:r w:rsidR="000A0F91" w:rsidRPr="00AA1887">
        <w:rPr>
          <w:rFonts w:eastAsia="Times New Roman" w:cs="Times New Roman"/>
        </w:rPr>
        <w:t>, not connections between constituencies and the state as an organization.</w:t>
      </w:r>
      <w:r w:rsidR="003F399E">
        <w:rPr>
          <w:rFonts w:eastAsia="Times New Roman" w:cs="Times New Roman"/>
        </w:rPr>
        <w:t>’</w:t>
      </w:r>
      <w:r w:rsidR="00D83E21" w:rsidRPr="00AA1887">
        <w:rPr>
          <w:rStyle w:val="FootnoteReference"/>
          <w:rFonts w:eastAsia="Times New Roman" w:cs="Times New Roman"/>
        </w:rPr>
        <w:footnoteReference w:id="33"/>
      </w:r>
      <w:r w:rsidR="0035636C" w:rsidRPr="00AA1887">
        <w:rPr>
          <w:rFonts w:eastAsia="Times New Roman" w:cs="Times New Roman"/>
        </w:rPr>
        <w:t xml:space="preserve"> </w:t>
      </w:r>
      <w:r w:rsidR="002539C9">
        <w:rPr>
          <w:rFonts w:eastAsia="Times New Roman" w:cs="Times New Roman"/>
        </w:rPr>
        <w:t xml:space="preserve">This </w:t>
      </w:r>
      <w:r w:rsidR="00B530A0" w:rsidRPr="00AA1887">
        <w:rPr>
          <w:rFonts w:eastAsia="Times New Roman" w:cs="Times New Roman"/>
        </w:rPr>
        <w:t xml:space="preserve">understanding of autonomy </w:t>
      </w:r>
      <w:r w:rsidR="008B134F">
        <w:rPr>
          <w:rFonts w:eastAsia="Times New Roman" w:cs="Times New Roman"/>
        </w:rPr>
        <w:t xml:space="preserve">cannot account for </w:t>
      </w:r>
      <w:r w:rsidR="002539C9">
        <w:rPr>
          <w:rFonts w:eastAsia="Times New Roman" w:cs="Times New Roman"/>
        </w:rPr>
        <w:t>Rwanda</w:t>
      </w:r>
      <w:r w:rsidR="008B134F">
        <w:rPr>
          <w:rFonts w:eastAsia="Times New Roman" w:cs="Times New Roman"/>
        </w:rPr>
        <w:t xml:space="preserve">’s situation: </w:t>
      </w:r>
      <w:r w:rsidR="002F5E45">
        <w:rPr>
          <w:rFonts w:eastAsia="Times New Roman" w:cs="Times New Roman"/>
        </w:rPr>
        <w:t xml:space="preserve">the </w:t>
      </w:r>
      <w:r w:rsidR="00545633">
        <w:rPr>
          <w:rFonts w:eastAsia="Times New Roman" w:cs="Times New Roman"/>
        </w:rPr>
        <w:t xml:space="preserve">Rwandan </w:t>
      </w:r>
      <w:r w:rsidR="002F5E45">
        <w:rPr>
          <w:rFonts w:eastAsia="Times New Roman" w:cs="Times New Roman"/>
        </w:rPr>
        <w:t>bureaucracy then appears both autonomous,</w:t>
      </w:r>
      <w:r w:rsidR="002539C9">
        <w:rPr>
          <w:rFonts w:eastAsia="Times New Roman" w:cs="Times New Roman"/>
        </w:rPr>
        <w:t xml:space="preserve"> </w:t>
      </w:r>
      <w:r w:rsidR="002F5E45">
        <w:rPr>
          <w:rFonts w:eastAsia="Times New Roman" w:cs="Times New Roman"/>
        </w:rPr>
        <w:t>given its ability</w:t>
      </w:r>
      <w:r w:rsidR="00E2755C" w:rsidRPr="00AA1887">
        <w:rPr>
          <w:rFonts w:cs="Times New Roman"/>
          <w:lang w:val="en-US"/>
        </w:rPr>
        <w:t xml:space="preserve"> to resist political appointees, corruption, and interest group</w:t>
      </w:r>
      <w:r w:rsidR="002F5E45">
        <w:rPr>
          <w:rFonts w:cs="Times New Roman"/>
          <w:lang w:val="en-US"/>
        </w:rPr>
        <w:t>s</w:t>
      </w:r>
      <w:r w:rsidR="00E2755C" w:rsidRPr="00AA1887">
        <w:rPr>
          <w:rFonts w:cs="Times New Roman"/>
          <w:lang w:val="en-US"/>
        </w:rPr>
        <w:t>’ pressure</w:t>
      </w:r>
      <w:r w:rsidR="002F5E45">
        <w:rPr>
          <w:rFonts w:cs="Times New Roman"/>
          <w:lang w:val="en-US"/>
        </w:rPr>
        <w:t>,</w:t>
      </w:r>
      <w:r w:rsidR="00ED511D">
        <w:rPr>
          <w:rStyle w:val="FootnoteReference"/>
          <w:rFonts w:cs="Times New Roman"/>
          <w:lang w:val="en-US"/>
        </w:rPr>
        <w:footnoteReference w:id="34"/>
      </w:r>
      <w:r w:rsidR="00E2755C" w:rsidRPr="00AA1887">
        <w:rPr>
          <w:rFonts w:cs="Times New Roman"/>
          <w:lang w:val="en-US"/>
        </w:rPr>
        <w:t xml:space="preserve"> and simultaneously</w:t>
      </w:r>
      <w:r w:rsidR="00A825A2">
        <w:rPr>
          <w:rFonts w:cs="Times New Roman"/>
          <w:lang w:val="en-US"/>
        </w:rPr>
        <w:t>, as demonstrated in this article,</w:t>
      </w:r>
      <w:r w:rsidR="002F5E45">
        <w:rPr>
          <w:rFonts w:cs="Times New Roman"/>
          <w:lang w:val="en-US"/>
        </w:rPr>
        <w:t xml:space="preserve"> not autonomous, given its</w:t>
      </w:r>
      <w:r w:rsidR="00E2755C" w:rsidRPr="00AA1887">
        <w:rPr>
          <w:rFonts w:cs="Times New Roman"/>
          <w:lang w:val="en-US"/>
        </w:rPr>
        <w:t xml:space="preserve"> subordinat</w:t>
      </w:r>
      <w:r w:rsidR="002539C9">
        <w:rPr>
          <w:rFonts w:cs="Times New Roman"/>
          <w:lang w:val="en-US"/>
        </w:rPr>
        <w:t>ion</w:t>
      </w:r>
      <w:r w:rsidR="00E2755C" w:rsidRPr="00AA1887">
        <w:rPr>
          <w:rFonts w:cs="Times New Roman"/>
          <w:lang w:val="en-US"/>
        </w:rPr>
        <w:t xml:space="preserve"> to political leadership</w:t>
      </w:r>
      <w:r w:rsidR="005C480D">
        <w:rPr>
          <w:rFonts w:cs="Times New Roman"/>
          <w:lang w:val="en-US"/>
        </w:rPr>
        <w:t>, and often to the president’s wishes,</w:t>
      </w:r>
      <w:r w:rsidR="00E2755C" w:rsidRPr="00AA1887">
        <w:rPr>
          <w:rFonts w:cs="Times New Roman"/>
          <w:lang w:val="en-US"/>
        </w:rPr>
        <w:t xml:space="preserve"> with little room </w:t>
      </w:r>
      <w:r w:rsidR="003F399E">
        <w:rPr>
          <w:rFonts w:cs="Times New Roman"/>
          <w:lang w:val="en-US"/>
        </w:rPr>
        <w:t>‘</w:t>
      </w:r>
      <w:r w:rsidR="00E2755C" w:rsidRPr="00AA1887">
        <w:rPr>
          <w:rFonts w:cs="Times New Roman"/>
          <w:lang w:val="en-US"/>
        </w:rPr>
        <w:t>for discretion or independent judgment</w:t>
      </w:r>
      <w:r w:rsidR="003F399E">
        <w:rPr>
          <w:rFonts w:cs="Times New Roman"/>
          <w:lang w:val="en-US"/>
        </w:rPr>
        <w:t>’</w:t>
      </w:r>
      <w:r w:rsidR="00E2755C" w:rsidRPr="00AA1887">
        <w:rPr>
          <w:rFonts w:cs="Times New Roman"/>
          <w:lang w:val="en-US"/>
        </w:rPr>
        <w:t xml:space="preserve">. </w:t>
      </w:r>
    </w:p>
    <w:p w14:paraId="2D89BC36" w14:textId="1A70719B" w:rsidR="0060559C" w:rsidRPr="00AA1887" w:rsidRDefault="0060559C" w:rsidP="005C480D">
      <w:pPr>
        <w:spacing w:line="480" w:lineRule="auto"/>
        <w:jc w:val="both"/>
        <w:rPr>
          <w:rFonts w:eastAsia="Times New Roman" w:cs="Times New Roman"/>
        </w:rPr>
      </w:pPr>
      <w:r>
        <w:rPr>
          <w:rFonts w:cs="Times New Roman"/>
          <w:lang w:val="en-US"/>
        </w:rPr>
        <w:tab/>
      </w:r>
      <w:r w:rsidR="00BA089A" w:rsidRPr="00BA089A">
        <w:rPr>
          <w:rFonts w:cs="Times New Roman"/>
          <w:lang w:val="en-US"/>
        </w:rPr>
        <w:t xml:space="preserve">The empirical evidence presented in key works on the developmental state is at odds </w:t>
      </w:r>
      <w:r w:rsidR="00BA089A" w:rsidRPr="00406B02">
        <w:rPr>
          <w:rFonts w:cs="Times New Roman"/>
          <w:lang w:val="en-US"/>
        </w:rPr>
        <w:t>with this literature</w:t>
      </w:r>
      <w:r w:rsidR="00BA089A">
        <w:rPr>
          <w:rFonts w:cs="Times New Roman"/>
          <w:lang w:val="en-US"/>
        </w:rPr>
        <w:t>’</w:t>
      </w:r>
      <w:r w:rsidR="00BA089A" w:rsidRPr="00406B02">
        <w:rPr>
          <w:rFonts w:cs="Times New Roman"/>
          <w:lang w:val="en-US"/>
        </w:rPr>
        <w:t>s apparent</w:t>
      </w:r>
      <w:r w:rsidR="008D5014" w:rsidRPr="00BA089A">
        <w:rPr>
          <w:rFonts w:cs="Times New Roman"/>
          <w:lang w:val="en-US"/>
        </w:rPr>
        <w:t xml:space="preserve"> lack of </w:t>
      </w:r>
      <w:r w:rsidR="00BA089A" w:rsidRPr="00406B02">
        <w:rPr>
          <w:rFonts w:cs="Times New Roman"/>
        </w:rPr>
        <w:t>theorising</w:t>
      </w:r>
      <w:r w:rsidR="00BA089A" w:rsidRPr="00406B02">
        <w:rPr>
          <w:rFonts w:cs="Times New Roman"/>
          <w:lang w:val="en-US"/>
        </w:rPr>
        <w:t xml:space="preserve"> about the </w:t>
      </w:r>
      <w:r w:rsidR="008D5014" w:rsidRPr="00BA089A">
        <w:rPr>
          <w:rFonts w:cs="Times New Roman"/>
          <w:lang w:val="en-US"/>
        </w:rPr>
        <w:t>relationship between bureaucracy and politicians</w:t>
      </w:r>
      <w:r w:rsidR="00206D30" w:rsidRPr="00BA089A">
        <w:rPr>
          <w:rFonts w:cs="Times New Roman"/>
          <w:lang w:val="en-US"/>
        </w:rPr>
        <w:t xml:space="preserve">, and </w:t>
      </w:r>
      <w:r w:rsidR="00BA089A" w:rsidRPr="00406B02">
        <w:rPr>
          <w:rFonts w:cs="Times New Roman"/>
          <w:lang w:val="en-US"/>
        </w:rPr>
        <w:t xml:space="preserve">its tendency to conflate </w:t>
      </w:r>
      <w:r w:rsidR="00206D30" w:rsidRPr="00BA089A">
        <w:rPr>
          <w:rFonts w:cs="Times New Roman"/>
          <w:lang w:val="en-US"/>
        </w:rPr>
        <w:t xml:space="preserve">autonomy from society </w:t>
      </w:r>
      <w:r w:rsidR="00BA089A" w:rsidRPr="00406B02">
        <w:rPr>
          <w:rFonts w:cs="Times New Roman"/>
          <w:lang w:val="en-US"/>
        </w:rPr>
        <w:t>with</w:t>
      </w:r>
      <w:r w:rsidR="00406B02">
        <w:rPr>
          <w:rFonts w:cs="Times New Roman"/>
          <w:lang w:val="en-US"/>
        </w:rPr>
        <w:t xml:space="preserve"> autonomy from politicians</w:t>
      </w:r>
      <w:r w:rsidR="00406B02">
        <w:rPr>
          <w:rFonts w:cs="Times New Roman"/>
        </w:rPr>
        <w:t>.</w:t>
      </w:r>
      <w:r w:rsidR="00617818" w:rsidRPr="00AA1887">
        <w:rPr>
          <w:rFonts w:cs="Times New Roman"/>
        </w:rPr>
        <w:t xml:space="preserve"> </w:t>
      </w:r>
      <w:proofErr w:type="gramStart"/>
      <w:r w:rsidR="00617818">
        <w:rPr>
          <w:rFonts w:cs="Times New Roman"/>
        </w:rPr>
        <w:t>A number of</w:t>
      </w:r>
      <w:proofErr w:type="gramEnd"/>
      <w:r w:rsidR="00617818">
        <w:rPr>
          <w:rFonts w:cs="Times New Roman"/>
        </w:rPr>
        <w:t xml:space="preserve"> texts highlight the centrality of the</w:t>
      </w:r>
      <w:r w:rsidR="00617818" w:rsidRPr="00AA1887">
        <w:rPr>
          <w:rFonts w:cs="Times New Roman"/>
        </w:rPr>
        <w:t xml:space="preserve"> bureaucracy</w:t>
      </w:r>
      <w:r w:rsidR="00617818">
        <w:rPr>
          <w:rFonts w:cs="Times New Roman"/>
        </w:rPr>
        <w:t xml:space="preserve">’s protection from </w:t>
      </w:r>
      <w:r w:rsidR="00617818" w:rsidRPr="00AA1887">
        <w:rPr>
          <w:rFonts w:cs="Times New Roman"/>
        </w:rPr>
        <w:t xml:space="preserve">political power. Chalmers Johnson in his </w:t>
      </w:r>
      <w:r w:rsidR="00ED511D">
        <w:rPr>
          <w:rFonts w:cs="Times New Roman"/>
        </w:rPr>
        <w:t>groundbreaking</w:t>
      </w:r>
      <w:r w:rsidR="00ED511D" w:rsidRPr="00AA1887">
        <w:rPr>
          <w:rFonts w:cs="Times New Roman"/>
        </w:rPr>
        <w:t xml:space="preserve"> </w:t>
      </w:r>
      <w:r w:rsidR="00617818" w:rsidRPr="00AA1887">
        <w:rPr>
          <w:rFonts w:cs="Times New Roman"/>
        </w:rPr>
        <w:t xml:space="preserve">book on Japanese industrialization, argues that </w:t>
      </w:r>
      <w:r w:rsidR="00F23AA6">
        <w:rPr>
          <w:rFonts w:cs="Times New Roman"/>
        </w:rPr>
        <w:t xml:space="preserve">the post-war </w:t>
      </w:r>
      <w:r w:rsidR="00617818" w:rsidRPr="00AA1887">
        <w:rPr>
          <w:rFonts w:cs="Times New Roman"/>
        </w:rPr>
        <w:t xml:space="preserve">Japanese state’s effectiveness partly </w:t>
      </w:r>
      <w:r w:rsidR="0009030F">
        <w:rPr>
          <w:rFonts w:cs="Times New Roman"/>
        </w:rPr>
        <w:t>lies</w:t>
      </w:r>
      <w:r w:rsidR="00617818" w:rsidRPr="00AA1887">
        <w:rPr>
          <w:rFonts w:cs="Times New Roman"/>
        </w:rPr>
        <w:t xml:space="preserve"> in the </w:t>
      </w:r>
      <w:r w:rsidR="00617818">
        <w:rPr>
          <w:rFonts w:cs="Times New Roman"/>
        </w:rPr>
        <w:t xml:space="preserve">power of </w:t>
      </w:r>
      <w:r w:rsidR="00617818" w:rsidRPr="00AA1887">
        <w:rPr>
          <w:rFonts w:cs="Times New Roman"/>
        </w:rPr>
        <w:t>bureaucrats</w:t>
      </w:r>
      <w:r w:rsidR="00617818">
        <w:rPr>
          <w:rFonts w:cs="Times New Roman"/>
        </w:rPr>
        <w:t xml:space="preserve"> in</w:t>
      </w:r>
      <w:r w:rsidR="00617818" w:rsidRPr="00AA1887">
        <w:rPr>
          <w:rFonts w:cs="Times New Roman"/>
        </w:rPr>
        <w:t xml:space="preserve"> </w:t>
      </w:r>
      <w:r w:rsidR="003F399E">
        <w:rPr>
          <w:rFonts w:cs="Times New Roman"/>
        </w:rPr>
        <w:t>‘</w:t>
      </w:r>
      <w:r w:rsidR="00617818" w:rsidRPr="00AA1887">
        <w:rPr>
          <w:rFonts w:cs="Times New Roman"/>
        </w:rPr>
        <w:t>a political system in which the bureaucracy is given sufficient scope to take initiative and operate effectively.</w:t>
      </w:r>
      <w:r w:rsidR="0009030F">
        <w:rPr>
          <w:rFonts w:cs="Times New Roman"/>
        </w:rPr>
        <w:t>’</w:t>
      </w:r>
      <w:r w:rsidR="00617818" w:rsidRPr="00AA1887">
        <w:rPr>
          <w:rStyle w:val="FootnoteReference"/>
          <w:rFonts w:cs="Times New Roman"/>
        </w:rPr>
        <w:footnoteReference w:id="35"/>
      </w:r>
      <w:r w:rsidR="00617818" w:rsidRPr="00AA1887">
        <w:rPr>
          <w:rFonts w:cs="Times New Roman"/>
        </w:rPr>
        <w:t xml:space="preserve"> This was famously encapsulated in </w:t>
      </w:r>
      <w:r w:rsidR="00617818">
        <w:rPr>
          <w:rFonts w:cs="Times New Roman"/>
        </w:rPr>
        <w:t>his</w:t>
      </w:r>
      <w:r w:rsidR="00617818" w:rsidRPr="00AA1887">
        <w:rPr>
          <w:rFonts w:cs="Times New Roman"/>
        </w:rPr>
        <w:t xml:space="preserve"> phrase</w:t>
      </w:r>
      <w:r w:rsidR="00617818">
        <w:rPr>
          <w:rFonts w:cs="Times New Roman"/>
        </w:rPr>
        <w:t xml:space="preserve"> that in Japan</w:t>
      </w:r>
      <w:r w:rsidR="00617818" w:rsidRPr="00AA1887">
        <w:rPr>
          <w:rFonts w:cs="Times New Roman"/>
        </w:rPr>
        <w:t xml:space="preserve"> </w:t>
      </w:r>
      <w:r w:rsidR="003F399E">
        <w:rPr>
          <w:rFonts w:cs="Times New Roman"/>
        </w:rPr>
        <w:t>‘</w:t>
      </w:r>
      <w:r w:rsidR="00617818" w:rsidRPr="00AA1887">
        <w:rPr>
          <w:rFonts w:cs="Times New Roman"/>
        </w:rPr>
        <w:t>politicians reign and the bureaucrats rule</w:t>
      </w:r>
      <w:r w:rsidR="003F399E">
        <w:rPr>
          <w:rFonts w:cs="Times New Roman"/>
        </w:rPr>
        <w:t>’</w:t>
      </w:r>
      <w:r w:rsidR="00617818" w:rsidRPr="00AA1887">
        <w:rPr>
          <w:rFonts w:cs="Times New Roman"/>
        </w:rPr>
        <w:t>.</w:t>
      </w:r>
      <w:r w:rsidR="00617818" w:rsidRPr="00AA1887">
        <w:rPr>
          <w:rStyle w:val="FootnoteReference"/>
          <w:rFonts w:cs="Times New Roman"/>
        </w:rPr>
        <w:footnoteReference w:id="36"/>
      </w:r>
      <w:r w:rsidR="00617818" w:rsidRPr="00AA1887">
        <w:rPr>
          <w:rFonts w:cs="Times New Roman"/>
        </w:rPr>
        <w:t xml:space="preserve"> </w:t>
      </w:r>
      <w:r w:rsidR="0009030F">
        <w:rPr>
          <w:rFonts w:cs="Times New Roman"/>
        </w:rPr>
        <w:t>Johnson</w:t>
      </w:r>
      <w:r w:rsidR="0009030F" w:rsidRPr="00AA1887">
        <w:rPr>
          <w:rFonts w:cs="Times New Roman"/>
        </w:rPr>
        <w:t xml:space="preserve"> </w:t>
      </w:r>
      <w:r w:rsidR="00617818">
        <w:rPr>
          <w:rFonts w:cs="Times New Roman"/>
        </w:rPr>
        <w:t xml:space="preserve">specified </w:t>
      </w:r>
      <w:r w:rsidR="00617818" w:rsidRPr="00AA1887">
        <w:rPr>
          <w:rFonts w:cs="Times New Roman"/>
        </w:rPr>
        <w:t xml:space="preserve">a key condition for this that is </w:t>
      </w:r>
      <w:r w:rsidR="00A66F17">
        <w:rPr>
          <w:rFonts w:cs="Times New Roman"/>
        </w:rPr>
        <w:t>absent</w:t>
      </w:r>
      <w:r w:rsidR="00617818" w:rsidRPr="00AA1887">
        <w:rPr>
          <w:rFonts w:cs="Times New Roman"/>
        </w:rPr>
        <w:t xml:space="preserve">, as we have demonstrated,  in the Rwandan case: </w:t>
      </w:r>
      <w:r w:rsidR="00A67AD6">
        <w:rPr>
          <w:rFonts w:cs="Times New Roman"/>
        </w:rPr>
        <w:t>the ability of politicians to “</w:t>
      </w:r>
      <w:r w:rsidR="00617818" w:rsidRPr="00AA1887">
        <w:rPr>
          <w:rFonts w:cs="Times New Roman"/>
        </w:rPr>
        <w:t>create space for bureaucratic initiative unconstrained by political power.</w:t>
      </w:r>
      <w:r w:rsidR="003F399E">
        <w:rPr>
          <w:rFonts w:cs="Times New Roman"/>
        </w:rPr>
        <w:t>’</w:t>
      </w:r>
      <w:r w:rsidR="00617818" w:rsidRPr="00AA1887">
        <w:rPr>
          <w:rStyle w:val="FootnoteReference"/>
          <w:rFonts w:cs="Times New Roman"/>
        </w:rPr>
        <w:footnoteReference w:id="37"/>
      </w:r>
      <w:r w:rsidR="00617818" w:rsidRPr="00AA1887">
        <w:rPr>
          <w:rFonts w:cs="Times New Roman"/>
        </w:rPr>
        <w:t xml:space="preserve"> Similarly, in the case of South Korea and Taiwan, Cheng et al argued that public agencies and ministries involved in economic transformation tended to be insulated from political and societal pressures but were also made </w:t>
      </w:r>
      <w:r w:rsidR="003C33DF">
        <w:rPr>
          <w:rFonts w:cs="Times New Roman"/>
        </w:rPr>
        <w:t>relatively</w:t>
      </w:r>
      <w:r w:rsidR="00617818" w:rsidRPr="00AA1887">
        <w:rPr>
          <w:rFonts w:cs="Times New Roman"/>
        </w:rPr>
        <w:t xml:space="preserve"> independent from the presidency.</w:t>
      </w:r>
      <w:r w:rsidR="00617818" w:rsidRPr="00AA1887">
        <w:rPr>
          <w:rStyle w:val="FootnoteReference"/>
          <w:rFonts w:cs="Times New Roman"/>
        </w:rPr>
        <w:footnoteReference w:id="38"/>
      </w:r>
      <w:r w:rsidR="00617818" w:rsidRPr="00AA1887">
        <w:rPr>
          <w:rFonts w:cs="Times New Roman"/>
        </w:rPr>
        <w:t xml:space="preserve"> </w:t>
      </w:r>
    </w:p>
    <w:p w14:paraId="15425802" w14:textId="28F5ABC7" w:rsidR="0030443C" w:rsidRDefault="00A66F17" w:rsidP="000A0F91">
      <w:pPr>
        <w:spacing w:line="480" w:lineRule="auto"/>
        <w:ind w:firstLine="720"/>
        <w:jc w:val="both"/>
        <w:rPr>
          <w:rFonts w:eastAsia="Times New Roman" w:cs="Times New Roman"/>
        </w:rPr>
      </w:pPr>
      <w:r>
        <w:rPr>
          <w:rFonts w:eastAsia="Times New Roman" w:cs="Times New Roman"/>
        </w:rPr>
        <w:lastRenderedPageBreak/>
        <w:t>The term ‘b</w:t>
      </w:r>
      <w:r w:rsidR="002C6CB0" w:rsidRPr="00BC2452">
        <w:rPr>
          <w:rFonts w:eastAsia="Times New Roman" w:cs="Times New Roman"/>
        </w:rPr>
        <w:t>ureaucratic independence</w:t>
      </w:r>
      <w:r w:rsidR="003F399E">
        <w:rPr>
          <w:rFonts w:eastAsia="Times New Roman" w:cs="Times New Roman"/>
        </w:rPr>
        <w:t>’</w:t>
      </w:r>
      <w:r w:rsidR="002C6CB0" w:rsidRPr="00BC2452">
        <w:rPr>
          <w:rFonts w:eastAsia="Times New Roman" w:cs="Times New Roman"/>
        </w:rPr>
        <w:t xml:space="preserve">, coined by Svara, </w:t>
      </w:r>
      <w:r w:rsidR="00BA089A" w:rsidRPr="00776B80">
        <w:rPr>
          <w:rFonts w:eastAsia="Times New Roman" w:cs="Times New Roman"/>
        </w:rPr>
        <w:t>enables</w:t>
      </w:r>
      <w:r w:rsidR="00717DBD" w:rsidRPr="00BC2452">
        <w:rPr>
          <w:rFonts w:eastAsia="Times New Roman" w:cs="Times New Roman"/>
        </w:rPr>
        <w:t xml:space="preserve"> disaggregat</w:t>
      </w:r>
      <w:r w:rsidR="00BA089A" w:rsidRPr="00776B80">
        <w:rPr>
          <w:rFonts w:eastAsia="Times New Roman" w:cs="Times New Roman"/>
        </w:rPr>
        <w:t>ion of</w:t>
      </w:r>
      <w:r w:rsidR="00717DBD" w:rsidRPr="00BC2452">
        <w:rPr>
          <w:rFonts w:eastAsia="Times New Roman" w:cs="Times New Roman"/>
        </w:rPr>
        <w:t xml:space="preserve"> the politician/bureaucra</w:t>
      </w:r>
      <w:r w:rsidR="00BC2452">
        <w:rPr>
          <w:rFonts w:eastAsia="Times New Roman" w:cs="Times New Roman"/>
        </w:rPr>
        <w:t xml:space="preserve">cy </w:t>
      </w:r>
      <w:r w:rsidR="00717DBD" w:rsidRPr="00BC2452">
        <w:rPr>
          <w:rFonts w:eastAsia="Times New Roman" w:cs="Times New Roman"/>
        </w:rPr>
        <w:t>relationship</w:t>
      </w:r>
      <w:r w:rsidR="00BC2452">
        <w:rPr>
          <w:rFonts w:eastAsia="Times New Roman" w:cs="Times New Roman"/>
        </w:rPr>
        <w:t>, unpacking concepts like the</w:t>
      </w:r>
      <w:r w:rsidR="00717DBD" w:rsidRPr="00BC2452">
        <w:rPr>
          <w:rFonts w:eastAsia="Times New Roman" w:cs="Times New Roman"/>
        </w:rPr>
        <w:t xml:space="preserve"> </w:t>
      </w:r>
      <w:r w:rsidR="003F399E">
        <w:rPr>
          <w:rFonts w:eastAsia="Times New Roman" w:cs="Times New Roman"/>
        </w:rPr>
        <w:t>‘</w:t>
      </w:r>
      <w:r w:rsidR="00717DBD" w:rsidRPr="00BC2452">
        <w:rPr>
          <w:rFonts w:eastAsia="Times New Roman" w:cs="Times New Roman"/>
        </w:rPr>
        <w:t>autonomous state</w:t>
      </w:r>
      <w:r w:rsidR="003F399E">
        <w:rPr>
          <w:rFonts w:eastAsia="Times New Roman" w:cs="Times New Roman"/>
        </w:rPr>
        <w:t>’</w:t>
      </w:r>
      <w:r w:rsidR="00BC2452">
        <w:rPr>
          <w:rFonts w:eastAsia="Times New Roman" w:cs="Times New Roman"/>
        </w:rPr>
        <w:t xml:space="preserve"> whilst </w:t>
      </w:r>
      <w:r w:rsidR="00617818" w:rsidRPr="00BC2452">
        <w:rPr>
          <w:rFonts w:eastAsia="Times New Roman" w:cs="Times New Roman"/>
        </w:rPr>
        <w:t>conceptuali</w:t>
      </w:r>
      <w:r w:rsidR="00F23AA6">
        <w:rPr>
          <w:rFonts w:eastAsia="Times New Roman" w:cs="Times New Roman"/>
        </w:rPr>
        <w:t>z</w:t>
      </w:r>
      <w:r w:rsidR="00617818" w:rsidRPr="00BC2452">
        <w:rPr>
          <w:rFonts w:eastAsia="Times New Roman" w:cs="Times New Roman"/>
        </w:rPr>
        <w:t xml:space="preserve">ing </w:t>
      </w:r>
      <w:r w:rsidR="00485E47" w:rsidRPr="00BC2452">
        <w:rPr>
          <w:rFonts w:eastAsia="Times New Roman" w:cs="Times New Roman"/>
        </w:rPr>
        <w:t>an alternative</w:t>
      </w:r>
      <w:r w:rsidR="00617818" w:rsidRPr="00BC2452">
        <w:rPr>
          <w:rFonts w:eastAsia="Times New Roman" w:cs="Times New Roman"/>
        </w:rPr>
        <w:t xml:space="preserve"> ideal</w:t>
      </w:r>
      <w:r w:rsidR="002C6CB0" w:rsidRPr="00BC2452">
        <w:rPr>
          <w:rFonts w:eastAsia="Times New Roman" w:cs="Times New Roman"/>
        </w:rPr>
        <w:t xml:space="preserve"> politics</w:t>
      </w:r>
      <w:r w:rsidR="00485E47" w:rsidRPr="00BC2452">
        <w:rPr>
          <w:rFonts w:eastAsia="Times New Roman" w:cs="Times New Roman"/>
        </w:rPr>
        <w:t>-</w:t>
      </w:r>
      <w:r w:rsidR="002C6CB0" w:rsidRPr="00BC2452">
        <w:rPr>
          <w:rFonts w:eastAsia="Times New Roman" w:cs="Times New Roman"/>
        </w:rPr>
        <w:t>bureaucracy interface.</w:t>
      </w:r>
      <w:r w:rsidR="00ED511D" w:rsidRPr="00AA1887">
        <w:rPr>
          <w:rFonts w:eastAsia="Times New Roman" w:cs="Times New Roman"/>
          <w:vertAlign w:val="superscript"/>
        </w:rPr>
        <w:footnoteReference w:id="39"/>
      </w:r>
      <w:r w:rsidR="002C6CB0" w:rsidRPr="00BC2452">
        <w:rPr>
          <w:rFonts w:eastAsia="Times New Roman" w:cs="Times New Roman"/>
        </w:rPr>
        <w:t xml:space="preserve"> Svara, observing empirical evidence that </w:t>
      </w:r>
      <w:r w:rsidR="00D337CB" w:rsidRPr="00BC2452">
        <w:rPr>
          <w:rFonts w:eastAsia="Times New Roman" w:cs="Times New Roman"/>
        </w:rPr>
        <w:t>autonom</w:t>
      </w:r>
      <w:r w:rsidR="00BC2452" w:rsidRPr="00BC2452">
        <w:rPr>
          <w:rFonts w:eastAsia="Times New Roman" w:cs="Times New Roman"/>
        </w:rPr>
        <w:t xml:space="preserve">y of civil servants in </w:t>
      </w:r>
      <w:r w:rsidR="002C6CB0" w:rsidRPr="00AA1887">
        <w:rPr>
          <w:rFonts w:eastAsia="Times New Roman" w:cs="Times New Roman"/>
        </w:rPr>
        <w:t xml:space="preserve">policy-making and implementation rarely occurs, asserts an alternative framework premised on the </w:t>
      </w:r>
      <w:r w:rsidR="003F399E">
        <w:rPr>
          <w:rFonts w:eastAsia="Times New Roman" w:cs="Times New Roman"/>
        </w:rPr>
        <w:t>‘</w:t>
      </w:r>
      <w:r w:rsidR="002C6CB0" w:rsidRPr="00AA1887">
        <w:rPr>
          <w:rFonts w:eastAsia="Times New Roman" w:cs="Times New Roman"/>
        </w:rPr>
        <w:t>interdependence and reciprocal influence between elected officials and administrators</w:t>
      </w:r>
      <w:r w:rsidR="003F399E">
        <w:rPr>
          <w:rFonts w:eastAsia="Times New Roman" w:cs="Times New Roman"/>
        </w:rPr>
        <w:t>’</w:t>
      </w:r>
      <w:r w:rsidR="002C6CB0" w:rsidRPr="00AA1887">
        <w:rPr>
          <w:rFonts w:eastAsia="Times New Roman" w:cs="Times New Roman"/>
        </w:rPr>
        <w:t>.</w:t>
      </w:r>
      <w:r w:rsidR="005C480D" w:rsidRPr="00AA1887">
        <w:rPr>
          <w:rFonts w:eastAsia="Times New Roman" w:cs="Times New Roman"/>
          <w:vertAlign w:val="superscript"/>
        </w:rPr>
        <w:footnoteReference w:id="40"/>
      </w:r>
      <w:r w:rsidR="002C6CB0" w:rsidRPr="00AA1887">
        <w:rPr>
          <w:rFonts w:eastAsia="Times New Roman" w:cs="Times New Roman"/>
        </w:rPr>
        <w:t xml:space="preserve"> Our concept of bureaucratic independence develops this insight. Low independence involves political dominance of policymaking and the confinement of the civil service to </w:t>
      </w:r>
      <w:proofErr w:type="gramStart"/>
      <w:r w:rsidR="002C6CB0" w:rsidRPr="00AA1887">
        <w:rPr>
          <w:rFonts w:eastAsia="Times New Roman" w:cs="Times New Roman"/>
        </w:rPr>
        <w:t>narrowly-defined</w:t>
      </w:r>
      <w:proofErr w:type="gramEnd"/>
      <w:r w:rsidR="002C6CB0" w:rsidRPr="00AA1887">
        <w:rPr>
          <w:rFonts w:eastAsia="Times New Roman" w:cs="Times New Roman"/>
        </w:rPr>
        <w:t xml:space="preserve"> implementation</w:t>
      </w:r>
      <w:r w:rsidR="003C33DF">
        <w:rPr>
          <w:rFonts w:eastAsia="Times New Roman" w:cs="Times New Roman"/>
        </w:rPr>
        <w:t xml:space="preserve">. Conversely, </w:t>
      </w:r>
      <w:r w:rsidR="002C6CB0" w:rsidRPr="00AA1887">
        <w:rPr>
          <w:rFonts w:eastAsia="Times New Roman" w:cs="Times New Roman"/>
        </w:rPr>
        <w:t xml:space="preserve">high independence </w:t>
      </w:r>
      <w:r w:rsidR="003C33DF">
        <w:rPr>
          <w:rFonts w:eastAsia="Times New Roman" w:cs="Times New Roman"/>
        </w:rPr>
        <w:t>incorporates</w:t>
      </w:r>
      <w:r w:rsidR="002C6CB0" w:rsidRPr="00AA1887">
        <w:rPr>
          <w:rFonts w:eastAsia="Times New Roman" w:cs="Times New Roman"/>
        </w:rPr>
        <w:t xml:space="preserve"> </w:t>
      </w:r>
      <w:r w:rsidR="003F399E">
        <w:rPr>
          <w:rFonts w:eastAsia="Times New Roman" w:cs="Times New Roman"/>
        </w:rPr>
        <w:t>‘</w:t>
      </w:r>
      <w:r w:rsidR="002C6CB0" w:rsidRPr="00AA1887">
        <w:rPr>
          <w:rFonts w:eastAsia="Times New Roman" w:cs="Times New Roman"/>
        </w:rPr>
        <w:t>professional perspectives in policy formation and adhering to professional standards in implementation</w:t>
      </w:r>
      <w:r w:rsidR="003F399E">
        <w:rPr>
          <w:rFonts w:eastAsia="Times New Roman" w:cs="Times New Roman"/>
        </w:rPr>
        <w:t>’</w:t>
      </w:r>
      <w:r w:rsidR="002C6CB0" w:rsidRPr="00AA1887">
        <w:rPr>
          <w:rFonts w:eastAsia="Times New Roman" w:cs="Times New Roman"/>
          <w:vertAlign w:val="superscript"/>
        </w:rPr>
        <w:footnoteReference w:id="41"/>
      </w:r>
      <w:r w:rsidR="002C6CB0" w:rsidRPr="00AA1887">
        <w:rPr>
          <w:rFonts w:eastAsia="Times New Roman" w:cs="Times New Roman"/>
        </w:rPr>
        <w:t xml:space="preserve"> with </w:t>
      </w:r>
      <w:r w:rsidR="003C33DF">
        <w:rPr>
          <w:rFonts w:eastAsia="Times New Roman" w:cs="Times New Roman"/>
        </w:rPr>
        <w:t xml:space="preserve">rulers </w:t>
      </w:r>
      <w:r w:rsidR="002C6CB0" w:rsidRPr="00AA1887">
        <w:rPr>
          <w:rFonts w:eastAsia="Times New Roman" w:cs="Times New Roman"/>
        </w:rPr>
        <w:t xml:space="preserve">respecting administrative competence and commitment. </w:t>
      </w:r>
      <w:r w:rsidR="008D0788" w:rsidRPr="00AA1887">
        <w:rPr>
          <w:rFonts w:eastAsia="Times New Roman" w:cs="Times New Roman"/>
        </w:rPr>
        <w:t>Bureaucratic independence does not imply</w:t>
      </w:r>
      <w:r w:rsidR="002C6CB0" w:rsidRPr="00AA1887">
        <w:rPr>
          <w:rFonts w:eastAsia="Times New Roman" w:cs="Times New Roman"/>
        </w:rPr>
        <w:t xml:space="preserve"> the absence of political control over bureaucrats or an insistence on the merits of bureaucratic isolation. Rather, independence conceptuali</w:t>
      </w:r>
      <w:r w:rsidR="00F23AA6">
        <w:rPr>
          <w:rFonts w:eastAsia="Times New Roman" w:cs="Times New Roman"/>
        </w:rPr>
        <w:t>z</w:t>
      </w:r>
      <w:r w:rsidR="002C6CB0" w:rsidRPr="00AA1887">
        <w:rPr>
          <w:rFonts w:eastAsia="Times New Roman" w:cs="Times New Roman"/>
        </w:rPr>
        <w:t xml:space="preserve">es the distribution of decision-making power that allows bureaucrats to undertake their technical roles and freely express their professional insights, and critiques, in what is a </w:t>
      </w:r>
      <w:r w:rsidR="002C6CB0" w:rsidRPr="00AA1887">
        <w:rPr>
          <w:rFonts w:eastAsia="Times New Roman" w:cs="Times New Roman"/>
          <w:i/>
          <w:iCs/>
        </w:rPr>
        <w:t>de facto</w:t>
      </w:r>
      <w:r w:rsidR="002C6CB0" w:rsidRPr="00AA1887">
        <w:rPr>
          <w:rFonts w:eastAsia="Times New Roman" w:cs="Times New Roman"/>
        </w:rPr>
        <w:t xml:space="preserve"> shared policymaking</w:t>
      </w:r>
      <w:r w:rsidR="002C6CB0" w:rsidRPr="00AA1887" w:rsidDel="00400690">
        <w:rPr>
          <w:rFonts w:eastAsia="Times New Roman" w:cs="Times New Roman"/>
        </w:rPr>
        <w:t xml:space="preserve"> </w:t>
      </w:r>
      <w:r w:rsidR="002C6CB0" w:rsidRPr="00AA1887">
        <w:rPr>
          <w:rFonts w:eastAsia="Times New Roman" w:cs="Times New Roman"/>
        </w:rPr>
        <w:t>process.</w:t>
      </w:r>
    </w:p>
    <w:p w14:paraId="621D8611" w14:textId="66C2FD68" w:rsidR="00D86238" w:rsidRDefault="0030443C" w:rsidP="00E10DC5">
      <w:pPr>
        <w:spacing w:line="480" w:lineRule="auto"/>
        <w:ind w:firstLine="720"/>
        <w:jc w:val="both"/>
        <w:rPr>
          <w:rFonts w:cs="Times New Roman"/>
        </w:rPr>
      </w:pPr>
      <w:r>
        <w:rPr>
          <w:rFonts w:cs="Times New Roman"/>
        </w:rPr>
        <w:t xml:space="preserve">Whilst </w:t>
      </w:r>
      <w:r w:rsidRPr="003858F6">
        <w:rPr>
          <w:rFonts w:cs="Times New Roman"/>
        </w:rPr>
        <w:t>studies on the political economy of development have hardly focused on the politics/bureaucracy interface</w:t>
      </w:r>
      <w:r>
        <w:rPr>
          <w:rFonts w:cs="Times New Roman"/>
        </w:rPr>
        <w:t>,</w:t>
      </w:r>
      <w:r w:rsidRPr="003858F6">
        <w:rPr>
          <w:rFonts w:cs="Times New Roman"/>
        </w:rPr>
        <w:t xml:space="preserve"> recent works on </w:t>
      </w:r>
      <w:r w:rsidR="003F399E">
        <w:rPr>
          <w:rFonts w:cs="Times New Roman"/>
        </w:rPr>
        <w:t>‘</w:t>
      </w:r>
      <w:r w:rsidRPr="003858F6">
        <w:rPr>
          <w:rFonts w:cs="Times New Roman"/>
        </w:rPr>
        <w:t>pockets of effectiveness</w:t>
      </w:r>
      <w:r w:rsidR="003F399E">
        <w:rPr>
          <w:rFonts w:cs="Times New Roman"/>
        </w:rPr>
        <w:t>’</w:t>
      </w:r>
      <w:r w:rsidRPr="003858F6">
        <w:rPr>
          <w:rFonts w:cs="Times New Roman"/>
        </w:rPr>
        <w:t xml:space="preserve"> in both </w:t>
      </w:r>
      <w:r w:rsidR="003F399E">
        <w:rPr>
          <w:rFonts w:cs="Times New Roman"/>
        </w:rPr>
        <w:t>‘</w:t>
      </w:r>
      <w:r w:rsidRPr="003858F6">
        <w:rPr>
          <w:rFonts w:cs="Times New Roman"/>
        </w:rPr>
        <w:t>dominant party</w:t>
      </w:r>
      <w:r w:rsidR="003F399E">
        <w:rPr>
          <w:rFonts w:cs="Times New Roman"/>
        </w:rPr>
        <w:t>’</w:t>
      </w:r>
      <w:r w:rsidRPr="003858F6">
        <w:rPr>
          <w:rFonts w:cs="Times New Roman"/>
        </w:rPr>
        <w:t xml:space="preserve"> and </w:t>
      </w:r>
      <w:r w:rsidR="003F399E">
        <w:rPr>
          <w:rFonts w:cs="Times New Roman"/>
        </w:rPr>
        <w:t>‘</w:t>
      </w:r>
      <w:r w:rsidRPr="003858F6">
        <w:rPr>
          <w:rFonts w:cs="Times New Roman"/>
        </w:rPr>
        <w:t>competitive clientelist</w:t>
      </w:r>
      <w:r w:rsidR="003F399E">
        <w:rPr>
          <w:rFonts w:cs="Times New Roman"/>
        </w:rPr>
        <w:t>’</w:t>
      </w:r>
      <w:r w:rsidRPr="003858F6">
        <w:rPr>
          <w:rFonts w:cs="Times New Roman"/>
        </w:rPr>
        <w:t xml:space="preserve"> settlements provide an empirically grounded </w:t>
      </w:r>
      <w:r>
        <w:rPr>
          <w:rFonts w:cs="Times New Roman"/>
        </w:rPr>
        <w:t xml:space="preserve">case for the importance </w:t>
      </w:r>
      <w:r w:rsidR="00CF134B">
        <w:rPr>
          <w:rFonts w:cs="Times New Roman"/>
        </w:rPr>
        <w:t>of such research</w:t>
      </w:r>
      <w:r w:rsidRPr="003858F6">
        <w:rPr>
          <w:rFonts w:cs="Times New Roman"/>
        </w:rPr>
        <w:t>.</w:t>
      </w:r>
      <w:r w:rsidR="00483BAB">
        <w:rPr>
          <w:rStyle w:val="FootnoteReference"/>
          <w:rFonts w:cs="Times New Roman"/>
        </w:rPr>
        <w:footnoteReference w:id="42"/>
      </w:r>
      <w:r w:rsidRPr="003858F6">
        <w:rPr>
          <w:rFonts w:cs="Times New Roman"/>
        </w:rPr>
        <w:t xml:space="preserve"> </w:t>
      </w:r>
      <w:r>
        <w:rPr>
          <w:rFonts w:cs="Times New Roman"/>
        </w:rPr>
        <w:t>B</w:t>
      </w:r>
      <w:r w:rsidRPr="003858F6">
        <w:rPr>
          <w:rFonts w:cs="Times New Roman"/>
        </w:rPr>
        <w:t xml:space="preserve">esides the usual benefits attached to </w:t>
      </w:r>
      <w:r w:rsidR="003F399E">
        <w:rPr>
          <w:rFonts w:cs="Times New Roman"/>
        </w:rPr>
        <w:t>‘</w:t>
      </w:r>
      <w:r w:rsidRPr="003858F6">
        <w:rPr>
          <w:rFonts w:cs="Times New Roman"/>
        </w:rPr>
        <w:t>bureaucratic autonomy</w:t>
      </w:r>
      <w:r w:rsidR="003F399E">
        <w:rPr>
          <w:rFonts w:cs="Times New Roman"/>
        </w:rPr>
        <w:t>’</w:t>
      </w:r>
      <w:r w:rsidRPr="003858F6">
        <w:rPr>
          <w:rFonts w:cs="Times New Roman"/>
        </w:rPr>
        <w:t xml:space="preserve">, </w:t>
      </w:r>
      <w:r w:rsidR="005F2B26">
        <w:rPr>
          <w:rFonts w:cs="Times New Roman"/>
        </w:rPr>
        <w:t xml:space="preserve">this </w:t>
      </w:r>
      <w:r w:rsidR="00CF134B">
        <w:rPr>
          <w:rFonts w:cs="Times New Roman"/>
        </w:rPr>
        <w:t>recent literature</w:t>
      </w:r>
      <w:r w:rsidR="00CF134B" w:rsidRPr="003858F6">
        <w:rPr>
          <w:rFonts w:cs="Times New Roman"/>
        </w:rPr>
        <w:t xml:space="preserve"> </w:t>
      </w:r>
      <w:r w:rsidRPr="003858F6">
        <w:rPr>
          <w:rFonts w:cs="Times New Roman"/>
        </w:rPr>
        <w:t>highlight</w:t>
      </w:r>
      <w:r w:rsidR="00CF134B">
        <w:rPr>
          <w:rFonts w:cs="Times New Roman"/>
        </w:rPr>
        <w:t>s</w:t>
      </w:r>
      <w:r w:rsidRPr="003858F6">
        <w:rPr>
          <w:rFonts w:cs="Times New Roman"/>
        </w:rPr>
        <w:t xml:space="preserve"> the importance of </w:t>
      </w:r>
      <w:r w:rsidR="003F399E">
        <w:rPr>
          <w:rFonts w:cs="Times New Roman"/>
        </w:rPr>
        <w:t>‘</w:t>
      </w:r>
      <w:proofErr w:type="spellStart"/>
      <w:r w:rsidRPr="003858F6">
        <w:rPr>
          <w:rFonts w:cs="Times New Roman"/>
        </w:rPr>
        <w:t>technopols</w:t>
      </w:r>
      <w:proofErr w:type="spellEnd"/>
      <w:r w:rsidR="003F399E">
        <w:rPr>
          <w:rFonts w:cs="Times New Roman"/>
        </w:rPr>
        <w:t>’</w:t>
      </w:r>
      <w:r>
        <w:rPr>
          <w:rFonts w:cs="Times New Roman"/>
        </w:rPr>
        <w:t xml:space="preserve">, </w:t>
      </w:r>
      <w:r w:rsidRPr="003858F6">
        <w:rPr>
          <w:rFonts w:cs="Times New Roman"/>
        </w:rPr>
        <w:t>actors who combine both political resources and technical skills</w:t>
      </w:r>
      <w:r>
        <w:rPr>
          <w:rFonts w:cs="Times New Roman"/>
        </w:rPr>
        <w:t>, in</w:t>
      </w:r>
      <w:r w:rsidRPr="003858F6">
        <w:rPr>
          <w:rFonts w:cs="Times New Roman"/>
        </w:rPr>
        <w:t xml:space="preserve"> driv</w:t>
      </w:r>
      <w:r>
        <w:rPr>
          <w:rFonts w:cs="Times New Roman"/>
        </w:rPr>
        <w:t>ing</w:t>
      </w:r>
      <w:r w:rsidRPr="003858F6">
        <w:rPr>
          <w:rFonts w:cs="Times New Roman"/>
        </w:rPr>
        <w:t xml:space="preserve"> effective institutional change. They </w:t>
      </w:r>
      <w:r w:rsidR="003F399E">
        <w:rPr>
          <w:rFonts w:cs="Times New Roman"/>
        </w:rPr>
        <w:t>‘</w:t>
      </w:r>
      <w:r w:rsidRPr="003858F6">
        <w:rPr>
          <w:rFonts w:cs="Times New Roman"/>
        </w:rPr>
        <w:t>embody</w:t>
      </w:r>
      <w:r w:rsidR="003F399E">
        <w:rPr>
          <w:rFonts w:cs="Times New Roman"/>
        </w:rPr>
        <w:t>’</w:t>
      </w:r>
      <w:r w:rsidRPr="003858F6">
        <w:rPr>
          <w:rFonts w:cs="Times New Roman"/>
        </w:rPr>
        <w:t xml:space="preserve"> bureaucratic independence since they can use their political acumen to deploy their technocratic expertise</w:t>
      </w:r>
      <w:r w:rsidR="00A67AD6">
        <w:rPr>
          <w:rFonts w:cs="Times New Roman"/>
        </w:rPr>
        <w:t xml:space="preserve"> and shield </w:t>
      </w:r>
      <w:r w:rsidR="00ED511D">
        <w:rPr>
          <w:rFonts w:cs="Times New Roman"/>
        </w:rPr>
        <w:t xml:space="preserve">policy </w:t>
      </w:r>
      <w:r w:rsidR="00325AB8">
        <w:rPr>
          <w:rFonts w:cs="Times New Roman"/>
        </w:rPr>
        <w:t>decision making</w:t>
      </w:r>
      <w:r w:rsidR="00ED511D">
        <w:rPr>
          <w:rFonts w:cs="Times New Roman"/>
        </w:rPr>
        <w:t xml:space="preserve"> from </w:t>
      </w:r>
      <w:r w:rsidR="00A67AD6">
        <w:rPr>
          <w:rFonts w:cs="Times New Roman"/>
        </w:rPr>
        <w:t>undue political interferences</w:t>
      </w:r>
      <w:r w:rsidRPr="003858F6">
        <w:rPr>
          <w:rFonts w:cs="Times New Roman"/>
        </w:rPr>
        <w:t xml:space="preserve">. </w:t>
      </w:r>
      <w:r w:rsidRPr="003858F6">
        <w:rPr>
          <w:rFonts w:cs="Times New Roman"/>
        </w:rPr>
        <w:lastRenderedPageBreak/>
        <w:t xml:space="preserve">For example, </w:t>
      </w:r>
      <w:r>
        <w:rPr>
          <w:rFonts w:cs="Times New Roman"/>
        </w:rPr>
        <w:t>e</w:t>
      </w:r>
      <w:r w:rsidRPr="003858F6">
        <w:rPr>
          <w:rFonts w:cs="Times New Roman"/>
        </w:rPr>
        <w:t xml:space="preserve">ven in a more competitive clientelist settlement </w:t>
      </w:r>
      <w:r w:rsidR="00A66F17">
        <w:rPr>
          <w:rFonts w:cs="Times New Roman"/>
        </w:rPr>
        <w:t xml:space="preserve">such </w:t>
      </w:r>
      <w:proofErr w:type="gramStart"/>
      <w:r w:rsidR="00A66F17">
        <w:rPr>
          <w:rFonts w:cs="Times New Roman"/>
        </w:rPr>
        <w:t xml:space="preserve">as </w:t>
      </w:r>
      <w:r w:rsidRPr="003858F6">
        <w:rPr>
          <w:rFonts w:cs="Times New Roman"/>
        </w:rPr>
        <w:t xml:space="preserve"> Ghana</w:t>
      </w:r>
      <w:proofErr w:type="gramEnd"/>
      <w:r w:rsidRPr="003858F6">
        <w:rPr>
          <w:rFonts w:cs="Times New Roman"/>
        </w:rPr>
        <w:t xml:space="preserve">, the independence of the bureaucracy thanks to </w:t>
      </w:r>
      <w:r w:rsidR="003F399E">
        <w:rPr>
          <w:rFonts w:cs="Times New Roman"/>
        </w:rPr>
        <w:t>‘</w:t>
      </w:r>
      <w:proofErr w:type="spellStart"/>
      <w:r w:rsidRPr="003858F6">
        <w:rPr>
          <w:rFonts w:cs="Times New Roman"/>
        </w:rPr>
        <w:t>technopols</w:t>
      </w:r>
      <w:proofErr w:type="spellEnd"/>
      <w:r w:rsidR="003F399E">
        <w:rPr>
          <w:rFonts w:cs="Times New Roman"/>
        </w:rPr>
        <w:t>’</w:t>
      </w:r>
      <w:r w:rsidRPr="003858F6">
        <w:rPr>
          <w:rFonts w:cs="Times New Roman"/>
        </w:rPr>
        <w:t xml:space="preserve"> was key to explaining pockets of effectiveness in an otherwise dysfunctional state.</w:t>
      </w:r>
      <w:r w:rsidR="005F2B26">
        <w:rPr>
          <w:rStyle w:val="FootnoteReference"/>
          <w:rFonts w:cs="Times New Roman"/>
        </w:rPr>
        <w:footnoteReference w:id="43"/>
      </w:r>
      <w:r w:rsidRPr="003858F6">
        <w:rPr>
          <w:rFonts w:cs="Times New Roman"/>
        </w:rPr>
        <w:t xml:space="preserve"> </w:t>
      </w:r>
    </w:p>
    <w:p w14:paraId="03468C38" w14:textId="03DE8DC8" w:rsidR="000A0F91" w:rsidRPr="00420F24" w:rsidRDefault="00D86238" w:rsidP="00E10DC5">
      <w:pPr>
        <w:spacing w:line="480" w:lineRule="auto"/>
        <w:ind w:firstLine="720"/>
        <w:jc w:val="both"/>
        <w:rPr>
          <w:rFonts w:cs="Times New Roman"/>
        </w:rPr>
      </w:pPr>
      <w:r>
        <w:rPr>
          <w:rFonts w:cs="Times New Roman"/>
        </w:rPr>
        <w:t xml:space="preserve">Building </w:t>
      </w:r>
      <w:r w:rsidR="000975F3">
        <w:rPr>
          <w:rFonts w:cs="Times New Roman"/>
        </w:rPr>
        <w:t>on</w:t>
      </w:r>
      <w:r>
        <w:rPr>
          <w:rFonts w:cs="Times New Roman"/>
        </w:rPr>
        <w:t xml:space="preserve"> these insights, our </w:t>
      </w:r>
      <w:r w:rsidR="000975F3">
        <w:rPr>
          <w:rFonts w:cs="Times New Roman"/>
        </w:rPr>
        <w:t>argument</w:t>
      </w:r>
      <w:r>
        <w:rPr>
          <w:rFonts w:cs="Times New Roman"/>
        </w:rPr>
        <w:t xml:space="preserve"> has direct relevance to broader academic and </w:t>
      </w:r>
      <w:r w:rsidR="00D10AE1">
        <w:rPr>
          <w:rFonts w:cs="Times New Roman"/>
        </w:rPr>
        <w:t>practitioner</w:t>
      </w:r>
      <w:r>
        <w:rPr>
          <w:rFonts w:cs="Times New Roman"/>
        </w:rPr>
        <w:t xml:space="preserve"> debates in development studies. Since the 1990s, going beyond the analysis that “institution</w:t>
      </w:r>
      <w:r w:rsidR="00D10AE1">
        <w:rPr>
          <w:rFonts w:cs="Times New Roman"/>
        </w:rPr>
        <w:t>s</w:t>
      </w:r>
      <w:r>
        <w:rPr>
          <w:rFonts w:cs="Times New Roman"/>
        </w:rPr>
        <w:t xml:space="preserve"> </w:t>
      </w:r>
      <w:r w:rsidR="00D10AE1">
        <w:rPr>
          <w:rFonts w:cs="Times New Roman"/>
        </w:rPr>
        <w:t>matter</w:t>
      </w:r>
      <w:r>
        <w:rPr>
          <w:rFonts w:cs="Times New Roman"/>
        </w:rPr>
        <w:t>” for development, works have explored how political incentive</w:t>
      </w:r>
      <w:r w:rsidR="00D10AE1">
        <w:rPr>
          <w:rFonts w:cs="Times New Roman"/>
        </w:rPr>
        <w:t>s</w:t>
      </w:r>
      <w:r>
        <w:rPr>
          <w:rFonts w:cs="Times New Roman"/>
        </w:rPr>
        <w:t xml:space="preserve"> emerge</w:t>
      </w:r>
      <w:r w:rsidR="00D10AE1">
        <w:rPr>
          <w:rFonts w:cs="Times New Roman"/>
        </w:rPr>
        <w:t xml:space="preserve"> to build </w:t>
      </w:r>
      <w:r w:rsidR="006E19D9">
        <w:rPr>
          <w:rFonts w:cs="Times New Roman"/>
        </w:rPr>
        <w:t>development-oriented</w:t>
      </w:r>
      <w:r w:rsidR="00D10AE1">
        <w:rPr>
          <w:rFonts w:cs="Times New Roman"/>
        </w:rPr>
        <w:t xml:space="preserve"> institutions</w:t>
      </w:r>
      <w:r>
        <w:rPr>
          <w:rFonts w:cs="Times New Roman"/>
        </w:rPr>
        <w:t xml:space="preserve">. </w:t>
      </w:r>
      <w:r w:rsidR="006E19D9">
        <w:rPr>
          <w:rFonts w:cs="Times New Roman"/>
        </w:rPr>
        <w:t xml:space="preserve">Many analyses now </w:t>
      </w:r>
      <w:r w:rsidR="00D10AE1">
        <w:rPr>
          <w:rFonts w:cs="Times New Roman"/>
        </w:rPr>
        <w:t>converge in identifying</w:t>
      </w:r>
      <w:r w:rsidR="003C225C">
        <w:rPr>
          <w:rFonts w:cs="Times New Roman"/>
        </w:rPr>
        <w:t xml:space="preserve"> the </w:t>
      </w:r>
      <w:r w:rsidR="00E35127">
        <w:rPr>
          <w:rFonts w:cs="Times New Roman"/>
        </w:rPr>
        <w:t xml:space="preserve">importance of threats to the ruling elite </w:t>
      </w:r>
      <w:r w:rsidR="00D10AE1">
        <w:rPr>
          <w:rFonts w:cs="Times New Roman"/>
        </w:rPr>
        <w:t>in incentivising</w:t>
      </w:r>
      <w:r w:rsidR="003C225C">
        <w:rPr>
          <w:rFonts w:cs="Times New Roman"/>
        </w:rPr>
        <w:t xml:space="preserve"> </w:t>
      </w:r>
      <w:r w:rsidR="00E35127">
        <w:rPr>
          <w:rFonts w:cs="Times New Roman"/>
        </w:rPr>
        <w:t>the construction of</w:t>
      </w:r>
      <w:r w:rsidR="003C225C">
        <w:rPr>
          <w:rFonts w:cs="Times New Roman"/>
        </w:rPr>
        <w:t xml:space="preserve"> robust state</w:t>
      </w:r>
      <w:r w:rsidR="00D10AE1">
        <w:rPr>
          <w:rFonts w:cs="Times New Roman"/>
        </w:rPr>
        <w:t>s</w:t>
      </w:r>
      <w:r w:rsidR="003C225C">
        <w:rPr>
          <w:rFonts w:cs="Times New Roman"/>
        </w:rPr>
        <w:t xml:space="preserve"> and econom</w:t>
      </w:r>
      <w:r w:rsidR="00D10AE1">
        <w:rPr>
          <w:rFonts w:cs="Times New Roman"/>
        </w:rPr>
        <w:t>ies</w:t>
      </w:r>
      <w:r w:rsidR="003C225C">
        <w:rPr>
          <w:rFonts w:cs="Times New Roman"/>
        </w:rPr>
        <w:t>.</w:t>
      </w:r>
      <w:r w:rsidR="002712C2">
        <w:rPr>
          <w:rStyle w:val="FootnoteReference"/>
          <w:rFonts w:cs="Times New Roman"/>
        </w:rPr>
        <w:footnoteReference w:id="44"/>
      </w:r>
      <w:r w:rsidR="003C225C">
        <w:rPr>
          <w:rFonts w:cs="Times New Roman"/>
        </w:rPr>
        <w:t xml:space="preserve"> </w:t>
      </w:r>
      <w:r w:rsidR="00D10AE1">
        <w:rPr>
          <w:rFonts w:cs="Times New Roman"/>
        </w:rPr>
        <w:t xml:space="preserve">Although the role </w:t>
      </w:r>
      <w:r w:rsidR="00D71ED2">
        <w:rPr>
          <w:rFonts w:cs="Times New Roman"/>
        </w:rPr>
        <w:t>of external threat</w:t>
      </w:r>
      <w:r w:rsidR="00AB2078">
        <w:rPr>
          <w:rFonts w:cs="Times New Roman"/>
        </w:rPr>
        <w:t>s</w:t>
      </w:r>
      <w:r w:rsidR="00D71ED2">
        <w:rPr>
          <w:rFonts w:cs="Times New Roman"/>
        </w:rPr>
        <w:t xml:space="preserve"> in generating </w:t>
      </w:r>
      <w:r w:rsidR="00D10AE1">
        <w:rPr>
          <w:rFonts w:cs="Times New Roman"/>
        </w:rPr>
        <w:t>commitment</w:t>
      </w:r>
      <w:r w:rsidR="00DE49DD">
        <w:rPr>
          <w:rFonts w:cs="Times New Roman"/>
        </w:rPr>
        <w:t xml:space="preserve"> is central,</w:t>
      </w:r>
      <w:r w:rsidR="00D10AE1">
        <w:rPr>
          <w:rFonts w:cs="Times New Roman"/>
        </w:rPr>
        <w:t xml:space="preserve"> </w:t>
      </w:r>
      <w:r w:rsidR="00591BEE">
        <w:rPr>
          <w:rFonts w:cs="Times New Roman"/>
        </w:rPr>
        <w:t>w</w:t>
      </w:r>
      <w:r w:rsidR="00D71ED2">
        <w:rPr>
          <w:rFonts w:cs="Times New Roman"/>
        </w:rPr>
        <w:t>e show that commitment alone is insufficient</w:t>
      </w:r>
      <w:r w:rsidR="004A5DA3">
        <w:rPr>
          <w:rFonts w:cs="Times New Roman"/>
        </w:rPr>
        <w:t>.</w:t>
      </w:r>
      <w:r w:rsidR="00737D6C">
        <w:rPr>
          <w:rFonts w:cs="Times New Roman"/>
        </w:rPr>
        <w:t xml:space="preserve"> </w:t>
      </w:r>
      <w:r w:rsidR="00264081">
        <w:rPr>
          <w:rFonts w:cs="Times New Roman"/>
        </w:rPr>
        <w:t>This argument is</w:t>
      </w:r>
      <w:r w:rsidR="00AB2078">
        <w:rPr>
          <w:rFonts w:cs="Times New Roman"/>
        </w:rPr>
        <w:t xml:space="preserve"> </w:t>
      </w:r>
      <w:r w:rsidR="00DE49DD">
        <w:rPr>
          <w:rFonts w:cs="Times New Roman"/>
        </w:rPr>
        <w:t xml:space="preserve">in </w:t>
      </w:r>
      <w:r w:rsidR="00AB2078">
        <w:rPr>
          <w:rFonts w:cs="Times New Roman"/>
        </w:rPr>
        <w:t>line with</w:t>
      </w:r>
      <w:r w:rsidR="00DE49DD">
        <w:rPr>
          <w:rFonts w:cs="Times New Roman"/>
        </w:rPr>
        <w:t xml:space="preserve"> </w:t>
      </w:r>
      <w:r w:rsidR="00737D6C">
        <w:rPr>
          <w:rFonts w:cs="Times New Roman"/>
        </w:rPr>
        <w:t>recent</w:t>
      </w:r>
      <w:r w:rsidR="00264081">
        <w:rPr>
          <w:rFonts w:cs="Times New Roman"/>
        </w:rPr>
        <w:t xml:space="preserve"> work</w:t>
      </w:r>
      <w:r w:rsidR="00DE49DD">
        <w:rPr>
          <w:rFonts w:cs="Times New Roman"/>
        </w:rPr>
        <w:t>s</w:t>
      </w:r>
      <w:r w:rsidR="00264081">
        <w:rPr>
          <w:rFonts w:cs="Times New Roman"/>
        </w:rPr>
        <w:t xml:space="preserve">, such as </w:t>
      </w:r>
      <w:r w:rsidR="00264081" w:rsidRPr="004A5DA3">
        <w:rPr>
          <w:rFonts w:cs="Times New Roman"/>
        </w:rPr>
        <w:t xml:space="preserve">Stefan </w:t>
      </w:r>
      <w:proofErr w:type="spellStart"/>
      <w:r w:rsidR="00264081" w:rsidRPr="004A5DA3">
        <w:rPr>
          <w:rFonts w:cs="Times New Roman"/>
        </w:rPr>
        <w:t>Derco</w:t>
      </w:r>
      <w:r w:rsidR="00264081">
        <w:rPr>
          <w:rFonts w:cs="Times New Roman"/>
        </w:rPr>
        <w:t>n</w:t>
      </w:r>
      <w:r w:rsidR="00CF4F1F">
        <w:rPr>
          <w:rFonts w:cs="Times New Roman"/>
        </w:rPr>
        <w:t>’s</w:t>
      </w:r>
      <w:proofErr w:type="spellEnd"/>
      <w:r w:rsidR="00D87948">
        <w:rPr>
          <w:rFonts w:cs="Times New Roman"/>
        </w:rPr>
        <w:t xml:space="preserve"> </w:t>
      </w:r>
      <w:r w:rsidR="00F23AA6">
        <w:rPr>
          <w:rFonts w:cs="Times New Roman"/>
        </w:rPr>
        <w:t xml:space="preserve">2022 </w:t>
      </w:r>
      <w:r w:rsidR="00D87948">
        <w:rPr>
          <w:rFonts w:cs="Times New Roman"/>
        </w:rPr>
        <w:t>book</w:t>
      </w:r>
      <w:r w:rsidR="00F23AA6">
        <w:rPr>
          <w:rFonts w:cs="Times New Roman"/>
        </w:rPr>
        <w:t xml:space="preserve"> </w:t>
      </w:r>
      <w:r w:rsidR="00F23AA6">
        <w:rPr>
          <w:rFonts w:cs="Times New Roman"/>
          <w:i/>
          <w:iCs/>
        </w:rPr>
        <w:t>Gambling on Development</w:t>
      </w:r>
      <w:r w:rsidR="00264081">
        <w:rPr>
          <w:rFonts w:cs="Times New Roman"/>
        </w:rPr>
        <w:t xml:space="preserve">, </w:t>
      </w:r>
      <w:r w:rsidR="004A5DA3">
        <w:rPr>
          <w:rFonts w:cs="Times New Roman"/>
        </w:rPr>
        <w:t>that</w:t>
      </w:r>
      <w:r w:rsidR="00264081">
        <w:rPr>
          <w:rFonts w:cs="Times New Roman"/>
        </w:rPr>
        <w:t xml:space="preserve"> finds that</w:t>
      </w:r>
      <w:r w:rsidR="004A5DA3">
        <w:rPr>
          <w:rFonts w:cs="Times New Roman"/>
        </w:rPr>
        <w:t xml:space="preserve"> state </w:t>
      </w:r>
      <w:r w:rsidR="00737D6C">
        <w:rPr>
          <w:rFonts w:cs="Times New Roman"/>
        </w:rPr>
        <w:t>capacity</w:t>
      </w:r>
      <w:r w:rsidR="004A5DA3">
        <w:rPr>
          <w:rFonts w:cs="Times New Roman"/>
        </w:rPr>
        <w:t xml:space="preserve"> </w:t>
      </w:r>
      <w:r w:rsidR="00DE49DD">
        <w:rPr>
          <w:rFonts w:cs="Times New Roman"/>
        </w:rPr>
        <w:t>in conjunction with</w:t>
      </w:r>
      <w:r w:rsidR="004A5DA3">
        <w:rPr>
          <w:rFonts w:cs="Times New Roman"/>
        </w:rPr>
        <w:t xml:space="preserve"> political</w:t>
      </w:r>
      <w:r w:rsidR="00DE49DD">
        <w:rPr>
          <w:rFonts w:cs="Times New Roman"/>
        </w:rPr>
        <w:t xml:space="preserve"> will</w:t>
      </w:r>
      <w:r w:rsidR="004A5DA3">
        <w:rPr>
          <w:rFonts w:cs="Times New Roman"/>
        </w:rPr>
        <w:t xml:space="preserve"> </w:t>
      </w:r>
      <w:r w:rsidR="00264081">
        <w:rPr>
          <w:rFonts w:cs="Times New Roman"/>
        </w:rPr>
        <w:t xml:space="preserve">does not </w:t>
      </w:r>
      <w:r w:rsidR="00DE49DD">
        <w:rPr>
          <w:rFonts w:cs="Times New Roman"/>
        </w:rPr>
        <w:t xml:space="preserve">always </w:t>
      </w:r>
      <w:r w:rsidR="00264081">
        <w:rPr>
          <w:rFonts w:cs="Times New Roman"/>
        </w:rPr>
        <w:t xml:space="preserve">create </w:t>
      </w:r>
      <w:r w:rsidR="00D87948">
        <w:rPr>
          <w:rFonts w:cs="Times New Roman"/>
        </w:rPr>
        <w:t>economic transformation</w:t>
      </w:r>
      <w:r w:rsidR="00CF4F1F" w:rsidRPr="00CF4F1F">
        <w:rPr>
          <w:rFonts w:cs="Times New Roman"/>
        </w:rPr>
        <w:t xml:space="preserve"> </w:t>
      </w:r>
      <w:r w:rsidR="00CF4F1F">
        <w:rPr>
          <w:rFonts w:cs="Times New Roman"/>
        </w:rPr>
        <w:t>by itself</w:t>
      </w:r>
      <w:r w:rsidR="00871AFA">
        <w:rPr>
          <w:rFonts w:cs="Times New Roman"/>
        </w:rPr>
        <w:t xml:space="preserve">. Rather, other </w:t>
      </w:r>
      <w:r w:rsidR="00264081">
        <w:rPr>
          <w:rFonts w:cs="Times New Roman"/>
        </w:rPr>
        <w:t>factors</w:t>
      </w:r>
      <w:r w:rsidR="00871AFA">
        <w:rPr>
          <w:rFonts w:cs="Times New Roman"/>
        </w:rPr>
        <w:t>,</w:t>
      </w:r>
      <w:r w:rsidR="00264081">
        <w:rPr>
          <w:rFonts w:cs="Times New Roman"/>
        </w:rPr>
        <w:t xml:space="preserve"> </w:t>
      </w:r>
      <w:r w:rsidR="00871AFA">
        <w:rPr>
          <w:rFonts w:cs="Times New Roman"/>
        </w:rPr>
        <w:t xml:space="preserve">chiefly </w:t>
      </w:r>
      <w:r w:rsidR="008A6076">
        <w:rPr>
          <w:rFonts w:cs="Times New Roman"/>
        </w:rPr>
        <w:t>the ability to take advice and learn</w:t>
      </w:r>
      <w:r w:rsidR="00CF4F1F">
        <w:rPr>
          <w:rFonts w:cs="Times New Roman"/>
        </w:rPr>
        <w:t xml:space="preserve"> from experience</w:t>
      </w:r>
      <w:r w:rsidR="00871AFA">
        <w:rPr>
          <w:rFonts w:cs="Times New Roman"/>
        </w:rPr>
        <w:t>, are required alongside such commitment</w:t>
      </w:r>
      <w:r w:rsidR="008A6076">
        <w:rPr>
          <w:rFonts w:cs="Times New Roman"/>
        </w:rPr>
        <w:t>.</w:t>
      </w:r>
      <w:r w:rsidR="002712C2">
        <w:rPr>
          <w:rStyle w:val="FootnoteReference"/>
          <w:rFonts w:cs="Times New Roman"/>
        </w:rPr>
        <w:footnoteReference w:id="45"/>
      </w:r>
      <w:r w:rsidR="008A6076">
        <w:rPr>
          <w:rFonts w:cs="Times New Roman"/>
        </w:rPr>
        <w:t xml:space="preserve"> </w:t>
      </w:r>
      <w:proofErr w:type="gramStart"/>
      <w:r w:rsidR="008A6076">
        <w:rPr>
          <w:rFonts w:cs="Times New Roman"/>
        </w:rPr>
        <w:t>This echoes</w:t>
      </w:r>
      <w:proofErr w:type="gramEnd"/>
      <w:r w:rsidR="008A6076">
        <w:rPr>
          <w:rFonts w:cs="Times New Roman"/>
        </w:rPr>
        <w:t xml:space="preserve"> </w:t>
      </w:r>
      <w:r w:rsidR="00E35127">
        <w:rPr>
          <w:rFonts w:cs="Times New Roman"/>
        </w:rPr>
        <w:t xml:space="preserve">practitioner-oriented </w:t>
      </w:r>
      <w:r w:rsidR="008A6076">
        <w:rPr>
          <w:rFonts w:cs="Times New Roman"/>
        </w:rPr>
        <w:t xml:space="preserve">literature </w:t>
      </w:r>
      <w:r w:rsidR="004A5DA3">
        <w:rPr>
          <w:rFonts w:cs="Times New Roman"/>
        </w:rPr>
        <w:t>that emphasizes</w:t>
      </w:r>
      <w:r w:rsidR="008A6076">
        <w:rPr>
          <w:rFonts w:cs="Times New Roman"/>
        </w:rPr>
        <w:t xml:space="preserve"> the need </w:t>
      </w:r>
      <w:r w:rsidR="004A5DA3">
        <w:rPr>
          <w:rFonts w:cs="Times New Roman"/>
        </w:rPr>
        <w:t>for</w:t>
      </w:r>
      <w:r w:rsidR="008A6076">
        <w:rPr>
          <w:rFonts w:cs="Times New Roman"/>
        </w:rPr>
        <w:t xml:space="preserve"> </w:t>
      </w:r>
      <w:r w:rsidR="006E19D9">
        <w:rPr>
          <w:rFonts w:cs="Times New Roman"/>
        </w:rPr>
        <w:t xml:space="preserve">trial, iteration and </w:t>
      </w:r>
      <w:r w:rsidR="008A6076">
        <w:rPr>
          <w:rFonts w:cs="Times New Roman"/>
        </w:rPr>
        <w:t xml:space="preserve">adaption in implementing </w:t>
      </w:r>
      <w:r w:rsidR="004A5DA3">
        <w:rPr>
          <w:rFonts w:cs="Times New Roman"/>
        </w:rPr>
        <w:t>development.</w:t>
      </w:r>
      <w:r w:rsidR="00C014A5">
        <w:rPr>
          <w:rStyle w:val="FootnoteReference"/>
          <w:rFonts w:cs="Times New Roman"/>
        </w:rPr>
        <w:footnoteReference w:id="46"/>
      </w:r>
      <w:r>
        <w:rPr>
          <w:rFonts w:cs="Times New Roman"/>
        </w:rPr>
        <w:t xml:space="preserve"> </w:t>
      </w:r>
      <w:r w:rsidR="00E35127">
        <w:rPr>
          <w:rFonts w:cs="Times New Roman"/>
        </w:rPr>
        <w:t>W</w:t>
      </w:r>
      <w:r w:rsidR="00776B80">
        <w:t>e now turn to our empirical case study</w:t>
      </w:r>
      <w:r w:rsidR="00C72495">
        <w:t xml:space="preserve"> for illustration</w:t>
      </w:r>
      <w:r w:rsidR="000975F3">
        <w:t>.</w:t>
      </w:r>
    </w:p>
    <w:p w14:paraId="4EAD8875" w14:textId="77777777" w:rsidR="00420F24" w:rsidRDefault="00420F24" w:rsidP="000A0F91">
      <w:pPr>
        <w:spacing w:line="480" w:lineRule="auto"/>
        <w:ind w:firstLine="720"/>
        <w:jc w:val="both"/>
        <w:rPr>
          <w:rFonts w:eastAsia="Times New Roman" w:cs="Times New Roman"/>
        </w:rPr>
      </w:pPr>
    </w:p>
    <w:p w14:paraId="16F32897" w14:textId="65618AFA" w:rsidR="005F2B26" w:rsidRPr="00AA1887" w:rsidRDefault="002C6CB0" w:rsidP="00420F24">
      <w:pPr>
        <w:spacing w:line="480" w:lineRule="auto"/>
        <w:ind w:firstLine="720"/>
        <w:jc w:val="both"/>
        <w:rPr>
          <w:rFonts w:eastAsia="Times New Roman" w:cs="Times New Roman"/>
          <w:bCs/>
          <w:i/>
        </w:rPr>
      </w:pPr>
      <w:r w:rsidRPr="00AA1887">
        <w:rPr>
          <w:rFonts w:eastAsia="Times New Roman" w:cs="Times New Roman"/>
          <w:bCs/>
          <w:i/>
        </w:rPr>
        <w:t xml:space="preserve">A </w:t>
      </w:r>
      <w:r w:rsidR="00F23AA6">
        <w:rPr>
          <w:rFonts w:eastAsia="Times New Roman" w:cs="Times New Roman"/>
          <w:bCs/>
          <w:i/>
        </w:rPr>
        <w:t>d</w:t>
      </w:r>
      <w:r w:rsidRPr="00AA1887">
        <w:rPr>
          <w:rFonts w:eastAsia="Times New Roman" w:cs="Times New Roman"/>
          <w:bCs/>
          <w:i/>
        </w:rPr>
        <w:t xml:space="preserve">evelopmental </w:t>
      </w:r>
      <w:r w:rsidR="00F23AA6">
        <w:rPr>
          <w:rFonts w:eastAsia="Times New Roman" w:cs="Times New Roman"/>
          <w:bCs/>
          <w:i/>
        </w:rPr>
        <w:t>s</w:t>
      </w:r>
      <w:r w:rsidRPr="00AA1887">
        <w:rPr>
          <w:rFonts w:eastAsia="Times New Roman" w:cs="Times New Roman"/>
          <w:bCs/>
          <w:i/>
        </w:rPr>
        <w:t xml:space="preserve">tate in </w:t>
      </w:r>
      <w:proofErr w:type="gramStart"/>
      <w:r w:rsidRPr="00AA1887">
        <w:rPr>
          <w:rFonts w:eastAsia="Times New Roman" w:cs="Times New Roman"/>
          <w:bCs/>
          <w:i/>
        </w:rPr>
        <w:t>Rwanda</w:t>
      </w:r>
      <w:r w:rsidR="00D337CB">
        <w:rPr>
          <w:rFonts w:eastAsia="Times New Roman" w:cs="Times New Roman"/>
          <w:bCs/>
          <w:i/>
        </w:rPr>
        <w:t>?</w:t>
      </w:r>
      <w:r w:rsidRPr="00AA1887">
        <w:rPr>
          <w:rFonts w:eastAsia="Times New Roman" w:cs="Times New Roman"/>
          <w:bCs/>
          <w:i/>
        </w:rPr>
        <w:t>:</w:t>
      </w:r>
      <w:proofErr w:type="gramEnd"/>
      <w:r w:rsidRPr="00AA1887">
        <w:rPr>
          <w:rFonts w:eastAsia="Times New Roman" w:cs="Times New Roman"/>
          <w:bCs/>
          <w:i/>
        </w:rPr>
        <w:t xml:space="preserve"> Creating a </w:t>
      </w:r>
      <w:r w:rsidR="00F23AA6">
        <w:rPr>
          <w:rFonts w:eastAsia="Times New Roman" w:cs="Times New Roman"/>
          <w:bCs/>
          <w:i/>
        </w:rPr>
        <w:t>s</w:t>
      </w:r>
      <w:r w:rsidRPr="00AA1887">
        <w:rPr>
          <w:rFonts w:eastAsia="Times New Roman" w:cs="Times New Roman"/>
          <w:bCs/>
          <w:i/>
        </w:rPr>
        <w:t xml:space="preserve">trong </w:t>
      </w:r>
      <w:r w:rsidR="00F23AA6">
        <w:rPr>
          <w:rFonts w:eastAsia="Times New Roman" w:cs="Times New Roman"/>
          <w:bCs/>
          <w:i/>
        </w:rPr>
        <w:t>b</w:t>
      </w:r>
      <w:r w:rsidRPr="00AA1887">
        <w:rPr>
          <w:rFonts w:eastAsia="Times New Roman" w:cs="Times New Roman"/>
          <w:bCs/>
          <w:i/>
        </w:rPr>
        <w:t xml:space="preserve">ureaucracy </w:t>
      </w:r>
    </w:p>
    <w:p w14:paraId="29927573" w14:textId="2C2BD278" w:rsidR="002C6CB0" w:rsidRPr="00AA1887" w:rsidRDefault="002C6CB0" w:rsidP="004A3135">
      <w:pPr>
        <w:spacing w:line="480" w:lineRule="auto"/>
        <w:ind w:firstLine="720"/>
        <w:jc w:val="both"/>
        <w:rPr>
          <w:rFonts w:eastAsia="Times New Roman" w:cs="Times New Roman"/>
        </w:rPr>
      </w:pPr>
      <w:r w:rsidRPr="00AA1887">
        <w:rPr>
          <w:rFonts w:eastAsia="Times New Roman" w:cs="Times New Roman"/>
        </w:rPr>
        <w:lastRenderedPageBreak/>
        <w:t>The current Rwandan political settlement is characteri</w:t>
      </w:r>
      <w:r w:rsidR="00F23AA6">
        <w:rPr>
          <w:rFonts w:eastAsia="Times New Roman" w:cs="Times New Roman"/>
        </w:rPr>
        <w:t>z</w:t>
      </w:r>
      <w:r w:rsidRPr="00AA1887">
        <w:rPr>
          <w:rFonts w:eastAsia="Times New Roman" w:cs="Times New Roman"/>
        </w:rPr>
        <w:t xml:space="preserve">ed by an extraordinary concentration of power in the ruling Rwandan Patriotic Front (RPF), possibly unparalleled </w:t>
      </w:r>
      <w:r w:rsidR="00E15F76">
        <w:rPr>
          <w:rFonts w:eastAsia="Times New Roman" w:cs="Times New Roman"/>
        </w:rPr>
        <w:t>in Africa</w:t>
      </w:r>
      <w:r w:rsidRPr="00AA1887">
        <w:rPr>
          <w:rFonts w:eastAsia="Times New Roman" w:cs="Times New Roman"/>
        </w:rPr>
        <w:t xml:space="preserve">. </w:t>
      </w:r>
      <w:r w:rsidR="00840913" w:rsidRPr="00AA1887">
        <w:rPr>
          <w:rFonts w:eastAsia="Times New Roman" w:cs="Times New Roman"/>
        </w:rPr>
        <w:t>T</w:t>
      </w:r>
      <w:r w:rsidRPr="00AA1887">
        <w:rPr>
          <w:rFonts w:eastAsia="Times New Roman" w:cs="Times New Roman"/>
        </w:rPr>
        <w:t xml:space="preserve">he RPF not only has complete control of the state and the military, but also </w:t>
      </w:r>
      <w:r w:rsidR="00840913" w:rsidRPr="00AA1887">
        <w:rPr>
          <w:rFonts w:eastAsia="Times New Roman" w:cs="Times New Roman"/>
        </w:rPr>
        <w:t xml:space="preserve">has </w:t>
      </w:r>
      <w:r w:rsidRPr="00AA1887">
        <w:rPr>
          <w:rFonts w:eastAsia="Times New Roman" w:cs="Times New Roman"/>
        </w:rPr>
        <w:t>strong influence over much of the private sector.</w:t>
      </w:r>
      <w:r w:rsidRPr="00AA1887">
        <w:rPr>
          <w:rFonts w:eastAsia="Times New Roman" w:cs="Times New Roman"/>
          <w:vertAlign w:val="superscript"/>
        </w:rPr>
        <w:footnoteReference w:id="47"/>
      </w:r>
      <w:r w:rsidRPr="00AA1887">
        <w:rPr>
          <w:rFonts w:eastAsia="Times New Roman" w:cs="Times New Roman"/>
        </w:rPr>
        <w:t xml:space="preserve"> </w:t>
      </w:r>
      <w:r w:rsidR="00D337CB" w:rsidRPr="00AA1887">
        <w:rPr>
          <w:rFonts w:eastAsia="Times New Roman" w:cs="Times New Roman"/>
        </w:rPr>
        <w:t xml:space="preserve">Political opposition </w:t>
      </w:r>
      <w:r w:rsidR="00871AFA">
        <w:rPr>
          <w:rFonts w:eastAsia="Times New Roman" w:cs="Times New Roman"/>
        </w:rPr>
        <w:t>lies</w:t>
      </w:r>
      <w:r w:rsidR="00F23AA6">
        <w:rPr>
          <w:rFonts w:eastAsia="Times New Roman" w:cs="Times New Roman"/>
        </w:rPr>
        <w:t xml:space="preserve"> largely</w:t>
      </w:r>
      <w:r w:rsidR="00871AFA">
        <w:rPr>
          <w:rFonts w:eastAsia="Times New Roman" w:cs="Times New Roman"/>
        </w:rPr>
        <w:t xml:space="preserve"> in</w:t>
      </w:r>
      <w:r w:rsidR="00871AFA" w:rsidRPr="00AA1887">
        <w:rPr>
          <w:rFonts w:eastAsia="Times New Roman" w:cs="Times New Roman"/>
        </w:rPr>
        <w:t xml:space="preserve"> </w:t>
      </w:r>
      <w:r w:rsidR="00D337CB">
        <w:rPr>
          <w:rFonts w:eastAsia="Times New Roman" w:cs="Times New Roman"/>
        </w:rPr>
        <w:t>exile</w:t>
      </w:r>
      <w:r w:rsidR="00D337CB" w:rsidRPr="00AA1887">
        <w:rPr>
          <w:rFonts w:eastAsia="Times New Roman" w:cs="Times New Roman"/>
        </w:rPr>
        <w:t xml:space="preserve">. </w:t>
      </w:r>
      <w:r w:rsidR="00871AFA">
        <w:rPr>
          <w:rFonts w:eastAsia="Times New Roman" w:cs="Times New Roman"/>
        </w:rPr>
        <w:t>The RPF</w:t>
      </w:r>
      <w:r w:rsidR="00871AFA" w:rsidRPr="00AA1887">
        <w:rPr>
          <w:rFonts w:eastAsia="Times New Roman" w:cs="Times New Roman"/>
        </w:rPr>
        <w:t xml:space="preserve"> </w:t>
      </w:r>
      <w:r w:rsidRPr="00AA1887">
        <w:rPr>
          <w:rFonts w:eastAsia="Times New Roman" w:cs="Times New Roman"/>
        </w:rPr>
        <w:t xml:space="preserve">therefore has near-total control over </w:t>
      </w:r>
      <w:r w:rsidR="00840913" w:rsidRPr="00AA1887">
        <w:rPr>
          <w:rFonts w:eastAsia="Times New Roman" w:cs="Times New Roman"/>
        </w:rPr>
        <w:t xml:space="preserve">public, and some private, </w:t>
      </w:r>
      <w:r w:rsidRPr="00AA1887">
        <w:rPr>
          <w:rFonts w:eastAsia="Times New Roman" w:cs="Times New Roman"/>
        </w:rPr>
        <w:t xml:space="preserve">financial resources and </w:t>
      </w:r>
      <w:r w:rsidR="00840913" w:rsidRPr="00AA1887">
        <w:rPr>
          <w:rFonts w:eastAsia="Times New Roman" w:cs="Times New Roman"/>
        </w:rPr>
        <w:t xml:space="preserve">over </w:t>
      </w:r>
      <w:r w:rsidRPr="00AA1887">
        <w:rPr>
          <w:rFonts w:eastAsia="Times New Roman" w:cs="Times New Roman"/>
        </w:rPr>
        <w:t>the formulation and implementation of long-term plans. Th</w:t>
      </w:r>
      <w:r w:rsidR="00F23AA6">
        <w:rPr>
          <w:rFonts w:eastAsia="Times New Roman" w:cs="Times New Roman"/>
        </w:rPr>
        <w:t>is</w:t>
      </w:r>
      <w:r w:rsidRPr="00AA1887">
        <w:rPr>
          <w:rFonts w:eastAsia="Times New Roman" w:cs="Times New Roman"/>
        </w:rPr>
        <w:t xml:space="preserve"> concentration of power does</w:t>
      </w:r>
      <w:r w:rsidR="00F23AA6">
        <w:rPr>
          <w:rFonts w:eastAsia="Times New Roman" w:cs="Times New Roman"/>
        </w:rPr>
        <w:t xml:space="preserve"> not</w:t>
      </w:r>
      <w:r w:rsidRPr="00AA1887">
        <w:rPr>
          <w:rFonts w:eastAsia="Times New Roman" w:cs="Times New Roman"/>
        </w:rPr>
        <w:t xml:space="preserve"> end with the ruling RPF but extends to President Paul Kagame. Ascending to the presidency in 2000, </w:t>
      </w:r>
      <w:r w:rsidR="00D903F8">
        <w:rPr>
          <w:rFonts w:eastAsia="Times New Roman" w:cs="Times New Roman"/>
        </w:rPr>
        <w:t xml:space="preserve">though </w:t>
      </w:r>
      <w:r w:rsidR="00D903F8">
        <w:rPr>
          <w:rFonts w:eastAsia="Times New Roman" w:cs="Times New Roman"/>
          <w:i/>
          <w:iCs/>
        </w:rPr>
        <w:t xml:space="preserve">de facto </w:t>
      </w:r>
      <w:r w:rsidR="00D903F8">
        <w:rPr>
          <w:rFonts w:eastAsia="Times New Roman" w:cs="Times New Roman"/>
        </w:rPr>
        <w:t xml:space="preserve">ruler since 1994, </w:t>
      </w:r>
      <w:r w:rsidRPr="00AA1887">
        <w:rPr>
          <w:rFonts w:eastAsia="Times New Roman" w:cs="Times New Roman"/>
        </w:rPr>
        <w:t xml:space="preserve">Kagame has reinforced his power by side-lining several senior RPF members </w:t>
      </w:r>
      <w:r w:rsidR="00D903F8">
        <w:rPr>
          <w:rFonts w:eastAsia="Times New Roman" w:cs="Times New Roman"/>
        </w:rPr>
        <w:t>since</w:t>
      </w:r>
      <w:r w:rsidR="00D903F8" w:rsidRPr="00AA1887">
        <w:rPr>
          <w:rFonts w:eastAsia="Times New Roman" w:cs="Times New Roman"/>
        </w:rPr>
        <w:t xml:space="preserve"> </w:t>
      </w:r>
      <w:r w:rsidRPr="00AA1887">
        <w:rPr>
          <w:rFonts w:eastAsia="Times New Roman" w:cs="Times New Roman"/>
        </w:rPr>
        <w:t xml:space="preserve">the 2000s. Furthermore, a generational shift in the party over its two decades in power has benefited the president, entailing the loss of all senior </w:t>
      </w:r>
      <w:r w:rsidR="003F399E">
        <w:rPr>
          <w:rFonts w:eastAsia="Times New Roman" w:cs="Times New Roman"/>
        </w:rPr>
        <w:t>‘</w:t>
      </w:r>
      <w:r w:rsidRPr="00AA1887">
        <w:rPr>
          <w:rFonts w:eastAsia="Times New Roman" w:cs="Times New Roman"/>
        </w:rPr>
        <w:t>historical</w:t>
      </w:r>
      <w:r w:rsidR="003F399E">
        <w:rPr>
          <w:rFonts w:eastAsia="Times New Roman" w:cs="Times New Roman"/>
        </w:rPr>
        <w:t>’</w:t>
      </w:r>
      <w:r w:rsidRPr="00AA1887">
        <w:rPr>
          <w:rFonts w:eastAsia="Times New Roman" w:cs="Times New Roman"/>
        </w:rPr>
        <w:t xml:space="preserve"> RPF members in the executive branch by 2013. The new guard of RPF members, politicians and top civil servants, often composed of well-educated diasporic returnees, are fiercely loyal to Kagame, not least </w:t>
      </w:r>
      <w:r w:rsidR="00A66F17">
        <w:rPr>
          <w:rFonts w:eastAsia="Times New Roman" w:cs="Times New Roman"/>
        </w:rPr>
        <w:t>because</w:t>
      </w:r>
      <w:r w:rsidR="00D903F8">
        <w:rPr>
          <w:rFonts w:eastAsia="Times New Roman" w:cs="Times New Roman"/>
        </w:rPr>
        <w:t xml:space="preserve"> most</w:t>
      </w:r>
      <w:r w:rsidRPr="00AA1887">
        <w:rPr>
          <w:rFonts w:eastAsia="Times New Roman" w:cs="Times New Roman"/>
        </w:rPr>
        <w:t xml:space="preserve"> owe him their careers. </w:t>
      </w:r>
      <w:r w:rsidR="005C480D">
        <w:rPr>
          <w:rFonts w:eastAsia="Times New Roman" w:cs="Times New Roman"/>
        </w:rPr>
        <w:t>On paper</w:t>
      </w:r>
      <w:r w:rsidRPr="00AA1887">
        <w:rPr>
          <w:rFonts w:eastAsia="Times New Roman" w:cs="Times New Roman"/>
        </w:rPr>
        <w:t>, this combination of highly concentrated</w:t>
      </w:r>
      <w:r w:rsidR="001F1E37" w:rsidRPr="00AA1887">
        <w:rPr>
          <w:rFonts w:eastAsia="Times New Roman" w:cs="Times New Roman"/>
        </w:rPr>
        <w:t xml:space="preserve"> power and a</w:t>
      </w:r>
      <w:r w:rsidRPr="00AA1887">
        <w:rPr>
          <w:rFonts w:eastAsia="Times New Roman" w:cs="Times New Roman"/>
        </w:rPr>
        <w:t xml:space="preserve"> dominant ruling group can be conducive to development by reducing pressures to redistribute or pay-off particular interest groups, enabling </w:t>
      </w:r>
      <w:r w:rsidR="005B62F7" w:rsidRPr="00AA1887">
        <w:rPr>
          <w:rFonts w:eastAsia="Times New Roman" w:cs="Times New Roman"/>
        </w:rPr>
        <w:t xml:space="preserve">the </w:t>
      </w:r>
      <w:r w:rsidRPr="00AA1887">
        <w:rPr>
          <w:rFonts w:eastAsia="Times New Roman" w:cs="Times New Roman"/>
        </w:rPr>
        <w:t>centralisation of rents and unchallenged implementation of long-term investment in productive economic activities.</w:t>
      </w:r>
      <w:r w:rsidRPr="00AA1887">
        <w:rPr>
          <w:rFonts w:eastAsia="Times New Roman" w:cs="Times New Roman"/>
          <w:vertAlign w:val="superscript"/>
        </w:rPr>
        <w:footnoteReference w:id="48"/>
      </w:r>
      <w:r w:rsidRPr="00AA1887">
        <w:rPr>
          <w:rFonts w:eastAsia="Times New Roman" w:cs="Times New Roman"/>
        </w:rPr>
        <w:t xml:space="preserve"> Without opposition, complex policy reforms and project implementation can be rapidly implemented, </w:t>
      </w:r>
      <w:r w:rsidR="00E15F76">
        <w:rPr>
          <w:rFonts w:eastAsia="Times New Roman" w:cs="Times New Roman"/>
        </w:rPr>
        <w:t xml:space="preserve">regardless of </w:t>
      </w:r>
      <w:r w:rsidRPr="00AA1887">
        <w:rPr>
          <w:rFonts w:eastAsia="Times New Roman" w:cs="Times New Roman"/>
        </w:rPr>
        <w:t>social impacts.</w:t>
      </w:r>
      <w:r w:rsidRPr="00AA1887">
        <w:rPr>
          <w:rFonts w:eastAsia="Times New Roman" w:cs="Times New Roman"/>
          <w:vertAlign w:val="superscript"/>
        </w:rPr>
        <w:footnoteReference w:id="49"/>
      </w:r>
      <w:r w:rsidRPr="00AA1887">
        <w:rPr>
          <w:rFonts w:eastAsia="Times New Roman" w:cs="Times New Roman"/>
        </w:rPr>
        <w:t xml:space="preserve"> New power plants that displace large numbers therefore face little to no resistance. Rwanda’s biggest hydro</w:t>
      </w:r>
      <w:r w:rsidR="00E15F76">
        <w:rPr>
          <w:rFonts w:eastAsia="Times New Roman" w:cs="Times New Roman"/>
        </w:rPr>
        <w:t>power</w:t>
      </w:r>
      <w:r w:rsidRPr="00AA1887">
        <w:rPr>
          <w:rFonts w:eastAsia="Times New Roman" w:cs="Times New Roman"/>
        </w:rPr>
        <w:t>-plant, Nyabarongo Dam, for example, removed over 4000 households, including a number who did not receive compensation, and yet the project faced no widespread protest.</w:t>
      </w:r>
      <w:r w:rsidR="008772B5" w:rsidRPr="00AA1887">
        <w:rPr>
          <w:rStyle w:val="FootnoteReference"/>
          <w:rFonts w:eastAsia="Times New Roman" w:cs="Times New Roman"/>
        </w:rPr>
        <w:footnoteReference w:id="50"/>
      </w:r>
    </w:p>
    <w:p w14:paraId="751B9CAB" w14:textId="16ACED4E" w:rsidR="002C6CB0" w:rsidRPr="00AA1887" w:rsidRDefault="002C6CB0" w:rsidP="00D139C6">
      <w:pPr>
        <w:spacing w:line="480" w:lineRule="auto"/>
        <w:ind w:firstLine="720"/>
        <w:jc w:val="both"/>
        <w:rPr>
          <w:rFonts w:eastAsia="Times New Roman" w:cs="Times New Roman"/>
        </w:rPr>
      </w:pPr>
      <w:r w:rsidRPr="00AA1887">
        <w:rPr>
          <w:rFonts w:eastAsia="Times New Roman" w:cs="Times New Roman"/>
        </w:rPr>
        <w:lastRenderedPageBreak/>
        <w:t xml:space="preserve">The </w:t>
      </w:r>
      <w:r w:rsidR="00483E08">
        <w:rPr>
          <w:rFonts w:eastAsia="Times New Roman" w:cs="Times New Roman"/>
        </w:rPr>
        <w:t>PSF</w:t>
      </w:r>
      <w:r w:rsidRPr="00AA1887">
        <w:rPr>
          <w:rFonts w:eastAsia="Times New Roman" w:cs="Times New Roman"/>
        </w:rPr>
        <w:t xml:space="preserve"> has been repeatedly mobili</w:t>
      </w:r>
      <w:r w:rsidR="00D903F8">
        <w:rPr>
          <w:rFonts w:eastAsia="Times New Roman" w:cs="Times New Roman"/>
        </w:rPr>
        <w:t>z</w:t>
      </w:r>
      <w:r w:rsidRPr="00AA1887">
        <w:rPr>
          <w:rFonts w:eastAsia="Times New Roman" w:cs="Times New Roman"/>
        </w:rPr>
        <w:t>ed to explain Rwanda’s strong performance in different sectors</w:t>
      </w:r>
      <w:r w:rsidR="001F1E37" w:rsidRPr="00AA1887">
        <w:rPr>
          <w:rFonts w:eastAsia="Times New Roman" w:cs="Times New Roman"/>
        </w:rPr>
        <w:t xml:space="preserve"> such as</w:t>
      </w:r>
      <w:r w:rsidR="00840913" w:rsidRPr="00AA1887">
        <w:rPr>
          <w:rFonts w:eastAsia="Times New Roman" w:cs="Times New Roman"/>
        </w:rPr>
        <w:t xml:space="preserve"> </w:t>
      </w:r>
      <w:r w:rsidRPr="00AA1887">
        <w:rPr>
          <w:rFonts w:eastAsia="Times New Roman" w:cs="Times New Roman"/>
        </w:rPr>
        <w:t>social protection,</w:t>
      </w:r>
      <w:r w:rsidRPr="00AA1887">
        <w:rPr>
          <w:rFonts w:eastAsia="Times New Roman" w:cs="Times New Roman"/>
          <w:vertAlign w:val="superscript"/>
        </w:rPr>
        <w:footnoteReference w:id="51"/>
      </w:r>
      <w:r w:rsidRPr="00AA1887">
        <w:rPr>
          <w:rFonts w:eastAsia="Times New Roman" w:cs="Times New Roman"/>
        </w:rPr>
        <w:t xml:space="preserve"> education,</w:t>
      </w:r>
      <w:r w:rsidRPr="00AA1887">
        <w:rPr>
          <w:rFonts w:eastAsia="Times New Roman" w:cs="Times New Roman"/>
          <w:vertAlign w:val="superscript"/>
        </w:rPr>
        <w:footnoteReference w:id="52"/>
      </w:r>
      <w:r w:rsidRPr="00AA1887">
        <w:rPr>
          <w:rFonts w:eastAsia="Times New Roman" w:cs="Times New Roman"/>
        </w:rPr>
        <w:t xml:space="preserve"> </w:t>
      </w:r>
      <w:r w:rsidR="00840913" w:rsidRPr="00AA1887">
        <w:rPr>
          <w:rFonts w:eastAsia="Times New Roman" w:cs="Times New Roman"/>
        </w:rPr>
        <w:t>a</w:t>
      </w:r>
      <w:r w:rsidRPr="00AA1887">
        <w:rPr>
          <w:rFonts w:eastAsia="Times New Roman" w:cs="Times New Roman"/>
        </w:rPr>
        <w:t>nd economic upgrading.</w:t>
      </w:r>
      <w:r w:rsidRPr="00AA1887">
        <w:rPr>
          <w:rFonts w:eastAsia="Times New Roman" w:cs="Times New Roman"/>
          <w:vertAlign w:val="superscript"/>
        </w:rPr>
        <w:footnoteReference w:id="53"/>
      </w:r>
      <w:r w:rsidRPr="00AA1887">
        <w:rPr>
          <w:rFonts w:eastAsia="Times New Roman" w:cs="Times New Roman"/>
        </w:rPr>
        <w:t xml:space="preserve"> The bureaucracy</w:t>
      </w:r>
      <w:r w:rsidR="00520A46">
        <w:rPr>
          <w:rFonts w:eastAsia="Times New Roman" w:cs="Times New Roman"/>
        </w:rPr>
        <w:t>’s</w:t>
      </w:r>
      <w:r w:rsidRPr="00AA1887">
        <w:rPr>
          <w:rFonts w:eastAsia="Times New Roman" w:cs="Times New Roman"/>
        </w:rPr>
        <w:t xml:space="preserve"> </w:t>
      </w:r>
      <w:r w:rsidR="00C87A78">
        <w:rPr>
          <w:rFonts w:eastAsia="Times New Roman" w:cs="Times New Roman"/>
        </w:rPr>
        <w:t>capability is often praised, with its ability to implement</w:t>
      </w:r>
      <w:r w:rsidR="00590037">
        <w:rPr>
          <w:rFonts w:eastAsia="Times New Roman" w:cs="Times New Roman"/>
        </w:rPr>
        <w:t xml:space="preserve"> </w:t>
      </w:r>
      <w:r w:rsidR="00840913" w:rsidRPr="00AA1887">
        <w:rPr>
          <w:rFonts w:eastAsia="Times New Roman" w:cs="Times New Roman"/>
        </w:rPr>
        <w:t xml:space="preserve">continuous and far-reaching </w:t>
      </w:r>
      <w:r w:rsidR="00395C1A" w:rsidRPr="00AA1887">
        <w:rPr>
          <w:rFonts w:eastAsia="Times New Roman" w:cs="Times New Roman"/>
        </w:rPr>
        <w:t xml:space="preserve">public sector </w:t>
      </w:r>
      <w:r w:rsidR="00840913" w:rsidRPr="00AA1887">
        <w:rPr>
          <w:rFonts w:eastAsia="Times New Roman" w:cs="Times New Roman"/>
        </w:rPr>
        <w:t>reforms</w:t>
      </w:r>
      <w:r w:rsidR="00395C1A">
        <w:rPr>
          <w:rFonts w:eastAsia="Times New Roman" w:cs="Times New Roman"/>
        </w:rPr>
        <w:t xml:space="preserve"> under the RPF</w:t>
      </w:r>
      <w:r w:rsidR="00840913" w:rsidRPr="00AA1887">
        <w:rPr>
          <w:rFonts w:eastAsia="Times New Roman" w:cs="Times New Roman"/>
        </w:rPr>
        <w:t>.</w:t>
      </w:r>
      <w:r w:rsidR="00840913" w:rsidRPr="00AA1887">
        <w:rPr>
          <w:rFonts w:eastAsia="Times New Roman" w:cs="Times New Roman"/>
          <w:vertAlign w:val="superscript"/>
        </w:rPr>
        <w:footnoteReference w:id="54"/>
      </w:r>
      <w:r w:rsidR="009E0CB1" w:rsidRPr="00AA1887">
        <w:rPr>
          <w:rFonts w:eastAsia="Times New Roman" w:cs="Times New Roman"/>
        </w:rPr>
        <w:t xml:space="preserve"> </w:t>
      </w:r>
      <w:r w:rsidR="00840913" w:rsidRPr="00AA1887">
        <w:rPr>
          <w:rFonts w:eastAsia="Times New Roman" w:cs="Times New Roman"/>
        </w:rPr>
        <w:t>Even authors critical of the government recogni</w:t>
      </w:r>
      <w:r w:rsidR="00D903F8">
        <w:rPr>
          <w:rFonts w:eastAsia="Times New Roman" w:cs="Times New Roman"/>
        </w:rPr>
        <w:t>z</w:t>
      </w:r>
      <w:r w:rsidR="00840913" w:rsidRPr="00AA1887">
        <w:rPr>
          <w:rFonts w:eastAsia="Times New Roman" w:cs="Times New Roman"/>
        </w:rPr>
        <w:t xml:space="preserve">e that </w:t>
      </w:r>
      <w:r w:rsidR="003F399E">
        <w:rPr>
          <w:rFonts w:eastAsia="Times New Roman" w:cs="Times New Roman"/>
        </w:rPr>
        <w:t>‘</w:t>
      </w:r>
      <w:r w:rsidR="00840913" w:rsidRPr="00AA1887">
        <w:rPr>
          <w:rFonts w:eastAsia="Times New Roman" w:cs="Times New Roman"/>
        </w:rPr>
        <w:t>the regime’s achievements in this field are undisputable</w:t>
      </w:r>
      <w:r w:rsidR="003F399E">
        <w:rPr>
          <w:rFonts w:eastAsia="Times New Roman" w:cs="Times New Roman"/>
        </w:rPr>
        <w:t>’</w:t>
      </w:r>
      <w:r w:rsidR="00840913" w:rsidRPr="00AA1887">
        <w:rPr>
          <w:rFonts w:eastAsia="Times New Roman" w:cs="Times New Roman"/>
          <w:vertAlign w:val="superscript"/>
        </w:rPr>
        <w:footnoteReference w:id="55"/>
      </w:r>
      <w:r w:rsidRPr="00AA1887">
        <w:rPr>
          <w:rFonts w:eastAsia="Times New Roman" w:cs="Times New Roman"/>
        </w:rPr>
        <w:t xml:space="preserve">. </w:t>
      </w:r>
      <w:r w:rsidR="00D07184" w:rsidRPr="00AA1887">
        <w:rPr>
          <w:rFonts w:eastAsia="Times New Roman" w:cs="Times New Roman"/>
        </w:rPr>
        <w:t>This is not to say that the Rwandan bureaucracy is perfect.</w:t>
      </w:r>
      <w:r w:rsidR="009E0CB1" w:rsidRPr="00AA1887">
        <w:rPr>
          <w:rFonts w:eastAsia="Times New Roman" w:cs="Times New Roman"/>
        </w:rPr>
        <w:t xml:space="preserve"> </w:t>
      </w:r>
      <w:r w:rsidR="00D07184" w:rsidRPr="00AA1887">
        <w:rPr>
          <w:rFonts w:eastAsia="Times New Roman" w:cs="Times New Roman"/>
        </w:rPr>
        <w:t xml:space="preserve">Its heavily top-down governance </w:t>
      </w:r>
      <w:r w:rsidR="008772B5" w:rsidRPr="00AA1887">
        <w:rPr>
          <w:rFonts w:eastAsia="Times New Roman" w:cs="Times New Roman"/>
        </w:rPr>
        <w:t>produces</w:t>
      </w:r>
      <w:r w:rsidR="00D07184" w:rsidRPr="00AA1887">
        <w:rPr>
          <w:rFonts w:eastAsia="Times New Roman" w:cs="Times New Roman"/>
        </w:rPr>
        <w:t xml:space="preserve"> a form of </w:t>
      </w:r>
      <w:r w:rsidR="003F399E">
        <w:rPr>
          <w:rFonts w:eastAsia="Times New Roman" w:cs="Times New Roman"/>
        </w:rPr>
        <w:t>‘</w:t>
      </w:r>
      <w:r w:rsidR="00D07184" w:rsidRPr="00AA1887">
        <w:rPr>
          <w:rFonts w:eastAsia="Times New Roman" w:cs="Times New Roman"/>
        </w:rPr>
        <w:t>coercion rather than choice.</w:t>
      </w:r>
      <w:r w:rsidR="003F399E">
        <w:rPr>
          <w:rFonts w:eastAsia="Times New Roman" w:cs="Times New Roman"/>
        </w:rPr>
        <w:t>’</w:t>
      </w:r>
      <w:r w:rsidR="00D07184" w:rsidRPr="00AA1887">
        <w:rPr>
          <w:rFonts w:eastAsia="Times New Roman" w:cs="Times New Roman"/>
          <w:vertAlign w:val="superscript"/>
        </w:rPr>
        <w:footnoteReference w:id="56"/>
      </w:r>
      <w:r w:rsidR="00D07184" w:rsidRPr="00AA1887">
        <w:rPr>
          <w:rFonts w:eastAsia="Times New Roman" w:cs="Times New Roman"/>
        </w:rPr>
        <w:t xml:space="preserve"> Its capacity, although good given the level of development of the country, is still limited, leading to coordination issues</w:t>
      </w:r>
      <w:r w:rsidR="001F1E37" w:rsidRPr="00AA1887">
        <w:rPr>
          <w:rFonts w:eastAsia="Times New Roman" w:cs="Times New Roman"/>
        </w:rPr>
        <w:t xml:space="preserve"> and policy failures.</w:t>
      </w:r>
      <w:r w:rsidR="000D18CE" w:rsidRPr="00AA1887">
        <w:rPr>
          <w:rFonts w:eastAsia="Times New Roman" w:cs="Times New Roman"/>
          <w:vertAlign w:val="superscript"/>
        </w:rPr>
        <w:footnoteReference w:id="57"/>
      </w:r>
      <w:r w:rsidR="00D07184" w:rsidRPr="00AA1887">
        <w:rPr>
          <w:rFonts w:eastAsia="Times New Roman" w:cs="Times New Roman"/>
        </w:rPr>
        <w:t xml:space="preserve"> Nonetheless, </w:t>
      </w:r>
      <w:r w:rsidR="00351864">
        <w:rPr>
          <w:rFonts w:eastAsia="Times New Roman" w:cs="Times New Roman"/>
        </w:rPr>
        <w:t xml:space="preserve">the </w:t>
      </w:r>
      <w:r w:rsidR="00D07184" w:rsidRPr="00AA1887">
        <w:rPr>
          <w:rFonts w:eastAsia="Times New Roman" w:cs="Times New Roman"/>
        </w:rPr>
        <w:t>c</w:t>
      </w:r>
      <w:r w:rsidRPr="00AA1887">
        <w:rPr>
          <w:rFonts w:eastAsia="Times New Roman" w:cs="Times New Roman"/>
        </w:rPr>
        <w:t>entrali</w:t>
      </w:r>
      <w:r w:rsidR="00D903F8">
        <w:rPr>
          <w:rFonts w:eastAsia="Times New Roman" w:cs="Times New Roman"/>
        </w:rPr>
        <w:t>z</w:t>
      </w:r>
      <w:r w:rsidRPr="00AA1887">
        <w:rPr>
          <w:rFonts w:eastAsia="Times New Roman" w:cs="Times New Roman"/>
        </w:rPr>
        <w:t xml:space="preserve">ation of political power </w:t>
      </w:r>
      <w:r w:rsidR="00840913" w:rsidRPr="00AA1887">
        <w:rPr>
          <w:rFonts w:eastAsia="Times New Roman" w:cs="Times New Roman"/>
        </w:rPr>
        <w:t>has underpinned</w:t>
      </w:r>
      <w:r w:rsidRPr="00AA1887">
        <w:rPr>
          <w:rFonts w:eastAsia="Times New Roman" w:cs="Times New Roman"/>
        </w:rPr>
        <w:t xml:space="preserve"> systematic efforts to limit corruption in the civil service and expand merit-based recruitment.</w:t>
      </w:r>
      <w:r w:rsidRPr="00AA1887">
        <w:rPr>
          <w:rFonts w:eastAsia="Times New Roman" w:cs="Times New Roman"/>
          <w:vertAlign w:val="superscript"/>
        </w:rPr>
        <w:footnoteReference w:id="58"/>
      </w:r>
      <w:r w:rsidRPr="00AA1887">
        <w:rPr>
          <w:rFonts w:eastAsia="Times New Roman" w:cs="Times New Roman"/>
        </w:rPr>
        <w:t xml:space="preserve"> In 2018, Rwanda was ranked 48 (out of 180 countries) for control of corruption in Transparency International’s Corruption Perception Index, which places it fourth in Africa</w:t>
      </w:r>
      <w:r w:rsidR="000D18CE" w:rsidRPr="00AA1887">
        <w:rPr>
          <w:rFonts w:eastAsia="Times New Roman" w:cs="Times New Roman"/>
        </w:rPr>
        <w:t>.</w:t>
      </w:r>
      <w:r w:rsidR="008772B5" w:rsidRPr="00AA1887">
        <w:rPr>
          <w:rStyle w:val="FootnoteReference"/>
          <w:rFonts w:eastAsia="Times New Roman" w:cs="Times New Roman"/>
        </w:rPr>
        <w:footnoteReference w:id="59"/>
      </w:r>
      <w:r w:rsidR="000D18CE" w:rsidRPr="00AA1887">
        <w:rPr>
          <w:rFonts w:eastAsia="Times New Roman" w:cs="Times New Roman"/>
        </w:rPr>
        <w:t xml:space="preserve"> </w:t>
      </w:r>
      <w:r w:rsidRPr="00AA1887">
        <w:rPr>
          <w:rFonts w:eastAsia="Times New Roman" w:cs="Times New Roman"/>
        </w:rPr>
        <w:t xml:space="preserve">Rwanda scores </w:t>
      </w:r>
      <w:r w:rsidR="00C60AB0">
        <w:rPr>
          <w:rFonts w:eastAsia="Times New Roman" w:cs="Times New Roman"/>
        </w:rPr>
        <w:t xml:space="preserve">more </w:t>
      </w:r>
      <w:r w:rsidRPr="00AA1887">
        <w:rPr>
          <w:rFonts w:eastAsia="Times New Roman" w:cs="Times New Roman"/>
        </w:rPr>
        <w:t>high</w:t>
      </w:r>
      <w:r w:rsidR="00C60AB0">
        <w:rPr>
          <w:rFonts w:eastAsia="Times New Roman" w:cs="Times New Roman"/>
        </w:rPr>
        <w:t>ly</w:t>
      </w:r>
      <w:r w:rsidRPr="00AA1887">
        <w:rPr>
          <w:rFonts w:eastAsia="Times New Roman" w:cs="Times New Roman"/>
        </w:rPr>
        <w:t xml:space="preserve"> than comparative countries with similar incomes on indices of bureaucratic quality: according to the World Bank’s data, Rwanda has the most effective bureaucracy out of low-income countries.</w:t>
      </w:r>
      <w:r w:rsidRPr="00AA1887">
        <w:rPr>
          <w:rFonts w:eastAsia="Times New Roman" w:cs="Times New Roman"/>
          <w:vertAlign w:val="superscript"/>
        </w:rPr>
        <w:footnoteReference w:id="60"/>
      </w:r>
      <w:r w:rsidRPr="00AA1887">
        <w:rPr>
          <w:rFonts w:eastAsia="Times New Roman" w:cs="Times New Roman"/>
        </w:rPr>
        <w:t xml:space="preserve"> </w:t>
      </w:r>
      <w:r w:rsidR="00840913" w:rsidRPr="00AA1887">
        <w:rPr>
          <w:rFonts w:eastAsia="Times New Roman" w:cs="Times New Roman"/>
        </w:rPr>
        <w:t>T</w:t>
      </w:r>
      <w:r w:rsidRPr="00AA1887">
        <w:rPr>
          <w:rFonts w:eastAsia="Times New Roman" w:cs="Times New Roman"/>
        </w:rPr>
        <w:t xml:space="preserve">he </w:t>
      </w:r>
      <w:r w:rsidR="00BC7034">
        <w:rPr>
          <w:rFonts w:eastAsia="Times New Roman" w:cs="Times New Roman"/>
        </w:rPr>
        <w:t xml:space="preserve">country’s </w:t>
      </w:r>
      <w:r w:rsidRPr="00AA1887">
        <w:rPr>
          <w:rFonts w:eastAsia="Times New Roman" w:cs="Times New Roman"/>
        </w:rPr>
        <w:t xml:space="preserve">bureaucracy is </w:t>
      </w:r>
      <w:r w:rsidR="00840913" w:rsidRPr="00AA1887">
        <w:rPr>
          <w:rFonts w:eastAsia="Times New Roman" w:cs="Times New Roman"/>
        </w:rPr>
        <w:t xml:space="preserve">generally considered </w:t>
      </w:r>
      <w:r w:rsidRPr="00AA1887">
        <w:rPr>
          <w:rFonts w:eastAsia="Times New Roman" w:cs="Times New Roman"/>
        </w:rPr>
        <w:t>isolated from society</w:t>
      </w:r>
      <w:r w:rsidR="00840913" w:rsidRPr="00AA1887">
        <w:rPr>
          <w:rFonts w:eastAsia="Times New Roman" w:cs="Times New Roman"/>
        </w:rPr>
        <w:t>. P</w:t>
      </w:r>
      <w:r w:rsidRPr="00AA1887">
        <w:rPr>
          <w:rFonts w:eastAsia="Times New Roman" w:cs="Times New Roman"/>
        </w:rPr>
        <w:t xml:space="preserve">opular pressure and particular socio-economic interests are largely unable to influence </w:t>
      </w:r>
      <w:r w:rsidR="00840913" w:rsidRPr="00AA1887">
        <w:rPr>
          <w:rFonts w:eastAsia="Times New Roman" w:cs="Times New Roman"/>
        </w:rPr>
        <w:t>decision-making</w:t>
      </w:r>
      <w:r w:rsidRPr="00AA1887">
        <w:rPr>
          <w:rFonts w:eastAsia="Times New Roman" w:cs="Times New Roman"/>
        </w:rPr>
        <w:t>.</w:t>
      </w:r>
      <w:r w:rsidRPr="00AA1887">
        <w:rPr>
          <w:rFonts w:eastAsia="Times New Roman" w:cs="Times New Roman"/>
          <w:vertAlign w:val="superscript"/>
        </w:rPr>
        <w:footnoteReference w:id="61"/>
      </w:r>
      <w:r w:rsidRPr="00AA1887">
        <w:rPr>
          <w:rFonts w:eastAsia="Times New Roman" w:cs="Times New Roman"/>
        </w:rPr>
        <w:t xml:space="preserve"> </w:t>
      </w:r>
      <w:r w:rsidRPr="00AA1887">
        <w:rPr>
          <w:rFonts w:eastAsia="Times New Roman" w:cs="Times New Roman"/>
        </w:rPr>
        <w:lastRenderedPageBreak/>
        <w:t xml:space="preserve">Autonomy from </w:t>
      </w:r>
      <w:r w:rsidR="00840913" w:rsidRPr="00AA1887">
        <w:rPr>
          <w:rFonts w:eastAsia="Times New Roman" w:cs="Times New Roman"/>
        </w:rPr>
        <w:t xml:space="preserve">the </w:t>
      </w:r>
      <w:r w:rsidRPr="00AA1887">
        <w:rPr>
          <w:rFonts w:eastAsia="Times New Roman" w:cs="Times New Roman"/>
        </w:rPr>
        <w:t xml:space="preserve">citizenry, professionalization and </w:t>
      </w:r>
      <w:r w:rsidR="00D903F8">
        <w:rPr>
          <w:rFonts w:eastAsia="Times New Roman" w:cs="Times New Roman"/>
        </w:rPr>
        <w:t xml:space="preserve">a focus on </w:t>
      </w:r>
      <w:r w:rsidRPr="00AA1887">
        <w:rPr>
          <w:rFonts w:eastAsia="Times New Roman" w:cs="Times New Roman"/>
        </w:rPr>
        <w:t xml:space="preserve">implementation are bolstered by performance contracts, called </w:t>
      </w:r>
      <w:r w:rsidR="00D903F8">
        <w:rPr>
          <w:rFonts w:eastAsia="Times New Roman" w:cs="Times New Roman"/>
          <w:i/>
          <w:iCs/>
        </w:rPr>
        <w:t>i</w:t>
      </w:r>
      <w:r w:rsidRPr="00AA1887">
        <w:rPr>
          <w:rFonts w:eastAsia="Times New Roman" w:cs="Times New Roman"/>
          <w:i/>
          <w:iCs/>
        </w:rPr>
        <w:t>mihigo</w:t>
      </w:r>
      <w:r w:rsidR="004C7762" w:rsidRPr="00AA1887">
        <w:rPr>
          <w:rFonts w:eastAsia="Times New Roman" w:cs="Times New Roman"/>
          <w:i/>
          <w:iCs/>
        </w:rPr>
        <w:t xml:space="preserve">. </w:t>
      </w:r>
      <w:r w:rsidR="00351864" w:rsidRPr="00351864">
        <w:rPr>
          <w:rFonts w:eastAsia="Times New Roman" w:cs="Times New Roman"/>
        </w:rPr>
        <w:t>Created in 2006 and i</w:t>
      </w:r>
      <w:r w:rsidR="004C7762" w:rsidRPr="00351864">
        <w:rPr>
          <w:rFonts w:eastAsia="Times New Roman" w:cs="Times New Roman"/>
        </w:rPr>
        <w:t>nspired</w:t>
      </w:r>
      <w:r w:rsidR="004C7762" w:rsidRPr="00AA1887">
        <w:rPr>
          <w:rFonts w:eastAsia="Times New Roman" w:cs="Times New Roman"/>
        </w:rPr>
        <w:t xml:space="preserve"> by Rwandan pre-colonial tradition</w:t>
      </w:r>
      <w:r w:rsidR="00CD04AB">
        <w:rPr>
          <w:rFonts w:eastAsia="Times New Roman" w:cs="Times New Roman"/>
        </w:rPr>
        <w:t>s</w:t>
      </w:r>
      <w:r w:rsidR="004C7762" w:rsidRPr="00AA1887">
        <w:rPr>
          <w:rFonts w:eastAsia="Times New Roman" w:cs="Times New Roman"/>
        </w:rPr>
        <w:t xml:space="preserve"> of pledging war objectives </w:t>
      </w:r>
      <w:r w:rsidR="00520A46">
        <w:rPr>
          <w:rFonts w:eastAsia="Times New Roman" w:cs="Times New Roman"/>
        </w:rPr>
        <w:t xml:space="preserve">to </w:t>
      </w:r>
      <w:r w:rsidR="004C7762" w:rsidRPr="00AA1887">
        <w:rPr>
          <w:rFonts w:eastAsia="Times New Roman" w:cs="Times New Roman"/>
        </w:rPr>
        <w:t xml:space="preserve">the king, </w:t>
      </w:r>
      <w:r w:rsidR="004C7762" w:rsidRPr="00AA1887">
        <w:rPr>
          <w:rFonts w:eastAsia="Times New Roman" w:cs="Times New Roman"/>
          <w:i/>
          <w:iCs/>
        </w:rPr>
        <w:t>imihigo</w:t>
      </w:r>
      <w:r w:rsidR="004C7762" w:rsidRPr="00AA1887">
        <w:rPr>
          <w:rFonts w:eastAsia="Times New Roman" w:cs="Times New Roman"/>
        </w:rPr>
        <w:t xml:space="preserve"> take the form of a set of performance targets to be achieved by civil servants and institution</w:t>
      </w:r>
      <w:r w:rsidR="00520A46">
        <w:rPr>
          <w:rFonts w:eastAsia="Times New Roman" w:cs="Times New Roman"/>
        </w:rPr>
        <w:t>s</w:t>
      </w:r>
      <w:r w:rsidR="004C7762" w:rsidRPr="00AA1887">
        <w:rPr>
          <w:rFonts w:eastAsia="Times New Roman" w:cs="Times New Roman"/>
        </w:rPr>
        <w:t>. They</w:t>
      </w:r>
      <w:r w:rsidRPr="00AA1887">
        <w:rPr>
          <w:rFonts w:eastAsia="Times New Roman" w:cs="Times New Roman"/>
          <w:iCs/>
        </w:rPr>
        <w:t xml:space="preserve"> are </w:t>
      </w:r>
      <w:r w:rsidR="0003112C" w:rsidRPr="00AA1887">
        <w:rPr>
          <w:rFonts w:eastAsia="Times New Roman" w:cs="Times New Roman"/>
          <w:iCs/>
        </w:rPr>
        <w:t xml:space="preserve">pervasive </w:t>
      </w:r>
      <w:r w:rsidRPr="00AA1887">
        <w:rPr>
          <w:rFonts w:eastAsia="Times New Roman" w:cs="Times New Roman"/>
          <w:iCs/>
        </w:rPr>
        <w:t>throughout</w:t>
      </w:r>
      <w:r w:rsidRPr="00AA1887">
        <w:rPr>
          <w:rFonts w:eastAsia="Times New Roman" w:cs="Times New Roman"/>
          <w:i/>
          <w:iCs/>
        </w:rPr>
        <w:t xml:space="preserve"> </w:t>
      </w:r>
      <w:r w:rsidR="005B62F7" w:rsidRPr="00AA1887">
        <w:rPr>
          <w:rFonts w:eastAsia="Times New Roman" w:cs="Times New Roman"/>
        </w:rPr>
        <w:t>the</w:t>
      </w:r>
      <w:r w:rsidR="005B62F7" w:rsidRPr="00AA1887">
        <w:rPr>
          <w:rFonts w:eastAsia="Times New Roman" w:cs="Times New Roman"/>
          <w:i/>
          <w:iCs/>
        </w:rPr>
        <w:t xml:space="preserve"> </w:t>
      </w:r>
      <w:r w:rsidRPr="00AA1887">
        <w:rPr>
          <w:rFonts w:eastAsia="Times New Roman" w:cs="Times New Roman"/>
        </w:rPr>
        <w:t>central and local-level bureaucracy</w:t>
      </w:r>
      <w:r w:rsidRPr="00AA1887">
        <w:rPr>
          <w:rFonts w:eastAsia="Times New Roman" w:cs="Times New Roman"/>
          <w:vertAlign w:val="superscript"/>
        </w:rPr>
        <w:footnoteReference w:id="62"/>
      </w:r>
      <w:r w:rsidRPr="00AA1887">
        <w:rPr>
          <w:rFonts w:eastAsia="Times New Roman" w:cs="Times New Roman"/>
        </w:rPr>
        <w:t xml:space="preserve"> </w:t>
      </w:r>
      <w:r w:rsidR="00520A46">
        <w:rPr>
          <w:rFonts w:eastAsia="Times New Roman" w:cs="Times New Roman"/>
        </w:rPr>
        <w:t xml:space="preserve">and </w:t>
      </w:r>
      <w:r w:rsidRPr="00AA1887">
        <w:rPr>
          <w:rFonts w:eastAsia="Times New Roman" w:cs="Times New Roman"/>
        </w:rPr>
        <w:t>played a key role in driving Rwanda’s electricity-infrastructure construction.</w:t>
      </w:r>
      <w:r w:rsidR="00357410" w:rsidRPr="00AA1887">
        <w:rPr>
          <w:rFonts w:eastAsia="Times New Roman" w:cs="Times New Roman"/>
        </w:rPr>
        <w:t xml:space="preserve"> </w:t>
      </w:r>
    </w:p>
    <w:p w14:paraId="45546E34" w14:textId="77777777" w:rsidR="00D07184" w:rsidRDefault="00D07184" w:rsidP="002C6CB0">
      <w:pPr>
        <w:spacing w:line="480" w:lineRule="auto"/>
        <w:rPr>
          <w:rFonts w:eastAsia="Times New Roman" w:cs="Times New Roman"/>
        </w:rPr>
      </w:pPr>
    </w:p>
    <w:p w14:paraId="0E12FC40" w14:textId="77777777" w:rsidR="00C72495" w:rsidRPr="00AA1887" w:rsidRDefault="00C72495" w:rsidP="002C6CB0">
      <w:pPr>
        <w:spacing w:line="480" w:lineRule="auto"/>
        <w:rPr>
          <w:rFonts w:eastAsia="Times New Roman" w:cs="Times New Roman"/>
        </w:rPr>
      </w:pPr>
    </w:p>
    <w:p w14:paraId="7F59175E" w14:textId="6F2CB5FA" w:rsidR="00E205A2" w:rsidRDefault="002C6CB0" w:rsidP="00C72495">
      <w:pPr>
        <w:spacing w:line="480" w:lineRule="auto"/>
        <w:rPr>
          <w:rFonts w:cs="Times New Roman"/>
        </w:rPr>
      </w:pPr>
      <w:r w:rsidRPr="00E205A2">
        <w:rPr>
          <w:rFonts w:cs="Times New Roman"/>
          <w:i/>
        </w:rPr>
        <w:t xml:space="preserve">The </w:t>
      </w:r>
      <w:r w:rsidR="00D903F8">
        <w:rPr>
          <w:rFonts w:cs="Times New Roman"/>
          <w:i/>
        </w:rPr>
        <w:t>m</w:t>
      </w:r>
      <w:r w:rsidRPr="00E205A2">
        <w:rPr>
          <w:rFonts w:cs="Times New Roman"/>
          <w:i/>
        </w:rPr>
        <w:t xml:space="preserve">istakes in Rwanda’s </w:t>
      </w:r>
      <w:r w:rsidR="00D903F8">
        <w:rPr>
          <w:rFonts w:cs="Times New Roman"/>
          <w:i/>
        </w:rPr>
        <w:t>e</w:t>
      </w:r>
      <w:r w:rsidRPr="00E205A2">
        <w:rPr>
          <w:rFonts w:cs="Times New Roman"/>
          <w:i/>
        </w:rPr>
        <w:t xml:space="preserve">lectricity </w:t>
      </w:r>
      <w:r w:rsidR="00D903F8">
        <w:rPr>
          <w:rFonts w:cs="Times New Roman"/>
          <w:i/>
        </w:rPr>
        <w:t>g</w:t>
      </w:r>
      <w:r w:rsidRPr="00E205A2">
        <w:rPr>
          <w:rFonts w:cs="Times New Roman"/>
          <w:i/>
        </w:rPr>
        <w:t xml:space="preserve">eneration </w:t>
      </w:r>
      <w:r w:rsidR="00D903F8">
        <w:rPr>
          <w:rFonts w:cs="Times New Roman"/>
          <w:i/>
        </w:rPr>
        <w:t>b</w:t>
      </w:r>
      <w:r w:rsidRPr="00E205A2">
        <w:rPr>
          <w:rFonts w:cs="Times New Roman"/>
          <w:i/>
        </w:rPr>
        <w:t>oom</w:t>
      </w:r>
    </w:p>
    <w:p w14:paraId="4814A135" w14:textId="4639AFF9" w:rsidR="002C6CB0" w:rsidRPr="00AA1887" w:rsidRDefault="00D903F8" w:rsidP="00C72495">
      <w:pPr>
        <w:spacing w:line="480" w:lineRule="auto"/>
        <w:ind w:firstLine="720"/>
        <w:jc w:val="both"/>
        <w:rPr>
          <w:rFonts w:cs="Times New Roman"/>
          <w:b/>
          <w:u w:val="single"/>
        </w:rPr>
      </w:pPr>
      <w:r>
        <w:rPr>
          <w:rFonts w:cs="Times New Roman"/>
        </w:rPr>
        <w:t>At first sight, t</w:t>
      </w:r>
      <w:r w:rsidR="002C6CB0" w:rsidRPr="00AA1887">
        <w:rPr>
          <w:rFonts w:cs="Times New Roman"/>
        </w:rPr>
        <w:t>he Rwandan electricity sector</w:t>
      </w:r>
      <w:r>
        <w:rPr>
          <w:rFonts w:cs="Times New Roman"/>
        </w:rPr>
        <w:t xml:space="preserve"> </w:t>
      </w:r>
      <w:r w:rsidR="002C6CB0" w:rsidRPr="00AA1887">
        <w:rPr>
          <w:rFonts w:cs="Times New Roman"/>
        </w:rPr>
        <w:t>appears to be a straightforward success. After the 1994 genocide, the national grid was in disarray and the two main hydropower stations, dysfunctional. Electricity generation was identified as a major economic-growth issue, and, given the country’s development ambitions, increased energy-generation became a justifiable priority.</w:t>
      </w:r>
      <w:r w:rsidR="002C6CB0" w:rsidRPr="00AA1887">
        <w:rPr>
          <w:rStyle w:val="FootnoteReference"/>
          <w:rFonts w:cs="Times New Roman"/>
        </w:rPr>
        <w:footnoteReference w:id="63"/>
      </w:r>
      <w:r w:rsidR="002C6CB0" w:rsidRPr="00AA1887">
        <w:rPr>
          <w:rFonts w:cs="Times New Roman"/>
        </w:rPr>
        <w:t xml:space="preserve"> As one consultant explained, there was a </w:t>
      </w:r>
      <w:r w:rsidR="003F399E">
        <w:rPr>
          <w:rFonts w:cs="Times New Roman"/>
        </w:rPr>
        <w:t>‘</w:t>
      </w:r>
      <w:r w:rsidR="002C6CB0" w:rsidRPr="00AA1887">
        <w:rPr>
          <w:rFonts w:cs="Times New Roman"/>
        </w:rPr>
        <w:t xml:space="preserve">focus on energy </w:t>
      </w:r>
      <w:r w:rsidR="00C72495">
        <w:rPr>
          <w:rFonts w:cs="Times New Roman"/>
        </w:rPr>
        <w:t>[</w:t>
      </w:r>
      <w:r w:rsidR="002C6CB0" w:rsidRPr="00AA1887">
        <w:rPr>
          <w:rFonts w:cs="Times New Roman"/>
        </w:rPr>
        <w:t>because it was</w:t>
      </w:r>
      <w:r w:rsidR="00C72495">
        <w:rPr>
          <w:rFonts w:cs="Times New Roman"/>
        </w:rPr>
        <w:t>]</w:t>
      </w:r>
      <w:r w:rsidR="002C6CB0" w:rsidRPr="00AA1887">
        <w:rPr>
          <w:rFonts w:cs="Times New Roman"/>
        </w:rPr>
        <w:t xml:space="preserve"> clear that without it [there] could not be industriali</w:t>
      </w:r>
      <w:r>
        <w:rPr>
          <w:rFonts w:cs="Times New Roman"/>
        </w:rPr>
        <w:t>z</w:t>
      </w:r>
      <w:r w:rsidR="002C6CB0" w:rsidRPr="00AA1887">
        <w:rPr>
          <w:rFonts w:cs="Times New Roman"/>
        </w:rPr>
        <w:t>ation</w:t>
      </w:r>
      <w:r w:rsidR="003F399E">
        <w:rPr>
          <w:rFonts w:cs="Times New Roman"/>
        </w:rPr>
        <w:t>’</w:t>
      </w:r>
      <w:r w:rsidR="002C6CB0" w:rsidRPr="00AA1887">
        <w:rPr>
          <w:rFonts w:cs="Times New Roman"/>
        </w:rPr>
        <w:t>.</w:t>
      </w:r>
      <w:r w:rsidR="002C6CB0" w:rsidRPr="00AA1887">
        <w:rPr>
          <w:rStyle w:val="FootnoteReference"/>
          <w:rFonts w:cs="Times New Roman"/>
        </w:rPr>
        <w:footnoteReference w:id="64"/>
      </w:r>
      <w:r w:rsidR="002C6CB0" w:rsidRPr="00AA1887">
        <w:rPr>
          <w:rFonts w:cs="Times New Roman"/>
        </w:rPr>
        <w:t xml:space="preserve"> The cancelling of </w:t>
      </w:r>
      <w:r>
        <w:rPr>
          <w:rFonts w:cs="Times New Roman"/>
        </w:rPr>
        <w:t>US</w:t>
      </w:r>
      <w:r w:rsidR="002C6CB0" w:rsidRPr="00AA1887">
        <w:rPr>
          <w:rFonts w:cs="Times New Roman"/>
        </w:rPr>
        <w:t xml:space="preserve">$1.9 billion of Rwanda’s debt in 2005–06 gave the government greater leeway to prioritise investment expenditure. As explained by an official from the Ministry of Finance and Economic Planning, after the debt cancellation, there was an understanding that the </w:t>
      </w:r>
      <w:r w:rsidR="003F399E">
        <w:rPr>
          <w:rFonts w:cs="Times New Roman"/>
        </w:rPr>
        <w:t>‘</w:t>
      </w:r>
      <w:r w:rsidR="002C6CB0" w:rsidRPr="00AA1887">
        <w:rPr>
          <w:rFonts w:cs="Times New Roman"/>
        </w:rPr>
        <w:t>budget for electricity production should be ring-fenced from year to year</w:t>
      </w:r>
      <w:r w:rsidR="003F399E">
        <w:rPr>
          <w:rFonts w:cs="Times New Roman"/>
        </w:rPr>
        <w:t>’</w:t>
      </w:r>
      <w:r w:rsidR="002C6CB0" w:rsidRPr="00AA1887">
        <w:rPr>
          <w:rFonts w:cs="Times New Roman"/>
        </w:rPr>
        <w:t>.</w:t>
      </w:r>
      <w:r w:rsidR="002C6CB0" w:rsidRPr="00AA1887">
        <w:rPr>
          <w:rStyle w:val="FootnoteReference"/>
          <w:rFonts w:cs="Times New Roman"/>
        </w:rPr>
        <w:footnoteReference w:id="65"/>
      </w:r>
      <w:r w:rsidR="002C6CB0" w:rsidRPr="00AA1887">
        <w:rPr>
          <w:rFonts w:cs="Times New Roman"/>
        </w:rPr>
        <w:t xml:space="preserve"> Power plants then became a major focus, and the result has been a rise in installed generation, from 39.95MW in 2003 to 218.9MW in 2017</w:t>
      </w:r>
      <w:r w:rsidR="00252721">
        <w:rPr>
          <w:rFonts w:cs="Times New Roman"/>
        </w:rPr>
        <w:t xml:space="preserve">, </w:t>
      </w:r>
      <w:r w:rsidR="00D568A6">
        <w:rPr>
          <w:rFonts w:cs="Times New Roman"/>
        </w:rPr>
        <w:t xml:space="preserve">due to be </w:t>
      </w:r>
      <w:r w:rsidR="00D568A6" w:rsidRPr="00D568A6">
        <w:rPr>
          <w:rFonts w:cs="Times New Roman"/>
        </w:rPr>
        <w:t>43</w:t>
      </w:r>
      <w:r w:rsidR="00D568A6">
        <w:rPr>
          <w:rFonts w:cs="Times New Roman"/>
        </w:rPr>
        <w:t>3</w:t>
      </w:r>
      <w:r w:rsidR="00D4081C" w:rsidRPr="00D4081C">
        <w:rPr>
          <w:rFonts w:cs="Times New Roman"/>
        </w:rPr>
        <w:t>MW</w:t>
      </w:r>
      <w:r w:rsidR="00717DBD">
        <w:rPr>
          <w:rFonts w:cs="Times New Roman"/>
        </w:rPr>
        <w:t xml:space="preserve"> in 2023</w:t>
      </w:r>
      <w:r w:rsidR="00D568A6">
        <w:rPr>
          <w:rStyle w:val="FootnoteReference"/>
          <w:rFonts w:cs="Times New Roman"/>
        </w:rPr>
        <w:footnoteReference w:id="66"/>
      </w:r>
      <w:r w:rsidR="002C6CB0" w:rsidRPr="00AA1887">
        <w:rPr>
          <w:rFonts w:cs="Times New Roman"/>
        </w:rPr>
        <w:t>.</w:t>
      </w:r>
    </w:p>
    <w:p w14:paraId="5A79519C" w14:textId="4891381F" w:rsidR="002C6CB0" w:rsidRPr="00AA1887" w:rsidRDefault="002C6CB0" w:rsidP="002C6CB0">
      <w:pPr>
        <w:spacing w:line="480" w:lineRule="auto"/>
        <w:ind w:firstLine="720"/>
        <w:jc w:val="both"/>
        <w:rPr>
          <w:rFonts w:cs="Times New Roman"/>
        </w:rPr>
      </w:pPr>
      <w:r w:rsidRPr="00AA1887">
        <w:rPr>
          <w:rFonts w:cs="Times New Roman"/>
        </w:rPr>
        <w:lastRenderedPageBreak/>
        <w:t xml:space="preserve">The electricity boom, featuring 30 Rwandan and international companies, is undoubtedly impressive. It contrasts with </w:t>
      </w:r>
      <w:r w:rsidR="00252721">
        <w:rPr>
          <w:rFonts w:cs="Times New Roman"/>
        </w:rPr>
        <w:t>others</w:t>
      </w:r>
      <w:r w:rsidRPr="00AA1887">
        <w:rPr>
          <w:rFonts w:cs="Times New Roman"/>
        </w:rPr>
        <w:t>, like neighbouring Tanzania, who have been unsuccessful in making such projects ‘bankable’.</w:t>
      </w:r>
      <w:r w:rsidRPr="00AA1887">
        <w:rPr>
          <w:rStyle w:val="FootnoteReference"/>
          <w:rFonts w:cs="Times New Roman"/>
        </w:rPr>
        <w:footnoteReference w:id="67"/>
      </w:r>
      <w:r w:rsidRPr="00AA1887">
        <w:rPr>
          <w:rFonts w:cs="Times New Roman"/>
        </w:rPr>
        <w:t xml:space="preserve"> However, the boom in power </w:t>
      </w:r>
      <w:r w:rsidR="00C60AB0">
        <w:rPr>
          <w:rFonts w:cs="Times New Roman"/>
        </w:rPr>
        <w:t>has</w:t>
      </w:r>
      <w:r w:rsidR="003C06CE" w:rsidRPr="00AA1887">
        <w:rPr>
          <w:rFonts w:cs="Times New Roman"/>
        </w:rPr>
        <w:t xml:space="preserve"> </w:t>
      </w:r>
      <w:r w:rsidRPr="00AA1887">
        <w:rPr>
          <w:rFonts w:cs="Times New Roman"/>
        </w:rPr>
        <w:t>also created glaring financial issues. First, the increase in electricity production has not addressed the equally</w:t>
      </w:r>
      <w:r w:rsidR="00A0648E">
        <w:rPr>
          <w:rFonts w:cs="Times New Roman"/>
        </w:rPr>
        <w:t xml:space="preserve"> </w:t>
      </w:r>
      <w:r w:rsidRPr="00AA1887">
        <w:rPr>
          <w:rFonts w:cs="Times New Roman"/>
        </w:rPr>
        <w:t>important and similarly long-standing problem of the price of electricity. Even before the boom in power plants had fully taken effect, in 2018, Rwanda was ranked 41 out of 190 countries for the ease of doing business, but only ranked 119 in access to reliable and affordable electricity.</w:t>
      </w:r>
      <w:r w:rsidRPr="00AA1887">
        <w:rPr>
          <w:rStyle w:val="FootnoteReference"/>
          <w:rFonts w:cs="Times New Roman"/>
        </w:rPr>
        <w:footnoteReference w:id="68"/>
      </w:r>
      <w:r w:rsidRPr="00AA1887">
        <w:rPr>
          <w:rFonts w:cs="Times New Roman"/>
        </w:rPr>
        <w:t xml:space="preserve"> In the 39 Sub-Saharan African countries surveyed by Kojima and Trimble</w:t>
      </w:r>
      <w:r w:rsidR="00D903F8">
        <w:rPr>
          <w:rFonts w:cs="Times New Roman"/>
        </w:rPr>
        <w:t xml:space="preserve"> in 2016</w:t>
      </w:r>
      <w:r w:rsidRPr="00AA1887">
        <w:rPr>
          <w:rFonts w:cs="Times New Roman"/>
        </w:rPr>
        <w:t>,</w:t>
      </w:r>
      <w:r w:rsidRPr="00AA1887">
        <w:rPr>
          <w:rStyle w:val="FootnoteReference"/>
          <w:rFonts w:cs="Times New Roman"/>
        </w:rPr>
        <w:footnoteReference w:id="69"/>
      </w:r>
      <w:r w:rsidRPr="00AA1887">
        <w:rPr>
          <w:rFonts w:cs="Times New Roman"/>
        </w:rPr>
        <w:t xml:space="preserve"> Rwanda was the second least affordable for households’ subsistence-level electricity. Consumption remains expensive despite the government’s heavy subsidy. For example, the state spent $57 million in 2016 on reducing tariffs by more than 37</w:t>
      </w:r>
      <w:r w:rsidR="00D903F8">
        <w:rPr>
          <w:rFonts w:cs="Times New Roman"/>
        </w:rPr>
        <w:t xml:space="preserve"> per cent</w:t>
      </w:r>
      <w:r w:rsidRPr="00AA1887">
        <w:rPr>
          <w:rFonts w:cs="Times New Roman"/>
        </w:rPr>
        <w:t xml:space="preserve"> of ‘real’ electricity costs yet this still left them far higher than in the majority of East Africa and the 12th highest on the continent </w:t>
      </w:r>
      <w:r w:rsidRPr="00AA1887">
        <w:rPr>
          <w:rStyle w:val="FootnoteReference"/>
          <w:rFonts w:cs="Times New Roman"/>
        </w:rPr>
        <w:footnoteReference w:id="70"/>
      </w:r>
      <w:r w:rsidRPr="00AA1887">
        <w:rPr>
          <w:rFonts w:cs="Times New Roman"/>
        </w:rPr>
        <w:t xml:space="preserve">. Contrary to expectations, prices also increased during the government’s electricity-construction drive. </w:t>
      </w:r>
      <w:r w:rsidR="00D475DD">
        <w:rPr>
          <w:rFonts w:cs="Times New Roman"/>
        </w:rPr>
        <w:t>Non-</w:t>
      </w:r>
      <w:r w:rsidR="00252721">
        <w:rPr>
          <w:rFonts w:cs="Times New Roman"/>
        </w:rPr>
        <w:t xml:space="preserve">low-income </w:t>
      </w:r>
      <w:r w:rsidR="00D475DD">
        <w:rPr>
          <w:rFonts w:cs="Times New Roman"/>
        </w:rPr>
        <w:t>r</w:t>
      </w:r>
      <w:r w:rsidRPr="00AA1887">
        <w:rPr>
          <w:rFonts w:cs="Times New Roman"/>
        </w:rPr>
        <w:t xml:space="preserve">esidential electricity tariffs in 2004 were $0.10 (in 2018 prices), </w:t>
      </w:r>
      <w:r w:rsidR="00142839">
        <w:rPr>
          <w:rFonts w:cs="Times New Roman"/>
        </w:rPr>
        <w:t>and $</w:t>
      </w:r>
      <w:r w:rsidRPr="00AA1887">
        <w:rPr>
          <w:rFonts w:cs="Times New Roman"/>
        </w:rPr>
        <w:t xml:space="preserve">0.21 </w:t>
      </w:r>
      <w:r w:rsidR="00DA0FC0">
        <w:rPr>
          <w:rFonts w:cs="Times New Roman"/>
        </w:rPr>
        <w:t xml:space="preserve">from 2018, </w:t>
      </w:r>
      <w:r w:rsidR="00252721">
        <w:rPr>
          <w:rFonts w:cs="Times New Roman"/>
        </w:rPr>
        <w:t xml:space="preserve">whilst being </w:t>
      </w:r>
      <w:r w:rsidR="00DA0FC0">
        <w:rPr>
          <w:rFonts w:cs="Times New Roman"/>
        </w:rPr>
        <w:t>higher still</w:t>
      </w:r>
      <w:r w:rsidR="00142839">
        <w:rPr>
          <w:rFonts w:cs="Times New Roman"/>
        </w:rPr>
        <w:t xml:space="preserve"> for</w:t>
      </w:r>
      <w:r w:rsidR="00DA0FC0">
        <w:rPr>
          <w:rFonts w:cs="Times New Roman"/>
        </w:rPr>
        <w:t xml:space="preserve"> businesses</w:t>
      </w:r>
      <w:r w:rsidRPr="00AA1887">
        <w:rPr>
          <w:rFonts w:cs="Times New Roman"/>
        </w:rPr>
        <w:t>.</w:t>
      </w:r>
      <w:r w:rsidRPr="00AA1887">
        <w:rPr>
          <w:rStyle w:val="FootnoteReference"/>
          <w:rFonts w:cs="Times New Roman"/>
        </w:rPr>
        <w:footnoteReference w:id="71"/>
      </w:r>
      <w:r w:rsidRPr="00AA1887">
        <w:rPr>
          <w:rFonts w:cs="Times New Roman"/>
        </w:rPr>
        <w:t xml:space="preserve"> </w:t>
      </w:r>
      <w:r w:rsidR="00DA0FC0">
        <w:rPr>
          <w:rFonts w:cs="Times New Roman"/>
        </w:rPr>
        <w:t>H</w:t>
      </w:r>
      <w:r w:rsidRPr="00AA1887">
        <w:rPr>
          <w:rFonts w:cs="Times New Roman"/>
        </w:rPr>
        <w:t>igh tariffs are a major bottleneck for the private sector</w:t>
      </w:r>
      <w:r w:rsidR="002441A5">
        <w:rPr>
          <w:rFonts w:cs="Times New Roman"/>
        </w:rPr>
        <w:t>,</w:t>
      </w:r>
      <w:r w:rsidRPr="00AA1887">
        <w:rPr>
          <w:rFonts w:cs="Times New Roman"/>
        </w:rPr>
        <w:t xml:space="preserve"> especially </w:t>
      </w:r>
      <w:r w:rsidR="002441A5">
        <w:rPr>
          <w:rFonts w:cs="Times New Roman"/>
        </w:rPr>
        <w:t>industrial users,</w:t>
      </w:r>
      <w:r w:rsidR="002441A5" w:rsidRPr="00AA1887">
        <w:rPr>
          <w:rFonts w:cs="Times New Roman"/>
        </w:rPr>
        <w:t xml:space="preserve"> </w:t>
      </w:r>
      <w:r w:rsidRPr="00AA1887">
        <w:rPr>
          <w:rFonts w:cs="Times New Roman"/>
        </w:rPr>
        <w:t>and</w:t>
      </w:r>
      <w:r w:rsidR="002441A5">
        <w:rPr>
          <w:rFonts w:cs="Times New Roman"/>
        </w:rPr>
        <w:t>,</w:t>
      </w:r>
      <w:r w:rsidRPr="00AA1887">
        <w:rPr>
          <w:rFonts w:cs="Times New Roman"/>
        </w:rPr>
        <w:t xml:space="preserve"> </w:t>
      </w:r>
      <w:r w:rsidR="002441A5">
        <w:rPr>
          <w:rFonts w:cs="Times New Roman"/>
        </w:rPr>
        <w:t xml:space="preserve">according to a </w:t>
      </w:r>
      <w:r w:rsidR="002441A5" w:rsidRPr="00AA1887">
        <w:rPr>
          <w:rFonts w:cs="Times New Roman"/>
        </w:rPr>
        <w:t>senior government official</w:t>
      </w:r>
      <w:r w:rsidR="002441A5">
        <w:rPr>
          <w:rFonts w:cs="Times New Roman"/>
        </w:rPr>
        <w:t>,</w:t>
      </w:r>
      <w:r w:rsidR="002441A5" w:rsidRPr="00AA1887">
        <w:rPr>
          <w:rFonts w:cs="Times New Roman"/>
        </w:rPr>
        <w:t xml:space="preserve"> </w:t>
      </w:r>
      <w:r w:rsidRPr="00AA1887">
        <w:rPr>
          <w:rFonts w:cs="Times New Roman"/>
        </w:rPr>
        <w:t xml:space="preserve">represent a major </w:t>
      </w:r>
      <w:r w:rsidR="003F399E">
        <w:rPr>
          <w:rFonts w:cs="Times New Roman"/>
        </w:rPr>
        <w:t>‘</w:t>
      </w:r>
      <w:r w:rsidRPr="00AA1887">
        <w:rPr>
          <w:rFonts w:cs="Times New Roman"/>
        </w:rPr>
        <w:t xml:space="preserve">cost to attract </w:t>
      </w:r>
      <w:r w:rsidRPr="00AA1887">
        <w:rPr>
          <w:rFonts w:cs="Times New Roman"/>
        </w:rPr>
        <w:lastRenderedPageBreak/>
        <w:t>investors</w:t>
      </w:r>
      <w:r w:rsidR="003F399E">
        <w:rPr>
          <w:rFonts w:cs="Times New Roman"/>
        </w:rPr>
        <w:t>’</w:t>
      </w:r>
      <w:r w:rsidRPr="00AA1887">
        <w:rPr>
          <w:rFonts w:cs="Times New Roman"/>
        </w:rPr>
        <w:t>.</w:t>
      </w:r>
      <w:r w:rsidRPr="00AA1887">
        <w:rPr>
          <w:rStyle w:val="FootnoteReference"/>
          <w:rFonts w:cs="Times New Roman"/>
        </w:rPr>
        <w:footnoteReference w:id="72"/>
      </w:r>
      <w:r w:rsidRPr="00AA1887">
        <w:rPr>
          <w:rFonts w:cs="Times New Roman"/>
        </w:rPr>
        <w:t xml:space="preserve"> In a 2018 business survey, investors most frequently cited access to affordable electricity as the factor limiting their activities.</w:t>
      </w:r>
      <w:r w:rsidRPr="00AA1887">
        <w:rPr>
          <w:rStyle w:val="FootnoteReference"/>
          <w:rFonts w:cs="Times New Roman"/>
        </w:rPr>
        <w:footnoteReference w:id="73"/>
      </w:r>
      <w:r w:rsidRPr="00AA1887">
        <w:rPr>
          <w:rFonts w:cs="Times New Roman"/>
        </w:rPr>
        <w:t xml:space="preserve"> </w:t>
      </w:r>
    </w:p>
    <w:p w14:paraId="4A965D20" w14:textId="0E321BFC" w:rsidR="00C90E4F" w:rsidRPr="00AA1887" w:rsidRDefault="00FE02BB" w:rsidP="00C90E4F">
      <w:pPr>
        <w:spacing w:line="480" w:lineRule="auto"/>
        <w:jc w:val="both"/>
        <w:rPr>
          <w:rFonts w:cs="Times New Roman"/>
        </w:rPr>
      </w:pPr>
      <w:r w:rsidRPr="00AA1887">
        <w:rPr>
          <w:rFonts w:cs="Times New Roman"/>
          <w:noProof/>
        </w:rPr>
        <mc:AlternateContent>
          <mc:Choice Requires="wps">
            <w:drawing>
              <wp:anchor distT="0" distB="0" distL="114300" distR="114300" simplePos="0" relativeHeight="251663360" behindDoc="0" locked="0" layoutInCell="1" allowOverlap="1" wp14:anchorId="28DEBEF2" wp14:editId="311B887C">
                <wp:simplePos x="0" y="0"/>
                <wp:positionH relativeFrom="margin">
                  <wp:posOffset>-558800</wp:posOffset>
                </wp:positionH>
                <wp:positionV relativeFrom="paragraph">
                  <wp:posOffset>3115310</wp:posOffset>
                </wp:positionV>
                <wp:extent cx="6864350" cy="574675"/>
                <wp:effectExtent l="0" t="0" r="0" b="6985"/>
                <wp:wrapTopAndBottom/>
                <wp:docPr id="8" name="Text Box 8"/>
                <wp:cNvGraphicFramePr/>
                <a:graphic xmlns:a="http://schemas.openxmlformats.org/drawingml/2006/main">
                  <a:graphicData uri="http://schemas.microsoft.com/office/word/2010/wordprocessingShape">
                    <wps:wsp>
                      <wps:cNvSpPr txBox="1"/>
                      <wps:spPr>
                        <a:xfrm>
                          <a:off x="0" y="0"/>
                          <a:ext cx="6864350" cy="574675"/>
                        </a:xfrm>
                        <a:prstGeom prst="rect">
                          <a:avLst/>
                        </a:prstGeom>
                        <a:solidFill>
                          <a:prstClr val="white"/>
                        </a:solidFill>
                        <a:ln>
                          <a:noFill/>
                        </a:ln>
                      </wps:spPr>
                      <wps:txbx>
                        <w:txbxContent>
                          <w:p w14:paraId="4A2F65D4" w14:textId="77777777" w:rsidR="002C6CB0" w:rsidRDefault="002C6CB0" w:rsidP="002C6CB0">
                            <w:pPr>
                              <w:pStyle w:val="Caption"/>
                              <w:spacing w:after="0"/>
                            </w:pPr>
                            <w:r>
                              <w:t>Note</w:t>
                            </w:r>
                            <w:r>
                              <w:rPr>
                                <w:i w:val="0"/>
                              </w:rPr>
                              <w:t>: *Projections based on projects under contract.</w:t>
                            </w:r>
                          </w:p>
                          <w:p w14:paraId="17625DB8" w14:textId="433B0717" w:rsidR="002C6CB0" w:rsidRDefault="002C6CB0" w:rsidP="002C6CB0">
                            <w:pPr>
                              <w:pStyle w:val="Caption"/>
                              <w:rPr>
                                <w:noProof/>
                                <w:sz w:val="20"/>
                                <w:szCs w:val="20"/>
                              </w:rPr>
                            </w:pPr>
                            <w:r>
                              <w:t>Source: Authors’ statistics gathered from Mininfra press releases and ministerial strategy reports (e.g. Republic of Rwanda, M. of I., 2018), from the Rwanda Energy Group’s published statistics and news articles between 2014-202</w:t>
                            </w:r>
                            <w:r w:rsidR="00FE02BB">
                              <w:t>3</w:t>
                            </w:r>
                            <w:r>
                              <w:t>.</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8DEBEF2" id="Text Box 8" o:spid="_x0000_s1027" type="#_x0000_t202" style="position:absolute;left:0;text-align:left;margin-left:-44pt;margin-top:245.3pt;width:540.5pt;height:4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" stroked="f">
                <v:textbox style="mso-fit-shape-to-text:t" inset="0,0,0,0">
                  <w:txbxContent>
                    <w:p w14:paraId="4A2F65D4" w14:textId="77777777" w:rsidR="002C6CB0" w:rsidRDefault="002C6CB0" w:rsidP="002C6CB0">
                      <w:pPr>
                        <w:pStyle w:val="Lgende"/>
                        <w:spacing w:after="0"/>
                      </w:pPr>
                      <w:r>
                        <w:t>Note</w:t>
                      </w:r>
                      <w:r>
                        <w:rPr>
                          <w:i w:val="0"/>
                        </w:rPr>
                        <w:t>: *Projections based on projects under contract.</w:t>
                      </w:r>
                    </w:p>
                    <w:p w14:paraId="17625DB8" w14:textId="433B0717" w:rsidR="002C6CB0" w:rsidRDefault="002C6CB0" w:rsidP="002C6CB0">
                      <w:pPr>
                        <w:pStyle w:val="Lgende"/>
                        <w:rPr>
                          <w:noProof/>
                          <w:sz w:val="20"/>
                          <w:szCs w:val="20"/>
                        </w:rPr>
                      </w:pPr>
                      <w:r>
                        <w:t>Source: Authors’ statistics gathered from Mininfra press releases and ministerial strategy reports (e.g. Republic of Rwanda, M. of I., 2018), from the Rwanda Energy Group’s published statistics and news articles between 2014-202</w:t>
                      </w:r>
                      <w:r w:rsidR="00FE02BB">
                        <w:t>3</w:t>
                      </w:r>
                      <w:r>
                        <w:t>.</w:t>
                      </w:r>
                    </w:p>
                  </w:txbxContent>
                </v:textbox>
                <w10:wrap type="topAndBottom" anchorx="margin"/>
              </v:shape>
            </w:pict>
          </mc:Fallback>
        </mc:AlternateContent>
      </w:r>
      <w:r>
        <w:rPr>
          <w:noProof/>
        </w:rPr>
        <w:drawing>
          <wp:inline distT="0" distB="0" distL="0" distR="0" wp14:anchorId="7B266379" wp14:editId="70E5B0CE">
            <wp:extent cx="5731510" cy="3035300"/>
            <wp:effectExtent l="0" t="0" r="0" b="0"/>
            <wp:docPr id="1" name="Chart 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90E4F" w:rsidRPr="00C90E4F">
        <w:rPr>
          <w:rFonts w:cs="Times New Roman"/>
          <w:i/>
        </w:rPr>
        <w:t xml:space="preserve"> </w:t>
      </w:r>
      <w:r w:rsidR="00C90E4F" w:rsidRPr="00AA1887">
        <w:rPr>
          <w:rFonts w:cs="Times New Roman"/>
          <w:i/>
        </w:rPr>
        <w:t xml:space="preserve">Figure 2: </w:t>
      </w:r>
      <w:r w:rsidR="00C90E4F" w:rsidRPr="00AA1887">
        <w:rPr>
          <w:rFonts w:cs="Times New Roman"/>
        </w:rPr>
        <w:t>Increased private sector ownership of electricity production</w:t>
      </w:r>
    </w:p>
    <w:p w14:paraId="01C1C271" w14:textId="77777777" w:rsidR="00E205A2" w:rsidRDefault="00E205A2" w:rsidP="002C6CB0">
      <w:pPr>
        <w:spacing w:line="480" w:lineRule="auto"/>
        <w:ind w:firstLine="720"/>
        <w:jc w:val="both"/>
        <w:rPr>
          <w:rFonts w:cs="Times New Roman"/>
        </w:rPr>
      </w:pPr>
    </w:p>
    <w:p w14:paraId="7B3CA1F7" w14:textId="2443E645" w:rsidR="002C6CB0" w:rsidRPr="00AA1887" w:rsidRDefault="002C6CB0" w:rsidP="002C6CB0">
      <w:pPr>
        <w:spacing w:line="480" w:lineRule="auto"/>
        <w:ind w:firstLine="720"/>
        <w:jc w:val="both"/>
        <w:rPr>
          <w:rFonts w:cs="Times New Roman"/>
        </w:rPr>
      </w:pPr>
      <w:r w:rsidRPr="00AA1887">
        <w:rPr>
          <w:rFonts w:cs="Times New Roman"/>
        </w:rPr>
        <w:t xml:space="preserve">Despite longstanding recognition amongst some parts of the civil service, </w:t>
      </w:r>
      <w:r w:rsidR="003C1D66">
        <w:rPr>
          <w:rFonts w:cs="Times New Roman"/>
        </w:rPr>
        <w:t xml:space="preserve">Western aid </w:t>
      </w:r>
      <w:r w:rsidRPr="00AA1887">
        <w:rPr>
          <w:rFonts w:cs="Times New Roman"/>
        </w:rPr>
        <w:t>donor agencies and consultants,</w:t>
      </w:r>
      <w:r w:rsidRPr="00AA1887">
        <w:rPr>
          <w:rStyle w:val="FootnoteReference"/>
          <w:rFonts w:cs="Times New Roman"/>
        </w:rPr>
        <w:footnoteReference w:id="74"/>
      </w:r>
      <w:r w:rsidRPr="00AA1887">
        <w:rPr>
          <w:rFonts w:cs="Times New Roman"/>
        </w:rPr>
        <w:t xml:space="preserve"> the </w:t>
      </w:r>
      <w:r w:rsidR="008462FA">
        <w:rPr>
          <w:rFonts w:cs="Times New Roman"/>
        </w:rPr>
        <w:t>building</w:t>
      </w:r>
      <w:r w:rsidR="008462FA" w:rsidRPr="00AA1887">
        <w:rPr>
          <w:rFonts w:cs="Times New Roman"/>
        </w:rPr>
        <w:t xml:space="preserve"> </w:t>
      </w:r>
      <w:r w:rsidRPr="00AA1887">
        <w:rPr>
          <w:rFonts w:cs="Times New Roman"/>
        </w:rPr>
        <w:t>of so much additional generation (see Figures 1 and 2) worsened the power-system in three interrelated ways: Firstly, too many plants have been constructed, causing power over-supply. Secondly, oversupply is particularly deleterious given the predominance of expensive and inflexible private-sector contracts which are also ill-suited to the country’s daily energy-demand profile. Thirdly, costs are compounded by poor implementation practices</w:t>
      </w:r>
      <w:r w:rsidR="009238A5">
        <w:rPr>
          <w:rFonts w:cs="Times New Roman"/>
        </w:rPr>
        <w:t>.</w:t>
      </w:r>
    </w:p>
    <w:p w14:paraId="6A5B9789" w14:textId="3577755B" w:rsidR="002C6CB0" w:rsidRPr="00AA1887" w:rsidRDefault="002C6CB0" w:rsidP="002C6CB0">
      <w:pPr>
        <w:spacing w:line="480" w:lineRule="auto"/>
        <w:ind w:firstLine="720"/>
        <w:jc w:val="both"/>
        <w:rPr>
          <w:rFonts w:cs="Times New Roman"/>
        </w:rPr>
      </w:pPr>
      <w:r w:rsidRPr="00AA1887">
        <w:rPr>
          <w:rFonts w:cs="Times New Roman"/>
        </w:rPr>
        <w:lastRenderedPageBreak/>
        <w:t xml:space="preserve">Oversupply has occurred for around five years, with the latest forecasts suggesting that, by 2024, peak demand will be </w:t>
      </w:r>
      <w:r w:rsidR="00DD592F" w:rsidRPr="00DD592F">
        <w:rPr>
          <w:rFonts w:cs="Times New Roman"/>
        </w:rPr>
        <w:t xml:space="preserve">228 </w:t>
      </w:r>
      <w:r w:rsidRPr="00AA1887">
        <w:rPr>
          <w:rFonts w:cs="Times New Roman"/>
        </w:rPr>
        <w:t>MW</w:t>
      </w:r>
      <w:r w:rsidR="00DD592F">
        <w:rPr>
          <w:rFonts w:cs="Times New Roman"/>
        </w:rPr>
        <w:t>, i</w:t>
      </w:r>
      <w:r w:rsidRPr="00AA1887">
        <w:rPr>
          <w:rFonts w:cs="Times New Roman"/>
        </w:rPr>
        <w:t>n contrast</w:t>
      </w:r>
      <w:r w:rsidR="00DD592F">
        <w:rPr>
          <w:rFonts w:cs="Times New Roman"/>
        </w:rPr>
        <w:t xml:space="preserve"> to </w:t>
      </w:r>
      <w:r w:rsidR="00A0648E">
        <w:rPr>
          <w:rFonts w:cs="Times New Roman"/>
        </w:rPr>
        <w:t xml:space="preserve">a </w:t>
      </w:r>
      <w:r w:rsidR="00DD592F">
        <w:rPr>
          <w:rFonts w:cs="Times New Roman"/>
        </w:rPr>
        <w:t xml:space="preserve">projected installed capacity of 444MW brought by an additional </w:t>
      </w:r>
      <w:r w:rsidR="00DD592F" w:rsidRPr="00DD592F">
        <w:rPr>
          <w:rFonts w:cs="Times New Roman"/>
        </w:rPr>
        <w:t>144.4</w:t>
      </w:r>
      <w:r w:rsidR="00DD592F">
        <w:rPr>
          <w:rFonts w:cs="Times New Roman"/>
        </w:rPr>
        <w:t>MW under construction.</w:t>
      </w:r>
      <w:r w:rsidRPr="00AA1887">
        <w:rPr>
          <w:rFonts w:cs="Times New Roman"/>
        </w:rPr>
        <w:t xml:space="preserve"> If Rwanda was able to export this power to neighbours, such oversupply would be less of a problem. Indeed, interviewed officials and government documents referred to such plans, whilst international transmission infrastructure is under construction.</w:t>
      </w:r>
      <w:r w:rsidRPr="00AA1887">
        <w:rPr>
          <w:rStyle w:val="FootnoteReference"/>
          <w:rFonts w:cs="Times New Roman"/>
        </w:rPr>
        <w:footnoteReference w:id="75"/>
      </w:r>
      <w:r w:rsidRPr="00AA1887">
        <w:rPr>
          <w:rFonts w:cs="Times New Roman"/>
        </w:rPr>
        <w:t xml:space="preserve"> However, such exports face insurmountable barriers. Rwanda has the region’s highest </w:t>
      </w:r>
      <w:proofErr w:type="gramStart"/>
      <w:r w:rsidRPr="00AA1887">
        <w:rPr>
          <w:rFonts w:cs="Times New Roman"/>
        </w:rPr>
        <w:t>tariffs</w:t>
      </w:r>
      <w:proofErr w:type="gramEnd"/>
      <w:r w:rsidR="00EA53F6">
        <w:rPr>
          <w:rFonts w:cs="Times New Roman"/>
        </w:rPr>
        <w:t xml:space="preserve"> and </w:t>
      </w:r>
      <w:r w:rsidRPr="00AA1887">
        <w:rPr>
          <w:rFonts w:cs="Times New Roman"/>
        </w:rPr>
        <w:t>all East African states’ have an aversion to external dependency and are pursuing similar plans to export, not import, power.</w:t>
      </w:r>
      <w:r w:rsidRPr="00AA1887">
        <w:rPr>
          <w:rStyle w:val="FootnoteReference"/>
          <w:rFonts w:cs="Times New Roman"/>
        </w:rPr>
        <w:footnoteReference w:id="76"/>
      </w:r>
      <w:r w:rsidRPr="00AA1887">
        <w:rPr>
          <w:rFonts w:cs="Times New Roman"/>
        </w:rPr>
        <w:t xml:space="preserve"> </w:t>
      </w:r>
    </w:p>
    <w:p w14:paraId="33A08458" w14:textId="161C1000" w:rsidR="002C6CB0" w:rsidRPr="00AA1887" w:rsidRDefault="002C6CB0" w:rsidP="002C6CB0">
      <w:pPr>
        <w:spacing w:line="480" w:lineRule="auto"/>
        <w:ind w:firstLine="720"/>
        <w:jc w:val="both"/>
        <w:rPr>
          <w:rFonts w:cs="Times New Roman"/>
        </w:rPr>
      </w:pPr>
      <w:r w:rsidRPr="00AA1887">
        <w:rPr>
          <w:rFonts w:cs="Times New Roman"/>
        </w:rPr>
        <w:t xml:space="preserve">The types of contracts signed with the private sector worsen the financial cost of oversupply. As </w:t>
      </w:r>
      <w:r w:rsidR="00A0648E">
        <w:rPr>
          <w:rFonts w:cs="Times New Roman"/>
        </w:rPr>
        <w:t>F</w:t>
      </w:r>
      <w:r w:rsidRPr="00AA1887">
        <w:rPr>
          <w:rFonts w:cs="Times New Roman"/>
        </w:rPr>
        <w:t xml:space="preserve">igure 2 shows, the private sector </w:t>
      </w:r>
      <w:r w:rsidR="0055432C">
        <w:rPr>
          <w:rFonts w:cs="Times New Roman"/>
        </w:rPr>
        <w:t>now provide</w:t>
      </w:r>
      <w:r w:rsidR="00DE49DD">
        <w:rPr>
          <w:rFonts w:cs="Times New Roman"/>
        </w:rPr>
        <w:t>s</w:t>
      </w:r>
      <w:r w:rsidR="0055432C">
        <w:rPr>
          <w:rFonts w:cs="Times New Roman"/>
        </w:rPr>
        <w:t xml:space="preserve"> </w:t>
      </w:r>
      <w:proofErr w:type="gramStart"/>
      <w:r w:rsidR="0055432C">
        <w:rPr>
          <w:rFonts w:cs="Times New Roman"/>
        </w:rPr>
        <w:t>the majority</w:t>
      </w:r>
      <w:r w:rsidR="0055432C" w:rsidRPr="00AA1887">
        <w:rPr>
          <w:rFonts w:cs="Times New Roman"/>
        </w:rPr>
        <w:t xml:space="preserve"> </w:t>
      </w:r>
      <w:r w:rsidR="0055432C">
        <w:rPr>
          <w:rFonts w:cs="Times New Roman"/>
        </w:rPr>
        <w:t>of</w:t>
      </w:r>
      <w:proofErr w:type="gramEnd"/>
      <w:r w:rsidRPr="00AA1887">
        <w:rPr>
          <w:rFonts w:cs="Times New Roman"/>
        </w:rPr>
        <w:t xml:space="preserve"> Rwanda’s electricity and contracts follow standardised Power Purchasing Agreements (PPAs) where the price of electricity is fixed for 25 years.</w:t>
      </w:r>
      <w:r w:rsidR="00DE49DD">
        <w:rPr>
          <w:rFonts w:cs="Times New Roman"/>
        </w:rPr>
        <w:t xml:space="preserve"> </w:t>
      </w:r>
      <w:r w:rsidRPr="00AA1887">
        <w:rPr>
          <w:rFonts w:cs="Times New Roman"/>
        </w:rPr>
        <w:t>Additionally, the contracts stipulate that the state-owned energy utility company, the Rwanda Energy Group (REG), must pay for 90% of the power made available, even if this electricity is not used. Additionally, Power Purchase Agreements with the private sector for electricity generation are agreed in dollars, whose value has risen relative to the Rwandan franc. Compounding these issues are the contracts</w:t>
      </w:r>
      <w:r w:rsidR="00E55CAE">
        <w:rPr>
          <w:rFonts w:cs="Times New Roman"/>
        </w:rPr>
        <w:t>’</w:t>
      </w:r>
      <w:r w:rsidRPr="00AA1887">
        <w:rPr>
          <w:rFonts w:cs="Times New Roman"/>
        </w:rPr>
        <w:t xml:space="preserve"> poor fit with Rwanda’s demand profile, which is dominated by domestic consumers on the national grid, a characteristic of economies with little industriali</w:t>
      </w:r>
      <w:r w:rsidR="00D903F8">
        <w:rPr>
          <w:rFonts w:cs="Times New Roman"/>
        </w:rPr>
        <w:t>z</w:t>
      </w:r>
      <w:r w:rsidRPr="00AA1887">
        <w:rPr>
          <w:rFonts w:cs="Times New Roman"/>
        </w:rPr>
        <w:t>ation. They cause a daily peak in the evenings between 5-10pm, with demand typically increasing by 25%.</w:t>
      </w:r>
      <w:r w:rsidRPr="00AA1887">
        <w:rPr>
          <w:rStyle w:val="FootnoteReference"/>
          <w:rFonts w:cs="Times New Roman"/>
        </w:rPr>
        <w:footnoteReference w:id="77"/>
      </w:r>
      <w:r w:rsidRPr="00AA1887">
        <w:rPr>
          <w:rFonts w:cs="Times New Roman"/>
        </w:rPr>
        <w:t xml:space="preserve"> This profile could be met </w:t>
      </w:r>
      <w:r w:rsidR="0000213A">
        <w:rPr>
          <w:rFonts w:cs="Times New Roman"/>
        </w:rPr>
        <w:t>by specific</w:t>
      </w:r>
      <w:r w:rsidRPr="00AA1887">
        <w:rPr>
          <w:rFonts w:cs="Times New Roman"/>
        </w:rPr>
        <w:t xml:space="preserve"> peaking power plants or batteries. In contrast, Rwanda only</w:t>
      </w:r>
      <w:r w:rsidR="0024665D">
        <w:rPr>
          <w:rFonts w:cs="Times New Roman"/>
        </w:rPr>
        <w:t xml:space="preserve"> pursued</w:t>
      </w:r>
      <w:r w:rsidRPr="00AA1887">
        <w:rPr>
          <w:rFonts w:cs="Times New Roman"/>
        </w:rPr>
        <w:t xml:space="preserve"> baseload (meaning constant power output)</w:t>
      </w:r>
      <w:r w:rsidR="0024665D">
        <w:rPr>
          <w:rFonts w:cs="Times New Roman"/>
        </w:rPr>
        <w:t xml:space="preserve"> plants</w:t>
      </w:r>
      <w:r w:rsidRPr="00AA1887">
        <w:rPr>
          <w:rFonts w:cs="Times New Roman"/>
        </w:rPr>
        <w:t xml:space="preserve">, or worse, for only daytime energy generation (e.g. the </w:t>
      </w:r>
      <w:r w:rsidRPr="00AA1887">
        <w:rPr>
          <w:rFonts w:cs="Times New Roman"/>
        </w:rPr>
        <w:lastRenderedPageBreak/>
        <w:t>Rwamagana solar</w:t>
      </w:r>
      <w:r w:rsidR="00A0648E">
        <w:rPr>
          <w:rFonts w:cs="Times New Roman"/>
        </w:rPr>
        <w:t xml:space="preserve"> </w:t>
      </w:r>
      <w:r w:rsidRPr="00AA1887">
        <w:rPr>
          <w:rFonts w:cs="Times New Roman"/>
        </w:rPr>
        <w:t xml:space="preserve">plant). Collectively, these issues </w:t>
      </w:r>
      <w:r w:rsidR="00066ED5" w:rsidRPr="00AA1887">
        <w:rPr>
          <w:rFonts w:cs="Times New Roman"/>
        </w:rPr>
        <w:t>inflame</w:t>
      </w:r>
      <w:r w:rsidRPr="00AA1887">
        <w:rPr>
          <w:rFonts w:cs="Times New Roman"/>
        </w:rPr>
        <w:t xml:space="preserve"> the fiscal consequences </w:t>
      </w:r>
      <w:r w:rsidR="00A0648E">
        <w:rPr>
          <w:rFonts w:cs="Times New Roman"/>
        </w:rPr>
        <w:t>of</w:t>
      </w:r>
      <w:r w:rsidRPr="00AA1887">
        <w:rPr>
          <w:rFonts w:cs="Times New Roman"/>
        </w:rPr>
        <w:t xml:space="preserve"> oversupply, jeopardising Rwanda’s debt sustainability and macro-economy. </w:t>
      </w:r>
    </w:p>
    <w:p w14:paraId="3001E635" w14:textId="4D9E9BFA" w:rsidR="002C6CB0" w:rsidRPr="00AA1887" w:rsidRDefault="00262613" w:rsidP="002C6CB0">
      <w:pPr>
        <w:spacing w:line="480" w:lineRule="auto"/>
        <w:ind w:firstLine="720"/>
        <w:jc w:val="both"/>
        <w:rPr>
          <w:rFonts w:cs="Times New Roman"/>
        </w:rPr>
      </w:pPr>
      <w:r w:rsidRPr="00AA1887">
        <w:rPr>
          <w:rFonts w:cs="Times New Roman"/>
          <w:noProof/>
        </w:rPr>
        <mc:AlternateContent>
          <mc:Choice Requires="wps">
            <w:drawing>
              <wp:anchor distT="0" distB="0" distL="114300" distR="114300" simplePos="0" relativeHeight="251664384" behindDoc="0" locked="0" layoutInCell="1" allowOverlap="1" wp14:anchorId="1AC02252" wp14:editId="405C44FD">
                <wp:simplePos x="0" y="0"/>
                <wp:positionH relativeFrom="margin">
                  <wp:posOffset>-2540</wp:posOffset>
                </wp:positionH>
                <wp:positionV relativeFrom="paragraph">
                  <wp:posOffset>7192010</wp:posOffset>
                </wp:positionV>
                <wp:extent cx="5727065" cy="723900"/>
                <wp:effectExtent l="0" t="0" r="6985" b="635"/>
                <wp:wrapTopAndBottom/>
                <wp:docPr id="9" name="Text Box 9"/>
                <wp:cNvGraphicFramePr/>
                <a:graphic xmlns:a="http://schemas.openxmlformats.org/drawingml/2006/main">
                  <a:graphicData uri="http://schemas.microsoft.com/office/word/2010/wordprocessingShape">
                    <wps:wsp>
                      <wps:cNvSpPr txBox="1"/>
                      <wps:spPr>
                        <a:xfrm>
                          <a:off x="0" y="0"/>
                          <a:ext cx="5727065" cy="723900"/>
                        </a:xfrm>
                        <a:prstGeom prst="rect">
                          <a:avLst/>
                        </a:prstGeom>
                        <a:solidFill>
                          <a:prstClr val="white"/>
                        </a:solidFill>
                        <a:ln>
                          <a:noFill/>
                        </a:ln>
                      </wps:spPr>
                      <wps:txbx>
                        <w:txbxContent>
                          <w:p w14:paraId="53417498" w14:textId="77777777" w:rsidR="002C6CB0" w:rsidRDefault="002C6CB0" w:rsidP="002C6CB0">
                            <w:pPr>
                              <w:pStyle w:val="Caption"/>
                              <w:spacing w:after="0"/>
                              <w:rPr>
                                <w:color w:val="auto"/>
                              </w:rPr>
                            </w:pPr>
                            <w:r>
                              <w:rPr>
                                <w:color w:val="auto"/>
                              </w:rPr>
                              <w:t>Note</w:t>
                            </w:r>
                            <w:r>
                              <w:rPr>
                                <w:i w:val="0"/>
                                <w:color w:val="auto"/>
                              </w:rPr>
                              <w:t>: *Projections based on projects under contract.</w:t>
                            </w:r>
                          </w:p>
                          <w:p w14:paraId="1122D864" w14:textId="77777777" w:rsidR="002C6CB0" w:rsidRDefault="002C6CB0" w:rsidP="002C6CB0">
                            <w:pPr>
                              <w:pStyle w:val="Caption"/>
                              <w:rPr>
                                <w:noProof/>
                                <w:color w:val="auto"/>
                                <w:sz w:val="20"/>
                                <w:szCs w:val="20"/>
                              </w:rPr>
                            </w:pPr>
                            <w:r>
                              <w:rPr>
                                <w:color w:val="auto"/>
                              </w:rPr>
                              <w:t>Source: Authors’ statistics gathered from Mininfra press releases and ministerial strategy reports from the Rwanda Energy Group’s published statistics and news articles between 2014-2021. The demand cure is taken from statistics published in Republic of Rwanda, M. of I. (2018).</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AC02252" id="Text Box 9" o:spid="_x0000_s1028" type="#_x0000_t202" style="position:absolute;left:0;text-align:left;margin-left:-.2pt;margin-top:566.3pt;width:450.95pt;height: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" stroked="f">
                <v:textbox style="mso-fit-shape-to-text:t" inset="0,0,0,0">
                  <w:txbxContent>
                    <w:p w14:paraId="53417498" w14:textId="77777777" w:rsidR="002C6CB0" w:rsidRDefault="002C6CB0" w:rsidP="002C6CB0">
                      <w:pPr>
                        <w:pStyle w:val="Lgende"/>
                        <w:spacing w:after="0"/>
                        <w:rPr>
                          <w:color w:val="auto"/>
                        </w:rPr>
                      </w:pPr>
                      <w:r>
                        <w:rPr>
                          <w:color w:val="auto"/>
                        </w:rPr>
                        <w:t>Note</w:t>
                      </w:r>
                      <w:r>
                        <w:rPr>
                          <w:i w:val="0"/>
                          <w:color w:val="auto"/>
                        </w:rPr>
                        <w:t>: *Projections based on projects under contract.</w:t>
                      </w:r>
                    </w:p>
                    <w:p w14:paraId="1122D864" w14:textId="77777777" w:rsidR="002C6CB0" w:rsidRDefault="002C6CB0" w:rsidP="002C6CB0">
                      <w:pPr>
                        <w:pStyle w:val="Lgende"/>
                        <w:rPr>
                          <w:noProof/>
                          <w:color w:val="auto"/>
                          <w:sz w:val="20"/>
                          <w:szCs w:val="20"/>
                        </w:rPr>
                      </w:pPr>
                      <w:r>
                        <w:rPr>
                          <w:color w:val="auto"/>
                        </w:rPr>
                        <w:t>Source: Authors’ statistics gathered from Mininfra press releases and ministerial strategy reports from the Rwanda Energy Group’s published statistics and news articles between 2014-2021. The demand cure is taken from statistics published in Republic of Rwanda, M. of I. (2018).</w:t>
                      </w:r>
                    </w:p>
                  </w:txbxContent>
                </v:textbox>
                <w10:wrap type="topAndBottom" anchorx="margin"/>
              </v:shape>
            </w:pict>
          </mc:Fallback>
        </mc:AlternateContent>
      </w:r>
      <w:r w:rsidR="002C6CB0" w:rsidRPr="00AA1887">
        <w:rPr>
          <w:rFonts w:cs="Times New Roman"/>
        </w:rPr>
        <w:t xml:space="preserve">Moreover, Rwanda has pursued expensive generation technologies. It developed the world’s first lake-methane extraction plant, an impressive but inevitably costly operation, and </w:t>
      </w:r>
      <w:r w:rsidR="00A20089">
        <w:rPr>
          <w:rFonts w:cs="Times New Roman"/>
        </w:rPr>
        <w:t xml:space="preserve">pursued </w:t>
      </w:r>
      <w:r w:rsidR="002C6CB0" w:rsidRPr="00AA1887">
        <w:rPr>
          <w:rFonts w:cs="Times New Roman"/>
        </w:rPr>
        <w:t xml:space="preserve">peat fuel, a technology whose rarity adds cost (it is only used extensively in a small number of countries including </w:t>
      </w:r>
      <w:proofErr w:type="spellStart"/>
      <w:r w:rsidR="004B2586" w:rsidRPr="004B2586">
        <w:rPr>
          <w:rFonts w:cs="Times New Roman"/>
        </w:rPr>
        <w:t>Türkiye</w:t>
      </w:r>
      <w:r w:rsidR="002C6CB0" w:rsidRPr="00AA1887">
        <w:rPr>
          <w:rFonts w:cs="Times New Roman"/>
        </w:rPr>
        <w:t>and</w:t>
      </w:r>
      <w:proofErr w:type="spellEnd"/>
      <w:r w:rsidR="002C6CB0" w:rsidRPr="00AA1887">
        <w:rPr>
          <w:rFonts w:cs="Times New Roman"/>
        </w:rPr>
        <w:t xml:space="preserve"> Finland). Furthermore, Rwanda’s energy-generation drive has not followed the state’s official adherence to least-cost rationales.</w:t>
      </w:r>
      <w:r w:rsidR="002C6CB0" w:rsidRPr="00AA1887">
        <w:rPr>
          <w:rStyle w:val="FootnoteReference"/>
          <w:rFonts w:cs="Times New Roman"/>
        </w:rPr>
        <w:footnoteReference w:id="78"/>
      </w:r>
      <w:r w:rsidR="002C6CB0" w:rsidRPr="00AA1887">
        <w:rPr>
          <w:rFonts w:cs="Times New Roman"/>
        </w:rPr>
        <w:t xml:space="preserve"> Rather, it appears that the main rationale was to maximise all possible generation sources, regardless of cost. One study commissioned by the government found that the new methane and peat plants’ operating costs would be more than $500 million between 2015–16 and 2030 compared to a scenario where diesel and hydro constituted the main electricity generation technologies.</w:t>
      </w:r>
      <w:r w:rsidR="002C6CB0" w:rsidRPr="00AA1887">
        <w:rPr>
          <w:rStyle w:val="FootnoteReference"/>
          <w:rFonts w:cs="Times New Roman"/>
        </w:rPr>
        <w:footnoteReference w:id="79"/>
      </w:r>
      <w:r w:rsidR="002C6CB0" w:rsidRPr="00AA1887">
        <w:rPr>
          <w:rFonts w:cs="Times New Roman"/>
        </w:rPr>
        <w:t xml:space="preserve"> </w:t>
      </w:r>
    </w:p>
    <w:p w14:paraId="53E9489C" w14:textId="7CFB465B" w:rsidR="002C6CB0" w:rsidRPr="00AA1887" w:rsidRDefault="00262613" w:rsidP="002C6CB0">
      <w:pPr>
        <w:spacing w:line="480" w:lineRule="auto"/>
        <w:jc w:val="both"/>
        <w:rPr>
          <w:rFonts w:cs="Times New Roman"/>
          <w:b/>
        </w:rPr>
      </w:pPr>
      <w:r>
        <w:rPr>
          <w:noProof/>
        </w:rPr>
        <w:lastRenderedPageBreak/>
        <w:drawing>
          <wp:inline distT="0" distB="0" distL="0" distR="0" wp14:anchorId="214AABEE" wp14:editId="74F87B41">
            <wp:extent cx="5731510" cy="3987800"/>
            <wp:effectExtent l="0" t="0" r="0" b="0"/>
            <wp:docPr id="11" name="Chart 11">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3738C6" w14:textId="5F2F51EB" w:rsidR="002C6CB0" w:rsidRPr="00AA1887" w:rsidRDefault="002C6CB0" w:rsidP="002C6CB0">
      <w:pPr>
        <w:spacing w:line="480" w:lineRule="auto"/>
        <w:jc w:val="both"/>
        <w:rPr>
          <w:rFonts w:cs="Times New Roman"/>
        </w:rPr>
      </w:pPr>
      <w:r w:rsidRPr="00AA1887">
        <w:rPr>
          <w:rFonts w:cs="Times New Roman"/>
          <w:i/>
        </w:rPr>
        <w:t>Figure 3</w:t>
      </w:r>
      <w:r w:rsidRPr="00AA1887">
        <w:rPr>
          <w:rFonts w:cs="Times New Roman"/>
        </w:rPr>
        <w:t>: Installed generation capacity by technology against the 2016 demand forecast (MW)</w:t>
      </w:r>
    </w:p>
    <w:p w14:paraId="41759E1D" w14:textId="09A2FC7D" w:rsidR="002C6CB0" w:rsidRPr="00AA1887" w:rsidRDefault="002C6CB0" w:rsidP="002C6CB0">
      <w:pPr>
        <w:spacing w:line="480" w:lineRule="auto"/>
        <w:ind w:firstLine="720"/>
        <w:jc w:val="both"/>
        <w:rPr>
          <w:rFonts w:cs="Times New Roman"/>
        </w:rPr>
      </w:pPr>
      <w:r w:rsidRPr="00AA1887">
        <w:rPr>
          <w:rFonts w:cs="Times New Roman"/>
        </w:rPr>
        <w:t>Consequently, Rwanda’s electricity sector faces major financial pressures. As summari</w:t>
      </w:r>
      <w:r w:rsidR="00D903F8">
        <w:rPr>
          <w:rFonts w:cs="Times New Roman"/>
        </w:rPr>
        <w:t>z</w:t>
      </w:r>
      <w:r w:rsidRPr="00AA1887">
        <w:rPr>
          <w:rFonts w:cs="Times New Roman"/>
        </w:rPr>
        <w:t xml:space="preserve">ed by one </w:t>
      </w:r>
      <w:r w:rsidR="003C1D66">
        <w:rPr>
          <w:rFonts w:cs="Times New Roman"/>
        </w:rPr>
        <w:t xml:space="preserve">Western </w:t>
      </w:r>
      <w:r w:rsidRPr="00AA1887">
        <w:rPr>
          <w:rFonts w:cs="Times New Roman"/>
        </w:rPr>
        <w:t xml:space="preserve">donor official, such conditions amount to the government </w:t>
      </w:r>
      <w:r w:rsidR="003F399E">
        <w:rPr>
          <w:rFonts w:cs="Times New Roman"/>
        </w:rPr>
        <w:t>‘</w:t>
      </w:r>
      <w:r w:rsidRPr="00AA1887">
        <w:rPr>
          <w:rFonts w:cs="Times New Roman"/>
        </w:rPr>
        <w:t>digging a fiscal hole</w:t>
      </w:r>
      <w:r w:rsidR="003F399E">
        <w:rPr>
          <w:rFonts w:cs="Times New Roman"/>
        </w:rPr>
        <w:t>’</w:t>
      </w:r>
      <w:r w:rsidRPr="00AA1887">
        <w:rPr>
          <w:rFonts w:cs="Times New Roman"/>
        </w:rPr>
        <w:t>.</w:t>
      </w:r>
      <w:r w:rsidRPr="00AA1887">
        <w:rPr>
          <w:rStyle w:val="FootnoteReference"/>
          <w:rFonts w:cs="Times New Roman"/>
        </w:rPr>
        <w:footnoteReference w:id="80"/>
      </w:r>
      <w:r w:rsidRPr="00AA1887">
        <w:rPr>
          <w:rFonts w:cs="Times New Roman"/>
        </w:rPr>
        <w:t xml:space="preserve"> In 2017, the World Bank stated that by 2020, 4</w:t>
      </w:r>
      <w:r w:rsidR="00D903F8">
        <w:rPr>
          <w:rFonts w:cs="Times New Roman"/>
        </w:rPr>
        <w:t xml:space="preserve"> per cent</w:t>
      </w:r>
      <w:r w:rsidRPr="00AA1887">
        <w:rPr>
          <w:rFonts w:cs="Times New Roman"/>
        </w:rPr>
        <w:t xml:space="preserve"> of GDP would be required to sustain these payments.</w:t>
      </w:r>
      <w:r w:rsidR="00CA6501" w:rsidRPr="00AA1887">
        <w:rPr>
          <w:rStyle w:val="FootnoteReference"/>
          <w:rFonts w:cs="Times New Roman"/>
        </w:rPr>
        <w:footnoteReference w:id="81"/>
      </w:r>
      <w:r w:rsidRPr="00AA1887">
        <w:rPr>
          <w:rFonts w:cs="Times New Roman"/>
        </w:rPr>
        <w:t xml:space="preserve"> </w:t>
      </w:r>
      <w:r w:rsidR="007B1F89">
        <w:rPr>
          <w:rFonts w:cs="Times New Roman"/>
        </w:rPr>
        <w:t>H</w:t>
      </w:r>
      <w:r w:rsidR="007B1F89" w:rsidRPr="00AA1887">
        <w:rPr>
          <w:rFonts w:cs="Times New Roman"/>
        </w:rPr>
        <w:t xml:space="preserve">eavy penalties </w:t>
      </w:r>
      <w:r w:rsidR="007B1F89">
        <w:rPr>
          <w:rFonts w:cs="Times New Roman"/>
        </w:rPr>
        <w:t>limit</w:t>
      </w:r>
      <w:r w:rsidRPr="00AA1887">
        <w:rPr>
          <w:rFonts w:cs="Times New Roman"/>
        </w:rPr>
        <w:t xml:space="preserve"> possibilities of cancelling or changing </w:t>
      </w:r>
      <w:r w:rsidR="007B1F89">
        <w:rPr>
          <w:rFonts w:cs="Times New Roman"/>
        </w:rPr>
        <w:t>these</w:t>
      </w:r>
      <w:r w:rsidR="007B1F89" w:rsidRPr="00AA1887">
        <w:rPr>
          <w:rFonts w:cs="Times New Roman"/>
        </w:rPr>
        <w:t xml:space="preserve"> </w:t>
      </w:r>
      <w:r w:rsidR="007B1F89">
        <w:rPr>
          <w:rFonts w:cs="Times New Roman"/>
        </w:rPr>
        <w:t>contracts</w:t>
      </w:r>
      <w:r w:rsidRPr="00AA1887">
        <w:rPr>
          <w:rFonts w:cs="Times New Roman"/>
        </w:rPr>
        <w:t xml:space="preserve">. Furthermore, analysis above </w:t>
      </w:r>
      <w:proofErr w:type="gramStart"/>
      <w:r w:rsidRPr="00AA1887">
        <w:rPr>
          <w:rFonts w:cs="Times New Roman"/>
        </w:rPr>
        <w:t>evidences</w:t>
      </w:r>
      <w:proofErr w:type="gramEnd"/>
      <w:r w:rsidRPr="00AA1887">
        <w:rPr>
          <w:rFonts w:cs="Times New Roman"/>
        </w:rPr>
        <w:t xml:space="preserve"> major hurdles to the oft-proposed solution of selling power to neighbouring countries</w:t>
      </w:r>
      <w:r w:rsidR="007B1F89">
        <w:rPr>
          <w:rFonts w:cs="Times New Roman"/>
        </w:rPr>
        <w:t>.</w:t>
      </w:r>
      <w:r w:rsidRPr="00AA1887">
        <w:rPr>
          <w:rStyle w:val="FootnoteReference"/>
          <w:rFonts w:cs="Times New Roman"/>
        </w:rPr>
        <w:footnoteReference w:id="82"/>
      </w:r>
      <w:r w:rsidRPr="00AA1887">
        <w:rPr>
          <w:rFonts w:cs="Times New Roman"/>
        </w:rPr>
        <w:t xml:space="preserve"> Therefore, while achieving a remarkable increase in electricity generation, Rwanda’s scramble for megawatts carries a major fiscal cost and endangers the country’s investment attractiveness, given electricity’s expense. </w:t>
      </w:r>
    </w:p>
    <w:p w14:paraId="19A32513" w14:textId="58D2A6B4" w:rsidR="002C6CB0" w:rsidRPr="00AA1887" w:rsidRDefault="002C6CB0" w:rsidP="00D139C6">
      <w:pPr>
        <w:spacing w:line="480" w:lineRule="auto"/>
        <w:ind w:firstLine="720"/>
        <w:jc w:val="both"/>
        <w:rPr>
          <w:rFonts w:cs="Times New Roman"/>
        </w:rPr>
      </w:pPr>
      <w:r w:rsidRPr="00AA1887">
        <w:rPr>
          <w:rFonts w:cs="Times New Roman"/>
        </w:rPr>
        <w:t>How was such a flawed system planned? As discussed above, the political</w:t>
      </w:r>
      <w:r w:rsidR="00E77C49">
        <w:rPr>
          <w:rFonts w:cs="Times New Roman"/>
        </w:rPr>
        <w:t xml:space="preserve"> </w:t>
      </w:r>
      <w:r w:rsidRPr="00AA1887">
        <w:rPr>
          <w:rFonts w:cs="Times New Roman"/>
        </w:rPr>
        <w:t xml:space="preserve">economy literature on Rwanda suggests that the country </w:t>
      </w:r>
      <w:proofErr w:type="gramStart"/>
      <w:r w:rsidRPr="00AA1887">
        <w:rPr>
          <w:rFonts w:cs="Times New Roman"/>
        </w:rPr>
        <w:t>has</w:t>
      </w:r>
      <w:r w:rsidR="00CA6501" w:rsidRPr="00AA1887">
        <w:rPr>
          <w:rFonts w:cs="Times New Roman"/>
        </w:rPr>
        <w:t>,</w:t>
      </w:r>
      <w:proofErr w:type="gramEnd"/>
      <w:r w:rsidR="00CA6501" w:rsidRPr="00AA1887">
        <w:rPr>
          <w:rFonts w:cs="Times New Roman"/>
        </w:rPr>
        <w:t xml:space="preserve"> on paper,</w:t>
      </w:r>
      <w:r w:rsidRPr="00AA1887">
        <w:rPr>
          <w:rFonts w:cs="Times New Roman"/>
        </w:rPr>
        <w:t xml:space="preserve"> the conditions for long-term </w:t>
      </w:r>
      <w:r w:rsidRPr="00AA1887">
        <w:rPr>
          <w:rFonts w:cs="Times New Roman"/>
        </w:rPr>
        <w:lastRenderedPageBreak/>
        <w:t>economic development generally, and for adequate long-term planning in the electricity sector specifically. Furthermore, actors</w:t>
      </w:r>
      <w:r w:rsidR="000D18CE" w:rsidRPr="00AA1887">
        <w:rPr>
          <w:rFonts w:cs="Times New Roman"/>
        </w:rPr>
        <w:t xml:space="preserve"> in and outside the state</w:t>
      </w:r>
      <w:r w:rsidRPr="00AA1887">
        <w:rPr>
          <w:rFonts w:cs="Times New Roman"/>
        </w:rPr>
        <w:t xml:space="preserve"> knew about the electricity system’s key problems and discussed them in interviews dating back to 2013. We argue that, far from being antithetical, the political</w:t>
      </w:r>
      <w:r w:rsidR="00E77C49">
        <w:rPr>
          <w:rFonts w:cs="Times New Roman"/>
        </w:rPr>
        <w:t xml:space="preserve"> </w:t>
      </w:r>
      <w:r w:rsidRPr="00AA1887">
        <w:rPr>
          <w:rFonts w:cs="Times New Roman"/>
        </w:rPr>
        <w:t>economy underpinning Rwanda’s dramatic boom in infrastructure construction also explain</w:t>
      </w:r>
      <w:r w:rsidR="00344538">
        <w:rPr>
          <w:rFonts w:cs="Times New Roman"/>
        </w:rPr>
        <w:t>s</w:t>
      </w:r>
      <w:r w:rsidRPr="00AA1887">
        <w:rPr>
          <w:rFonts w:cs="Times New Roman"/>
        </w:rPr>
        <w:t xml:space="preserve"> the planning process’s short-sightedness: centrali</w:t>
      </w:r>
      <w:r w:rsidR="00E77C49">
        <w:rPr>
          <w:rFonts w:cs="Times New Roman"/>
        </w:rPr>
        <w:t>z</w:t>
      </w:r>
      <w:r w:rsidRPr="00AA1887">
        <w:rPr>
          <w:rFonts w:cs="Times New Roman"/>
        </w:rPr>
        <w:t xml:space="preserve">ed political </w:t>
      </w:r>
      <w:r w:rsidR="00344538">
        <w:rPr>
          <w:rFonts w:cs="Times New Roman"/>
        </w:rPr>
        <w:t xml:space="preserve">power </w:t>
      </w:r>
      <w:r w:rsidR="00CA6501" w:rsidRPr="00AA1887">
        <w:rPr>
          <w:rFonts w:cs="Times New Roman"/>
        </w:rPr>
        <w:t>stymie</w:t>
      </w:r>
      <w:r w:rsidR="009672A6" w:rsidRPr="00AA1887">
        <w:rPr>
          <w:rFonts w:cs="Times New Roman"/>
        </w:rPr>
        <w:t>d</w:t>
      </w:r>
      <w:r w:rsidR="00CA6501" w:rsidRPr="00AA1887">
        <w:rPr>
          <w:rFonts w:cs="Times New Roman"/>
        </w:rPr>
        <w:t xml:space="preserve"> bureaucratic independence. </w:t>
      </w:r>
      <w:r w:rsidR="009672A6" w:rsidRPr="00AA1887">
        <w:rPr>
          <w:rFonts w:cs="Times New Roman"/>
        </w:rPr>
        <w:t xml:space="preserve">As a result, </w:t>
      </w:r>
      <w:r w:rsidRPr="00AA1887">
        <w:rPr>
          <w:rFonts w:cs="Times New Roman"/>
        </w:rPr>
        <w:t>top-down decision making</w:t>
      </w:r>
      <w:r w:rsidR="003C06CE">
        <w:rPr>
          <w:rFonts w:cs="Times New Roman"/>
        </w:rPr>
        <w:t>, until</w:t>
      </w:r>
      <w:r w:rsidR="00815EBA">
        <w:rPr>
          <w:rFonts w:cs="Times New Roman"/>
        </w:rPr>
        <w:t xml:space="preserve"> 2018, </w:t>
      </w:r>
      <w:r w:rsidRPr="00AA1887">
        <w:rPr>
          <w:rFonts w:cs="Times New Roman"/>
        </w:rPr>
        <w:t>prioriti</w:t>
      </w:r>
      <w:r w:rsidR="00E77C49">
        <w:rPr>
          <w:rFonts w:cs="Times New Roman"/>
        </w:rPr>
        <w:t>z</w:t>
      </w:r>
      <w:r w:rsidRPr="00AA1887">
        <w:rPr>
          <w:rFonts w:cs="Times New Roman"/>
        </w:rPr>
        <w:t>ed speed and the maximi</w:t>
      </w:r>
      <w:r w:rsidR="00E77C49">
        <w:rPr>
          <w:rFonts w:cs="Times New Roman"/>
        </w:rPr>
        <w:t>z</w:t>
      </w:r>
      <w:r w:rsidRPr="00AA1887">
        <w:rPr>
          <w:rFonts w:cs="Times New Roman"/>
        </w:rPr>
        <w:t xml:space="preserve">ation of installed megawatts over other concerns. </w:t>
      </w:r>
    </w:p>
    <w:p w14:paraId="6B13D4E9" w14:textId="77777777" w:rsidR="00E205A2" w:rsidRDefault="00E205A2" w:rsidP="004A3135">
      <w:pPr>
        <w:spacing w:line="480" w:lineRule="auto"/>
        <w:rPr>
          <w:rFonts w:cs="Times New Roman"/>
          <w:b/>
          <w:smallCaps/>
        </w:rPr>
      </w:pPr>
    </w:p>
    <w:p w14:paraId="511A3225" w14:textId="77777777" w:rsidR="00A0648E" w:rsidRDefault="00A0648E" w:rsidP="004A3135">
      <w:pPr>
        <w:spacing w:line="480" w:lineRule="auto"/>
        <w:rPr>
          <w:rFonts w:cs="Times New Roman"/>
          <w:b/>
          <w:smallCaps/>
        </w:rPr>
      </w:pPr>
    </w:p>
    <w:p w14:paraId="65E6D2A5" w14:textId="75B8B50B" w:rsidR="00E205A2" w:rsidRDefault="002C6CB0" w:rsidP="00A0648E">
      <w:pPr>
        <w:spacing w:line="480" w:lineRule="auto"/>
        <w:rPr>
          <w:rFonts w:cs="Times New Roman"/>
        </w:rPr>
      </w:pPr>
      <w:r w:rsidRPr="00E205A2">
        <w:rPr>
          <w:rFonts w:cs="Times New Roman"/>
          <w:bCs/>
          <w:i/>
          <w:iCs/>
        </w:rPr>
        <w:t>Planning poorly: RPF interference and target setting</w:t>
      </w:r>
    </w:p>
    <w:p w14:paraId="708FDA44" w14:textId="6C1526B4" w:rsidR="002C6CB0" w:rsidRPr="00AA1887" w:rsidRDefault="002C6CB0" w:rsidP="00A0648E">
      <w:pPr>
        <w:spacing w:line="480" w:lineRule="auto"/>
        <w:ind w:firstLine="720"/>
        <w:jc w:val="both"/>
        <w:rPr>
          <w:rFonts w:cs="Times New Roman"/>
        </w:rPr>
      </w:pPr>
      <w:r w:rsidRPr="00AA1887">
        <w:rPr>
          <w:rFonts w:cs="Times New Roman"/>
        </w:rPr>
        <w:t xml:space="preserve">The most evident way in which Rwanda’s concentrated distribution of political power upset </w:t>
      </w:r>
      <w:r w:rsidR="009672A6" w:rsidRPr="00AA1887">
        <w:rPr>
          <w:rFonts w:cs="Times New Roman"/>
        </w:rPr>
        <w:t xml:space="preserve">bureaucratic </w:t>
      </w:r>
      <w:r w:rsidR="000D18CE" w:rsidRPr="00AA1887">
        <w:rPr>
          <w:rFonts w:cs="Times New Roman"/>
        </w:rPr>
        <w:t>independence</w:t>
      </w:r>
      <w:r w:rsidRPr="00AA1887">
        <w:rPr>
          <w:rFonts w:cs="Times New Roman"/>
        </w:rPr>
        <w:t xml:space="preserve"> regards target setting. Table 1 </w:t>
      </w:r>
      <w:r w:rsidR="00E77C49">
        <w:rPr>
          <w:rFonts w:cs="Times New Roman"/>
        </w:rPr>
        <w:t xml:space="preserve">(below) </w:t>
      </w:r>
      <w:r w:rsidRPr="00AA1887">
        <w:rPr>
          <w:rFonts w:cs="Times New Roman"/>
        </w:rPr>
        <w:t xml:space="preserve">depicts the increase in ambition in the electricity sector over the 2000s and early 2010s. Informed by the RPF’s 2010 presidential election manifesto, the 2011 energy strategy adopted the colossal target of generating 1,000MW by 2017. This figure was not based on any demand forecast: it contrasted with </w:t>
      </w:r>
      <w:r w:rsidR="009672A6" w:rsidRPr="00AA1887">
        <w:rPr>
          <w:rFonts w:cs="Times New Roman"/>
        </w:rPr>
        <w:t xml:space="preserve">an </w:t>
      </w:r>
      <w:r w:rsidRPr="00AA1887">
        <w:rPr>
          <w:rFonts w:cs="Times New Roman"/>
        </w:rPr>
        <w:t>analysis funded by the Japanese Aid Agency (JICA) and the World Bank, which predicted that Rwanda would need around 200MW by 2017–20.</w:t>
      </w:r>
      <w:r w:rsidRPr="00AA1887">
        <w:rPr>
          <w:rStyle w:val="FootnoteReference"/>
          <w:rFonts w:cs="Times New Roman"/>
        </w:rPr>
        <w:footnoteReference w:id="83"/>
      </w:r>
      <w:r w:rsidRPr="00AA1887">
        <w:rPr>
          <w:rFonts w:cs="Times New Roman"/>
        </w:rPr>
        <w:t xml:space="preserve"> Interviewed officials confirmed that the target was not based on electricity demand assessments. One consultant involved in the policy</w:t>
      </w:r>
      <w:r w:rsidR="00E77C49">
        <w:rPr>
          <w:rFonts w:cs="Times New Roman"/>
        </w:rPr>
        <w:t xml:space="preserve"> </w:t>
      </w:r>
      <w:r w:rsidRPr="00AA1887">
        <w:rPr>
          <w:rFonts w:cs="Times New Roman"/>
        </w:rPr>
        <w:t xml:space="preserve">making process stated that the government’s number was plucked from an investigation on </w:t>
      </w:r>
      <w:r w:rsidR="003F399E">
        <w:rPr>
          <w:rFonts w:cs="Times New Roman"/>
        </w:rPr>
        <w:t>‘</w:t>
      </w:r>
      <w:r w:rsidRPr="00AA1887">
        <w:rPr>
          <w:rFonts w:cs="Times New Roman"/>
        </w:rPr>
        <w:t xml:space="preserve">how much do citizens in </w:t>
      </w:r>
      <w:r w:rsidR="009672A6" w:rsidRPr="00AA1887">
        <w:rPr>
          <w:rFonts w:cs="Times New Roman"/>
        </w:rPr>
        <w:t>middle-income</w:t>
      </w:r>
      <w:r w:rsidRPr="00AA1887">
        <w:rPr>
          <w:rFonts w:cs="Times New Roman"/>
        </w:rPr>
        <w:t xml:space="preserve"> countries consume</w:t>
      </w:r>
      <w:r w:rsidR="003F399E">
        <w:rPr>
          <w:rFonts w:cs="Times New Roman"/>
        </w:rPr>
        <w:t>’</w:t>
      </w:r>
      <w:r w:rsidR="005727B3">
        <w:rPr>
          <w:rFonts w:cs="Times New Roman"/>
        </w:rPr>
        <w:t>,</w:t>
      </w:r>
      <w:r w:rsidRPr="00AA1887">
        <w:rPr>
          <w:rStyle w:val="FootnoteReference"/>
          <w:rFonts w:cs="Times New Roman"/>
        </w:rPr>
        <w:footnoteReference w:id="84"/>
      </w:r>
      <w:r w:rsidRPr="00AA1887">
        <w:rPr>
          <w:rFonts w:cs="Times New Roman"/>
        </w:rPr>
        <w:t xml:space="preserve"> whilst other interviewees suggested that it came from a study of China’s electricity expansion during its record-setting economic growth period in the 2000s.</w:t>
      </w:r>
      <w:r w:rsidRPr="00AA1887">
        <w:rPr>
          <w:rStyle w:val="FootnoteReference"/>
          <w:rFonts w:cs="Times New Roman"/>
        </w:rPr>
        <w:footnoteReference w:id="85"/>
      </w:r>
      <w:r w:rsidRPr="00AA1887">
        <w:rPr>
          <w:rFonts w:cs="Times New Roman"/>
        </w:rPr>
        <w:t xml:space="preserve"> This confusion, and the contrast between the 1000MW figure against externally-commissioned demand forecasts, suggests that the </w:t>
      </w:r>
      <w:r w:rsidRPr="00AA1887">
        <w:rPr>
          <w:rFonts w:cs="Times New Roman"/>
        </w:rPr>
        <w:lastRenderedPageBreak/>
        <w:t>government was primarily influenced by</w:t>
      </w:r>
      <w:r w:rsidR="00AA7757">
        <w:rPr>
          <w:rFonts w:cs="Times New Roman"/>
        </w:rPr>
        <w:t xml:space="preserve"> fulfilling a vision of development, centred on the goal of</w:t>
      </w:r>
      <w:r w:rsidRPr="00AA1887">
        <w:rPr>
          <w:rFonts w:cs="Times New Roman"/>
        </w:rPr>
        <w:t xml:space="preserve"> reach</w:t>
      </w:r>
      <w:r w:rsidR="00AA7757">
        <w:rPr>
          <w:rFonts w:cs="Times New Roman"/>
        </w:rPr>
        <w:t>ing</w:t>
      </w:r>
      <w:r w:rsidRPr="00AA1887">
        <w:rPr>
          <w:rFonts w:cs="Times New Roman"/>
        </w:rPr>
        <w:t xml:space="preserve"> middle-income status by 2020</w:t>
      </w:r>
      <w:r w:rsidR="0004295D">
        <w:rPr>
          <w:rFonts w:cs="Times New Roman"/>
        </w:rPr>
        <w:t>.</w:t>
      </w:r>
      <w:r w:rsidRPr="00AA1887">
        <w:rPr>
          <w:rStyle w:val="FootnoteReference"/>
          <w:rFonts w:cs="Times New Roman"/>
        </w:rPr>
        <w:footnoteReference w:id="86"/>
      </w:r>
      <w:r w:rsidRPr="00AA1887">
        <w:rPr>
          <w:rFonts w:cs="Times New Roman"/>
        </w:rPr>
        <w:t xml:space="preserve"> </w:t>
      </w:r>
      <w:r w:rsidR="00D568A6">
        <w:rPr>
          <w:rFonts w:cs="Times New Roman"/>
        </w:rPr>
        <w:t>H</w:t>
      </w:r>
      <w:r w:rsidR="0004295D">
        <w:rPr>
          <w:rFonts w:cs="Times New Roman"/>
        </w:rPr>
        <w:t>igh</w:t>
      </w:r>
      <w:r w:rsidR="00E77C49">
        <w:rPr>
          <w:rFonts w:cs="Times New Roman"/>
        </w:rPr>
        <w:t xml:space="preserve"> </w:t>
      </w:r>
      <w:r w:rsidR="0004295D">
        <w:rPr>
          <w:rFonts w:cs="Times New Roman"/>
        </w:rPr>
        <w:t>modernist ideology</w:t>
      </w:r>
      <w:r w:rsidR="000F634F">
        <w:rPr>
          <w:rFonts w:cs="Times New Roman"/>
        </w:rPr>
        <w:t xml:space="preserve"> can also help</w:t>
      </w:r>
      <w:r w:rsidR="00D568A6">
        <w:rPr>
          <w:rFonts w:cs="Times New Roman"/>
        </w:rPr>
        <w:t xml:space="preserve"> </w:t>
      </w:r>
      <w:r w:rsidR="000F634F">
        <w:rPr>
          <w:rFonts w:cs="Times New Roman"/>
        </w:rPr>
        <w:t>explain</w:t>
      </w:r>
      <w:r w:rsidR="0004295D">
        <w:rPr>
          <w:rFonts w:cs="Times New Roman"/>
        </w:rPr>
        <w:t xml:space="preserve"> these ambitions</w:t>
      </w:r>
      <w:r w:rsidR="000F634F">
        <w:rPr>
          <w:rFonts w:cs="Times New Roman"/>
        </w:rPr>
        <w:t xml:space="preserve">. </w:t>
      </w:r>
      <w:r w:rsidR="00483E08">
        <w:rPr>
          <w:rFonts w:cs="Times New Roman"/>
        </w:rPr>
        <w:t xml:space="preserve">The ideology </w:t>
      </w:r>
      <w:r w:rsidR="00776B80">
        <w:rPr>
          <w:rFonts w:cs="Times New Roman"/>
        </w:rPr>
        <w:t>rationali</w:t>
      </w:r>
      <w:r w:rsidR="00E77C49">
        <w:rPr>
          <w:rFonts w:cs="Times New Roman"/>
        </w:rPr>
        <w:t>z</w:t>
      </w:r>
      <w:r w:rsidR="00776B80">
        <w:rPr>
          <w:rFonts w:cs="Times New Roman"/>
        </w:rPr>
        <w:t>ed</w:t>
      </w:r>
      <w:r w:rsidR="0004295D">
        <w:rPr>
          <w:rFonts w:cs="Times New Roman"/>
        </w:rPr>
        <w:t xml:space="preserve"> a leap-frog theory of development</w:t>
      </w:r>
      <w:r w:rsidR="00D568A6">
        <w:rPr>
          <w:rFonts w:cs="Times New Roman"/>
        </w:rPr>
        <w:t xml:space="preserve"> that would change </w:t>
      </w:r>
      <w:r w:rsidR="003F5AD2">
        <w:rPr>
          <w:rFonts w:cs="Times New Roman"/>
        </w:rPr>
        <w:t>a supposedly</w:t>
      </w:r>
      <w:r w:rsidR="0004295D">
        <w:rPr>
          <w:rFonts w:cs="Times New Roman"/>
        </w:rPr>
        <w:t xml:space="preserve"> backward </w:t>
      </w:r>
      <w:r w:rsidR="003F5AD2">
        <w:rPr>
          <w:rFonts w:cs="Times New Roman"/>
        </w:rPr>
        <w:t xml:space="preserve">irrational country through </w:t>
      </w:r>
      <w:r w:rsidR="0004295D">
        <w:rPr>
          <w:rFonts w:cs="Times New Roman"/>
        </w:rPr>
        <w:t xml:space="preserve">engineered </w:t>
      </w:r>
      <w:r w:rsidR="003F5AD2">
        <w:rPr>
          <w:rFonts w:cs="Times New Roman"/>
        </w:rPr>
        <w:t>top-down, technological interventions that symbolically perform</w:t>
      </w:r>
      <w:r w:rsidRPr="00AA1887">
        <w:rPr>
          <w:rFonts w:cs="Times New Roman"/>
        </w:rPr>
        <w:t xml:space="preserve"> </w:t>
      </w:r>
      <w:r w:rsidR="003F5AD2" w:rsidRPr="00AA1887">
        <w:rPr>
          <w:rFonts w:cs="Times New Roman"/>
        </w:rPr>
        <w:t xml:space="preserve">scientific modernity </w:t>
      </w:r>
      <w:r w:rsidR="003F5AD2">
        <w:rPr>
          <w:rFonts w:cs="Times New Roman"/>
        </w:rPr>
        <w:t xml:space="preserve">as well as delivering material </w:t>
      </w:r>
      <w:r w:rsidR="00D568A6">
        <w:rPr>
          <w:rFonts w:cs="Times New Roman"/>
        </w:rPr>
        <w:t>progress</w:t>
      </w:r>
      <w:r w:rsidRPr="00AA1887">
        <w:rPr>
          <w:rFonts w:cs="Times New Roman"/>
        </w:rPr>
        <w:t>.</w:t>
      </w:r>
      <w:r w:rsidRPr="00AA1887">
        <w:rPr>
          <w:rStyle w:val="FootnoteReference"/>
          <w:rFonts w:cs="Times New Roman"/>
        </w:rPr>
        <w:footnoteReference w:id="87"/>
      </w:r>
      <w:r w:rsidRPr="00AA1887">
        <w:rPr>
          <w:rFonts w:cs="Times New Roman"/>
        </w:rPr>
        <w:t xml:space="preserve"> </w:t>
      </w:r>
      <w:r w:rsidR="00D568A6">
        <w:rPr>
          <w:rFonts w:cs="Times New Roman"/>
        </w:rPr>
        <w:t>From a high modernist lens</w:t>
      </w:r>
      <w:r w:rsidR="00776B80">
        <w:rPr>
          <w:rFonts w:cs="Times New Roman"/>
        </w:rPr>
        <w:t>,</w:t>
      </w:r>
      <w:r w:rsidR="00D568A6">
        <w:rPr>
          <w:rFonts w:cs="Times New Roman"/>
        </w:rPr>
        <w:t xml:space="preserve"> rapid increases </w:t>
      </w:r>
      <w:r w:rsidR="00776B80">
        <w:rPr>
          <w:rFonts w:cs="Times New Roman"/>
        </w:rPr>
        <w:t xml:space="preserve">in </w:t>
      </w:r>
      <w:r w:rsidR="00776B80" w:rsidRPr="00206D30">
        <w:rPr>
          <w:rFonts w:cs="Times New Roman"/>
        </w:rPr>
        <w:t>Megawatt</w:t>
      </w:r>
      <w:r w:rsidR="00206D30" w:rsidRPr="00206D30">
        <w:rPr>
          <w:rFonts w:cs="Times New Roman"/>
        </w:rPr>
        <w:t xml:space="preserve"> targets </w:t>
      </w:r>
      <w:r w:rsidR="00466BB2">
        <w:rPr>
          <w:rFonts w:cs="Times New Roman"/>
        </w:rPr>
        <w:t>enact</w:t>
      </w:r>
      <w:r w:rsidR="00466BB2" w:rsidRPr="00206D30">
        <w:rPr>
          <w:rFonts w:cs="Times New Roman"/>
        </w:rPr>
        <w:t xml:space="preserve"> </w:t>
      </w:r>
      <w:r w:rsidR="00206D30" w:rsidRPr="00206D30">
        <w:rPr>
          <w:rFonts w:cs="Times New Roman"/>
        </w:rPr>
        <w:t xml:space="preserve">modernity and </w:t>
      </w:r>
      <w:r w:rsidR="003D1500">
        <w:rPr>
          <w:rFonts w:cs="Times New Roman"/>
        </w:rPr>
        <w:t xml:space="preserve">will </w:t>
      </w:r>
      <w:r w:rsidR="00776B80">
        <w:rPr>
          <w:rFonts w:cs="Times New Roman"/>
        </w:rPr>
        <w:t>necessarily</w:t>
      </w:r>
      <w:r w:rsidR="003D1500">
        <w:rPr>
          <w:rFonts w:cs="Times New Roman"/>
        </w:rPr>
        <w:t xml:space="preserve"> deliver promised </w:t>
      </w:r>
      <w:r w:rsidR="00776B80">
        <w:rPr>
          <w:rFonts w:cs="Times New Roman"/>
        </w:rPr>
        <w:t xml:space="preserve">material </w:t>
      </w:r>
      <w:r w:rsidR="00206D30" w:rsidRPr="00206D30">
        <w:rPr>
          <w:rFonts w:cs="Times New Roman"/>
        </w:rPr>
        <w:t>development</w:t>
      </w:r>
      <w:r w:rsidR="003D1500">
        <w:rPr>
          <w:rFonts w:cs="Times New Roman"/>
        </w:rPr>
        <w:t xml:space="preserve">. Faith in the ability of technology therefore </w:t>
      </w:r>
      <w:r w:rsidR="00776B80">
        <w:rPr>
          <w:rFonts w:cs="Times New Roman"/>
        </w:rPr>
        <w:t xml:space="preserve">helped </w:t>
      </w:r>
      <w:r w:rsidR="00776B80" w:rsidRPr="00206D30">
        <w:rPr>
          <w:rFonts w:cs="Times New Roman"/>
        </w:rPr>
        <w:t>side</w:t>
      </w:r>
      <w:r w:rsidR="00206D30" w:rsidRPr="00206D30">
        <w:rPr>
          <w:rFonts w:cs="Times New Roman"/>
        </w:rPr>
        <w:t xml:space="preserve">-line evidence-based forecasts of lesser </w:t>
      </w:r>
      <w:r w:rsidR="003D1500">
        <w:rPr>
          <w:rFonts w:cs="Times New Roman"/>
        </w:rPr>
        <w:t xml:space="preserve">electricity </w:t>
      </w:r>
      <w:r w:rsidR="00206D30" w:rsidRPr="00206D30">
        <w:rPr>
          <w:rFonts w:cs="Times New Roman"/>
        </w:rPr>
        <w:t>demand increases.</w:t>
      </w:r>
      <w:r w:rsidRPr="00AA1887">
        <w:rPr>
          <w:rFonts w:cs="Times New Roman"/>
        </w:rPr>
        <w:t xml:space="preserve"> An advisor to the government suspected that a four-digit round figure was chosen as a statement of the RPF’s development ambition.</w:t>
      </w:r>
      <w:r w:rsidRPr="00AA1887">
        <w:rPr>
          <w:rStyle w:val="FootnoteReference"/>
          <w:rFonts w:cs="Times New Roman"/>
        </w:rPr>
        <w:footnoteReference w:id="88"/>
      </w:r>
    </w:p>
    <w:p w14:paraId="55A7F693" w14:textId="1643B33B" w:rsidR="002C6CB0" w:rsidRPr="003F399E" w:rsidRDefault="002C6CB0" w:rsidP="003F399E">
      <w:pPr>
        <w:pStyle w:val="Caption"/>
        <w:keepNext/>
        <w:spacing w:after="0" w:line="480" w:lineRule="auto"/>
        <w:rPr>
          <w:rFonts w:ascii="Times New Roman" w:hAnsi="Times New Roman" w:cs="Times New Roman"/>
          <w:b/>
          <w:i w:val="0"/>
          <w:sz w:val="24"/>
          <w:szCs w:val="24"/>
        </w:rPr>
      </w:pPr>
      <w:r w:rsidRPr="00AA1887">
        <w:rPr>
          <w:rFonts w:ascii="Times New Roman" w:hAnsi="Times New Roman" w:cs="Times New Roman"/>
          <w:color w:val="auto"/>
          <w:sz w:val="24"/>
          <w:szCs w:val="24"/>
        </w:rPr>
        <w:t xml:space="preserve">Table </w:t>
      </w:r>
      <w:r w:rsidRPr="00AA1887">
        <w:rPr>
          <w:rFonts w:ascii="Times New Roman" w:hAnsi="Times New Roman" w:cs="Times New Roman"/>
          <w:noProof/>
          <w:color w:val="auto"/>
          <w:sz w:val="24"/>
          <w:szCs w:val="24"/>
        </w:rPr>
        <w:fldChar w:fldCharType="begin"/>
      </w:r>
      <w:r w:rsidRPr="00AA1887">
        <w:rPr>
          <w:rFonts w:ascii="Times New Roman" w:hAnsi="Times New Roman" w:cs="Times New Roman"/>
          <w:noProof/>
          <w:color w:val="auto"/>
          <w:sz w:val="24"/>
          <w:szCs w:val="24"/>
        </w:rPr>
        <w:instrText xml:space="preserve"> SEQ Table \* ARABIC </w:instrText>
      </w:r>
      <w:r w:rsidRPr="00AA1887">
        <w:rPr>
          <w:rFonts w:ascii="Times New Roman" w:hAnsi="Times New Roman" w:cs="Times New Roman"/>
          <w:noProof/>
          <w:color w:val="auto"/>
          <w:sz w:val="24"/>
          <w:szCs w:val="24"/>
        </w:rPr>
        <w:fldChar w:fldCharType="separate"/>
      </w:r>
      <w:r w:rsidRPr="00AA1887">
        <w:rPr>
          <w:rFonts w:ascii="Times New Roman" w:hAnsi="Times New Roman" w:cs="Times New Roman"/>
          <w:noProof/>
          <w:color w:val="auto"/>
          <w:sz w:val="24"/>
          <w:szCs w:val="24"/>
        </w:rPr>
        <w:t>1</w:t>
      </w:r>
      <w:r w:rsidRPr="00AA1887">
        <w:rPr>
          <w:rFonts w:ascii="Times New Roman" w:hAnsi="Times New Roman" w:cs="Times New Roman"/>
          <w:noProof/>
          <w:color w:val="auto"/>
          <w:sz w:val="24"/>
          <w:szCs w:val="24"/>
        </w:rPr>
        <w:fldChar w:fldCharType="end"/>
      </w:r>
      <w:r w:rsidRPr="00AA1887">
        <w:rPr>
          <w:rFonts w:ascii="Times New Roman" w:hAnsi="Times New Roman" w:cs="Times New Roman"/>
          <w:i w:val="0"/>
          <w:noProof/>
          <w:color w:val="auto"/>
          <w:sz w:val="24"/>
          <w:szCs w:val="24"/>
        </w:rPr>
        <w:t>:</w:t>
      </w:r>
      <w:r w:rsidRPr="00AA1887">
        <w:rPr>
          <w:rFonts w:ascii="Times New Roman" w:hAnsi="Times New Roman" w:cs="Times New Roman"/>
          <w:i w:val="0"/>
          <w:color w:val="auto"/>
          <w:sz w:val="24"/>
          <w:szCs w:val="24"/>
        </w:rPr>
        <w:t xml:space="preserve"> The ambition of electricity production targets</w:t>
      </w:r>
    </w:p>
    <w:tbl>
      <w:tblPr>
        <w:tblStyle w:val="PlainTable2"/>
        <w:tblW w:w="5000" w:type="pct"/>
        <w:tblLook w:val="04A0" w:firstRow="1" w:lastRow="0" w:firstColumn="1" w:lastColumn="0" w:noHBand="0" w:noVBand="1"/>
      </w:tblPr>
      <w:tblGrid>
        <w:gridCol w:w="4289"/>
        <w:gridCol w:w="724"/>
        <w:gridCol w:w="2235"/>
        <w:gridCol w:w="1778"/>
      </w:tblGrid>
      <w:tr w:rsidR="00A12FEA" w14:paraId="7FCEAB9D" w14:textId="77777777" w:rsidTr="00A12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pct"/>
          </w:tcPr>
          <w:p w14:paraId="78DDAD72" w14:textId="68F3CCB0" w:rsidR="00A12FEA" w:rsidRDefault="00A12FEA" w:rsidP="003F399E">
            <w:pPr>
              <w:jc w:val="both"/>
              <w:rPr>
                <w:rFonts w:cs="Times New Roman"/>
              </w:rPr>
            </w:pPr>
            <w:r>
              <w:rPr>
                <w:rFonts w:cs="Times New Roman"/>
              </w:rPr>
              <w:t>Planning document</w:t>
            </w:r>
          </w:p>
        </w:tc>
        <w:tc>
          <w:tcPr>
            <w:tcW w:w="401" w:type="pct"/>
          </w:tcPr>
          <w:p w14:paraId="6B53E566" w14:textId="19080548" w:rsidR="00A12FEA" w:rsidRDefault="00A12FEA" w:rsidP="003F399E">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Year</w:t>
            </w:r>
          </w:p>
        </w:tc>
        <w:tc>
          <w:tcPr>
            <w:tcW w:w="1238" w:type="pct"/>
          </w:tcPr>
          <w:p w14:paraId="0C9464FB" w14:textId="2F6B6AEB" w:rsidR="00A12FEA" w:rsidRDefault="00A12FEA" w:rsidP="003F399E">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Electricity production target</w:t>
            </w:r>
          </w:p>
        </w:tc>
        <w:tc>
          <w:tcPr>
            <w:tcW w:w="985" w:type="pct"/>
          </w:tcPr>
          <w:p w14:paraId="33F2AC74" w14:textId="45381C35" w:rsidR="00A12FEA" w:rsidRDefault="00A12FEA" w:rsidP="003F399E">
            <w:pPr>
              <w:jc w:val="both"/>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Installed megawatts</w:t>
            </w:r>
          </w:p>
        </w:tc>
      </w:tr>
      <w:tr w:rsidR="00A12FEA" w14:paraId="1FD5CD05" w14:textId="77777777" w:rsidTr="00A12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pct"/>
          </w:tcPr>
          <w:p w14:paraId="369A9F32" w14:textId="5C488C61" w:rsidR="00A12FEA" w:rsidRDefault="00A12FEA" w:rsidP="003F399E">
            <w:pPr>
              <w:jc w:val="both"/>
              <w:rPr>
                <w:rFonts w:cs="Times New Roman"/>
              </w:rPr>
            </w:pPr>
            <w:r>
              <w:rPr>
                <w:rFonts w:cs="Times New Roman"/>
              </w:rPr>
              <w:t>Poverty Reduction Strategy Paper (PRSP)</w:t>
            </w:r>
          </w:p>
        </w:tc>
        <w:tc>
          <w:tcPr>
            <w:tcW w:w="401" w:type="pct"/>
          </w:tcPr>
          <w:p w14:paraId="64DA1010" w14:textId="6DDAA0C9" w:rsidR="00A12FEA" w:rsidRDefault="00A12FEA"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2004</w:t>
            </w:r>
          </w:p>
        </w:tc>
        <w:tc>
          <w:tcPr>
            <w:tcW w:w="1238" w:type="pct"/>
          </w:tcPr>
          <w:p w14:paraId="1CA719EB" w14:textId="62F3EA1F" w:rsidR="00A12FEA" w:rsidRDefault="003F399E"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Additional 42.3MW between 2004 and 2006</w:t>
            </w:r>
          </w:p>
        </w:tc>
        <w:tc>
          <w:tcPr>
            <w:tcW w:w="985" w:type="pct"/>
          </w:tcPr>
          <w:p w14:paraId="519A199F" w14:textId="5E4F6DB6" w:rsidR="00A12FEA" w:rsidRDefault="003F399E"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50.05</w:t>
            </w:r>
          </w:p>
        </w:tc>
      </w:tr>
      <w:tr w:rsidR="00A12FEA" w14:paraId="7F5C8991" w14:textId="77777777" w:rsidTr="00A12FEA">
        <w:tc>
          <w:tcPr>
            <w:cnfStyle w:val="001000000000" w:firstRow="0" w:lastRow="0" w:firstColumn="1" w:lastColumn="0" w:oddVBand="0" w:evenVBand="0" w:oddHBand="0" w:evenHBand="0" w:firstRowFirstColumn="0" w:firstRowLastColumn="0" w:lastRowFirstColumn="0" w:lastRowLastColumn="0"/>
            <w:tcW w:w="2376" w:type="pct"/>
          </w:tcPr>
          <w:p w14:paraId="6826EDA4" w14:textId="46C1E9A6" w:rsidR="00A12FEA" w:rsidRDefault="00A12FEA" w:rsidP="003F399E">
            <w:pPr>
              <w:jc w:val="both"/>
              <w:rPr>
                <w:rFonts w:cs="Times New Roman"/>
              </w:rPr>
            </w:pPr>
            <w:r>
              <w:rPr>
                <w:rFonts w:cs="Times New Roman"/>
              </w:rPr>
              <w:t>Economic Development and Poverty reduction Strategy (EDPRS) 1</w:t>
            </w:r>
          </w:p>
        </w:tc>
        <w:tc>
          <w:tcPr>
            <w:tcW w:w="401" w:type="pct"/>
          </w:tcPr>
          <w:p w14:paraId="38778897" w14:textId="2A70345A" w:rsidR="00A12FEA" w:rsidRDefault="00A12FEA" w:rsidP="003F399E">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2004</w:t>
            </w:r>
          </w:p>
        </w:tc>
        <w:tc>
          <w:tcPr>
            <w:tcW w:w="1238" w:type="pct"/>
          </w:tcPr>
          <w:p w14:paraId="5CBFE4CB" w14:textId="0CAAD56D" w:rsidR="00A12FEA" w:rsidRDefault="003F399E" w:rsidP="003F399E">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From 45MW to 130MW by 2012</w:t>
            </w:r>
          </w:p>
        </w:tc>
        <w:tc>
          <w:tcPr>
            <w:tcW w:w="985" w:type="pct"/>
          </w:tcPr>
          <w:p w14:paraId="48B914B7" w14:textId="41F9AEBE" w:rsidR="00A12FEA" w:rsidRDefault="003F399E" w:rsidP="003F399E">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65.15</w:t>
            </w:r>
          </w:p>
        </w:tc>
      </w:tr>
      <w:tr w:rsidR="00A12FEA" w14:paraId="3D599DDB" w14:textId="77777777" w:rsidTr="00A12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pct"/>
          </w:tcPr>
          <w:p w14:paraId="1C167EC2" w14:textId="7846A857" w:rsidR="00A12FEA" w:rsidRDefault="00A12FEA" w:rsidP="003F399E">
            <w:pPr>
              <w:jc w:val="both"/>
              <w:rPr>
                <w:rFonts w:cs="Times New Roman"/>
              </w:rPr>
            </w:pPr>
            <w:r>
              <w:rPr>
                <w:rFonts w:cs="Times New Roman"/>
              </w:rPr>
              <w:t>Energy strategy</w:t>
            </w:r>
          </w:p>
        </w:tc>
        <w:tc>
          <w:tcPr>
            <w:tcW w:w="401" w:type="pct"/>
          </w:tcPr>
          <w:p w14:paraId="26098E5A" w14:textId="3F8AFD4A" w:rsidR="00A12FEA" w:rsidRDefault="00A12FEA"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2008</w:t>
            </w:r>
          </w:p>
        </w:tc>
        <w:tc>
          <w:tcPr>
            <w:tcW w:w="1238" w:type="pct"/>
          </w:tcPr>
          <w:p w14:paraId="57A6DD2C" w14:textId="49958563" w:rsidR="00A12FEA" w:rsidRDefault="003F399E"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Additional 150MW by 2012</w:t>
            </w:r>
          </w:p>
        </w:tc>
        <w:tc>
          <w:tcPr>
            <w:tcW w:w="985" w:type="pct"/>
          </w:tcPr>
          <w:p w14:paraId="377FCFF4" w14:textId="620F233C" w:rsidR="00A12FEA" w:rsidRDefault="003F399E"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68.45</w:t>
            </w:r>
          </w:p>
        </w:tc>
      </w:tr>
      <w:tr w:rsidR="00A12FEA" w14:paraId="27926269" w14:textId="77777777" w:rsidTr="00A12FEA">
        <w:tc>
          <w:tcPr>
            <w:cnfStyle w:val="001000000000" w:firstRow="0" w:lastRow="0" w:firstColumn="1" w:lastColumn="0" w:oddVBand="0" w:evenVBand="0" w:oddHBand="0" w:evenHBand="0" w:firstRowFirstColumn="0" w:firstRowLastColumn="0" w:lastRowFirstColumn="0" w:lastRowLastColumn="0"/>
            <w:tcW w:w="2376" w:type="pct"/>
          </w:tcPr>
          <w:p w14:paraId="3209A8B6" w14:textId="40681BBE" w:rsidR="00A12FEA" w:rsidRDefault="00A12FEA" w:rsidP="003F399E">
            <w:pPr>
              <w:jc w:val="both"/>
              <w:rPr>
                <w:rFonts w:cs="Times New Roman"/>
              </w:rPr>
            </w:pPr>
            <w:r>
              <w:rPr>
                <w:rFonts w:cs="Times New Roman"/>
              </w:rPr>
              <w:t>Energy strategy</w:t>
            </w:r>
          </w:p>
        </w:tc>
        <w:tc>
          <w:tcPr>
            <w:tcW w:w="401" w:type="pct"/>
          </w:tcPr>
          <w:p w14:paraId="379A12E7" w14:textId="30C30DF3" w:rsidR="00A12FEA" w:rsidRDefault="00A12FEA" w:rsidP="003F399E">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2011</w:t>
            </w:r>
          </w:p>
        </w:tc>
        <w:tc>
          <w:tcPr>
            <w:tcW w:w="1238" w:type="pct"/>
          </w:tcPr>
          <w:p w14:paraId="2CD3F805" w14:textId="6117AE54" w:rsidR="00A12FEA" w:rsidRDefault="003F399E" w:rsidP="003F399E">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1000MW by 2017</w:t>
            </w:r>
          </w:p>
        </w:tc>
        <w:tc>
          <w:tcPr>
            <w:tcW w:w="985" w:type="pct"/>
          </w:tcPr>
          <w:p w14:paraId="5ADE91F6" w14:textId="0B9C54BF" w:rsidR="00A12FEA" w:rsidRDefault="003F399E" w:rsidP="003F399E">
            <w:pPr>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96.26</w:t>
            </w:r>
          </w:p>
        </w:tc>
      </w:tr>
      <w:tr w:rsidR="00A12FEA" w14:paraId="48E96051" w14:textId="77777777" w:rsidTr="00A12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pct"/>
          </w:tcPr>
          <w:p w14:paraId="35D61A08" w14:textId="01EA58E7" w:rsidR="00A12FEA" w:rsidRDefault="00A12FEA" w:rsidP="003F399E">
            <w:pPr>
              <w:jc w:val="both"/>
              <w:rPr>
                <w:rFonts w:cs="Times New Roman"/>
              </w:rPr>
            </w:pPr>
            <w:r>
              <w:rPr>
                <w:rFonts w:cs="Times New Roman"/>
              </w:rPr>
              <w:t>Energy strategy and EDPRS II</w:t>
            </w:r>
          </w:p>
        </w:tc>
        <w:tc>
          <w:tcPr>
            <w:tcW w:w="401" w:type="pct"/>
          </w:tcPr>
          <w:p w14:paraId="71B16E1C" w14:textId="37818CE4" w:rsidR="00A12FEA" w:rsidRDefault="00A12FEA"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2013</w:t>
            </w:r>
          </w:p>
        </w:tc>
        <w:tc>
          <w:tcPr>
            <w:tcW w:w="1238" w:type="pct"/>
          </w:tcPr>
          <w:p w14:paraId="3EDA13C5" w14:textId="4F34AE7A" w:rsidR="00A12FEA" w:rsidRDefault="003F399E"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563MW by 2017</w:t>
            </w:r>
          </w:p>
        </w:tc>
        <w:tc>
          <w:tcPr>
            <w:tcW w:w="985" w:type="pct"/>
          </w:tcPr>
          <w:p w14:paraId="4F35401C" w14:textId="1C7EA619" w:rsidR="00A12FEA" w:rsidRDefault="003F399E" w:rsidP="003F399E">
            <w:pPr>
              <w:jc w:val="cente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102.49</w:t>
            </w:r>
          </w:p>
        </w:tc>
      </w:tr>
    </w:tbl>
    <w:p w14:paraId="5E43C72C" w14:textId="77777777" w:rsidR="00A12FEA" w:rsidRDefault="00A12FEA" w:rsidP="002C6CB0">
      <w:pPr>
        <w:spacing w:line="480" w:lineRule="auto"/>
        <w:ind w:firstLine="720"/>
        <w:jc w:val="both"/>
        <w:rPr>
          <w:rFonts w:cs="Times New Roman"/>
        </w:rPr>
      </w:pPr>
    </w:p>
    <w:p w14:paraId="27AB5592" w14:textId="027AB6E3" w:rsidR="002C6CB0" w:rsidRPr="00AA1887" w:rsidRDefault="002C6CB0" w:rsidP="002C6CB0">
      <w:pPr>
        <w:spacing w:line="480" w:lineRule="auto"/>
        <w:ind w:firstLine="720"/>
        <w:jc w:val="both"/>
        <w:rPr>
          <w:rFonts w:cs="Times New Roman"/>
        </w:rPr>
      </w:pPr>
      <w:r w:rsidRPr="00AA1887">
        <w:rPr>
          <w:rFonts w:cs="Times New Roman"/>
        </w:rPr>
        <w:t xml:space="preserve">The setting of unrealistic targets was the result of the RPF’s role in ministerial planning. The ruling party has an internal structure to mirror the government, matching the cabinet’s ministerial clusters around social affairs, good </w:t>
      </w:r>
      <w:r w:rsidR="007139AB" w:rsidRPr="00AA1887">
        <w:rPr>
          <w:rFonts w:cs="Times New Roman"/>
        </w:rPr>
        <w:t>governance,</w:t>
      </w:r>
      <w:r w:rsidRPr="00AA1887">
        <w:rPr>
          <w:rFonts w:cs="Times New Roman"/>
        </w:rPr>
        <w:t xml:space="preserve"> and the economy with thematic commissions. Although often lacking technical knowledge, these commissions have become influential in the policy-making process, limiting bureaucratic independence. They shape </w:t>
      </w:r>
      <w:r w:rsidRPr="00AA1887">
        <w:rPr>
          <w:rFonts w:cs="Times New Roman"/>
        </w:rPr>
        <w:lastRenderedPageBreak/>
        <w:t xml:space="preserve">policies through pre-cabinet meetings that convene politicians, civil servants, RPF commissioners and top regime cadres. This structure provides the ruling party with a tool to direct government policy and apply pressure on </w:t>
      </w:r>
      <w:r w:rsidR="00483E08">
        <w:rPr>
          <w:rFonts w:cs="Times New Roman"/>
        </w:rPr>
        <w:t>the Ministry of Infrastructure</w:t>
      </w:r>
      <w:r w:rsidRPr="00AA1887">
        <w:rPr>
          <w:rFonts w:cs="Times New Roman"/>
        </w:rPr>
        <w:t>.</w:t>
      </w:r>
      <w:r w:rsidRPr="00AA1887">
        <w:rPr>
          <w:rStyle w:val="FootnoteReference"/>
          <w:rFonts w:cs="Times New Roman"/>
        </w:rPr>
        <w:footnoteReference w:id="89"/>
      </w:r>
      <w:r w:rsidRPr="00AA1887">
        <w:rPr>
          <w:rFonts w:cs="Times New Roman"/>
        </w:rPr>
        <w:t xml:space="preserve"> The RPF commissioners were a significant source of the state’s narrow energy-sector focus, as they wanted to please the </w:t>
      </w:r>
      <w:r w:rsidR="00E77C49">
        <w:rPr>
          <w:rFonts w:cs="Times New Roman"/>
        </w:rPr>
        <w:t>p</w:t>
      </w:r>
      <w:r w:rsidRPr="00AA1887">
        <w:rPr>
          <w:rFonts w:cs="Times New Roman"/>
        </w:rPr>
        <w:t xml:space="preserve">resident and feared admitting failure. As summarised by a former civil servant involved in planning in the infrastructure Ministry: </w:t>
      </w:r>
    </w:p>
    <w:p w14:paraId="72FE98A7" w14:textId="04EA0481" w:rsidR="002C6CB0" w:rsidRPr="00AA1887" w:rsidRDefault="003F399E" w:rsidP="002C6CB0">
      <w:pPr>
        <w:spacing w:line="480" w:lineRule="auto"/>
        <w:ind w:left="720"/>
        <w:jc w:val="both"/>
        <w:rPr>
          <w:rFonts w:cs="Times New Roman"/>
        </w:rPr>
      </w:pPr>
      <w:r>
        <w:rPr>
          <w:rFonts w:cs="Times New Roman"/>
        </w:rPr>
        <w:t>‘</w:t>
      </w:r>
      <w:proofErr w:type="gramStart"/>
      <w:r w:rsidR="002C6CB0" w:rsidRPr="00AA1887">
        <w:rPr>
          <w:rFonts w:cs="Times New Roman"/>
        </w:rPr>
        <w:t>these</w:t>
      </w:r>
      <w:proofErr w:type="gramEnd"/>
      <w:r w:rsidR="002C6CB0" w:rsidRPr="00AA1887">
        <w:rPr>
          <w:rFonts w:cs="Times New Roman"/>
        </w:rPr>
        <w:t xml:space="preserve"> people [senior RPF officials] are well-meaning, very ambitious. They push for a lot and want to please the President. This creates a problem when it cannot be delivered. So, then, it is about hiding the embarrassment. The problem is that they are not technicians. They are old people with their ideas but their capacity to understand constrains [is limited]. So, they promise a lot and it is a mess</w:t>
      </w:r>
      <w:r>
        <w:rPr>
          <w:rFonts w:cs="Times New Roman"/>
        </w:rPr>
        <w:t>’</w:t>
      </w:r>
      <w:r w:rsidR="002C6CB0" w:rsidRPr="00AA1887">
        <w:rPr>
          <w:rFonts w:cs="Times New Roman"/>
        </w:rPr>
        <w:t>.</w:t>
      </w:r>
      <w:r w:rsidR="002C6CB0" w:rsidRPr="00AA1887">
        <w:rPr>
          <w:rStyle w:val="FootnoteReference"/>
          <w:rFonts w:cs="Times New Roman"/>
        </w:rPr>
        <w:footnoteReference w:id="90"/>
      </w:r>
      <w:r w:rsidR="002C6CB0" w:rsidRPr="00AA1887">
        <w:rPr>
          <w:rFonts w:cs="Times New Roman"/>
        </w:rPr>
        <w:t xml:space="preserve"> </w:t>
      </w:r>
    </w:p>
    <w:p w14:paraId="2C333DF9" w14:textId="7B2D8247" w:rsidR="002C6CB0" w:rsidRPr="00AA1887" w:rsidRDefault="002C6CB0" w:rsidP="002C6CB0">
      <w:pPr>
        <w:spacing w:line="480" w:lineRule="auto"/>
        <w:ind w:firstLine="720"/>
        <w:jc w:val="both"/>
        <w:rPr>
          <w:rFonts w:cs="Times New Roman"/>
        </w:rPr>
      </w:pPr>
      <w:r w:rsidRPr="00AA1887">
        <w:rPr>
          <w:rFonts w:cs="Times New Roman"/>
        </w:rPr>
        <w:t xml:space="preserve">This ascendency of the party over the civil service demonstrates an unequal power dynamic within the Rwandan state that undermined the ability of bureaucratic expertise to influence policymaking. It suggests that party officials helped set, and then enforce, </w:t>
      </w:r>
      <w:proofErr w:type="gramStart"/>
      <w:r w:rsidRPr="00AA1887">
        <w:rPr>
          <w:rFonts w:cs="Times New Roman"/>
        </w:rPr>
        <w:t>overly-optimistic</w:t>
      </w:r>
      <w:proofErr w:type="gramEnd"/>
      <w:r w:rsidRPr="00AA1887">
        <w:rPr>
          <w:rFonts w:cs="Times New Roman"/>
        </w:rPr>
        <w:t xml:space="preserve"> objectives whilst suppressing debate about the energy system. The Presidency’s dominance over decision-making further constrained space to challenge target-setting and think strategically. Interviewees reported that critiques </w:t>
      </w:r>
      <w:r w:rsidR="009672A6" w:rsidRPr="00AA1887">
        <w:rPr>
          <w:rFonts w:cs="Times New Roman"/>
        </w:rPr>
        <w:t xml:space="preserve">about the electricity generation plans </w:t>
      </w:r>
      <w:r w:rsidRPr="00AA1887">
        <w:rPr>
          <w:rFonts w:cs="Times New Roman"/>
        </w:rPr>
        <w:t xml:space="preserve">carried considerable personal risk. One advisor reportedly </w:t>
      </w:r>
      <w:r w:rsidR="003F399E">
        <w:rPr>
          <w:rFonts w:cs="Times New Roman"/>
        </w:rPr>
        <w:t>‘</w:t>
      </w:r>
      <w:r w:rsidRPr="00AA1887">
        <w:rPr>
          <w:rFonts w:cs="Times New Roman"/>
        </w:rPr>
        <w:t>nearly got fired</w:t>
      </w:r>
      <w:r w:rsidR="003F399E">
        <w:rPr>
          <w:rFonts w:cs="Times New Roman"/>
        </w:rPr>
        <w:t>’</w:t>
      </w:r>
      <w:r w:rsidRPr="00AA1887">
        <w:rPr>
          <w:rFonts w:cs="Times New Roman"/>
        </w:rPr>
        <w:t xml:space="preserve"> for critici</w:t>
      </w:r>
      <w:r w:rsidR="00E77C49">
        <w:rPr>
          <w:rFonts w:cs="Times New Roman"/>
        </w:rPr>
        <w:t>z</w:t>
      </w:r>
      <w:r w:rsidRPr="00AA1887">
        <w:rPr>
          <w:rFonts w:cs="Times New Roman"/>
        </w:rPr>
        <w:t>ing electricity-generation targets.</w:t>
      </w:r>
      <w:r w:rsidRPr="00AA1887">
        <w:rPr>
          <w:rStyle w:val="FootnoteReference"/>
          <w:rFonts w:cs="Times New Roman"/>
        </w:rPr>
        <w:footnoteReference w:id="91"/>
      </w:r>
      <w:r w:rsidRPr="00AA1887">
        <w:rPr>
          <w:rFonts w:cs="Times New Roman"/>
        </w:rPr>
        <w:t xml:space="preserve"> As a consequence, many interviewees from government admitted to self-censoring in policy discussions because they feared speaking out. Meanwhile, external consultants and </w:t>
      </w:r>
      <w:r w:rsidR="003C1D66">
        <w:rPr>
          <w:rFonts w:cs="Times New Roman"/>
        </w:rPr>
        <w:t xml:space="preserve">Western </w:t>
      </w:r>
      <w:r w:rsidRPr="00AA1887">
        <w:rPr>
          <w:rFonts w:cs="Times New Roman"/>
        </w:rPr>
        <w:t xml:space="preserve">donors mentioned the deafness of top officials when they raised concerns over projects’ financial risks. </w:t>
      </w:r>
    </w:p>
    <w:p w14:paraId="44DD444F" w14:textId="3D2AB316" w:rsidR="002C6CB0" w:rsidRPr="00AA1887" w:rsidRDefault="002C6CB0" w:rsidP="002C6CB0">
      <w:pPr>
        <w:spacing w:line="480" w:lineRule="auto"/>
        <w:ind w:firstLine="720"/>
        <w:jc w:val="both"/>
        <w:rPr>
          <w:rFonts w:cs="Times New Roman"/>
        </w:rPr>
      </w:pPr>
      <w:r w:rsidRPr="00AA1887">
        <w:rPr>
          <w:rFonts w:cs="Times New Roman"/>
        </w:rPr>
        <w:lastRenderedPageBreak/>
        <w:t>The 1,000MW target was eventually revised to 563MW in 2013 at a National Leadership Retreat, the annual meeting of governmental top officials. An internal demand forecast conducted the year before predicted that demand would reach about 200MW by 2020, but the figure was subsequently massaged upwards to 563MW</w:t>
      </w:r>
      <w:r w:rsidRPr="00AA1887">
        <w:rPr>
          <w:rStyle w:val="FootnoteReference"/>
          <w:rFonts w:cs="Times New Roman"/>
        </w:rPr>
        <w:footnoteReference w:id="92"/>
      </w:r>
      <w:r w:rsidRPr="00AA1887">
        <w:rPr>
          <w:rFonts w:cs="Times New Roman"/>
        </w:rPr>
        <w:t>. Although lower than 1000MW, this new target did not reflect demand predictions either, something later recogni</w:t>
      </w:r>
      <w:r w:rsidR="00E77C49">
        <w:rPr>
          <w:rFonts w:cs="Times New Roman"/>
        </w:rPr>
        <w:t>z</w:t>
      </w:r>
      <w:r w:rsidRPr="00AA1887">
        <w:rPr>
          <w:rFonts w:cs="Times New Roman"/>
        </w:rPr>
        <w:t>ed by a 2017 government-commissioned report forecasting that peak demand would only reach this level in 2032.</w:t>
      </w:r>
      <w:r w:rsidRPr="00AA1887">
        <w:rPr>
          <w:rStyle w:val="FootnoteReference"/>
          <w:rFonts w:cs="Times New Roman"/>
        </w:rPr>
        <w:footnoteReference w:id="93"/>
      </w:r>
      <w:r w:rsidRPr="00AA1887">
        <w:rPr>
          <w:rFonts w:cs="Times New Roman"/>
        </w:rPr>
        <w:t xml:space="preserve"> The new 563MW </w:t>
      </w:r>
      <w:r w:rsidR="003F399E">
        <w:rPr>
          <w:rFonts w:cs="Times New Roman"/>
        </w:rPr>
        <w:t>‘</w:t>
      </w:r>
      <w:r w:rsidRPr="00AA1887">
        <w:rPr>
          <w:rFonts w:cs="Times New Roman"/>
        </w:rPr>
        <w:t>political number</w:t>
      </w:r>
      <w:r w:rsidR="003F399E">
        <w:rPr>
          <w:rFonts w:cs="Times New Roman"/>
        </w:rPr>
        <w:t>’</w:t>
      </w:r>
      <w:r w:rsidRPr="00AA1887">
        <w:rPr>
          <w:rFonts w:cs="Times New Roman"/>
        </w:rPr>
        <w:t xml:space="preserve"> (as an interviewed consultant put it</w:t>
      </w:r>
      <w:r w:rsidRPr="00AA1887">
        <w:rPr>
          <w:rStyle w:val="FootnoteReference"/>
          <w:rFonts w:cs="Times New Roman"/>
        </w:rPr>
        <w:footnoteReference w:id="94"/>
      </w:r>
      <w:r w:rsidRPr="00AA1887">
        <w:rPr>
          <w:rFonts w:cs="Times New Roman"/>
        </w:rPr>
        <w:t xml:space="preserve">) was likely chosen because it was still more than half of the initial target and had a certain technocratic cachet given that it was not a round number. One informant described how the energy minister, after eventually accepting this new figure, tried to get it approved but received an </w:t>
      </w:r>
      <w:r w:rsidR="003F399E">
        <w:rPr>
          <w:rFonts w:cs="Times New Roman"/>
        </w:rPr>
        <w:t>‘</w:t>
      </w:r>
      <w:r w:rsidRPr="00AA1887">
        <w:rPr>
          <w:rFonts w:cs="Times New Roman"/>
        </w:rPr>
        <w:t xml:space="preserve">absolute </w:t>
      </w:r>
      <w:proofErr w:type="spellStart"/>
      <w:r w:rsidRPr="00AA1887">
        <w:rPr>
          <w:rFonts w:cs="Times New Roman"/>
        </w:rPr>
        <w:t>bollocking</w:t>
      </w:r>
      <w:proofErr w:type="spellEnd"/>
      <w:r w:rsidR="003F399E">
        <w:rPr>
          <w:rFonts w:cs="Times New Roman"/>
        </w:rPr>
        <w:t>’</w:t>
      </w:r>
      <w:r w:rsidRPr="00AA1887">
        <w:rPr>
          <w:rFonts w:cs="Times New Roman"/>
        </w:rPr>
        <w:t xml:space="preserve"> from the prime minister, who insisted on following the </w:t>
      </w:r>
      <w:proofErr w:type="gramStart"/>
      <w:r w:rsidRPr="00AA1887">
        <w:rPr>
          <w:rFonts w:cs="Times New Roman"/>
        </w:rPr>
        <w:t>presidentially-decreed</w:t>
      </w:r>
      <w:proofErr w:type="gramEnd"/>
      <w:r w:rsidRPr="00AA1887">
        <w:rPr>
          <w:rFonts w:cs="Times New Roman"/>
        </w:rPr>
        <w:t xml:space="preserve"> 1,000MW target. A senior official involved then described how </w:t>
      </w:r>
      <w:r w:rsidR="003F399E">
        <w:rPr>
          <w:rFonts w:cs="Times New Roman"/>
        </w:rPr>
        <w:t>‘</w:t>
      </w:r>
      <w:r w:rsidRPr="00AA1887">
        <w:rPr>
          <w:rFonts w:cs="Times New Roman"/>
        </w:rPr>
        <w:t>on a retreat in 2013 … the President asked, ‘where did you get the 1,000MW</w:t>
      </w:r>
      <w:r w:rsidR="0043759A">
        <w:rPr>
          <w:rFonts w:cs="Times New Roman"/>
        </w:rPr>
        <w:t>s</w:t>
      </w:r>
      <w:r w:rsidRPr="00AA1887">
        <w:rPr>
          <w:rFonts w:cs="Times New Roman"/>
        </w:rPr>
        <w:t xml:space="preserve"> and why? … [</w:t>
      </w:r>
      <w:r w:rsidR="004F6169">
        <w:rPr>
          <w:rFonts w:cs="Times New Roman"/>
        </w:rPr>
        <w:t>we did</w:t>
      </w:r>
      <w:r w:rsidRPr="00AA1887">
        <w:rPr>
          <w:rFonts w:cs="Times New Roman"/>
        </w:rPr>
        <w:t>] some simple research in the ministry’ … [it forecast] 563 [and so this was decided on]</w:t>
      </w:r>
      <w:r w:rsidR="003F399E">
        <w:rPr>
          <w:rFonts w:cs="Times New Roman"/>
        </w:rPr>
        <w:t>’</w:t>
      </w:r>
      <w:r w:rsidRPr="00AA1887">
        <w:rPr>
          <w:rFonts w:cs="Times New Roman"/>
        </w:rPr>
        <w:t>.</w:t>
      </w:r>
      <w:r w:rsidRPr="00AA1887">
        <w:rPr>
          <w:rStyle w:val="FootnoteReference"/>
          <w:rFonts w:cs="Times New Roman"/>
        </w:rPr>
        <w:footnoteReference w:id="95"/>
      </w:r>
      <w:r w:rsidRPr="00AA1887">
        <w:rPr>
          <w:rFonts w:cs="Times New Roman"/>
        </w:rPr>
        <w:t xml:space="preserve"> </w:t>
      </w:r>
      <w:r w:rsidR="00EF78F0">
        <w:rPr>
          <w:rFonts w:cs="Times New Roman"/>
        </w:rPr>
        <w:t>A</w:t>
      </w:r>
      <w:r w:rsidRPr="00AA1887">
        <w:rPr>
          <w:rFonts w:cs="Times New Roman"/>
        </w:rPr>
        <w:t>lthough a separate ministry is officially responsible for policy</w:t>
      </w:r>
      <w:r w:rsidR="00E77C49">
        <w:rPr>
          <w:rFonts w:cs="Times New Roman"/>
        </w:rPr>
        <w:t xml:space="preserve"> </w:t>
      </w:r>
      <w:r w:rsidRPr="00AA1887">
        <w:rPr>
          <w:rFonts w:cs="Times New Roman"/>
        </w:rPr>
        <w:t xml:space="preserve">making, the 1,000MW target could only be changed with the </w:t>
      </w:r>
      <w:r w:rsidR="00E77C49">
        <w:rPr>
          <w:rFonts w:cs="Times New Roman"/>
        </w:rPr>
        <w:t>p</w:t>
      </w:r>
      <w:r w:rsidRPr="00AA1887">
        <w:rPr>
          <w:rFonts w:cs="Times New Roman"/>
        </w:rPr>
        <w:t xml:space="preserve">resident’s involvement. </w:t>
      </w:r>
    </w:p>
    <w:p w14:paraId="48CB556A" w14:textId="6C197CDF" w:rsidR="002C6CB0" w:rsidRPr="00AA1887" w:rsidRDefault="002C6CB0" w:rsidP="004A3135">
      <w:pPr>
        <w:spacing w:line="480" w:lineRule="auto"/>
        <w:ind w:firstLine="720"/>
        <w:jc w:val="both"/>
        <w:rPr>
          <w:rFonts w:cs="Times New Roman"/>
        </w:rPr>
      </w:pPr>
      <w:r w:rsidRPr="00AA1887">
        <w:rPr>
          <w:rFonts w:cs="Times New Roman"/>
        </w:rPr>
        <w:t xml:space="preserve">This episode is instructive of the structure of power within the state. The president appears as an absolute monarch, able to override normal processes of planning. Civil servants and most ministers are primarily restricted to implementation roles; they are not </w:t>
      </w:r>
      <w:r w:rsidR="00D72BA7">
        <w:rPr>
          <w:rFonts w:cs="Times New Roman"/>
        </w:rPr>
        <w:t>treated</w:t>
      </w:r>
      <w:r w:rsidR="00D72BA7" w:rsidRPr="00AA1887">
        <w:rPr>
          <w:rFonts w:cs="Times New Roman"/>
        </w:rPr>
        <w:t xml:space="preserve"> </w:t>
      </w:r>
      <w:r w:rsidRPr="00AA1887">
        <w:rPr>
          <w:rFonts w:cs="Times New Roman"/>
        </w:rPr>
        <w:t xml:space="preserve">as </w:t>
      </w:r>
      <w:r w:rsidR="00D72BA7" w:rsidRPr="00AA1887">
        <w:rPr>
          <w:rFonts w:cs="Times New Roman"/>
        </w:rPr>
        <w:t>providers of expertise</w:t>
      </w:r>
      <w:r w:rsidR="00D72BA7">
        <w:rPr>
          <w:rFonts w:cs="Times New Roman"/>
        </w:rPr>
        <w:t xml:space="preserve"> or s</w:t>
      </w:r>
      <w:r w:rsidRPr="00AA1887">
        <w:rPr>
          <w:rFonts w:cs="Times New Roman"/>
        </w:rPr>
        <w:t xml:space="preserve">trategy. This underlines the lack of bureaucratic independence, as even highly technical tasks like electricity demand forecasts, </w:t>
      </w:r>
      <w:r w:rsidR="00D72BA7">
        <w:rPr>
          <w:rFonts w:cs="Times New Roman"/>
        </w:rPr>
        <w:t xml:space="preserve">could only be revised after </w:t>
      </w:r>
      <w:r w:rsidR="007139AB">
        <w:rPr>
          <w:rFonts w:cs="Times New Roman"/>
        </w:rPr>
        <w:t>p</w:t>
      </w:r>
      <w:r w:rsidR="00D72BA7">
        <w:rPr>
          <w:rFonts w:cs="Times New Roman"/>
        </w:rPr>
        <w:t>residential questioning.</w:t>
      </w:r>
      <w:r w:rsidRPr="00AA1887">
        <w:rPr>
          <w:rFonts w:cs="Times New Roman"/>
        </w:rPr>
        <w:t xml:space="preserve"> The short-sightedness and overreach of the ambitious targets </w:t>
      </w:r>
      <w:r w:rsidR="009672A6" w:rsidRPr="00AA1887">
        <w:rPr>
          <w:rFonts w:cs="Times New Roman"/>
        </w:rPr>
        <w:t>were</w:t>
      </w:r>
      <w:r w:rsidRPr="00AA1887">
        <w:rPr>
          <w:rFonts w:cs="Times New Roman"/>
        </w:rPr>
        <w:t xml:space="preserve"> eventually realised. For the first time, in 2018, the electricity generation capacity target was </w:t>
      </w:r>
      <w:r w:rsidRPr="00AA1887">
        <w:rPr>
          <w:rFonts w:cs="Times New Roman"/>
        </w:rPr>
        <w:lastRenderedPageBreak/>
        <w:t>based on a demand-led forecast, with a 15</w:t>
      </w:r>
      <w:r w:rsidR="00E77C49">
        <w:rPr>
          <w:rFonts w:cs="Times New Roman"/>
        </w:rPr>
        <w:t xml:space="preserve"> per cent</w:t>
      </w:r>
      <w:r w:rsidRPr="00AA1887">
        <w:rPr>
          <w:rFonts w:cs="Times New Roman"/>
        </w:rPr>
        <w:t xml:space="preserve"> buffer margin:</w:t>
      </w:r>
      <w:r w:rsidRPr="00AA1887">
        <w:rPr>
          <w:rStyle w:val="FootnoteReference"/>
          <w:rFonts w:cs="Times New Roman"/>
        </w:rPr>
        <w:footnoteReference w:id="96"/>
      </w:r>
      <w:r w:rsidRPr="00AA1887">
        <w:rPr>
          <w:rFonts w:cs="Times New Roman"/>
        </w:rPr>
        <w:t xml:space="preserve"> the </w:t>
      </w:r>
      <w:r w:rsidR="003F399E">
        <w:rPr>
          <w:rFonts w:cs="Times New Roman"/>
        </w:rPr>
        <w:t>‘</w:t>
      </w:r>
      <w:r w:rsidRPr="00AA1887">
        <w:rPr>
          <w:rFonts w:cs="Times New Roman"/>
        </w:rPr>
        <w:t>moving target</w:t>
      </w:r>
      <w:r w:rsidR="003F399E">
        <w:rPr>
          <w:rFonts w:cs="Times New Roman"/>
        </w:rPr>
        <w:t>’</w:t>
      </w:r>
      <w:r w:rsidRPr="00AA1887">
        <w:rPr>
          <w:rFonts w:cs="Times New Roman"/>
        </w:rPr>
        <w:t xml:space="preserve"> estimated </w:t>
      </w:r>
      <w:r w:rsidR="004F6169">
        <w:rPr>
          <w:rFonts w:cs="Times New Roman"/>
        </w:rPr>
        <w:t xml:space="preserve">demand </w:t>
      </w:r>
      <w:r w:rsidRPr="00AA1887">
        <w:rPr>
          <w:rFonts w:cs="Times New Roman"/>
        </w:rPr>
        <w:t>to reach between 282MW and 376MW by 2024.</w:t>
      </w:r>
      <w:r w:rsidRPr="00AA1887">
        <w:rPr>
          <w:rStyle w:val="FootnoteReference"/>
          <w:rFonts w:cs="Times New Roman"/>
        </w:rPr>
        <w:footnoteReference w:id="97"/>
      </w:r>
      <w:r w:rsidRPr="00AA1887">
        <w:rPr>
          <w:rFonts w:cs="Times New Roman"/>
        </w:rPr>
        <w:t xml:space="preserve"> Yet this arguably came too late given that under-construction plants will push installed generation above 500MW. </w:t>
      </w:r>
    </w:p>
    <w:p w14:paraId="2E59B4F2" w14:textId="77777777" w:rsidR="00E205A2" w:rsidRDefault="00E205A2" w:rsidP="002C6CB0">
      <w:pPr>
        <w:spacing w:line="480" w:lineRule="auto"/>
        <w:rPr>
          <w:rFonts w:cs="Times New Roman"/>
          <w:bCs/>
          <w:i/>
          <w:iCs/>
        </w:rPr>
      </w:pPr>
    </w:p>
    <w:p w14:paraId="44D2B31E" w14:textId="77777777" w:rsidR="007139AB" w:rsidRDefault="007139AB" w:rsidP="002C6CB0">
      <w:pPr>
        <w:spacing w:line="480" w:lineRule="auto"/>
        <w:rPr>
          <w:rFonts w:cs="Times New Roman"/>
          <w:bCs/>
          <w:i/>
          <w:iCs/>
        </w:rPr>
      </w:pPr>
    </w:p>
    <w:p w14:paraId="29E17A0A" w14:textId="57977F0A" w:rsidR="00E205A2" w:rsidRDefault="002C6CB0" w:rsidP="007139AB">
      <w:pPr>
        <w:spacing w:line="480" w:lineRule="auto"/>
        <w:rPr>
          <w:rFonts w:cs="Times New Roman"/>
        </w:rPr>
      </w:pPr>
      <w:r w:rsidRPr="00E205A2">
        <w:rPr>
          <w:rFonts w:cs="Times New Roman"/>
          <w:bCs/>
          <w:i/>
          <w:iCs/>
        </w:rPr>
        <w:t xml:space="preserve">Implementing poorly: </w:t>
      </w:r>
      <w:r w:rsidR="003F399E">
        <w:rPr>
          <w:rFonts w:cs="Times New Roman"/>
          <w:bCs/>
          <w:i/>
          <w:iCs/>
        </w:rPr>
        <w:t>‘</w:t>
      </w:r>
      <w:r w:rsidRPr="00E205A2">
        <w:rPr>
          <w:rFonts w:cs="Times New Roman"/>
          <w:bCs/>
          <w:i/>
          <w:iCs/>
        </w:rPr>
        <w:t>Because of the pressure people are stupid</w:t>
      </w:r>
      <w:r w:rsidR="003F399E">
        <w:rPr>
          <w:rFonts w:cs="Times New Roman"/>
          <w:bCs/>
          <w:i/>
          <w:iCs/>
        </w:rPr>
        <w:t>’</w:t>
      </w:r>
    </w:p>
    <w:p w14:paraId="6F7806F7" w14:textId="72911FD8" w:rsidR="002C6CB0" w:rsidRPr="00AA1887" w:rsidRDefault="002C6CB0" w:rsidP="006B2577">
      <w:pPr>
        <w:spacing w:line="480" w:lineRule="auto"/>
        <w:ind w:firstLine="720"/>
        <w:jc w:val="both"/>
        <w:rPr>
          <w:rFonts w:cs="Times New Roman"/>
        </w:rPr>
      </w:pPr>
      <w:r w:rsidRPr="00AA1887">
        <w:rPr>
          <w:rFonts w:cs="Times New Roman"/>
        </w:rPr>
        <w:t xml:space="preserve">Theoretically, such unrealistic target setting can be mitigated against during implementation: relying on technocratic expertise, bureaucrats could engage in ex-post negotiations with politicians, watering down implementation, or quietly shelving </w:t>
      </w:r>
      <w:r w:rsidR="00B375D7">
        <w:rPr>
          <w:rFonts w:cs="Times New Roman"/>
        </w:rPr>
        <w:t>targets</w:t>
      </w:r>
      <w:r w:rsidRPr="00AA1887">
        <w:rPr>
          <w:rFonts w:cs="Times New Roman"/>
        </w:rPr>
        <w:t>. Conversely, in Rwanda the nature of the political-bureaucratic interface reinforces, rather than cushions, the negative effects of poor planning. Targets</w:t>
      </w:r>
      <w:r w:rsidR="009762AD" w:rsidRPr="00AA1887">
        <w:rPr>
          <w:rFonts w:cs="Times New Roman"/>
        </w:rPr>
        <w:t xml:space="preserve">, systematically integrated in the </w:t>
      </w:r>
      <w:r w:rsidR="004B4BFD" w:rsidRPr="00AA1887">
        <w:rPr>
          <w:rFonts w:cs="Times New Roman"/>
          <w:i/>
          <w:iCs/>
        </w:rPr>
        <w:t>imihigo</w:t>
      </w:r>
      <w:r w:rsidR="004B4BFD" w:rsidRPr="00AA1887">
        <w:rPr>
          <w:rFonts w:cs="Times New Roman"/>
        </w:rPr>
        <w:t xml:space="preserve"> </w:t>
      </w:r>
      <w:r w:rsidR="009762AD" w:rsidRPr="00AA1887">
        <w:rPr>
          <w:rFonts w:cs="Times New Roman"/>
        </w:rPr>
        <w:t>performance contract</w:t>
      </w:r>
      <w:r w:rsidR="00B375D7">
        <w:rPr>
          <w:rFonts w:cs="Times New Roman"/>
        </w:rPr>
        <w:t>s</w:t>
      </w:r>
      <w:r w:rsidR="004B4BFD">
        <w:rPr>
          <w:rFonts w:cs="Times New Roman"/>
        </w:rPr>
        <w:t>,</w:t>
      </w:r>
      <w:r w:rsidRPr="00AA1887">
        <w:rPr>
          <w:rFonts w:cs="Times New Roman"/>
        </w:rPr>
        <w:t xml:space="preserve"> resulted in formidable pressure on bureaucrats. The frustration of the presidency in slow progress translated into the frequent replacement of senior officials. The </w:t>
      </w:r>
      <w:r w:rsidR="007139AB">
        <w:rPr>
          <w:rFonts w:cs="Times New Roman"/>
        </w:rPr>
        <w:t>p</w:t>
      </w:r>
      <w:r w:rsidRPr="00AA1887">
        <w:rPr>
          <w:rFonts w:cs="Times New Roman"/>
        </w:rPr>
        <w:t>residency replaced the minister of infrastructure four times, whi</w:t>
      </w:r>
      <w:r w:rsidR="004B4BFD">
        <w:rPr>
          <w:rFonts w:cs="Times New Roman"/>
        </w:rPr>
        <w:t>l</w:t>
      </w:r>
      <w:r w:rsidRPr="00AA1887">
        <w:rPr>
          <w:rFonts w:cs="Times New Roman"/>
        </w:rPr>
        <w:t xml:space="preserve">st cycling through three energy ministers and three heads of the Energy Utility between 2009 and 2014, chiefly for failing to increase installed capacity quickly enough. Pressure was also conspicuous at annual national leadership retreats; they often served as a venue for Kagame to berate officials for their delivery failures. In 2012, the President complained that the budget for the electricity sector had not been increased enough before asking </w:t>
      </w:r>
      <w:r w:rsidR="003F399E">
        <w:rPr>
          <w:rFonts w:cs="Times New Roman"/>
        </w:rPr>
        <w:t>‘</w:t>
      </w:r>
      <w:r w:rsidRPr="00AA1887">
        <w:rPr>
          <w:rFonts w:cs="Times New Roman"/>
        </w:rPr>
        <w:t>do you need to attend thousands of seminars about the lack of electricity in Rwanda? I always read, in newspapers, officials saying ‘we are going to have so much electricity in 30 years’; no, I want it now</w:t>
      </w:r>
      <w:r w:rsidR="003F399E">
        <w:rPr>
          <w:rFonts w:cs="Times New Roman"/>
        </w:rPr>
        <w:t>’</w:t>
      </w:r>
      <w:r w:rsidRPr="00AA1887">
        <w:rPr>
          <w:rFonts w:cs="Times New Roman"/>
        </w:rPr>
        <w:t>.</w:t>
      </w:r>
      <w:r w:rsidRPr="00AA1887">
        <w:rPr>
          <w:rStyle w:val="FootnoteReference"/>
          <w:rFonts w:cs="Times New Roman"/>
        </w:rPr>
        <w:footnoteReference w:id="98"/>
      </w:r>
      <w:r w:rsidRPr="00AA1887">
        <w:rPr>
          <w:rFonts w:cs="Times New Roman"/>
        </w:rPr>
        <w:t xml:space="preserve"> The revised target of 563MW in 2013 did not lessen the pressure. As summarised by a civil servant, </w:t>
      </w:r>
      <w:r w:rsidR="003F399E">
        <w:rPr>
          <w:rFonts w:cs="Times New Roman"/>
        </w:rPr>
        <w:t>‘</w:t>
      </w:r>
      <w:r w:rsidRPr="00AA1887">
        <w:rPr>
          <w:rFonts w:cs="Times New Roman"/>
        </w:rPr>
        <w:t xml:space="preserve">the RPF said [to ministers] that they accepted the lower commitment of 563MW, but ‘don’t come back, no </w:t>
      </w:r>
      <w:r w:rsidRPr="00AA1887">
        <w:rPr>
          <w:rFonts w:cs="Times New Roman"/>
        </w:rPr>
        <w:lastRenderedPageBreak/>
        <w:t>more excuses’, that was the message</w:t>
      </w:r>
      <w:r w:rsidR="003F399E">
        <w:rPr>
          <w:rFonts w:cs="Times New Roman"/>
        </w:rPr>
        <w:t>’</w:t>
      </w:r>
      <w:r w:rsidRPr="00AA1887">
        <w:rPr>
          <w:rFonts w:cs="Times New Roman"/>
        </w:rPr>
        <w:t>.</w:t>
      </w:r>
      <w:r w:rsidRPr="00AA1887">
        <w:rPr>
          <w:rStyle w:val="FootnoteReference"/>
          <w:rFonts w:cs="Times New Roman"/>
        </w:rPr>
        <w:footnoteReference w:id="99"/>
      </w:r>
      <w:r w:rsidRPr="00AA1887">
        <w:rPr>
          <w:rFonts w:cs="Times New Roman"/>
        </w:rPr>
        <w:t xml:space="preserve"> As a result, the planning process, until at least 2016, appears to have been driven by the narrow goal </w:t>
      </w:r>
      <w:r w:rsidR="0076310E">
        <w:rPr>
          <w:rFonts w:cs="Times New Roman"/>
        </w:rPr>
        <w:t>of</w:t>
      </w:r>
      <w:r w:rsidR="0076310E" w:rsidRPr="00AA1887">
        <w:rPr>
          <w:rFonts w:cs="Times New Roman"/>
        </w:rPr>
        <w:t xml:space="preserve"> </w:t>
      </w:r>
      <w:r w:rsidR="0076310E">
        <w:rPr>
          <w:rFonts w:cs="Times New Roman"/>
        </w:rPr>
        <w:t xml:space="preserve">building plants to </w:t>
      </w:r>
      <w:r w:rsidRPr="00AA1887">
        <w:rPr>
          <w:rFonts w:cs="Times New Roman"/>
        </w:rPr>
        <w:t xml:space="preserve">meet generation-capacity targets, with financial efficacy or the energy system’s reliability taking a backseat. </w:t>
      </w:r>
    </w:p>
    <w:p w14:paraId="62B58166" w14:textId="28D86D66" w:rsidR="007D598A" w:rsidRDefault="002C6CB0" w:rsidP="002C6CB0">
      <w:pPr>
        <w:spacing w:line="480" w:lineRule="auto"/>
        <w:ind w:firstLine="720"/>
        <w:jc w:val="both"/>
        <w:rPr>
          <w:rFonts w:cs="Times New Roman"/>
        </w:rPr>
      </w:pPr>
      <w:r w:rsidRPr="00AA1887">
        <w:rPr>
          <w:rFonts w:cs="Times New Roman"/>
        </w:rPr>
        <w:t xml:space="preserve">This pressure effected project screening. A former adviser described how the government </w:t>
      </w:r>
      <w:r w:rsidR="003F399E">
        <w:rPr>
          <w:rFonts w:cs="Times New Roman"/>
        </w:rPr>
        <w:t>‘</w:t>
      </w:r>
      <w:r w:rsidRPr="00AA1887">
        <w:rPr>
          <w:rFonts w:cs="Times New Roman"/>
        </w:rPr>
        <w:t>would jump on any possibility [of investment] to get more megawatts</w:t>
      </w:r>
      <w:r w:rsidR="003F399E">
        <w:rPr>
          <w:rFonts w:cs="Times New Roman"/>
        </w:rPr>
        <w:t>’</w:t>
      </w:r>
      <w:r w:rsidRPr="00AA1887">
        <w:rPr>
          <w:rFonts w:cs="Times New Roman"/>
        </w:rPr>
        <w:t>.</w:t>
      </w:r>
      <w:r w:rsidRPr="00AA1887">
        <w:rPr>
          <w:rStyle w:val="FootnoteReference"/>
          <w:rFonts w:cs="Times New Roman"/>
        </w:rPr>
        <w:footnoteReference w:id="100"/>
      </w:r>
      <w:r w:rsidRPr="00AA1887">
        <w:rPr>
          <w:rFonts w:cs="Times New Roman"/>
        </w:rPr>
        <w:t xml:space="preserve"> The pressure meant that </w:t>
      </w:r>
      <w:r w:rsidR="003F399E">
        <w:rPr>
          <w:rFonts w:cs="Times New Roman"/>
        </w:rPr>
        <w:t>‘</w:t>
      </w:r>
      <w:r w:rsidRPr="00AA1887">
        <w:rPr>
          <w:rFonts w:cs="Times New Roman"/>
        </w:rPr>
        <w:t>you can’t say no [to investors</w:t>
      </w:r>
      <w:r w:rsidR="0076310E">
        <w:rPr>
          <w:rFonts w:cs="Times New Roman"/>
        </w:rPr>
        <w:t>, even</w:t>
      </w:r>
      <w:r w:rsidRPr="00AA1887">
        <w:rPr>
          <w:rFonts w:cs="Times New Roman"/>
        </w:rPr>
        <w:t>] if you don’t need their project</w:t>
      </w:r>
      <w:r w:rsidR="003F399E">
        <w:rPr>
          <w:rFonts w:cs="Times New Roman"/>
        </w:rPr>
        <w:t>’</w:t>
      </w:r>
      <w:r w:rsidRPr="00AA1887">
        <w:rPr>
          <w:rFonts w:cs="Times New Roman"/>
        </w:rPr>
        <w:t>.</w:t>
      </w:r>
      <w:r w:rsidRPr="00AA1887">
        <w:rPr>
          <w:rStyle w:val="FootnoteReference"/>
          <w:rFonts w:cs="Times New Roman"/>
        </w:rPr>
        <w:footnoteReference w:id="101"/>
      </w:r>
      <w:r w:rsidRPr="00AA1887">
        <w:rPr>
          <w:rFonts w:cs="Times New Roman"/>
        </w:rPr>
        <w:t xml:space="preserve"> Given the pursuit of all potential power-plants, proposals were not compared with alternatives and, except for the new </w:t>
      </w:r>
      <w:proofErr w:type="spellStart"/>
      <w:r w:rsidRPr="00AA1887">
        <w:rPr>
          <w:rFonts w:cs="Times New Roman"/>
        </w:rPr>
        <w:t>Symbion</w:t>
      </w:r>
      <w:proofErr w:type="spellEnd"/>
      <w:r w:rsidRPr="00AA1887">
        <w:rPr>
          <w:rFonts w:cs="Times New Roman"/>
        </w:rPr>
        <w:t xml:space="preserve"> methane plant, PPA contracts with investors followed bilateral negotiations, not competitive tendering.</w:t>
      </w:r>
      <w:r w:rsidRPr="00AA1887">
        <w:rPr>
          <w:rStyle w:val="FootnoteReference"/>
          <w:rFonts w:cs="Times New Roman"/>
        </w:rPr>
        <w:footnoteReference w:id="102"/>
      </w:r>
      <w:r w:rsidRPr="00AA1887">
        <w:rPr>
          <w:rFonts w:cs="Times New Roman"/>
        </w:rPr>
        <w:t xml:space="preserve"> The eagerness to attract investors also created coordination issues. Interviewees expressed frustration that potential investors would be welcomed by top officials, including the </w:t>
      </w:r>
      <w:r w:rsidR="00E77C49">
        <w:rPr>
          <w:rFonts w:cs="Times New Roman"/>
        </w:rPr>
        <w:t>p</w:t>
      </w:r>
      <w:r w:rsidRPr="00AA1887">
        <w:rPr>
          <w:rFonts w:cs="Times New Roman"/>
        </w:rPr>
        <w:t xml:space="preserve">resident, who might promise a range of subsidies without consulting the relevant authorities handling energy policy and investor negotiations: the Energy Utility, infrastructure ministry or Rwandan Development Board (RDB). As explained by an RDB official, during the negotiation process, </w:t>
      </w:r>
      <w:r w:rsidR="003F399E">
        <w:rPr>
          <w:rFonts w:cs="Times New Roman"/>
        </w:rPr>
        <w:t>‘</w:t>
      </w:r>
      <w:r w:rsidRPr="00AA1887">
        <w:rPr>
          <w:rFonts w:cs="Times New Roman"/>
        </w:rPr>
        <w:t>the Presidency was undermining us on things like the price of PPAs</w:t>
      </w:r>
      <w:r w:rsidR="003F399E">
        <w:rPr>
          <w:rFonts w:cs="Times New Roman"/>
        </w:rPr>
        <w:t>’</w:t>
      </w:r>
      <w:r w:rsidRPr="00AA1887">
        <w:rPr>
          <w:rFonts w:cs="Times New Roman"/>
        </w:rPr>
        <w:t xml:space="preserve">. This </w:t>
      </w:r>
      <w:r w:rsidR="0076310E">
        <w:rPr>
          <w:rFonts w:cs="Times New Roman"/>
        </w:rPr>
        <w:t>stemmed from rulers</w:t>
      </w:r>
      <w:r w:rsidR="007139AB">
        <w:rPr>
          <w:rFonts w:cs="Times New Roman"/>
        </w:rPr>
        <w:t>’</w:t>
      </w:r>
      <w:r w:rsidR="0076310E">
        <w:rPr>
          <w:rFonts w:cs="Times New Roman"/>
        </w:rPr>
        <w:t xml:space="preserve"> insistence t</w:t>
      </w:r>
      <w:r w:rsidRPr="00AA1887">
        <w:rPr>
          <w:rFonts w:cs="Times New Roman"/>
        </w:rPr>
        <w:t xml:space="preserve">hat </w:t>
      </w:r>
      <w:r w:rsidR="003F399E">
        <w:rPr>
          <w:rFonts w:cs="Times New Roman"/>
        </w:rPr>
        <w:t>‘</w:t>
      </w:r>
      <w:r w:rsidRPr="00AA1887">
        <w:rPr>
          <w:rFonts w:cs="Times New Roman"/>
        </w:rPr>
        <w:t xml:space="preserve">they just wanted the </w:t>
      </w:r>
      <w:proofErr w:type="gramStart"/>
      <w:r w:rsidRPr="00AA1887">
        <w:rPr>
          <w:rFonts w:cs="Times New Roman"/>
        </w:rPr>
        <w:t>megawatts</w:t>
      </w:r>
      <w:r w:rsidR="003F399E">
        <w:rPr>
          <w:rFonts w:cs="Times New Roman"/>
        </w:rPr>
        <w:t>’</w:t>
      </w:r>
      <w:proofErr w:type="gramEnd"/>
      <w:r w:rsidRPr="00AA1887">
        <w:rPr>
          <w:rFonts w:cs="Times New Roman"/>
        </w:rPr>
        <w:t>.</w:t>
      </w:r>
      <w:r w:rsidRPr="00AA1887">
        <w:rPr>
          <w:rStyle w:val="FootnoteReference"/>
          <w:rFonts w:cs="Times New Roman"/>
        </w:rPr>
        <w:footnoteReference w:id="103"/>
      </w:r>
      <w:r w:rsidRPr="00AA1887">
        <w:rPr>
          <w:rFonts w:cs="Times New Roman"/>
        </w:rPr>
        <w:t xml:space="preserve"> </w:t>
      </w:r>
    </w:p>
    <w:p w14:paraId="5061FF48" w14:textId="38C6E0BB" w:rsidR="002C6CB0" w:rsidRPr="00AA1887" w:rsidRDefault="002C6CB0" w:rsidP="002C6CB0">
      <w:pPr>
        <w:spacing w:line="480" w:lineRule="auto"/>
        <w:ind w:firstLine="720"/>
        <w:jc w:val="both"/>
        <w:rPr>
          <w:rFonts w:cs="Times New Roman"/>
        </w:rPr>
      </w:pPr>
      <w:r w:rsidRPr="00AA1887">
        <w:rPr>
          <w:rFonts w:cs="Times New Roman"/>
        </w:rPr>
        <w:t xml:space="preserve">Recalling negotiations for the Gigawatt Solar power plant (8.5MW), one of Rwanda’s first major energy sector PPPs, an official stated that </w:t>
      </w:r>
      <w:r w:rsidR="003F399E">
        <w:rPr>
          <w:rFonts w:cs="Times New Roman"/>
        </w:rPr>
        <w:t>‘</w:t>
      </w:r>
      <w:r w:rsidRPr="00AA1887">
        <w:rPr>
          <w:rFonts w:cs="Times New Roman"/>
        </w:rPr>
        <w:t>we got the price of the electricity too high partly because we wanted to go quickly and accept the conditions offered too rapidly</w:t>
      </w:r>
      <w:r w:rsidR="003F399E">
        <w:rPr>
          <w:rFonts w:cs="Times New Roman"/>
        </w:rPr>
        <w:t>’</w:t>
      </w:r>
      <w:r w:rsidRPr="00AA1887">
        <w:rPr>
          <w:rFonts w:cs="Times New Roman"/>
        </w:rPr>
        <w:t>.</w:t>
      </w:r>
      <w:r w:rsidRPr="00AA1887">
        <w:rPr>
          <w:rStyle w:val="FootnoteReference"/>
          <w:rFonts w:cs="Times New Roman"/>
        </w:rPr>
        <w:footnoteReference w:id="104"/>
      </w:r>
      <w:r w:rsidRPr="00AA1887">
        <w:rPr>
          <w:rFonts w:cs="Times New Roman"/>
        </w:rPr>
        <w:t xml:space="preserve"> The project was completed in just five months, being dubbed in </w:t>
      </w:r>
      <w:r w:rsidR="007D598A">
        <w:rPr>
          <w:rFonts w:cs="Times New Roman"/>
          <w:i/>
          <w:iCs/>
        </w:rPr>
        <w:t>T</w:t>
      </w:r>
      <w:r w:rsidRPr="00776B80">
        <w:rPr>
          <w:rFonts w:cs="Times New Roman"/>
          <w:i/>
          <w:iCs/>
        </w:rPr>
        <w:t>he</w:t>
      </w:r>
      <w:r w:rsidRPr="00AA1887">
        <w:rPr>
          <w:rFonts w:cs="Times New Roman"/>
          <w:i/>
        </w:rPr>
        <w:t xml:space="preserve"> Guardian</w:t>
      </w:r>
      <w:r w:rsidRPr="00AA1887">
        <w:rPr>
          <w:rFonts w:cs="Times New Roman"/>
        </w:rPr>
        <w:t xml:space="preserve"> as </w:t>
      </w:r>
      <w:r w:rsidR="003F399E">
        <w:rPr>
          <w:rFonts w:cs="Times New Roman"/>
        </w:rPr>
        <w:t>‘</w:t>
      </w:r>
      <w:r w:rsidRPr="00AA1887">
        <w:rPr>
          <w:rFonts w:cs="Times New Roman"/>
        </w:rPr>
        <w:t>Africa’s fastest solar power project</w:t>
      </w:r>
      <w:r w:rsidR="003F399E">
        <w:rPr>
          <w:rFonts w:cs="Times New Roman"/>
        </w:rPr>
        <w:t>’</w:t>
      </w:r>
      <w:r w:rsidRPr="00AA1887">
        <w:rPr>
          <w:rFonts w:cs="Times New Roman"/>
        </w:rPr>
        <w:t>.</w:t>
      </w:r>
      <w:r w:rsidRPr="00AA1887">
        <w:rPr>
          <w:rStyle w:val="FootnoteReference"/>
          <w:rFonts w:cs="Times New Roman"/>
        </w:rPr>
        <w:footnoteReference w:id="105"/>
      </w:r>
      <w:r w:rsidRPr="00AA1887">
        <w:rPr>
          <w:rFonts w:cs="Times New Roman"/>
        </w:rPr>
        <w:t xml:space="preserve"> Nevertheless, as Figure 3 demonstrates, it was also the most </w:t>
      </w:r>
      <w:r w:rsidRPr="00AA1887">
        <w:rPr>
          <w:rFonts w:cs="Times New Roman"/>
        </w:rPr>
        <w:lastRenderedPageBreak/>
        <w:t xml:space="preserve">expensive in Africa. While PPA tariffs need to respond to context-specific criteria such as site conditions, ease of grid connection and country risk, many of which are likely to be high in Rwanda, informants emphasised that the unflattering comparison shown in Figure 3 was primarily produced by the government’s poor negotiating and its desire </w:t>
      </w:r>
      <w:r w:rsidR="003F399E">
        <w:rPr>
          <w:rFonts w:cs="Times New Roman"/>
        </w:rPr>
        <w:t>‘</w:t>
      </w:r>
      <w:r w:rsidRPr="00AA1887">
        <w:rPr>
          <w:rFonts w:cs="Times New Roman"/>
        </w:rPr>
        <w:t>to demonstrate quickly that they could do PPP</w:t>
      </w:r>
      <w:r w:rsidR="003F399E">
        <w:rPr>
          <w:rFonts w:cs="Times New Roman"/>
        </w:rPr>
        <w:t>’</w:t>
      </w:r>
      <w:r w:rsidRPr="00AA1887">
        <w:rPr>
          <w:rFonts w:cs="Times New Roman"/>
        </w:rPr>
        <w:t>.</w:t>
      </w:r>
      <w:r w:rsidRPr="00AA1887">
        <w:rPr>
          <w:rStyle w:val="FootnoteReference"/>
          <w:rFonts w:cs="Times New Roman"/>
        </w:rPr>
        <w:footnoteReference w:id="106"/>
      </w:r>
      <w:r w:rsidRPr="00AA1887">
        <w:rPr>
          <w:rFonts w:cs="Times New Roman"/>
        </w:rPr>
        <w:t xml:space="preserve"> Unplanned decisions taken by President Kagame on international trips also affected technical assessments. One such trip to </w:t>
      </w:r>
      <w:r w:rsidR="004B2586" w:rsidRPr="004B2586">
        <w:rPr>
          <w:rFonts w:cs="Times New Roman"/>
        </w:rPr>
        <w:t>Türkiye</w:t>
      </w:r>
      <w:r w:rsidRPr="00AA1887">
        <w:rPr>
          <w:rFonts w:cs="Times New Roman"/>
        </w:rPr>
        <w:t>, arranged to bring investment to Rwanda, initiated a deal for peat-based electricity generation before technical teams had a chance to assess project viability.</w:t>
      </w:r>
      <w:r w:rsidRPr="00AA1887">
        <w:rPr>
          <w:rStyle w:val="FootnoteReference"/>
          <w:rFonts w:cs="Times New Roman"/>
        </w:rPr>
        <w:footnoteReference w:id="107"/>
      </w:r>
      <w:r w:rsidRPr="00AA1887">
        <w:rPr>
          <w:rFonts w:cs="Times New Roman"/>
        </w:rPr>
        <w:t xml:space="preserve"> These issues were eventually recognised. The electricity act, adopted in 2016, stipulated that the state should initiate all electricity generation projects, as opposed to the previous practice of accepting private investors’ unsolicited bids.</w:t>
      </w:r>
    </w:p>
    <w:p w14:paraId="589F87A2" w14:textId="447F8580" w:rsidR="0028162C" w:rsidRDefault="002C6CB0" w:rsidP="008B6FCD">
      <w:pPr>
        <w:spacing w:line="480" w:lineRule="auto"/>
        <w:jc w:val="both"/>
        <w:rPr>
          <w:rFonts w:cs="Times New Roman"/>
          <w:i/>
        </w:rPr>
      </w:pPr>
      <w:r w:rsidRPr="00AA1887">
        <w:rPr>
          <w:rFonts w:cs="Times New Roman"/>
          <w:noProof/>
        </w:rPr>
        <w:drawing>
          <wp:anchor distT="0" distB="0" distL="114300" distR="114300" simplePos="0" relativeHeight="251661312" behindDoc="0" locked="0" layoutInCell="1" allowOverlap="1" wp14:anchorId="57F15C5C" wp14:editId="2DC9D599">
            <wp:simplePos x="0" y="0"/>
            <wp:positionH relativeFrom="margin">
              <wp:align>right</wp:align>
            </wp:positionH>
            <wp:positionV relativeFrom="paragraph">
              <wp:posOffset>191770</wp:posOffset>
            </wp:positionV>
            <wp:extent cx="5727700" cy="3549015"/>
            <wp:effectExtent l="0" t="0" r="6350" b="0"/>
            <wp:wrapTopAndBottom/>
            <wp:docPr id="4" name="Picture 4"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font, numb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b="5762"/>
                    <a:stretch>
                      <a:fillRect/>
                    </a:stretch>
                  </pic:blipFill>
                  <pic:spPr bwMode="auto">
                    <a:xfrm>
                      <a:off x="0" y="0"/>
                      <a:ext cx="5727700" cy="3549015"/>
                    </a:xfrm>
                    <a:prstGeom prst="rect">
                      <a:avLst/>
                    </a:prstGeom>
                    <a:noFill/>
                  </pic:spPr>
                </pic:pic>
              </a:graphicData>
            </a:graphic>
            <wp14:sizeRelH relativeFrom="page">
              <wp14:pctWidth>0</wp14:pctWidth>
            </wp14:sizeRelH>
            <wp14:sizeRelV relativeFrom="margin">
              <wp14:pctHeight>0</wp14:pctHeight>
            </wp14:sizeRelV>
          </wp:anchor>
        </w:drawing>
      </w:r>
    </w:p>
    <w:p w14:paraId="2C266893" w14:textId="3113F0AF" w:rsidR="002C6CB0" w:rsidRPr="00AA1887" w:rsidRDefault="002C6CB0" w:rsidP="002C6CB0">
      <w:pPr>
        <w:spacing w:line="480" w:lineRule="auto"/>
        <w:jc w:val="both"/>
        <w:rPr>
          <w:rFonts w:cs="Times New Roman"/>
        </w:rPr>
      </w:pPr>
      <w:r w:rsidRPr="00AA1887">
        <w:rPr>
          <w:rFonts w:cs="Times New Roman"/>
          <w:i/>
          <w:sz w:val="22"/>
        </w:rPr>
        <w:t>Figure 4</w:t>
      </w:r>
      <w:r w:rsidRPr="00AA1887">
        <w:rPr>
          <w:rFonts w:cs="Times New Roman"/>
          <w:sz w:val="22"/>
        </w:rPr>
        <w:t xml:space="preserve">: PPAs </w:t>
      </w:r>
      <w:r w:rsidR="007139AB" w:rsidRPr="007139AB">
        <w:rPr>
          <w:rFonts w:cs="Times New Roman"/>
          <w:sz w:val="22"/>
        </w:rPr>
        <w:t>and FIT</w:t>
      </w:r>
      <w:r w:rsidR="007139AB">
        <w:rPr>
          <w:rFonts w:cs="Times New Roman"/>
          <w:sz w:val="22"/>
        </w:rPr>
        <w:t>s</w:t>
      </w:r>
      <w:r w:rsidR="007139AB" w:rsidRPr="007139AB">
        <w:rPr>
          <w:rFonts w:cs="Times New Roman"/>
          <w:sz w:val="22"/>
        </w:rPr>
        <w:t xml:space="preserve"> prices</w:t>
      </w:r>
      <w:r w:rsidR="007139AB">
        <w:rPr>
          <w:rFonts w:cs="Times New Roman"/>
          <w:sz w:val="22"/>
        </w:rPr>
        <w:t xml:space="preserve"> (</w:t>
      </w:r>
      <w:r w:rsidR="007139AB" w:rsidRPr="007139AB">
        <w:rPr>
          <w:rFonts w:cs="Times New Roman"/>
          <w:sz w:val="22"/>
        </w:rPr>
        <w:t>in USD¢/kWh</w:t>
      </w:r>
      <w:r w:rsidR="007139AB">
        <w:rPr>
          <w:rFonts w:cs="Times New Roman"/>
          <w:sz w:val="22"/>
        </w:rPr>
        <w:t>)</w:t>
      </w:r>
      <w:r w:rsidR="007139AB" w:rsidRPr="007139AB">
        <w:rPr>
          <w:rFonts w:cs="Times New Roman"/>
          <w:sz w:val="22"/>
        </w:rPr>
        <w:t xml:space="preserve"> of </w:t>
      </w:r>
      <w:r w:rsidRPr="00AA1887">
        <w:rPr>
          <w:rFonts w:cs="Times New Roman"/>
          <w:sz w:val="22"/>
        </w:rPr>
        <w:t>recent solar power plants in Sub-Saharan Africa. Source: compiled from public data.</w:t>
      </w:r>
      <w:r w:rsidRPr="00AA1887">
        <w:rPr>
          <w:rStyle w:val="FootnoteReference"/>
          <w:rFonts w:cs="Times New Roman"/>
          <w:sz w:val="22"/>
        </w:rPr>
        <w:footnoteReference w:id="108"/>
      </w:r>
    </w:p>
    <w:p w14:paraId="227EF89F" w14:textId="77777777" w:rsidR="005960E1" w:rsidRDefault="005960E1" w:rsidP="002C6CB0">
      <w:pPr>
        <w:spacing w:line="480" w:lineRule="auto"/>
        <w:ind w:firstLine="720"/>
        <w:jc w:val="both"/>
        <w:rPr>
          <w:rFonts w:cs="Times New Roman"/>
        </w:rPr>
      </w:pPr>
    </w:p>
    <w:p w14:paraId="3EE6FA6A" w14:textId="22CCB66B" w:rsidR="002C6CB0" w:rsidRPr="00AA1887" w:rsidRDefault="002C6CB0" w:rsidP="002C6CB0">
      <w:pPr>
        <w:spacing w:line="480" w:lineRule="auto"/>
        <w:ind w:firstLine="720"/>
        <w:jc w:val="both"/>
        <w:rPr>
          <w:rFonts w:cs="Times New Roman"/>
        </w:rPr>
      </w:pPr>
      <w:r w:rsidRPr="00AA1887">
        <w:rPr>
          <w:rFonts w:cs="Times New Roman"/>
        </w:rPr>
        <w:lastRenderedPageBreak/>
        <w:t xml:space="preserve">The rush to increase electricity production also resulted in </w:t>
      </w:r>
      <w:proofErr w:type="gramStart"/>
      <w:r w:rsidRPr="00AA1887">
        <w:rPr>
          <w:rFonts w:cs="Times New Roman"/>
        </w:rPr>
        <w:t>poorly-planned</w:t>
      </w:r>
      <w:proofErr w:type="gramEnd"/>
      <w:r w:rsidRPr="00AA1887">
        <w:rPr>
          <w:rFonts w:cs="Times New Roman"/>
        </w:rPr>
        <w:t xml:space="preserve"> plants. The most telling example here is the $45 million </w:t>
      </w:r>
      <w:proofErr w:type="spellStart"/>
      <w:r w:rsidRPr="00AA1887">
        <w:rPr>
          <w:rFonts w:cs="Times New Roman"/>
        </w:rPr>
        <w:t>Gishoma</w:t>
      </w:r>
      <w:proofErr w:type="spellEnd"/>
      <w:r w:rsidRPr="00AA1887">
        <w:rPr>
          <w:rFonts w:cs="Times New Roman"/>
        </w:rPr>
        <w:t xml:space="preserve"> peat power plant. Construction started in 2013, completing after a </w:t>
      </w:r>
      <w:r w:rsidR="001B15F6" w:rsidRPr="00AA1887">
        <w:rPr>
          <w:rFonts w:cs="Times New Roman"/>
        </w:rPr>
        <w:t>three-year</w:t>
      </w:r>
      <w:r w:rsidRPr="00AA1887">
        <w:rPr>
          <w:rFonts w:cs="Times New Roman"/>
        </w:rPr>
        <w:t xml:space="preserve"> delay. Once operational, the plant functioned at half capacity (5MW) before stopping four months later. Although technical problems</w:t>
      </w:r>
      <w:r w:rsidRPr="00AA1887" w:rsidDel="002C6CB0">
        <w:rPr>
          <w:rFonts w:cs="Times New Roman"/>
        </w:rPr>
        <w:t xml:space="preserve"> </w:t>
      </w:r>
      <w:r w:rsidRPr="00AA1887">
        <w:rPr>
          <w:rFonts w:cs="Times New Roman"/>
        </w:rPr>
        <w:t>contributed, the shutdown was principally caused by insufficient quantities of peat.</w:t>
      </w:r>
      <w:r w:rsidRPr="00AA1887">
        <w:rPr>
          <w:rStyle w:val="FootnoteReference"/>
          <w:rFonts w:cs="Times New Roman"/>
        </w:rPr>
        <w:footnoteReference w:id="109"/>
      </w:r>
      <w:r w:rsidRPr="00AA1887">
        <w:rPr>
          <w:rFonts w:cs="Times New Roman"/>
        </w:rPr>
        <w:t xml:space="preserve"> Initial rapid studies by the investor made </w:t>
      </w:r>
      <w:r w:rsidR="001B15F6" w:rsidRPr="00AA1887">
        <w:rPr>
          <w:rFonts w:cs="Times New Roman"/>
        </w:rPr>
        <w:t>over-optimistic</w:t>
      </w:r>
      <w:r w:rsidRPr="00AA1887">
        <w:rPr>
          <w:rFonts w:cs="Times New Roman"/>
        </w:rPr>
        <w:t xml:space="preserve"> peat calculations and, to hasten the process, no further counter-studies were completed. By the time construction started, </w:t>
      </w:r>
      <w:r w:rsidR="003F399E">
        <w:rPr>
          <w:rFonts w:cs="Times New Roman"/>
        </w:rPr>
        <w:t>‘</w:t>
      </w:r>
      <w:r w:rsidRPr="00AA1887">
        <w:rPr>
          <w:rFonts w:cs="Times New Roman"/>
        </w:rPr>
        <w:t>it was known from day one that there was not enough peat</w:t>
      </w:r>
      <w:r w:rsidR="003F399E">
        <w:rPr>
          <w:rFonts w:cs="Times New Roman"/>
        </w:rPr>
        <w:t>’</w:t>
      </w:r>
      <w:r w:rsidRPr="00AA1887">
        <w:rPr>
          <w:rFonts w:cs="Times New Roman"/>
        </w:rPr>
        <w:t>,</w:t>
      </w:r>
      <w:r w:rsidRPr="00AA1887">
        <w:rPr>
          <w:rStyle w:val="FootnoteReference"/>
          <w:rFonts w:cs="Times New Roman"/>
        </w:rPr>
        <w:footnoteReference w:id="110"/>
      </w:r>
      <w:r w:rsidRPr="00AA1887">
        <w:rPr>
          <w:rFonts w:cs="Times New Roman"/>
        </w:rPr>
        <w:t xml:space="preserve"> with technicians and consultants stating in interviews that they had routinely raised these issues before construction started.</w:t>
      </w:r>
      <w:r w:rsidRPr="00AA1887">
        <w:rPr>
          <w:rStyle w:val="FootnoteReference"/>
          <w:rFonts w:cs="Times New Roman"/>
        </w:rPr>
        <w:footnoteReference w:id="111"/>
      </w:r>
      <w:r w:rsidRPr="00AA1887">
        <w:rPr>
          <w:rFonts w:cs="Times New Roman"/>
        </w:rPr>
        <w:t xml:space="preserve"> Furthermore, to save time, there was no study of the peat’s power-generation quality, which later proved to be poor. The case of </w:t>
      </w:r>
      <w:proofErr w:type="spellStart"/>
      <w:r w:rsidRPr="00AA1887">
        <w:rPr>
          <w:rFonts w:cs="Times New Roman"/>
        </w:rPr>
        <w:t>Gishoma</w:t>
      </w:r>
      <w:proofErr w:type="spellEnd"/>
      <w:r w:rsidRPr="00AA1887">
        <w:rPr>
          <w:rFonts w:cs="Times New Roman"/>
        </w:rPr>
        <w:t xml:space="preserve"> is representative of wider shortcuts. For example, the Nyabarongo Dam project did not involve detailed topography or sedimentation studies, contributing to the reservoir being several kilometres longer than planned and unexpectedly </w:t>
      </w:r>
      <w:r w:rsidR="001B15F6" w:rsidRPr="00AA1887">
        <w:rPr>
          <w:rFonts w:cs="Times New Roman"/>
        </w:rPr>
        <w:t>filling up</w:t>
      </w:r>
      <w:r w:rsidRPr="00AA1887">
        <w:rPr>
          <w:rFonts w:cs="Times New Roman"/>
        </w:rPr>
        <w:t xml:space="preserve"> quickly with sediment.</w:t>
      </w:r>
      <w:r w:rsidRPr="00AA1887">
        <w:rPr>
          <w:rStyle w:val="FootnoteReference"/>
          <w:rFonts w:cs="Times New Roman"/>
        </w:rPr>
        <w:footnoteReference w:id="112"/>
      </w:r>
      <w:r w:rsidRPr="00AA1887">
        <w:rPr>
          <w:rFonts w:cs="Times New Roman"/>
        </w:rPr>
        <w:t xml:space="preserve"> Furthermore, </w:t>
      </w:r>
      <w:r w:rsidR="001B15F6" w:rsidRPr="00AA1887">
        <w:rPr>
          <w:rFonts w:cs="Times New Roman"/>
        </w:rPr>
        <w:t xml:space="preserve">the </w:t>
      </w:r>
      <w:r w:rsidRPr="00AA1887">
        <w:rPr>
          <w:rFonts w:cs="Times New Roman"/>
        </w:rPr>
        <w:t>implementation of targets involved insufficient anticipation of</w:t>
      </w:r>
      <w:r w:rsidR="001B15F6" w:rsidRPr="00AA1887">
        <w:rPr>
          <w:rFonts w:cs="Times New Roman"/>
        </w:rPr>
        <w:t xml:space="preserve"> </w:t>
      </w:r>
      <w:r w:rsidRPr="00AA1887">
        <w:rPr>
          <w:rFonts w:cs="Times New Roman"/>
        </w:rPr>
        <w:t xml:space="preserve">transmission needs. Given the location of Lake Kivu’s methane, the geography of peat fields and the western mountains’ hydropower potential, Rwanda’s major new electricity plants are in the country’s West. However, this area </w:t>
      </w:r>
      <w:r w:rsidR="00F91054">
        <w:rPr>
          <w:rFonts w:cs="Times New Roman"/>
        </w:rPr>
        <w:t>was</w:t>
      </w:r>
      <w:r w:rsidR="00F91054" w:rsidRPr="00AA1887">
        <w:rPr>
          <w:rFonts w:cs="Times New Roman"/>
        </w:rPr>
        <w:t xml:space="preserve"> </w:t>
      </w:r>
      <w:r w:rsidRPr="00AA1887">
        <w:rPr>
          <w:rFonts w:cs="Times New Roman"/>
        </w:rPr>
        <w:t>only served by one high-capacity transmission line. This insufficient transmission capacity caused plants to function below their potential.</w:t>
      </w:r>
      <w:r w:rsidRPr="00AA1887">
        <w:rPr>
          <w:rStyle w:val="FootnoteReference"/>
          <w:rFonts w:cs="Times New Roman"/>
        </w:rPr>
        <w:footnoteReference w:id="113"/>
      </w:r>
      <w:r w:rsidRPr="00AA1887">
        <w:rPr>
          <w:rFonts w:cs="Times New Roman"/>
        </w:rPr>
        <w:t xml:space="preserve"> Several consultants mentioned the refusal of officials to listen to their reservations. One explained that, by raising questions, he was accused of going </w:t>
      </w:r>
      <w:r w:rsidR="003F399E">
        <w:rPr>
          <w:rFonts w:cs="Times New Roman"/>
        </w:rPr>
        <w:t>‘</w:t>
      </w:r>
      <w:r w:rsidRPr="00AA1887">
        <w:rPr>
          <w:rFonts w:cs="Times New Roman"/>
        </w:rPr>
        <w:t>against the vision of Rwanda</w:t>
      </w:r>
      <w:r w:rsidR="003F399E">
        <w:rPr>
          <w:rFonts w:cs="Times New Roman"/>
        </w:rPr>
        <w:t>’</w:t>
      </w:r>
      <w:r w:rsidRPr="00AA1887">
        <w:rPr>
          <w:rFonts w:cs="Times New Roman"/>
        </w:rPr>
        <w:t>.</w:t>
      </w:r>
      <w:r w:rsidRPr="00AA1887">
        <w:rPr>
          <w:rStyle w:val="FootnoteReference"/>
          <w:rFonts w:cs="Times New Roman"/>
        </w:rPr>
        <w:footnoteReference w:id="114"/>
      </w:r>
      <w:r w:rsidRPr="00AA1887">
        <w:rPr>
          <w:rFonts w:cs="Times New Roman"/>
        </w:rPr>
        <w:t xml:space="preserve"> </w:t>
      </w:r>
      <w:r w:rsidRPr="00AA1887">
        <w:rPr>
          <w:rFonts w:cs="Times New Roman"/>
        </w:rPr>
        <w:lastRenderedPageBreak/>
        <w:t xml:space="preserve">Megawatt targets were essentially the only metric dictating ministers and civil </w:t>
      </w:r>
      <w:r w:rsidR="001B15F6" w:rsidRPr="00AA1887">
        <w:rPr>
          <w:rFonts w:cs="Times New Roman"/>
        </w:rPr>
        <w:t>servants’</w:t>
      </w:r>
      <w:r w:rsidRPr="00AA1887">
        <w:rPr>
          <w:rFonts w:cs="Times New Roman"/>
        </w:rPr>
        <w:t xml:space="preserve"> policymaking. </w:t>
      </w:r>
    </w:p>
    <w:p w14:paraId="56514A77" w14:textId="77777777" w:rsidR="00E205A2" w:rsidRDefault="00E205A2" w:rsidP="002C6CB0">
      <w:pPr>
        <w:spacing w:line="480" w:lineRule="auto"/>
        <w:rPr>
          <w:rFonts w:cs="Times New Roman"/>
          <w:bCs/>
          <w:i/>
          <w:iCs/>
        </w:rPr>
      </w:pPr>
    </w:p>
    <w:p w14:paraId="6C339A54" w14:textId="57C456DD" w:rsidR="00E205A2" w:rsidRDefault="00413E35" w:rsidP="005960E1">
      <w:pPr>
        <w:spacing w:line="480" w:lineRule="auto"/>
        <w:rPr>
          <w:rFonts w:cs="Times New Roman"/>
          <w:lang w:val="en-US"/>
        </w:rPr>
      </w:pPr>
      <w:r w:rsidRPr="00E205A2">
        <w:rPr>
          <w:rFonts w:cs="Times New Roman"/>
          <w:bCs/>
          <w:i/>
          <w:iCs/>
        </w:rPr>
        <w:t>Competing explanations</w:t>
      </w:r>
    </w:p>
    <w:p w14:paraId="43268DC8" w14:textId="627721AB" w:rsidR="009B404A" w:rsidRDefault="00140203" w:rsidP="00E10DC5">
      <w:pPr>
        <w:spacing w:line="480" w:lineRule="auto"/>
        <w:ind w:firstLine="720"/>
        <w:jc w:val="both"/>
        <w:rPr>
          <w:rFonts w:cs="Times New Roman"/>
        </w:rPr>
      </w:pPr>
      <w:r>
        <w:rPr>
          <w:rFonts w:cs="Times New Roman"/>
          <w:lang w:val="en-US"/>
        </w:rPr>
        <w:t>C</w:t>
      </w:r>
      <w:r w:rsidR="00F91054">
        <w:rPr>
          <w:rFonts w:cs="Times New Roman"/>
          <w:lang w:val="en-US"/>
        </w:rPr>
        <w:t xml:space="preserve">ompeting hypotheses </w:t>
      </w:r>
      <w:r>
        <w:rPr>
          <w:rFonts w:cs="Times New Roman"/>
          <w:lang w:val="en-US"/>
        </w:rPr>
        <w:t xml:space="preserve">do not sufficiently explain </w:t>
      </w:r>
      <w:r w:rsidR="00F91054">
        <w:rPr>
          <w:rFonts w:cs="Times New Roman"/>
          <w:lang w:val="en-US"/>
        </w:rPr>
        <w:t xml:space="preserve">Rwanda’s electricity-sector problems. </w:t>
      </w:r>
      <w:r w:rsidR="00233413" w:rsidRPr="00AA1887">
        <w:rPr>
          <w:rFonts w:cs="Times New Roman"/>
          <w:lang w:val="en-US"/>
        </w:rPr>
        <w:t xml:space="preserve">First, </w:t>
      </w:r>
      <w:r w:rsidR="00233413" w:rsidRPr="00AA1887">
        <w:rPr>
          <w:rFonts w:cs="Times New Roman"/>
        </w:rPr>
        <w:t>i</w:t>
      </w:r>
      <w:r w:rsidR="002C6CB0" w:rsidRPr="00AA1887">
        <w:rPr>
          <w:rFonts w:cs="Times New Roman"/>
        </w:rPr>
        <w:t xml:space="preserve">t could be argued that </w:t>
      </w:r>
      <w:r w:rsidR="00D07F28">
        <w:rPr>
          <w:rFonts w:cs="Times New Roman"/>
        </w:rPr>
        <w:t xml:space="preserve">the sector’s fiscal issues </w:t>
      </w:r>
      <w:r w:rsidR="002C6CB0" w:rsidRPr="00AA1887">
        <w:rPr>
          <w:rFonts w:cs="Times New Roman"/>
        </w:rPr>
        <w:t xml:space="preserve">stem primarily from </w:t>
      </w:r>
      <w:r w:rsidR="001179DC">
        <w:rPr>
          <w:rFonts w:cs="Times New Roman"/>
        </w:rPr>
        <w:t>poor</w:t>
      </w:r>
      <w:r w:rsidR="002C6CB0" w:rsidRPr="00AA1887">
        <w:rPr>
          <w:rFonts w:cs="Times New Roman"/>
        </w:rPr>
        <w:t xml:space="preserve"> </w:t>
      </w:r>
      <w:r w:rsidR="00D07F28" w:rsidRPr="00AA1887">
        <w:rPr>
          <w:rFonts w:cs="Times New Roman"/>
        </w:rPr>
        <w:t xml:space="preserve">technical and financial </w:t>
      </w:r>
      <w:r w:rsidR="002C6CB0" w:rsidRPr="00AA1887">
        <w:rPr>
          <w:rFonts w:cs="Times New Roman"/>
        </w:rPr>
        <w:t xml:space="preserve">bureaucratic </w:t>
      </w:r>
      <w:r w:rsidR="00233413" w:rsidRPr="00AA1887">
        <w:rPr>
          <w:rFonts w:cs="Times New Roman"/>
        </w:rPr>
        <w:t>capacity</w:t>
      </w:r>
      <w:r w:rsidR="002C6CB0" w:rsidRPr="00AA1887">
        <w:rPr>
          <w:rFonts w:cs="Times New Roman"/>
        </w:rPr>
        <w:t xml:space="preserve">, not from </w:t>
      </w:r>
      <w:r w:rsidR="00233413" w:rsidRPr="00AA1887">
        <w:rPr>
          <w:rFonts w:cs="Times New Roman"/>
        </w:rPr>
        <w:t xml:space="preserve">a lack of </w:t>
      </w:r>
      <w:r w:rsidR="002C6CB0" w:rsidRPr="00AA1887">
        <w:rPr>
          <w:rFonts w:cs="Times New Roman"/>
        </w:rPr>
        <w:t xml:space="preserve">bureaucratic independence. </w:t>
      </w:r>
      <w:r w:rsidR="00233413" w:rsidRPr="00AA1887">
        <w:rPr>
          <w:rFonts w:cs="Times New Roman"/>
        </w:rPr>
        <w:t>Planning</w:t>
      </w:r>
      <w:r w:rsidR="002C6CB0" w:rsidRPr="00AA1887">
        <w:rPr>
          <w:rFonts w:cs="Times New Roman"/>
        </w:rPr>
        <w:t xml:space="preserve"> electricity systems, managing private-sector negotiations and executing large projects is </w:t>
      </w:r>
      <w:r w:rsidR="00233413" w:rsidRPr="00AA1887">
        <w:rPr>
          <w:rFonts w:cs="Times New Roman"/>
        </w:rPr>
        <w:t xml:space="preserve">undoubtedly </w:t>
      </w:r>
      <w:r w:rsidR="002C6CB0" w:rsidRPr="00AA1887">
        <w:rPr>
          <w:rFonts w:cs="Times New Roman"/>
        </w:rPr>
        <w:t>difficult, especially for poorer states like Rwanda. However,</w:t>
      </w:r>
      <w:r w:rsidR="00D07F28">
        <w:rPr>
          <w:rFonts w:cs="Times New Roman"/>
        </w:rPr>
        <w:t xml:space="preserve"> there is substantive</w:t>
      </w:r>
      <w:r w:rsidR="002C6CB0" w:rsidRPr="00AA1887">
        <w:rPr>
          <w:rFonts w:cs="Times New Roman"/>
        </w:rPr>
        <w:t xml:space="preserve"> </w:t>
      </w:r>
      <w:r w:rsidR="00233413" w:rsidRPr="00AA1887">
        <w:rPr>
          <w:rFonts w:cs="Times New Roman"/>
        </w:rPr>
        <w:t xml:space="preserve">evidence </w:t>
      </w:r>
      <w:r w:rsidR="00D07F28">
        <w:rPr>
          <w:rFonts w:cs="Times New Roman"/>
        </w:rPr>
        <w:t xml:space="preserve">of </w:t>
      </w:r>
      <w:r w:rsidR="004A0AE9">
        <w:rPr>
          <w:rFonts w:cs="Times New Roman"/>
        </w:rPr>
        <w:t xml:space="preserve">bureaucratic </w:t>
      </w:r>
      <w:r w:rsidR="00D07F28">
        <w:rPr>
          <w:rFonts w:cs="Times New Roman"/>
        </w:rPr>
        <w:t>strengths</w:t>
      </w:r>
      <w:r w:rsidR="002C6CB0" w:rsidRPr="00AA1887">
        <w:rPr>
          <w:rFonts w:cs="Times New Roman"/>
        </w:rPr>
        <w:t xml:space="preserve">. </w:t>
      </w:r>
      <w:r w:rsidR="00233413" w:rsidRPr="00AA1887">
        <w:rPr>
          <w:rFonts w:cs="Times New Roman"/>
        </w:rPr>
        <w:t xml:space="preserve">To begin with, </w:t>
      </w:r>
      <w:r w:rsidR="003C1D66">
        <w:rPr>
          <w:rFonts w:cs="Times New Roman"/>
        </w:rPr>
        <w:t xml:space="preserve">Western aid </w:t>
      </w:r>
      <w:r w:rsidR="00233413" w:rsidRPr="00AA1887">
        <w:rPr>
          <w:rFonts w:cs="Times New Roman"/>
        </w:rPr>
        <w:t>d</w:t>
      </w:r>
      <w:r w:rsidR="002C6CB0" w:rsidRPr="00AA1887">
        <w:rPr>
          <w:rFonts w:cs="Times New Roman"/>
        </w:rPr>
        <w:t xml:space="preserve">onors provided significant general-budget support, commissioned numerous </w:t>
      </w:r>
      <w:r w:rsidR="001905AC" w:rsidRPr="00AA1887">
        <w:rPr>
          <w:rFonts w:cs="Times New Roman"/>
        </w:rPr>
        <w:t>studies,</w:t>
      </w:r>
      <w:r w:rsidR="002C6CB0" w:rsidRPr="00AA1887">
        <w:rPr>
          <w:rFonts w:cs="Times New Roman"/>
        </w:rPr>
        <w:t xml:space="preserve"> and funded an army of seconded advisors and consultants. For example, the EU’s 2015-2020 ‘Sector Reform Contract’ gave €177 million for the electricity sector, with 88% dedicated to direct budget support and the remainder paying for technical assistance.</w:t>
      </w:r>
      <w:r w:rsidR="002C6CB0" w:rsidRPr="00AA1887">
        <w:rPr>
          <w:rStyle w:val="FootnoteReference"/>
          <w:rFonts w:cs="Times New Roman"/>
        </w:rPr>
        <w:footnoteReference w:id="115"/>
      </w:r>
      <w:r w:rsidR="002C6CB0" w:rsidRPr="00AA1887">
        <w:rPr>
          <w:rFonts w:cs="Times New Roman"/>
        </w:rPr>
        <w:t xml:space="preserve"> </w:t>
      </w:r>
      <w:r w:rsidR="004A0AE9">
        <w:rPr>
          <w:rFonts w:cs="Times New Roman"/>
        </w:rPr>
        <w:t>Additionally, the</w:t>
      </w:r>
      <w:r w:rsidR="004A0AE9" w:rsidRPr="00AA1887">
        <w:rPr>
          <w:rFonts w:cs="Times New Roman"/>
        </w:rPr>
        <w:t xml:space="preserve"> </w:t>
      </w:r>
      <w:r w:rsidR="002C6CB0" w:rsidRPr="00AA1887">
        <w:rPr>
          <w:rFonts w:cs="Times New Roman"/>
        </w:rPr>
        <w:t>World Bank, pledged $95 million for a 2015–21 ‘Electricity Sector Strengthening Project’.</w:t>
      </w:r>
      <w:r w:rsidR="002C6CB0" w:rsidRPr="00AA1887">
        <w:rPr>
          <w:rStyle w:val="FootnoteReference"/>
          <w:rFonts w:cs="Times New Roman"/>
        </w:rPr>
        <w:footnoteReference w:id="116"/>
      </w:r>
      <w:r w:rsidR="002C6CB0" w:rsidRPr="00AA1887">
        <w:rPr>
          <w:rFonts w:cs="Times New Roman"/>
        </w:rPr>
        <w:t xml:space="preserve"> Furthermore, </w:t>
      </w:r>
      <w:r w:rsidR="00233413" w:rsidRPr="00AA1887">
        <w:rPr>
          <w:rFonts w:cs="Times New Roman"/>
        </w:rPr>
        <w:t xml:space="preserve">as </w:t>
      </w:r>
      <w:r w:rsidR="006D6478">
        <w:rPr>
          <w:rFonts w:cs="Times New Roman"/>
        </w:rPr>
        <w:t xml:space="preserve">evidenced in </w:t>
      </w:r>
      <w:r w:rsidR="00233413" w:rsidRPr="00AA1887">
        <w:rPr>
          <w:rFonts w:cs="Times New Roman"/>
        </w:rPr>
        <w:t xml:space="preserve">our interviews, </w:t>
      </w:r>
      <w:r w:rsidR="002C6CB0" w:rsidRPr="00AA1887">
        <w:rPr>
          <w:rFonts w:cs="Times New Roman"/>
        </w:rPr>
        <w:t xml:space="preserve">civil servants and </w:t>
      </w:r>
      <w:r w:rsidR="00233413" w:rsidRPr="00AA1887">
        <w:rPr>
          <w:rFonts w:cs="Times New Roman"/>
        </w:rPr>
        <w:t xml:space="preserve">national and international </w:t>
      </w:r>
      <w:r w:rsidR="002C6CB0" w:rsidRPr="00AA1887">
        <w:rPr>
          <w:rFonts w:cs="Times New Roman"/>
        </w:rPr>
        <w:t>consultants had the capacity to identify issues</w:t>
      </w:r>
      <w:r w:rsidR="00233413" w:rsidRPr="00AA1887">
        <w:rPr>
          <w:rFonts w:cs="Times New Roman"/>
        </w:rPr>
        <w:t xml:space="preserve"> and, behind closed doors, </w:t>
      </w:r>
      <w:r w:rsidR="002C6CB0" w:rsidRPr="00AA1887">
        <w:rPr>
          <w:rFonts w:cs="Times New Roman"/>
        </w:rPr>
        <w:t>voice</w:t>
      </w:r>
      <w:r w:rsidR="00233413" w:rsidRPr="00AA1887">
        <w:rPr>
          <w:rFonts w:cs="Times New Roman"/>
        </w:rPr>
        <w:t>d</w:t>
      </w:r>
      <w:r w:rsidR="002C6CB0" w:rsidRPr="00AA1887">
        <w:rPr>
          <w:rFonts w:cs="Times New Roman"/>
        </w:rPr>
        <w:t xml:space="preserve"> critiques </w:t>
      </w:r>
      <w:r w:rsidR="009762AD" w:rsidRPr="00AA1887">
        <w:rPr>
          <w:rFonts w:cs="Times New Roman"/>
        </w:rPr>
        <w:t>and advocated</w:t>
      </w:r>
      <w:r w:rsidR="002C6CB0" w:rsidRPr="00AA1887">
        <w:rPr>
          <w:rFonts w:cs="Times New Roman"/>
        </w:rPr>
        <w:t xml:space="preserve"> for alternative, demand-based forecasts. </w:t>
      </w:r>
      <w:r w:rsidR="009762AD" w:rsidRPr="00AA1887">
        <w:rPr>
          <w:rFonts w:cs="Times New Roman"/>
        </w:rPr>
        <w:t>C</w:t>
      </w:r>
      <w:r w:rsidR="002C6CB0" w:rsidRPr="00AA1887">
        <w:rPr>
          <w:rFonts w:cs="Times New Roman"/>
        </w:rPr>
        <w:t xml:space="preserve">apacity was therefore present, but the political space </w:t>
      </w:r>
      <w:r w:rsidR="004A0AE9">
        <w:rPr>
          <w:rFonts w:cs="Times New Roman"/>
        </w:rPr>
        <w:t>to utili</w:t>
      </w:r>
      <w:r w:rsidR="006D6478">
        <w:rPr>
          <w:rFonts w:cs="Times New Roman"/>
        </w:rPr>
        <w:t>z</w:t>
      </w:r>
      <w:r w:rsidR="004A0AE9">
        <w:rPr>
          <w:rFonts w:cs="Times New Roman"/>
        </w:rPr>
        <w:t>e</w:t>
      </w:r>
      <w:r w:rsidR="004A0AE9" w:rsidRPr="00AA1887">
        <w:rPr>
          <w:rFonts w:cs="Times New Roman"/>
        </w:rPr>
        <w:t xml:space="preserve"> </w:t>
      </w:r>
      <w:r w:rsidR="00413E35" w:rsidRPr="00AA1887">
        <w:rPr>
          <w:rFonts w:cs="Times New Roman"/>
        </w:rPr>
        <w:t>this capacity was not</w:t>
      </w:r>
      <w:r w:rsidR="002C6CB0" w:rsidRPr="00AA1887">
        <w:rPr>
          <w:rFonts w:cs="Times New Roman"/>
        </w:rPr>
        <w:t xml:space="preserve">. </w:t>
      </w:r>
      <w:r w:rsidR="00851599">
        <w:rPr>
          <w:rFonts w:cs="Times New Roman"/>
        </w:rPr>
        <w:t>Process-tracing shows that p</w:t>
      </w:r>
      <w:r w:rsidR="002C6CB0" w:rsidRPr="00AA1887">
        <w:rPr>
          <w:rFonts w:cs="Times New Roman"/>
        </w:rPr>
        <w:t xml:space="preserve">olicy inputs flowed entirely in one direction, in a top-down manner from a small circle within the ruling party around the President. </w:t>
      </w:r>
    </w:p>
    <w:p w14:paraId="63C5CED0" w14:textId="504FE5DE" w:rsidR="00851599" w:rsidRDefault="002C6CB0" w:rsidP="00776B80">
      <w:pPr>
        <w:spacing w:line="480" w:lineRule="auto"/>
        <w:ind w:firstLine="720"/>
        <w:jc w:val="both"/>
        <w:rPr>
          <w:rFonts w:cs="Times New Roman"/>
        </w:rPr>
      </w:pPr>
      <w:r w:rsidRPr="00AA1887">
        <w:rPr>
          <w:rFonts w:cs="Times New Roman"/>
        </w:rPr>
        <w:t xml:space="preserve">Moreover, </w:t>
      </w:r>
      <w:r w:rsidR="001064D6" w:rsidRPr="00AA1887">
        <w:rPr>
          <w:rFonts w:cs="Times New Roman"/>
        </w:rPr>
        <w:t>the concentration of power</w:t>
      </w:r>
      <w:r w:rsidRPr="00AA1887">
        <w:rPr>
          <w:rFonts w:cs="Times New Roman"/>
        </w:rPr>
        <w:t xml:space="preserve"> almost eliminated critique</w:t>
      </w:r>
      <w:r w:rsidR="001064D6" w:rsidRPr="00AA1887">
        <w:rPr>
          <w:rFonts w:cs="Times New Roman"/>
        </w:rPr>
        <w:t xml:space="preserve"> from the press and civil society. The latter never </w:t>
      </w:r>
      <w:r w:rsidR="00233413" w:rsidRPr="00AA1887">
        <w:rPr>
          <w:rFonts w:cs="Times New Roman"/>
        </w:rPr>
        <w:t>took up the issue while the former</w:t>
      </w:r>
      <w:r w:rsidRPr="00AA1887">
        <w:rPr>
          <w:rFonts w:cs="Times New Roman"/>
        </w:rPr>
        <w:t xml:space="preserve"> </w:t>
      </w:r>
      <w:r w:rsidR="00233413" w:rsidRPr="00AA1887">
        <w:rPr>
          <w:rFonts w:cs="Times New Roman"/>
        </w:rPr>
        <w:t>served</w:t>
      </w:r>
      <w:r w:rsidRPr="00AA1887">
        <w:rPr>
          <w:rFonts w:cs="Times New Roman"/>
        </w:rPr>
        <w:t xml:space="preserve"> as an echo chamber for </w:t>
      </w:r>
      <w:r w:rsidRPr="00AA1887">
        <w:rPr>
          <w:rFonts w:cs="Times New Roman"/>
        </w:rPr>
        <w:lastRenderedPageBreak/>
        <w:t>presidential frustration over lack of progress in electricity generation</w:t>
      </w:r>
      <w:r w:rsidR="00233413" w:rsidRPr="00AA1887">
        <w:rPr>
          <w:rFonts w:cs="Times New Roman"/>
        </w:rPr>
        <w:t>.</w:t>
      </w:r>
      <w:r w:rsidRPr="00AA1887">
        <w:rPr>
          <w:rStyle w:val="FootnoteReference"/>
          <w:rFonts w:cs="Times New Roman"/>
        </w:rPr>
        <w:footnoteReference w:id="117"/>
      </w:r>
      <w:r w:rsidRPr="00AA1887">
        <w:rPr>
          <w:rFonts w:cs="Times New Roman"/>
        </w:rPr>
        <w:t xml:space="preserve"> </w:t>
      </w:r>
      <w:r w:rsidR="00884D23">
        <w:rPr>
          <w:rFonts w:cs="Times New Roman"/>
        </w:rPr>
        <w:t>T</w:t>
      </w:r>
      <w:r w:rsidR="004936B7" w:rsidRPr="00AA1887">
        <w:rPr>
          <w:rFonts w:cs="Times New Roman"/>
        </w:rPr>
        <w:t xml:space="preserve">he press hardly criticized </w:t>
      </w:r>
      <w:r w:rsidRPr="00AA1887">
        <w:rPr>
          <w:rFonts w:cs="Times New Roman"/>
        </w:rPr>
        <w:t>high electricity prices, low electricity access or projects’ quality</w:t>
      </w:r>
      <w:r w:rsidR="00413E35" w:rsidRPr="00AA1887">
        <w:rPr>
          <w:rFonts w:cs="Times New Roman"/>
        </w:rPr>
        <w:t>,</w:t>
      </w:r>
      <w:r w:rsidR="004936B7" w:rsidRPr="00AA1887">
        <w:rPr>
          <w:rFonts w:cs="Times New Roman"/>
        </w:rPr>
        <w:t xml:space="preserve"> or did so only after the government</w:t>
      </w:r>
      <w:r w:rsidRPr="00AA1887">
        <w:rPr>
          <w:rFonts w:cs="Times New Roman"/>
        </w:rPr>
        <w:t xml:space="preserve">. For example, negative </w:t>
      </w:r>
      <w:r w:rsidR="006D6478">
        <w:rPr>
          <w:rFonts w:cs="Times New Roman"/>
        </w:rPr>
        <w:t xml:space="preserve">news </w:t>
      </w:r>
      <w:r w:rsidRPr="00AA1887">
        <w:rPr>
          <w:rFonts w:cs="Times New Roman"/>
        </w:rPr>
        <w:t xml:space="preserve">stories on the </w:t>
      </w:r>
      <w:proofErr w:type="spellStart"/>
      <w:r w:rsidRPr="00AA1887">
        <w:rPr>
          <w:rFonts w:cs="Times New Roman"/>
        </w:rPr>
        <w:t>Gishoma</w:t>
      </w:r>
      <w:proofErr w:type="spellEnd"/>
      <w:r w:rsidRPr="00AA1887">
        <w:rPr>
          <w:rFonts w:cs="Times New Roman"/>
        </w:rPr>
        <w:t xml:space="preserve"> peat power plant only appeared after issues were raised by the president </w:t>
      </w:r>
      <w:r w:rsidR="004936B7" w:rsidRPr="00AA1887">
        <w:rPr>
          <w:rFonts w:cs="Times New Roman"/>
        </w:rPr>
        <w:t>and</w:t>
      </w:r>
      <w:r w:rsidRPr="00AA1887">
        <w:rPr>
          <w:rFonts w:cs="Times New Roman"/>
        </w:rPr>
        <w:t xml:space="preserve"> the Office of the Auditor General.</w:t>
      </w:r>
      <w:r w:rsidRPr="00AA1887">
        <w:rPr>
          <w:rStyle w:val="FootnoteReference"/>
          <w:rFonts w:cs="Times New Roman"/>
        </w:rPr>
        <w:footnoteReference w:id="118"/>
      </w:r>
      <w:r w:rsidRPr="00AA1887">
        <w:rPr>
          <w:rFonts w:cs="Times New Roman"/>
        </w:rPr>
        <w:t xml:space="preserve"> </w:t>
      </w:r>
      <w:r w:rsidR="00884D23">
        <w:rPr>
          <w:rFonts w:cs="Times New Roman"/>
        </w:rPr>
        <w:t xml:space="preserve">Similarly, </w:t>
      </w:r>
      <w:r w:rsidR="009E0CB1" w:rsidRPr="00AA1887">
        <w:rPr>
          <w:rFonts w:eastAsia="Times New Roman" w:cs="Times New Roman"/>
        </w:rPr>
        <w:t>bureaucratic performance contracts (</w:t>
      </w:r>
      <w:r w:rsidR="009762AD" w:rsidRPr="00AA1887">
        <w:rPr>
          <w:rFonts w:eastAsia="Times New Roman" w:cs="Times New Roman"/>
          <w:i/>
          <w:iCs/>
        </w:rPr>
        <w:t>i</w:t>
      </w:r>
      <w:r w:rsidR="009E0CB1" w:rsidRPr="00AA1887">
        <w:rPr>
          <w:rFonts w:eastAsia="Times New Roman" w:cs="Times New Roman"/>
          <w:i/>
          <w:iCs/>
        </w:rPr>
        <w:t>mihigo</w:t>
      </w:r>
      <w:r w:rsidR="009E0CB1" w:rsidRPr="00AA1887">
        <w:rPr>
          <w:rFonts w:eastAsia="Times New Roman" w:cs="Times New Roman"/>
        </w:rPr>
        <w:t xml:space="preserve">) created strong incentives for civil servants to narrowly focus on building electricity generation capacity and thus reinforced </w:t>
      </w:r>
      <w:r w:rsidR="009762AD" w:rsidRPr="00AA1887">
        <w:rPr>
          <w:rFonts w:eastAsia="Times New Roman" w:cs="Times New Roman"/>
        </w:rPr>
        <w:t xml:space="preserve">implementation capabilities and </w:t>
      </w:r>
      <w:r w:rsidR="004936B7" w:rsidRPr="00AA1887">
        <w:rPr>
          <w:rFonts w:eastAsia="Times New Roman" w:cs="Times New Roman"/>
        </w:rPr>
        <w:t xml:space="preserve">autonomy from </w:t>
      </w:r>
      <w:r w:rsidR="009762AD" w:rsidRPr="00AA1887">
        <w:rPr>
          <w:rFonts w:eastAsia="Times New Roman" w:cs="Times New Roman"/>
        </w:rPr>
        <w:t>societal concerns</w:t>
      </w:r>
      <w:r w:rsidR="004936B7" w:rsidRPr="00AA1887">
        <w:rPr>
          <w:rFonts w:eastAsia="Times New Roman" w:cs="Times New Roman"/>
        </w:rPr>
        <w:t xml:space="preserve">. </w:t>
      </w:r>
      <w:r w:rsidR="00614A8D" w:rsidRPr="00AA1887">
        <w:rPr>
          <w:rFonts w:eastAsia="Times New Roman" w:cs="Times New Roman"/>
        </w:rPr>
        <w:t xml:space="preserve">Paradoxically, </w:t>
      </w:r>
      <w:r w:rsidR="009762AD" w:rsidRPr="00AA1887">
        <w:rPr>
          <w:rFonts w:eastAsia="Times New Roman" w:cs="Times New Roman"/>
        </w:rPr>
        <w:t xml:space="preserve">in this context of a lack of bureaucratic </w:t>
      </w:r>
      <w:r w:rsidR="00851599" w:rsidRPr="00AA1887">
        <w:rPr>
          <w:rFonts w:eastAsia="Times New Roman" w:cs="Times New Roman"/>
        </w:rPr>
        <w:t xml:space="preserve">independence, </w:t>
      </w:r>
      <w:r w:rsidR="00884D23">
        <w:rPr>
          <w:rFonts w:eastAsia="Times New Roman" w:cs="Times New Roman"/>
        </w:rPr>
        <w:t>state capacity indicators</w:t>
      </w:r>
      <w:r w:rsidR="009762AD" w:rsidRPr="00AA1887">
        <w:rPr>
          <w:rFonts w:eastAsia="Times New Roman" w:cs="Times New Roman"/>
        </w:rPr>
        <w:t xml:space="preserve">, </w:t>
      </w:r>
      <w:r w:rsidR="009762AD" w:rsidRPr="00AA1887">
        <w:rPr>
          <w:rFonts w:cs="Times New Roman"/>
        </w:rPr>
        <w:t>usually</w:t>
      </w:r>
      <w:r w:rsidR="00614A8D" w:rsidRPr="00AA1887">
        <w:rPr>
          <w:rFonts w:cs="Times New Roman"/>
        </w:rPr>
        <w:t xml:space="preserve"> associated with developmental effectiveness</w:t>
      </w:r>
      <w:r w:rsidR="00C72C0F" w:rsidRPr="00AA1887">
        <w:rPr>
          <w:rFonts w:cs="Times New Roman"/>
        </w:rPr>
        <w:t>,</w:t>
      </w:r>
      <w:r w:rsidR="00614A8D" w:rsidRPr="00AA1887">
        <w:rPr>
          <w:rFonts w:eastAsia="Times New Roman" w:cs="Times New Roman"/>
        </w:rPr>
        <w:t xml:space="preserve"> </w:t>
      </w:r>
      <w:r w:rsidRPr="00AA1887">
        <w:rPr>
          <w:rFonts w:cs="Times New Roman"/>
        </w:rPr>
        <w:t xml:space="preserve">worsened the </w:t>
      </w:r>
      <w:r w:rsidR="004936B7" w:rsidRPr="00AA1887">
        <w:rPr>
          <w:rFonts w:cs="Times New Roman"/>
        </w:rPr>
        <w:t>electricity sector’s</w:t>
      </w:r>
      <w:r w:rsidRPr="00AA1887">
        <w:rPr>
          <w:rFonts w:cs="Times New Roman"/>
        </w:rPr>
        <w:t xml:space="preserve"> performance</w:t>
      </w:r>
      <w:r w:rsidR="00614A8D" w:rsidRPr="00AA1887">
        <w:rPr>
          <w:rFonts w:cs="Times New Roman"/>
        </w:rPr>
        <w:t xml:space="preserve"> </w:t>
      </w:r>
      <w:r w:rsidR="00C72C0F" w:rsidRPr="00AA1887">
        <w:rPr>
          <w:rFonts w:cs="Times New Roman"/>
        </w:rPr>
        <w:t xml:space="preserve">by facilitating </w:t>
      </w:r>
      <w:r w:rsidR="00884D23">
        <w:rPr>
          <w:rFonts w:cs="Times New Roman"/>
        </w:rPr>
        <w:t>the speed of</w:t>
      </w:r>
      <w:r w:rsidR="00884D23" w:rsidRPr="00AA1887">
        <w:rPr>
          <w:rFonts w:cs="Times New Roman"/>
        </w:rPr>
        <w:t xml:space="preserve"> </w:t>
      </w:r>
      <w:r w:rsidR="00C72C0F" w:rsidRPr="00AA1887">
        <w:rPr>
          <w:rFonts w:cs="Times New Roman"/>
        </w:rPr>
        <w:t>infrastructure construction</w:t>
      </w:r>
      <w:r w:rsidRPr="00AA1887">
        <w:rPr>
          <w:rFonts w:cs="Times New Roman"/>
        </w:rPr>
        <w:t xml:space="preserve">. </w:t>
      </w:r>
      <w:r w:rsidR="00E70075" w:rsidRPr="00AA1887">
        <w:rPr>
          <w:rFonts w:cs="Times New Roman"/>
        </w:rPr>
        <w:t xml:space="preserve">If the bureaucracy had more leeway to deploy its expertise and shape policymaking, it could have </w:t>
      </w:r>
      <w:r w:rsidR="00851599">
        <w:rPr>
          <w:rFonts w:cs="Times New Roman"/>
        </w:rPr>
        <w:t>changed electricity planning and managed project negotiations</w:t>
      </w:r>
      <w:r w:rsidR="00E70075" w:rsidRPr="00AA1887">
        <w:rPr>
          <w:rFonts w:cs="Times New Roman"/>
        </w:rPr>
        <w:t>.</w:t>
      </w:r>
    </w:p>
    <w:p w14:paraId="2918CA80" w14:textId="175C7A2F" w:rsidR="00920619" w:rsidRDefault="00D962DB" w:rsidP="00E32BB4">
      <w:pPr>
        <w:spacing w:line="480" w:lineRule="auto"/>
        <w:ind w:firstLine="720"/>
        <w:jc w:val="both"/>
        <w:rPr>
          <w:rFonts w:cs="Times New Roman"/>
        </w:rPr>
      </w:pPr>
      <w:r>
        <w:rPr>
          <w:rFonts w:cs="Times New Roman"/>
        </w:rPr>
        <w:t xml:space="preserve">Second, our </w:t>
      </w:r>
      <w:r w:rsidR="007369F7">
        <w:rPr>
          <w:rFonts w:cs="Times New Roman"/>
        </w:rPr>
        <w:t xml:space="preserve">argument </w:t>
      </w:r>
      <w:r w:rsidR="003668CF">
        <w:rPr>
          <w:rFonts w:cs="Times New Roman"/>
        </w:rPr>
        <w:t xml:space="preserve">could </w:t>
      </w:r>
      <w:r>
        <w:rPr>
          <w:rFonts w:cs="Times New Roman"/>
        </w:rPr>
        <w:t xml:space="preserve">be undermined if Rwanda’s </w:t>
      </w:r>
      <w:r w:rsidR="00206D30">
        <w:rPr>
          <w:rFonts w:cs="Times New Roman"/>
        </w:rPr>
        <w:t xml:space="preserve">electricity </w:t>
      </w:r>
      <w:r w:rsidR="003668CF">
        <w:rPr>
          <w:rFonts w:cs="Times New Roman"/>
        </w:rPr>
        <w:t>issues are merely temporary, a blip that will iron out</w:t>
      </w:r>
      <w:r>
        <w:rPr>
          <w:rFonts w:cs="Times New Roman"/>
        </w:rPr>
        <w:t xml:space="preserve"> through learning and adaptation</w:t>
      </w:r>
      <w:r w:rsidR="00851599">
        <w:rPr>
          <w:rFonts w:cs="Times New Roman"/>
        </w:rPr>
        <w:t>.</w:t>
      </w:r>
      <w:r w:rsidR="003668CF">
        <w:rPr>
          <w:rFonts w:cs="Times New Roman"/>
        </w:rPr>
        <w:t xml:space="preserve"> I</w:t>
      </w:r>
      <w:r w:rsidR="00851599">
        <w:rPr>
          <w:rFonts w:cs="Times New Roman"/>
        </w:rPr>
        <w:t>ndeed,</w:t>
      </w:r>
      <w:r w:rsidR="00E70075" w:rsidRPr="00AA1887">
        <w:rPr>
          <w:rFonts w:cs="Times New Roman"/>
        </w:rPr>
        <w:t xml:space="preserve"> </w:t>
      </w:r>
      <w:r w:rsidR="003668CF">
        <w:rPr>
          <w:rFonts w:cs="Times New Roman"/>
        </w:rPr>
        <w:t>adaptation</w:t>
      </w:r>
      <w:r w:rsidR="003668CF" w:rsidRPr="00AA1887">
        <w:rPr>
          <w:rFonts w:cs="Times New Roman"/>
        </w:rPr>
        <w:t xml:space="preserve"> </w:t>
      </w:r>
      <w:r w:rsidR="00851599">
        <w:rPr>
          <w:rFonts w:cs="Times New Roman"/>
        </w:rPr>
        <w:t>occurred</w:t>
      </w:r>
      <w:r w:rsidR="00E70075" w:rsidRPr="00AA1887">
        <w:rPr>
          <w:rFonts w:cs="Times New Roman"/>
        </w:rPr>
        <w:t>: policy changes between 2016 and 2018 publicly acknowledged issues with contracting and demand forecasts</w:t>
      </w:r>
      <w:r w:rsidR="00E32BB4">
        <w:rPr>
          <w:rFonts w:cs="Times New Roman"/>
        </w:rPr>
        <w:t xml:space="preserve"> and the need to centralise contracting of PPAs to ensure strategic coherence</w:t>
      </w:r>
      <w:r w:rsidR="00E70075" w:rsidRPr="00AA1887">
        <w:rPr>
          <w:rFonts w:cs="Times New Roman"/>
        </w:rPr>
        <w:t>. However, these</w:t>
      </w:r>
      <w:r w:rsidR="000B2B39">
        <w:rPr>
          <w:rFonts w:cs="Times New Roman"/>
        </w:rPr>
        <w:t>, as well as the revision of the 1000MW target,</w:t>
      </w:r>
      <w:r w:rsidR="00E70075" w:rsidRPr="00AA1887">
        <w:rPr>
          <w:rFonts w:cs="Times New Roman"/>
        </w:rPr>
        <w:t xml:space="preserve"> </w:t>
      </w:r>
      <w:r w:rsidR="000B2B39">
        <w:rPr>
          <w:rFonts w:cs="Times New Roman"/>
        </w:rPr>
        <w:t xml:space="preserve">only </w:t>
      </w:r>
      <w:r w:rsidR="00851599">
        <w:rPr>
          <w:rFonts w:cs="Times New Roman"/>
        </w:rPr>
        <w:t>occurred when top politicians</w:t>
      </w:r>
      <w:r w:rsidR="000B2B39">
        <w:rPr>
          <w:rFonts w:cs="Times New Roman"/>
        </w:rPr>
        <w:t>, and</w:t>
      </w:r>
      <w:r w:rsidR="006D6478">
        <w:rPr>
          <w:rFonts w:cs="Times New Roman"/>
        </w:rPr>
        <w:t xml:space="preserve">, </w:t>
      </w:r>
      <w:r w:rsidR="00410F97">
        <w:rPr>
          <w:rFonts w:cs="Times New Roman"/>
        </w:rPr>
        <w:t>crucially</w:t>
      </w:r>
      <w:r w:rsidR="006D6478">
        <w:rPr>
          <w:rFonts w:cs="Times New Roman"/>
        </w:rPr>
        <w:t>,</w:t>
      </w:r>
      <w:r w:rsidR="00410F97">
        <w:rPr>
          <w:rFonts w:cs="Times New Roman"/>
        </w:rPr>
        <w:t xml:space="preserve"> </w:t>
      </w:r>
      <w:r w:rsidR="000B2B39">
        <w:rPr>
          <w:rFonts w:cs="Times New Roman"/>
        </w:rPr>
        <w:t xml:space="preserve">the </w:t>
      </w:r>
      <w:r w:rsidR="006D6478">
        <w:rPr>
          <w:rFonts w:cs="Times New Roman"/>
        </w:rPr>
        <w:t>p</w:t>
      </w:r>
      <w:r w:rsidR="00410F97">
        <w:rPr>
          <w:rFonts w:cs="Times New Roman"/>
        </w:rPr>
        <w:t>resident</w:t>
      </w:r>
      <w:r w:rsidR="000B2B39">
        <w:rPr>
          <w:rFonts w:cs="Times New Roman"/>
        </w:rPr>
        <w:t>,</w:t>
      </w:r>
      <w:r w:rsidR="000F634F">
        <w:rPr>
          <w:rFonts w:cs="Times New Roman"/>
        </w:rPr>
        <w:t xml:space="preserve"> finally realised the issue and</w:t>
      </w:r>
      <w:r w:rsidR="00851599">
        <w:rPr>
          <w:rFonts w:cs="Times New Roman"/>
        </w:rPr>
        <w:t xml:space="preserve"> </w:t>
      </w:r>
      <w:r w:rsidR="00E32BB4">
        <w:rPr>
          <w:rFonts w:cs="Times New Roman"/>
        </w:rPr>
        <w:t>questioned targets,</w:t>
      </w:r>
      <w:r w:rsidR="000B2B39">
        <w:rPr>
          <w:rFonts w:cs="Times New Roman"/>
        </w:rPr>
        <w:t xml:space="preserve"> not because of continuous </w:t>
      </w:r>
      <w:r w:rsidR="00E32BB4">
        <w:rPr>
          <w:rFonts w:cs="Times New Roman"/>
        </w:rPr>
        <w:t xml:space="preserve">civil-service </w:t>
      </w:r>
      <w:r w:rsidR="003821AD">
        <w:rPr>
          <w:rFonts w:cs="Times New Roman"/>
        </w:rPr>
        <w:t>concerns</w:t>
      </w:r>
      <w:r w:rsidR="000B2B39">
        <w:rPr>
          <w:rFonts w:cs="Times New Roman"/>
        </w:rPr>
        <w:t xml:space="preserve">. </w:t>
      </w:r>
      <w:proofErr w:type="gramStart"/>
      <w:r w:rsidR="00E32BB4">
        <w:rPr>
          <w:rFonts w:cs="Times New Roman"/>
        </w:rPr>
        <w:t>Moreover</w:t>
      </w:r>
      <w:proofErr w:type="gramEnd"/>
      <w:r w:rsidR="00E32BB4">
        <w:rPr>
          <w:rFonts w:cs="Times New Roman"/>
        </w:rPr>
        <w:t xml:space="preserve"> they came too late to p</w:t>
      </w:r>
      <w:r w:rsidR="00E70075" w:rsidRPr="00AA1887">
        <w:rPr>
          <w:rFonts w:cs="Times New Roman"/>
        </w:rPr>
        <w:t xml:space="preserve">revent </w:t>
      </w:r>
      <w:r w:rsidR="00E32BB4">
        <w:rPr>
          <w:rFonts w:cs="Times New Roman"/>
        </w:rPr>
        <w:t>a</w:t>
      </w:r>
      <w:r w:rsidR="00E32BB4" w:rsidRPr="00AA1887">
        <w:rPr>
          <w:rFonts w:cs="Times New Roman"/>
        </w:rPr>
        <w:t xml:space="preserve"> </w:t>
      </w:r>
      <w:r w:rsidR="00E70075" w:rsidRPr="00AA1887">
        <w:rPr>
          <w:rFonts w:cs="Times New Roman"/>
        </w:rPr>
        <w:t>fiscal and oversupply crisis</w:t>
      </w:r>
      <w:r w:rsidR="00E32BB4">
        <w:rPr>
          <w:rFonts w:cs="Times New Roman"/>
        </w:rPr>
        <w:t xml:space="preserve"> set to last until 2030 at the earliest</w:t>
      </w:r>
      <w:r w:rsidR="00E70075" w:rsidRPr="00AA1887">
        <w:rPr>
          <w:rFonts w:cs="Times New Roman"/>
        </w:rPr>
        <w:t>.</w:t>
      </w:r>
      <w:r w:rsidR="00500EAC">
        <w:rPr>
          <w:rFonts w:cs="Times New Roman"/>
        </w:rPr>
        <w:t xml:space="preserve"> Delayed adaptation did not therefore resol</w:t>
      </w:r>
      <w:r w:rsidR="000F634F">
        <w:rPr>
          <w:rFonts w:cs="Times New Roman"/>
        </w:rPr>
        <w:t>v</w:t>
      </w:r>
      <w:r w:rsidR="00500EAC">
        <w:rPr>
          <w:rFonts w:cs="Times New Roman"/>
        </w:rPr>
        <w:t>e the sector’s crisis revealing</w:t>
      </w:r>
      <w:r w:rsidR="000B2B39">
        <w:rPr>
          <w:rFonts w:cs="Times New Roman"/>
        </w:rPr>
        <w:t xml:space="preserve"> how </w:t>
      </w:r>
      <w:r w:rsidR="00500EAC">
        <w:rPr>
          <w:rFonts w:cs="Times New Roman"/>
        </w:rPr>
        <w:t xml:space="preserve">a </w:t>
      </w:r>
      <w:r w:rsidR="000B2B39">
        <w:rPr>
          <w:rFonts w:cs="Times New Roman"/>
        </w:rPr>
        <w:t xml:space="preserve">lack of bureaucratic independence creates fragility </w:t>
      </w:r>
      <w:r w:rsidR="00500EAC">
        <w:rPr>
          <w:rFonts w:cs="Times New Roman"/>
        </w:rPr>
        <w:t xml:space="preserve">in </w:t>
      </w:r>
      <w:r w:rsidR="000B2B39">
        <w:rPr>
          <w:rFonts w:cs="Times New Roman"/>
        </w:rPr>
        <w:t>Rwanda.</w:t>
      </w:r>
    </w:p>
    <w:p w14:paraId="4EE3912E" w14:textId="3E22BA89" w:rsidR="002C6CB0" w:rsidRPr="00AA1887" w:rsidRDefault="00920619" w:rsidP="00920619">
      <w:pPr>
        <w:spacing w:line="480" w:lineRule="auto"/>
        <w:ind w:firstLine="720"/>
        <w:jc w:val="both"/>
        <w:rPr>
          <w:rFonts w:cs="Times New Roman"/>
        </w:rPr>
      </w:pPr>
      <w:r>
        <w:rPr>
          <w:rFonts w:cs="Times New Roman"/>
        </w:rPr>
        <w:lastRenderedPageBreak/>
        <w:t xml:space="preserve">A third </w:t>
      </w:r>
      <w:r w:rsidRPr="00AA1887">
        <w:rPr>
          <w:rFonts w:cs="Times New Roman"/>
        </w:rPr>
        <w:t xml:space="preserve">competing </w:t>
      </w:r>
      <w:r>
        <w:rPr>
          <w:rFonts w:cs="Times New Roman"/>
        </w:rPr>
        <w:t xml:space="preserve">explanation </w:t>
      </w:r>
      <w:r w:rsidRPr="00AA1887">
        <w:rPr>
          <w:rFonts w:cs="Times New Roman"/>
        </w:rPr>
        <w:t xml:space="preserve">could be that Rwanda’s strategy, although imperfect, was simply to create the supply of electricity before demand to spur growth. Whatever the relevance of such </w:t>
      </w:r>
      <w:r w:rsidR="002A3E3B">
        <w:rPr>
          <w:rFonts w:cs="Times New Roman"/>
        </w:rPr>
        <w:t xml:space="preserve">a </w:t>
      </w:r>
      <w:r w:rsidRPr="00AA1887">
        <w:rPr>
          <w:rFonts w:cs="Times New Roman"/>
        </w:rPr>
        <w:t>strategy</w:t>
      </w:r>
      <w:r w:rsidR="00420F24">
        <w:rPr>
          <w:rFonts w:cs="Times New Roman"/>
        </w:rPr>
        <w:t xml:space="preserve"> (and evidence shows that it might be a bad one)</w:t>
      </w:r>
      <w:r w:rsidRPr="00AA1887">
        <w:rPr>
          <w:rFonts w:cs="Times New Roman"/>
        </w:rPr>
        <w:t>,</w:t>
      </w:r>
      <w:r w:rsidR="00420F24">
        <w:rPr>
          <w:rStyle w:val="FootnoteReference"/>
          <w:rFonts w:cs="Times New Roman"/>
        </w:rPr>
        <w:footnoteReference w:id="119"/>
      </w:r>
      <w:r w:rsidRPr="00AA1887">
        <w:rPr>
          <w:rFonts w:cs="Times New Roman"/>
        </w:rPr>
        <w:t xml:space="preserve"> process-tracing of key decisions shows that</w:t>
      </w:r>
      <w:r w:rsidR="008568D3">
        <w:rPr>
          <w:rFonts w:cs="Times New Roman"/>
        </w:rPr>
        <w:t xml:space="preserve"> </w:t>
      </w:r>
      <w:r w:rsidR="00BA4039">
        <w:rPr>
          <w:rFonts w:cs="Times New Roman"/>
        </w:rPr>
        <w:t>targets ran</w:t>
      </w:r>
      <w:r w:rsidR="008568D3">
        <w:rPr>
          <w:rFonts w:cs="Times New Roman"/>
        </w:rPr>
        <w:t xml:space="preserve"> counter to </w:t>
      </w:r>
      <w:r>
        <w:rPr>
          <w:rFonts w:cs="Times New Roman"/>
        </w:rPr>
        <w:t>technical input</w:t>
      </w:r>
      <w:r w:rsidR="008568D3">
        <w:rPr>
          <w:rFonts w:cs="Times New Roman"/>
        </w:rPr>
        <w:t>s</w:t>
      </w:r>
      <w:r w:rsidR="00BA4039">
        <w:rPr>
          <w:rFonts w:cs="Times New Roman"/>
        </w:rPr>
        <w:t xml:space="preserve"> and even the most optimistic industrialisation forecasts</w:t>
      </w:r>
      <w:r w:rsidRPr="00AA1887">
        <w:rPr>
          <w:rFonts w:cs="Times New Roman"/>
        </w:rPr>
        <w:t>.</w:t>
      </w:r>
      <w:r>
        <w:rPr>
          <w:rFonts w:cs="Times New Roman"/>
        </w:rPr>
        <w:t xml:space="preserve"> </w:t>
      </w:r>
      <w:r w:rsidR="00BA4039">
        <w:rPr>
          <w:rFonts w:cs="Times New Roman"/>
        </w:rPr>
        <w:t>H</w:t>
      </w:r>
      <w:r>
        <w:rPr>
          <w:rFonts w:cs="Times New Roman"/>
        </w:rPr>
        <w:t>igh modernist ideology</w:t>
      </w:r>
      <w:r w:rsidR="00BA4039">
        <w:rPr>
          <w:rFonts w:cs="Times New Roman"/>
        </w:rPr>
        <w:t>,</w:t>
      </w:r>
      <w:r>
        <w:rPr>
          <w:rFonts w:cs="Times New Roman"/>
        </w:rPr>
        <w:t xml:space="preserve"> highlighted </w:t>
      </w:r>
      <w:r w:rsidR="00BA4039">
        <w:rPr>
          <w:rFonts w:cs="Times New Roman"/>
        </w:rPr>
        <w:t xml:space="preserve">above </w:t>
      </w:r>
      <w:r>
        <w:rPr>
          <w:rFonts w:cs="Times New Roman"/>
        </w:rPr>
        <w:t>in the literature on Rwanda</w:t>
      </w:r>
      <w:r w:rsidR="00BA4039">
        <w:rPr>
          <w:rFonts w:cs="Times New Roman"/>
        </w:rPr>
        <w:t>, appears relevant here</w:t>
      </w:r>
      <w:r>
        <w:rPr>
          <w:rFonts w:cs="Times New Roman"/>
        </w:rPr>
        <w:t xml:space="preserve">. Top politicians, </w:t>
      </w:r>
      <w:r w:rsidR="00776B80">
        <w:rPr>
          <w:rFonts w:cs="Times New Roman"/>
        </w:rPr>
        <w:t>unchallenged by</w:t>
      </w:r>
      <w:r>
        <w:rPr>
          <w:rFonts w:cs="Times New Roman"/>
        </w:rPr>
        <w:t xml:space="preserve"> the professional opinion of bureaucrats, </w:t>
      </w:r>
      <w:r w:rsidR="003821AD">
        <w:rPr>
          <w:rFonts w:cs="Times New Roman"/>
        </w:rPr>
        <w:t xml:space="preserve">had confidence </w:t>
      </w:r>
      <w:r w:rsidR="00BA4039">
        <w:rPr>
          <w:rFonts w:cs="Times New Roman"/>
        </w:rPr>
        <w:t>in electricity</w:t>
      </w:r>
      <w:r w:rsidR="003821AD">
        <w:rPr>
          <w:rFonts w:cs="Times New Roman"/>
        </w:rPr>
        <w:t xml:space="preserve"> technology’s ability to singularly overcome structural constraints and </w:t>
      </w:r>
      <w:r>
        <w:rPr>
          <w:rFonts w:cs="Times New Roman"/>
        </w:rPr>
        <w:t xml:space="preserve">wanted </w:t>
      </w:r>
      <w:r w:rsidR="003821AD">
        <w:rPr>
          <w:rFonts w:cs="Times New Roman"/>
        </w:rPr>
        <w:t xml:space="preserve">to project modernity through </w:t>
      </w:r>
      <w:r>
        <w:rPr>
          <w:rFonts w:cs="Times New Roman"/>
        </w:rPr>
        <w:t>ambitious targets</w:t>
      </w:r>
      <w:r w:rsidR="003821AD">
        <w:rPr>
          <w:rStyle w:val="FootnoteReference"/>
          <w:rFonts w:cs="Times New Roman"/>
        </w:rPr>
        <w:footnoteReference w:id="120"/>
      </w:r>
      <w:r>
        <w:rPr>
          <w:rFonts w:cs="Times New Roman"/>
        </w:rPr>
        <w:t xml:space="preserve">. </w:t>
      </w:r>
    </w:p>
    <w:p w14:paraId="60977190" w14:textId="51C80862" w:rsidR="00E70075" w:rsidRPr="00AA1887" w:rsidRDefault="00D962DB" w:rsidP="00EE586D">
      <w:pPr>
        <w:spacing w:line="480" w:lineRule="auto"/>
        <w:ind w:firstLine="720"/>
        <w:jc w:val="both"/>
        <w:rPr>
          <w:rFonts w:cs="Times New Roman"/>
        </w:rPr>
      </w:pPr>
      <w:r>
        <w:rPr>
          <w:rFonts w:cs="Times New Roman"/>
        </w:rPr>
        <w:t xml:space="preserve">A </w:t>
      </w:r>
      <w:r w:rsidR="00920619">
        <w:rPr>
          <w:rFonts w:cs="Times New Roman"/>
        </w:rPr>
        <w:t>fourth</w:t>
      </w:r>
      <w:r>
        <w:rPr>
          <w:rFonts w:cs="Times New Roman"/>
        </w:rPr>
        <w:t xml:space="preserve"> counter argument could claim that the </w:t>
      </w:r>
      <w:r w:rsidR="004F2BB5" w:rsidRPr="00AA1887">
        <w:rPr>
          <w:rFonts w:cs="Times New Roman"/>
        </w:rPr>
        <w:t xml:space="preserve">electricity sector </w:t>
      </w:r>
      <w:r>
        <w:rPr>
          <w:rFonts w:cs="Times New Roman"/>
        </w:rPr>
        <w:t>is</w:t>
      </w:r>
      <w:r w:rsidRPr="00AA1887">
        <w:rPr>
          <w:rFonts w:cs="Times New Roman"/>
        </w:rPr>
        <w:t xml:space="preserve"> </w:t>
      </w:r>
      <w:r w:rsidR="004F2BB5" w:rsidRPr="00AA1887">
        <w:rPr>
          <w:rFonts w:cs="Times New Roman"/>
        </w:rPr>
        <w:t xml:space="preserve">not representative. </w:t>
      </w:r>
      <w:r w:rsidR="00C05789">
        <w:rPr>
          <w:rFonts w:cs="Times New Roman"/>
        </w:rPr>
        <w:t>However, we find the opposite</w:t>
      </w:r>
      <w:r w:rsidR="00BF2ECF">
        <w:rPr>
          <w:rFonts w:cs="Times New Roman"/>
        </w:rPr>
        <w:t>.</w:t>
      </w:r>
      <w:r w:rsidR="00C05789" w:rsidRPr="00C05789">
        <w:rPr>
          <w:rFonts w:cs="Times New Roman"/>
        </w:rPr>
        <w:t xml:space="preserve"> </w:t>
      </w:r>
      <w:r w:rsidR="00D0717B">
        <w:rPr>
          <w:rFonts w:cs="Times New Roman"/>
        </w:rPr>
        <w:t>For instance in education policy,</w:t>
      </w:r>
      <w:r w:rsidR="00D0717B" w:rsidRPr="00AA1887">
        <w:rPr>
          <w:rFonts w:cs="Times New Roman"/>
        </w:rPr>
        <w:t xml:space="preserve"> </w:t>
      </w:r>
      <w:r w:rsidR="00C05789" w:rsidRPr="00AA1887">
        <w:rPr>
          <w:rFonts w:cs="Times New Roman"/>
        </w:rPr>
        <w:t>Williams show</w:t>
      </w:r>
      <w:r w:rsidR="00C05789">
        <w:rPr>
          <w:rFonts w:cs="Times New Roman"/>
        </w:rPr>
        <w:t>s</w:t>
      </w:r>
      <w:r w:rsidR="00D0717B">
        <w:rPr>
          <w:rFonts w:cs="Times New Roman"/>
        </w:rPr>
        <w:t xml:space="preserve"> that the</w:t>
      </w:r>
      <w:r w:rsidR="00C05789" w:rsidRPr="00AA1887">
        <w:rPr>
          <w:rFonts w:cs="Times New Roman"/>
        </w:rPr>
        <w:t xml:space="preserve"> </w:t>
      </w:r>
      <w:r w:rsidR="00D0717B">
        <w:rPr>
          <w:rFonts w:cs="Times New Roman"/>
        </w:rPr>
        <w:t>“</w:t>
      </w:r>
      <w:r w:rsidR="00C05789" w:rsidRPr="00AA1887">
        <w:rPr>
          <w:rFonts w:cs="Times New Roman"/>
        </w:rPr>
        <w:t>12 Years Basic Education</w:t>
      </w:r>
      <w:r w:rsidR="00D0717B">
        <w:rPr>
          <w:rFonts w:cs="Times New Roman"/>
        </w:rPr>
        <w:t>”</w:t>
      </w:r>
      <w:r w:rsidR="00C05789">
        <w:rPr>
          <w:rFonts w:cs="Times New Roman"/>
        </w:rPr>
        <w:t xml:space="preserve"> policy</w:t>
      </w:r>
      <w:r w:rsidR="00BF2ECF">
        <w:rPr>
          <w:rFonts w:cs="Times New Roman"/>
        </w:rPr>
        <w:t xml:space="preserve">, and </w:t>
      </w:r>
      <w:r w:rsidR="00D0717B">
        <w:rPr>
          <w:rFonts w:cs="Times New Roman"/>
        </w:rPr>
        <w:t>a</w:t>
      </w:r>
      <w:r w:rsidR="00BF2ECF">
        <w:rPr>
          <w:rFonts w:cs="Times New Roman"/>
        </w:rPr>
        <w:t xml:space="preserve"> switch from</w:t>
      </w:r>
      <w:r w:rsidR="00D0717B">
        <w:rPr>
          <w:rFonts w:cs="Times New Roman"/>
        </w:rPr>
        <w:t xml:space="preserve"> teaching in</w:t>
      </w:r>
      <w:r w:rsidR="00C05789">
        <w:rPr>
          <w:rFonts w:cs="Times New Roman"/>
        </w:rPr>
        <w:t xml:space="preserve"> </w:t>
      </w:r>
      <w:r w:rsidR="00BF2ECF" w:rsidRPr="00AA1887">
        <w:rPr>
          <w:rFonts w:cs="Times New Roman"/>
        </w:rPr>
        <w:t>French to English in 2008</w:t>
      </w:r>
      <w:r w:rsidR="00BF2ECF">
        <w:rPr>
          <w:rFonts w:cs="Times New Roman"/>
        </w:rPr>
        <w:t>,</w:t>
      </w:r>
      <w:r w:rsidR="00BF2ECF" w:rsidRPr="00AA1887">
        <w:rPr>
          <w:rFonts w:cs="Times New Roman"/>
        </w:rPr>
        <w:t xml:space="preserve"> </w:t>
      </w:r>
      <w:r w:rsidR="00D7578B">
        <w:rPr>
          <w:rFonts w:cs="Times New Roman"/>
        </w:rPr>
        <w:t>emanated</w:t>
      </w:r>
      <w:r w:rsidR="00D0717B" w:rsidRPr="00AA1887">
        <w:rPr>
          <w:rFonts w:cs="Times New Roman"/>
        </w:rPr>
        <w:t xml:space="preserve"> </w:t>
      </w:r>
      <w:r w:rsidR="00C05789" w:rsidRPr="00AA1887">
        <w:rPr>
          <w:rFonts w:cs="Times New Roman"/>
        </w:rPr>
        <w:t xml:space="preserve">directly from the presidency, with </w:t>
      </w:r>
      <w:r w:rsidR="00BF2ECF">
        <w:rPr>
          <w:rFonts w:cs="Times New Roman"/>
        </w:rPr>
        <w:t>little</w:t>
      </w:r>
      <w:r w:rsidR="00C05789" w:rsidRPr="00AA1887">
        <w:rPr>
          <w:rFonts w:cs="Times New Roman"/>
        </w:rPr>
        <w:t xml:space="preserve"> </w:t>
      </w:r>
      <w:r w:rsidR="00BF2ECF" w:rsidRPr="00AA1887">
        <w:rPr>
          <w:rFonts w:cs="Times New Roman"/>
        </w:rPr>
        <w:t xml:space="preserve">bureaucratic </w:t>
      </w:r>
      <w:r w:rsidR="00BF2ECF">
        <w:rPr>
          <w:rFonts w:cs="Times New Roman"/>
        </w:rPr>
        <w:t>input or</w:t>
      </w:r>
      <w:r w:rsidR="00BF2ECF" w:rsidRPr="00AA1887">
        <w:rPr>
          <w:rFonts w:cs="Times New Roman"/>
        </w:rPr>
        <w:t xml:space="preserve"> </w:t>
      </w:r>
      <w:r w:rsidR="00C05789" w:rsidRPr="00AA1887">
        <w:rPr>
          <w:rFonts w:cs="Times New Roman"/>
        </w:rPr>
        <w:t>consultation.</w:t>
      </w:r>
      <w:r w:rsidR="00C05789" w:rsidRPr="00AA1887">
        <w:rPr>
          <w:rStyle w:val="FootnoteReference"/>
          <w:rFonts w:cs="Times New Roman"/>
        </w:rPr>
        <w:footnoteReference w:id="121"/>
      </w:r>
      <w:r w:rsidR="00BF2ECF">
        <w:rPr>
          <w:rFonts w:cs="Times New Roman"/>
        </w:rPr>
        <w:t xml:space="preserve"> </w:t>
      </w:r>
      <w:r w:rsidR="000F634F">
        <w:rPr>
          <w:rFonts w:cs="Times New Roman"/>
        </w:rPr>
        <w:t>T</w:t>
      </w:r>
      <w:r w:rsidR="0077575E">
        <w:rPr>
          <w:rFonts w:cs="Times New Roman"/>
        </w:rPr>
        <w:t xml:space="preserve">his has </w:t>
      </w:r>
      <w:r w:rsidR="000F634F">
        <w:rPr>
          <w:rFonts w:cs="Times New Roman"/>
        </w:rPr>
        <w:t xml:space="preserve">had </w:t>
      </w:r>
      <w:r w:rsidR="0077575E">
        <w:rPr>
          <w:rFonts w:cs="Times New Roman"/>
        </w:rPr>
        <w:t>impacts on educational quality: the</w:t>
      </w:r>
      <w:r w:rsidR="00C05789" w:rsidRPr="00AA1887">
        <w:rPr>
          <w:rFonts w:cs="Times New Roman"/>
        </w:rPr>
        <w:t xml:space="preserve"> </w:t>
      </w:r>
      <w:r w:rsidR="003F399E">
        <w:rPr>
          <w:rFonts w:cs="Times New Roman"/>
        </w:rPr>
        <w:t>‘</w:t>
      </w:r>
      <w:r w:rsidR="00C05789" w:rsidRPr="00AA1887">
        <w:rPr>
          <w:rFonts w:cs="Times New Roman"/>
        </w:rPr>
        <w:t>strong political will of the President and political elite, coupled with a lack of real opposition or pushback, has enabled it to introduce transformative educational policies—but in a way that has evidently prioritized access and expansion over quality.</w:t>
      </w:r>
      <w:r w:rsidR="003F399E">
        <w:rPr>
          <w:rFonts w:cs="Times New Roman"/>
        </w:rPr>
        <w:t>’</w:t>
      </w:r>
      <w:r w:rsidR="00C05789" w:rsidRPr="00AA1887">
        <w:rPr>
          <w:rStyle w:val="FootnoteReference"/>
          <w:rFonts w:cs="Times New Roman"/>
        </w:rPr>
        <w:footnoteReference w:id="122"/>
      </w:r>
      <w:r w:rsidR="00C05789" w:rsidRPr="00AA1887">
        <w:rPr>
          <w:rFonts w:cs="Times New Roman"/>
        </w:rPr>
        <w:t xml:space="preserve"> Similarly, the headlong pursuit of monocropping</w:t>
      </w:r>
      <w:r w:rsidR="0077575E">
        <w:rPr>
          <w:rFonts w:cs="Times New Roman"/>
        </w:rPr>
        <w:t xml:space="preserve"> in the agricultur</w:t>
      </w:r>
      <w:r w:rsidR="008B5DC6">
        <w:rPr>
          <w:rFonts w:cs="Times New Roman"/>
        </w:rPr>
        <w:t>al</w:t>
      </w:r>
      <w:r w:rsidR="0077575E">
        <w:rPr>
          <w:rFonts w:cs="Times New Roman"/>
        </w:rPr>
        <w:t xml:space="preserve"> sector, despite expert warnings, </w:t>
      </w:r>
      <w:r w:rsidR="00C05789" w:rsidRPr="00AA1887">
        <w:rPr>
          <w:rFonts w:cs="Times New Roman"/>
        </w:rPr>
        <w:t xml:space="preserve">led to </w:t>
      </w:r>
      <w:r w:rsidR="00F81572">
        <w:rPr>
          <w:rFonts w:cs="Times New Roman"/>
        </w:rPr>
        <w:t>crop</w:t>
      </w:r>
      <w:r w:rsidR="00F81572" w:rsidRPr="00AA1887">
        <w:rPr>
          <w:rFonts w:cs="Times New Roman"/>
        </w:rPr>
        <w:t xml:space="preserve"> </w:t>
      </w:r>
      <w:r w:rsidR="0077575E" w:rsidRPr="00AA1887">
        <w:rPr>
          <w:rFonts w:cs="Times New Roman"/>
        </w:rPr>
        <w:t xml:space="preserve">production </w:t>
      </w:r>
      <w:r w:rsidR="00C05789" w:rsidRPr="00AA1887">
        <w:rPr>
          <w:rFonts w:cs="Times New Roman"/>
        </w:rPr>
        <w:t xml:space="preserve">stagnation </w:t>
      </w:r>
      <w:r w:rsidR="0077575E">
        <w:rPr>
          <w:rFonts w:cs="Times New Roman"/>
        </w:rPr>
        <w:t>and the</w:t>
      </w:r>
      <w:r w:rsidR="00C05789" w:rsidRPr="00AA1887">
        <w:rPr>
          <w:rFonts w:cs="Times New Roman"/>
        </w:rPr>
        <w:t xml:space="preserve"> manipulation of data to hide </w:t>
      </w:r>
      <w:r w:rsidR="0077575E">
        <w:rPr>
          <w:rFonts w:cs="Times New Roman"/>
        </w:rPr>
        <w:t>it</w:t>
      </w:r>
      <w:r w:rsidR="00C05789" w:rsidRPr="00AA1887">
        <w:rPr>
          <w:rFonts w:cs="Times New Roman"/>
        </w:rPr>
        <w:t>. As Heinen</w:t>
      </w:r>
      <w:r w:rsidR="0077575E">
        <w:rPr>
          <w:rFonts w:cs="Times New Roman"/>
        </w:rPr>
        <w:t xml:space="preserve"> notes</w:t>
      </w:r>
      <w:r w:rsidR="00C05789">
        <w:rPr>
          <w:rFonts w:cs="Times New Roman"/>
        </w:rPr>
        <w:t>,</w:t>
      </w:r>
      <w:r w:rsidR="00C05789" w:rsidRPr="00AA1887">
        <w:rPr>
          <w:rFonts w:cs="Times New Roman"/>
        </w:rPr>
        <w:t xml:space="preserve"> </w:t>
      </w:r>
      <w:r w:rsidR="003F399E">
        <w:rPr>
          <w:rFonts w:cs="Times New Roman"/>
        </w:rPr>
        <w:t>‘</w:t>
      </w:r>
      <w:r w:rsidR="00C05789" w:rsidRPr="00AA1887">
        <w:rPr>
          <w:rFonts w:cs="Times New Roman"/>
        </w:rPr>
        <w:t>the ruling elite’s unrealistically high expectations coupled with its uncompromising enforcement [of monocropping and land consolidation] may have encouraged agronomists to command peasants to report high yield growth results</w:t>
      </w:r>
      <w:r w:rsidR="003F399E">
        <w:rPr>
          <w:rFonts w:cs="Times New Roman"/>
        </w:rPr>
        <w:t>’</w:t>
      </w:r>
      <w:r w:rsidR="00C05789">
        <w:rPr>
          <w:rFonts w:cs="Times New Roman"/>
        </w:rPr>
        <w:t xml:space="preserve"> in a context were agricultural production </w:t>
      </w:r>
      <w:r w:rsidR="00F81572">
        <w:rPr>
          <w:rFonts w:cs="Times New Roman"/>
        </w:rPr>
        <w:t xml:space="preserve">in reality </w:t>
      </w:r>
      <w:r w:rsidR="00C05789">
        <w:rPr>
          <w:rFonts w:cs="Times New Roman"/>
        </w:rPr>
        <w:t>stagnated.</w:t>
      </w:r>
      <w:r w:rsidR="00C05789" w:rsidRPr="00AA1887">
        <w:rPr>
          <w:rStyle w:val="FootnoteReference"/>
          <w:rFonts w:cs="Times New Roman"/>
        </w:rPr>
        <w:footnoteReference w:id="123"/>
      </w:r>
      <w:r w:rsidR="0077575E">
        <w:rPr>
          <w:rFonts w:cs="Times New Roman"/>
        </w:rPr>
        <w:t xml:space="preserve"> </w:t>
      </w:r>
      <w:r w:rsidR="00352D71">
        <w:rPr>
          <w:rFonts w:cs="Times New Roman"/>
        </w:rPr>
        <w:t xml:space="preserve">Overall, </w:t>
      </w:r>
      <w:r w:rsidR="002A3E3B">
        <w:rPr>
          <w:rFonts w:cs="Times New Roman"/>
        </w:rPr>
        <w:t>as noted by</w:t>
      </w:r>
      <w:r w:rsidR="00352D71">
        <w:rPr>
          <w:rFonts w:cs="Times New Roman"/>
        </w:rPr>
        <w:t xml:space="preserve"> </w:t>
      </w:r>
      <w:r w:rsidR="002A3E3B">
        <w:rPr>
          <w:rFonts w:cs="Times New Roman"/>
        </w:rPr>
        <w:t>an</w:t>
      </w:r>
      <w:r w:rsidR="00352D71">
        <w:rPr>
          <w:rFonts w:cs="Times New Roman"/>
        </w:rPr>
        <w:t xml:space="preserve"> external observer, </w:t>
      </w:r>
      <w:r w:rsidR="00352D71">
        <w:rPr>
          <w:rFonts w:cs="Times New Roman"/>
        </w:rPr>
        <w:lastRenderedPageBreak/>
        <w:t>“</w:t>
      </w:r>
      <w:r w:rsidR="00352D71" w:rsidRPr="00352D71">
        <w:rPr>
          <w:rFonts w:cs="Times New Roman"/>
        </w:rPr>
        <w:t>Rwanda goes about implementing every aspect of its development bargain</w:t>
      </w:r>
      <w:r w:rsidR="00352D71">
        <w:rPr>
          <w:rFonts w:cs="Times New Roman"/>
        </w:rPr>
        <w:t xml:space="preserve"> […] the only way it knows: command and control </w:t>
      </w:r>
      <w:r w:rsidR="00352D71" w:rsidRPr="00352D71">
        <w:rPr>
          <w:rFonts w:cs="Times New Roman"/>
        </w:rPr>
        <w:t>—the military system in which all problems are addressed using strict hierarchical structures, all the way to the top</w:t>
      </w:r>
      <w:r w:rsidR="00352D71">
        <w:rPr>
          <w:rFonts w:cs="Times New Roman"/>
        </w:rPr>
        <w:t>.”</w:t>
      </w:r>
      <w:r w:rsidR="00352D71">
        <w:rPr>
          <w:rStyle w:val="FootnoteReference"/>
          <w:rFonts w:cs="Times New Roman"/>
        </w:rPr>
        <w:footnoteReference w:id="124"/>
      </w:r>
      <w:r w:rsidR="00F27E1D">
        <w:rPr>
          <w:rFonts w:cs="Times New Roman"/>
        </w:rPr>
        <w:t xml:space="preserve"> </w:t>
      </w:r>
      <w:r w:rsidR="0077575E">
        <w:rPr>
          <w:rFonts w:cs="Times New Roman"/>
        </w:rPr>
        <w:t xml:space="preserve">Thus, </w:t>
      </w:r>
      <w:r w:rsidR="00EE586D">
        <w:rPr>
          <w:rFonts w:cs="Times New Roman"/>
        </w:rPr>
        <w:t>a decade of problematic</w:t>
      </w:r>
      <w:r w:rsidR="0077575E" w:rsidRPr="00AA1887">
        <w:rPr>
          <w:rFonts w:cs="Times New Roman"/>
        </w:rPr>
        <w:t xml:space="preserve"> </w:t>
      </w:r>
      <w:r w:rsidR="00EE586D">
        <w:rPr>
          <w:rFonts w:cs="Times New Roman"/>
        </w:rPr>
        <w:t>prioriti</w:t>
      </w:r>
      <w:r w:rsidR="006D6478">
        <w:rPr>
          <w:rFonts w:cs="Times New Roman"/>
        </w:rPr>
        <w:t>z</w:t>
      </w:r>
      <w:r w:rsidR="00EE586D">
        <w:rPr>
          <w:rFonts w:cs="Times New Roman"/>
        </w:rPr>
        <w:t xml:space="preserve">ation and </w:t>
      </w:r>
      <w:r w:rsidR="00FF2DB0">
        <w:rPr>
          <w:rFonts w:cs="Times New Roman"/>
        </w:rPr>
        <w:t>target-setting</w:t>
      </w:r>
      <w:r w:rsidR="00EE586D">
        <w:rPr>
          <w:rFonts w:cs="Times New Roman"/>
        </w:rPr>
        <w:t xml:space="preserve"> in the </w:t>
      </w:r>
      <w:r w:rsidR="0077575E" w:rsidRPr="00AA1887">
        <w:rPr>
          <w:rFonts w:cs="Times New Roman"/>
        </w:rPr>
        <w:t>electricity</w:t>
      </w:r>
      <w:r w:rsidR="00EE586D">
        <w:rPr>
          <w:rFonts w:cs="Times New Roman"/>
        </w:rPr>
        <w:t xml:space="preserve"> sector </w:t>
      </w:r>
      <w:r w:rsidR="00FF2DB0">
        <w:rPr>
          <w:rFonts w:cs="Times New Roman"/>
        </w:rPr>
        <w:t>appears representative,</w:t>
      </w:r>
      <w:r w:rsidR="00EE586D">
        <w:rPr>
          <w:rFonts w:cs="Times New Roman"/>
        </w:rPr>
        <w:t xml:space="preserve"> not </w:t>
      </w:r>
      <w:r w:rsidR="00FF2DB0">
        <w:rPr>
          <w:rFonts w:cs="Times New Roman"/>
        </w:rPr>
        <w:t>exceptional</w:t>
      </w:r>
      <w:r w:rsidR="00EE586D">
        <w:rPr>
          <w:rFonts w:cs="Times New Roman"/>
        </w:rPr>
        <w:t>.</w:t>
      </w:r>
      <w:r w:rsidR="00590037">
        <w:rPr>
          <w:rFonts w:cs="Times New Roman"/>
        </w:rPr>
        <w:t xml:space="preserve"> </w:t>
      </w:r>
    </w:p>
    <w:p w14:paraId="1EF73C7F" w14:textId="77777777" w:rsidR="00E205A2" w:rsidRDefault="00E205A2" w:rsidP="00D3217F">
      <w:pPr>
        <w:spacing w:line="480" w:lineRule="auto"/>
        <w:rPr>
          <w:rFonts w:cs="Times New Roman"/>
          <w:i/>
        </w:rPr>
      </w:pPr>
    </w:p>
    <w:p w14:paraId="48475327" w14:textId="622AE3A1" w:rsidR="00E205A2" w:rsidRDefault="00D3217F" w:rsidP="00E205A2">
      <w:pPr>
        <w:spacing w:line="480" w:lineRule="auto"/>
        <w:rPr>
          <w:rFonts w:cs="Times New Roman"/>
        </w:rPr>
      </w:pPr>
      <w:r w:rsidRPr="00E205A2">
        <w:rPr>
          <w:rFonts w:cs="Times New Roman"/>
          <w:i/>
        </w:rPr>
        <w:t>Conclusion: the fragility of the Rwandan model</w:t>
      </w:r>
      <w:r w:rsidR="00753D3C" w:rsidRPr="00E205A2">
        <w:rPr>
          <w:rFonts w:cs="Times New Roman"/>
          <w:i/>
        </w:rPr>
        <w:t xml:space="preserve"> and beyond</w:t>
      </w:r>
    </w:p>
    <w:p w14:paraId="37E5E384" w14:textId="42471105" w:rsidR="00F27E1D" w:rsidRDefault="00EE586D" w:rsidP="00244E9C">
      <w:pPr>
        <w:spacing w:line="480" w:lineRule="auto"/>
        <w:jc w:val="both"/>
        <w:rPr>
          <w:rFonts w:cs="Times New Roman"/>
        </w:rPr>
      </w:pPr>
      <w:r>
        <w:rPr>
          <w:rFonts w:cs="Times New Roman"/>
        </w:rPr>
        <w:t>W</w:t>
      </w:r>
      <w:r w:rsidR="00E2755C" w:rsidRPr="00AA1887">
        <w:rPr>
          <w:rFonts w:cs="Times New Roman"/>
        </w:rPr>
        <w:t>hy,</w:t>
      </w:r>
      <w:r>
        <w:rPr>
          <w:rFonts w:cs="Times New Roman"/>
        </w:rPr>
        <w:t xml:space="preserve"> then, did such a major failure occur in the electricity sector,</w:t>
      </w:r>
      <w:r w:rsidR="00E2755C" w:rsidRPr="00AA1887">
        <w:rPr>
          <w:rFonts w:cs="Times New Roman"/>
        </w:rPr>
        <w:t xml:space="preserve"> despite </w:t>
      </w:r>
      <w:r>
        <w:rPr>
          <w:rFonts w:cs="Times New Roman"/>
        </w:rPr>
        <w:t xml:space="preserve">Rwanda having the conditions suggested by </w:t>
      </w:r>
      <w:r w:rsidR="00E2755C" w:rsidRPr="00AA1887">
        <w:rPr>
          <w:rFonts w:cs="Times New Roman"/>
        </w:rPr>
        <w:t xml:space="preserve">the </w:t>
      </w:r>
      <w:r w:rsidR="00483E08">
        <w:rPr>
          <w:rFonts w:cs="Times New Roman"/>
        </w:rPr>
        <w:t>PSF</w:t>
      </w:r>
      <w:r w:rsidR="00FF2DB0">
        <w:rPr>
          <w:rFonts w:cs="Times New Roman"/>
        </w:rPr>
        <w:t xml:space="preserve"> </w:t>
      </w:r>
      <w:r w:rsidR="00E2755C" w:rsidRPr="00AA1887">
        <w:rPr>
          <w:rFonts w:cs="Times New Roman"/>
        </w:rPr>
        <w:t>to deliver development</w:t>
      </w:r>
      <w:r w:rsidR="005F20C2">
        <w:rPr>
          <w:rFonts w:cs="Times New Roman"/>
        </w:rPr>
        <w:t>?</w:t>
      </w:r>
      <w:r w:rsidR="00590037">
        <w:rPr>
          <w:rFonts w:cs="Times New Roman"/>
        </w:rPr>
        <w:t xml:space="preserve"> </w:t>
      </w:r>
      <w:r>
        <w:rPr>
          <w:rFonts w:cs="Times New Roman"/>
        </w:rPr>
        <w:t>We demonstrate</w:t>
      </w:r>
      <w:r w:rsidR="00E2755C" w:rsidRPr="00AA1887">
        <w:rPr>
          <w:rFonts w:cs="Times New Roman"/>
        </w:rPr>
        <w:t xml:space="preserve"> that concentrat</w:t>
      </w:r>
      <w:r w:rsidR="00E415ED">
        <w:rPr>
          <w:rFonts w:cs="Times New Roman"/>
        </w:rPr>
        <w:t>ed political</w:t>
      </w:r>
      <w:r w:rsidR="00FF2DB0">
        <w:rPr>
          <w:rFonts w:cs="Times New Roman"/>
        </w:rPr>
        <w:t xml:space="preserve"> power</w:t>
      </w:r>
      <w:r w:rsidR="00E2755C" w:rsidRPr="00AA1887">
        <w:rPr>
          <w:rFonts w:cs="Times New Roman"/>
        </w:rPr>
        <w:t>, especially in the</w:t>
      </w:r>
      <w:r w:rsidR="00E0255D">
        <w:rPr>
          <w:rFonts w:cs="Times New Roman"/>
        </w:rPr>
        <w:t xml:space="preserve"> </w:t>
      </w:r>
      <w:r w:rsidR="00E2755C" w:rsidRPr="00AA1887">
        <w:rPr>
          <w:rFonts w:cs="Times New Roman"/>
        </w:rPr>
        <w:t>Presiden</w:t>
      </w:r>
      <w:r w:rsidR="00E0255D">
        <w:rPr>
          <w:rFonts w:cs="Times New Roman"/>
        </w:rPr>
        <w:t>cy</w:t>
      </w:r>
      <w:r w:rsidR="00E2755C" w:rsidRPr="00AA1887">
        <w:rPr>
          <w:rFonts w:cs="Times New Roman"/>
        </w:rPr>
        <w:t>, support</w:t>
      </w:r>
      <w:r w:rsidR="00E415ED">
        <w:rPr>
          <w:rFonts w:cs="Times New Roman"/>
        </w:rPr>
        <w:t>ed</w:t>
      </w:r>
      <w:r w:rsidR="00E2755C" w:rsidRPr="00AA1887">
        <w:rPr>
          <w:rFonts w:cs="Times New Roman"/>
        </w:rPr>
        <w:t xml:space="preserve"> </w:t>
      </w:r>
      <w:r w:rsidR="00E0255D">
        <w:rPr>
          <w:rFonts w:cs="Times New Roman"/>
        </w:rPr>
        <w:t>rapid policy implementation</w:t>
      </w:r>
      <w:r w:rsidR="00E0255D" w:rsidRPr="00AA1887">
        <w:rPr>
          <w:rFonts w:cs="Times New Roman"/>
        </w:rPr>
        <w:t xml:space="preserve"> </w:t>
      </w:r>
      <w:r w:rsidR="00E0255D">
        <w:rPr>
          <w:rFonts w:cs="Times New Roman"/>
        </w:rPr>
        <w:t xml:space="preserve">and </w:t>
      </w:r>
      <w:r w:rsidR="00E2755C" w:rsidRPr="00AA1887">
        <w:rPr>
          <w:rFonts w:cs="Times New Roman"/>
        </w:rPr>
        <w:t>a long-term planning horizon</w:t>
      </w:r>
      <w:r w:rsidR="00E415ED">
        <w:rPr>
          <w:rFonts w:cs="Times New Roman"/>
        </w:rPr>
        <w:t>,</w:t>
      </w:r>
      <w:r w:rsidR="00E2755C" w:rsidRPr="00AA1887">
        <w:rPr>
          <w:rFonts w:cs="Times New Roman"/>
        </w:rPr>
        <w:t xml:space="preserve"> </w:t>
      </w:r>
      <w:r w:rsidR="00E0255D">
        <w:rPr>
          <w:rFonts w:cs="Times New Roman"/>
        </w:rPr>
        <w:t xml:space="preserve">but </w:t>
      </w:r>
      <w:r w:rsidR="00E415ED">
        <w:rPr>
          <w:rFonts w:cs="Times New Roman"/>
        </w:rPr>
        <w:t>also creat</w:t>
      </w:r>
      <w:r w:rsidR="00E0255D">
        <w:rPr>
          <w:rFonts w:cs="Times New Roman"/>
        </w:rPr>
        <w:t>ed</w:t>
      </w:r>
      <w:r w:rsidR="00E415ED">
        <w:rPr>
          <w:rFonts w:cs="Times New Roman"/>
        </w:rPr>
        <w:t xml:space="preserve"> </w:t>
      </w:r>
      <w:r w:rsidR="00E2755C" w:rsidRPr="00AA1887">
        <w:rPr>
          <w:rFonts w:cs="Times New Roman"/>
        </w:rPr>
        <w:t>a policymaking process that undermined technical inputs, expert challenge</w:t>
      </w:r>
      <w:r w:rsidR="00E415ED">
        <w:rPr>
          <w:rFonts w:cs="Times New Roman"/>
        </w:rPr>
        <w:t xml:space="preserve">, </w:t>
      </w:r>
      <w:r w:rsidR="00E2755C" w:rsidRPr="00AA1887">
        <w:rPr>
          <w:rFonts w:cs="Times New Roman"/>
        </w:rPr>
        <w:t>learning and adaptation</w:t>
      </w:r>
      <w:r w:rsidR="00F27E1D">
        <w:rPr>
          <w:rFonts w:cs="Times New Roman"/>
        </w:rPr>
        <w:t>, i.e.</w:t>
      </w:r>
      <w:r w:rsidR="00E2755C" w:rsidRPr="00AA1887">
        <w:rPr>
          <w:rFonts w:cs="Times New Roman"/>
        </w:rPr>
        <w:t xml:space="preserve"> </w:t>
      </w:r>
      <w:r w:rsidR="00E415ED">
        <w:rPr>
          <w:rFonts w:cs="Times New Roman"/>
        </w:rPr>
        <w:t>factors</w:t>
      </w:r>
      <w:r w:rsidR="00E415ED" w:rsidRPr="00AA1887">
        <w:rPr>
          <w:rFonts w:cs="Times New Roman"/>
        </w:rPr>
        <w:t xml:space="preserve"> </w:t>
      </w:r>
      <w:r w:rsidR="00E2755C" w:rsidRPr="00AA1887">
        <w:rPr>
          <w:rFonts w:cs="Times New Roman"/>
        </w:rPr>
        <w:t xml:space="preserve">necessary for structural transformation. </w:t>
      </w:r>
      <w:r w:rsidR="00B14AC9">
        <w:rPr>
          <w:rFonts w:cs="Times New Roman"/>
        </w:rPr>
        <w:t>Consequently</w:t>
      </w:r>
      <w:r w:rsidR="00E2755C" w:rsidRPr="00AA1887">
        <w:rPr>
          <w:rFonts w:cs="Times New Roman"/>
        </w:rPr>
        <w:t>,</w:t>
      </w:r>
      <w:r w:rsidR="00B14AC9">
        <w:rPr>
          <w:rFonts w:cs="Times New Roman"/>
        </w:rPr>
        <w:t xml:space="preserve"> Rwanda </w:t>
      </w:r>
      <w:proofErr w:type="spellStart"/>
      <w:r w:rsidR="00932F2E">
        <w:rPr>
          <w:rFonts w:cs="Times New Roman"/>
        </w:rPr>
        <w:t>began</w:t>
      </w:r>
      <w:r w:rsidR="00B14AC9">
        <w:rPr>
          <w:rFonts w:cs="Times New Roman"/>
        </w:rPr>
        <w:t>a</w:t>
      </w:r>
      <w:r w:rsidR="00FF2DB0">
        <w:rPr>
          <w:rFonts w:cs="Times New Roman"/>
        </w:rPr>
        <w:t>n</w:t>
      </w:r>
      <w:proofErr w:type="spellEnd"/>
      <w:r w:rsidR="00B14AC9">
        <w:rPr>
          <w:rFonts w:cs="Times New Roman"/>
        </w:rPr>
        <w:t xml:space="preserve"> </w:t>
      </w:r>
      <w:r w:rsidR="007E55C7">
        <w:rPr>
          <w:rFonts w:cs="Times New Roman"/>
        </w:rPr>
        <w:t>overzealous and misguided</w:t>
      </w:r>
      <w:r w:rsidR="00B14AC9">
        <w:rPr>
          <w:rFonts w:cs="Times New Roman"/>
        </w:rPr>
        <w:t xml:space="preserve"> </w:t>
      </w:r>
      <w:r w:rsidR="007E55C7">
        <w:rPr>
          <w:rFonts w:cs="Times New Roman"/>
        </w:rPr>
        <w:t xml:space="preserve">construction boom that created too many power plants, with </w:t>
      </w:r>
      <w:r w:rsidR="00E0255D">
        <w:rPr>
          <w:rFonts w:cs="Times New Roman"/>
        </w:rPr>
        <w:t>i</w:t>
      </w:r>
      <w:r w:rsidR="0015597A">
        <w:rPr>
          <w:rFonts w:cs="Times New Roman"/>
        </w:rPr>
        <w:t>ll-suited</w:t>
      </w:r>
      <w:r w:rsidR="007E55C7">
        <w:rPr>
          <w:rFonts w:cs="Times New Roman"/>
        </w:rPr>
        <w:t xml:space="preserve"> contracts. An ongoing fiscal crisis ensued.</w:t>
      </w:r>
      <w:r w:rsidR="00590037">
        <w:rPr>
          <w:rFonts w:cs="Times New Roman"/>
        </w:rPr>
        <w:t xml:space="preserve"> </w:t>
      </w:r>
    </w:p>
    <w:p w14:paraId="7D578246" w14:textId="66598E7F" w:rsidR="006D6478" w:rsidRDefault="007B25DA" w:rsidP="00E10DC5">
      <w:pPr>
        <w:spacing w:line="480" w:lineRule="auto"/>
        <w:ind w:firstLine="720"/>
        <w:jc w:val="both"/>
        <w:rPr>
          <w:rFonts w:cs="Times New Roman"/>
        </w:rPr>
      </w:pPr>
      <w:r w:rsidRPr="007B25DA">
        <w:rPr>
          <w:rFonts w:cs="Times New Roman"/>
        </w:rPr>
        <w:t xml:space="preserve">It could be argued that </w:t>
      </w:r>
      <w:r w:rsidR="00D7578B">
        <w:rPr>
          <w:rFonts w:cs="Times New Roman"/>
        </w:rPr>
        <w:t>this article</w:t>
      </w:r>
      <w:r w:rsidR="006D6478">
        <w:rPr>
          <w:rFonts w:cs="Times New Roman"/>
        </w:rPr>
        <w:t>’</w:t>
      </w:r>
      <w:r w:rsidR="00D7578B">
        <w:rPr>
          <w:rFonts w:cs="Times New Roman"/>
        </w:rPr>
        <w:t xml:space="preserve">s findings could be found universally under all </w:t>
      </w:r>
      <w:r w:rsidR="00B6010E">
        <w:rPr>
          <w:rFonts w:cs="Times New Roman"/>
        </w:rPr>
        <w:t xml:space="preserve">types of political structure, rather than being distinctive to </w:t>
      </w:r>
      <w:r w:rsidRPr="007B25DA">
        <w:rPr>
          <w:rFonts w:cs="Times New Roman"/>
        </w:rPr>
        <w:t>dominant party settlement</w:t>
      </w:r>
      <w:r w:rsidR="00B6010E">
        <w:rPr>
          <w:rFonts w:cs="Times New Roman"/>
        </w:rPr>
        <w:t>s</w:t>
      </w:r>
      <w:r w:rsidRPr="007B25DA">
        <w:rPr>
          <w:rFonts w:cs="Times New Roman"/>
        </w:rPr>
        <w:t xml:space="preserve">. </w:t>
      </w:r>
      <w:r>
        <w:rPr>
          <w:rFonts w:cs="Times New Roman"/>
        </w:rPr>
        <w:t xml:space="preserve">After all, </w:t>
      </w:r>
      <w:r w:rsidRPr="007B25DA">
        <w:rPr>
          <w:rFonts w:cs="Times New Roman"/>
        </w:rPr>
        <w:t>in an authoritarian regime</w:t>
      </w:r>
      <w:r w:rsidR="002A3E3B">
        <w:rPr>
          <w:rFonts w:cs="Times New Roman"/>
        </w:rPr>
        <w:t xml:space="preserve"> with extremely concentrated political power</w:t>
      </w:r>
      <w:r w:rsidRPr="007B25DA">
        <w:rPr>
          <w:rFonts w:cs="Times New Roman"/>
        </w:rPr>
        <w:t xml:space="preserve"> or </w:t>
      </w:r>
      <w:r w:rsidR="002A3E3B">
        <w:rPr>
          <w:rFonts w:cs="Times New Roman"/>
        </w:rPr>
        <w:t xml:space="preserve">in </w:t>
      </w:r>
      <w:r w:rsidRPr="007B25DA">
        <w:rPr>
          <w:rFonts w:cs="Times New Roman"/>
        </w:rPr>
        <w:t>a liberal democracy</w:t>
      </w:r>
      <w:r w:rsidR="002A3E3B">
        <w:rPr>
          <w:rFonts w:cs="Times New Roman"/>
        </w:rPr>
        <w:t xml:space="preserve"> where power is more fragmented</w:t>
      </w:r>
      <w:r>
        <w:rPr>
          <w:rFonts w:cs="Times New Roman"/>
        </w:rPr>
        <w:t>, there are</w:t>
      </w:r>
      <w:r w:rsidRPr="007B25DA">
        <w:rPr>
          <w:rFonts w:cs="Times New Roman"/>
        </w:rPr>
        <w:t xml:space="preserve"> </w:t>
      </w:r>
      <w:r>
        <w:rPr>
          <w:rFonts w:cs="Times New Roman"/>
        </w:rPr>
        <w:t>always</w:t>
      </w:r>
      <w:r w:rsidRPr="007B25DA">
        <w:rPr>
          <w:rFonts w:cs="Times New Roman"/>
        </w:rPr>
        <w:t xml:space="preserve"> civil servants willing to please politicians or </w:t>
      </w:r>
      <w:r w:rsidR="006D6478">
        <w:rPr>
          <w:rFonts w:cs="Times New Roman"/>
        </w:rPr>
        <w:t>unwilling</w:t>
      </w:r>
      <w:r w:rsidRPr="007B25DA">
        <w:rPr>
          <w:rFonts w:cs="Times New Roman"/>
        </w:rPr>
        <w:t xml:space="preserve"> to speak truth to power</w:t>
      </w:r>
      <w:r>
        <w:rPr>
          <w:rFonts w:cs="Times New Roman"/>
        </w:rPr>
        <w:t>, or</w:t>
      </w:r>
      <w:r w:rsidRPr="007B25DA">
        <w:rPr>
          <w:rFonts w:cs="Times New Roman"/>
        </w:rPr>
        <w:t xml:space="preserve"> politicians </w:t>
      </w:r>
      <w:r w:rsidR="00FB2D68">
        <w:rPr>
          <w:rFonts w:cs="Times New Roman"/>
        </w:rPr>
        <w:t>ready</w:t>
      </w:r>
      <w:r w:rsidRPr="007B25DA">
        <w:rPr>
          <w:rFonts w:cs="Times New Roman"/>
        </w:rPr>
        <w:t xml:space="preserve"> to ignore experts’ sobering analysis on some ill-conceived, yet politically important, polic</w:t>
      </w:r>
      <w:r w:rsidR="00B6010E">
        <w:rPr>
          <w:rFonts w:cs="Times New Roman"/>
        </w:rPr>
        <w:t>y</w:t>
      </w:r>
      <w:r w:rsidRPr="007B25DA">
        <w:rPr>
          <w:rFonts w:cs="Times New Roman"/>
        </w:rPr>
        <w:t>. The recent book by Nicholas Westcott on the failure of the East African Groundnut Scheme</w:t>
      </w:r>
      <w:r w:rsidR="002A3E3B">
        <w:rPr>
          <w:rFonts w:cs="Times New Roman"/>
        </w:rPr>
        <w:t xml:space="preserve"> in Tanganyika (now Tanzania)</w:t>
      </w:r>
      <w:r w:rsidRPr="007B25DA">
        <w:rPr>
          <w:rFonts w:cs="Times New Roman"/>
        </w:rPr>
        <w:t xml:space="preserve">, </w:t>
      </w:r>
      <w:r w:rsidR="00B6010E" w:rsidRPr="007B25DA">
        <w:rPr>
          <w:rFonts w:cs="Times New Roman"/>
        </w:rPr>
        <w:t>is a case in point</w:t>
      </w:r>
      <w:r w:rsidR="00B6010E">
        <w:rPr>
          <w:rFonts w:cs="Times New Roman"/>
        </w:rPr>
        <w:t>.</w:t>
      </w:r>
      <w:r w:rsidR="00DE49DD">
        <w:rPr>
          <w:rFonts w:cs="Times New Roman"/>
        </w:rPr>
        <w:t xml:space="preserve"> </w:t>
      </w:r>
      <w:r w:rsidR="00B6010E" w:rsidRPr="007B25DA">
        <w:rPr>
          <w:rFonts w:cs="Times New Roman"/>
        </w:rPr>
        <w:t>Developed under the Labour Government</w:t>
      </w:r>
      <w:r w:rsidR="00B6010E">
        <w:rPr>
          <w:rFonts w:cs="Times New Roman"/>
        </w:rPr>
        <w:t xml:space="preserve"> in 1946</w:t>
      </w:r>
      <w:r w:rsidR="00B6010E" w:rsidRPr="007B25DA">
        <w:rPr>
          <w:rFonts w:cs="Times New Roman"/>
        </w:rPr>
        <w:t xml:space="preserve">, </w:t>
      </w:r>
      <w:r w:rsidR="00B6010E">
        <w:rPr>
          <w:rFonts w:cs="Times New Roman"/>
        </w:rPr>
        <w:t>it aimed to</w:t>
      </w:r>
      <w:r w:rsidR="00B6010E" w:rsidRPr="00B6010E">
        <w:rPr>
          <w:rFonts w:cs="Times New Roman"/>
        </w:rPr>
        <w:t xml:space="preserve"> </w:t>
      </w:r>
      <w:r w:rsidR="00B6010E" w:rsidRPr="007B25DA">
        <w:rPr>
          <w:rFonts w:cs="Times New Roman"/>
        </w:rPr>
        <w:t>fill shortages of vegetable oils in post-war Britain</w:t>
      </w:r>
      <w:r w:rsidR="00B6010E">
        <w:rPr>
          <w:rFonts w:cs="Times New Roman"/>
        </w:rPr>
        <w:t xml:space="preserve"> with </w:t>
      </w:r>
      <w:r w:rsidRPr="007B25DA">
        <w:rPr>
          <w:rFonts w:cs="Times New Roman"/>
        </w:rPr>
        <w:t>a large-scale</w:t>
      </w:r>
      <w:r w:rsidR="00B6010E">
        <w:rPr>
          <w:rFonts w:cs="Times New Roman"/>
        </w:rPr>
        <w:t xml:space="preserve">, </w:t>
      </w:r>
      <w:r w:rsidRPr="007B25DA">
        <w:rPr>
          <w:rFonts w:cs="Times New Roman"/>
        </w:rPr>
        <w:t xml:space="preserve">2.5 million acres </w:t>
      </w:r>
      <w:r w:rsidR="00B6010E">
        <w:rPr>
          <w:rFonts w:cs="Times New Roman"/>
        </w:rPr>
        <w:t>project</w:t>
      </w:r>
      <w:r w:rsidRPr="007B25DA">
        <w:rPr>
          <w:rFonts w:cs="Times New Roman"/>
        </w:rPr>
        <w:t>.</w:t>
      </w:r>
      <w:r w:rsidR="00FB2D68">
        <w:rPr>
          <w:rStyle w:val="FootnoteReference"/>
          <w:rFonts w:cs="Times New Roman"/>
        </w:rPr>
        <w:footnoteReference w:id="125"/>
      </w:r>
      <w:r w:rsidRPr="007B25DA">
        <w:rPr>
          <w:rFonts w:cs="Times New Roman"/>
        </w:rPr>
        <w:t xml:space="preserve"> </w:t>
      </w:r>
      <w:r w:rsidR="00B6010E">
        <w:rPr>
          <w:rFonts w:cs="Times New Roman"/>
        </w:rPr>
        <w:t>It</w:t>
      </w:r>
      <w:r w:rsidRPr="007B25DA">
        <w:rPr>
          <w:rFonts w:cs="Times New Roman"/>
        </w:rPr>
        <w:t xml:space="preserve"> </w:t>
      </w:r>
      <w:r w:rsidRPr="007B25DA">
        <w:rPr>
          <w:rFonts w:cs="Times New Roman"/>
        </w:rPr>
        <w:lastRenderedPageBreak/>
        <w:t xml:space="preserve">spectacularly failed largely because politicians and top executives systematically dismissed experts’ </w:t>
      </w:r>
      <w:r w:rsidR="002A3E3B">
        <w:rPr>
          <w:rFonts w:cs="Times New Roman"/>
        </w:rPr>
        <w:t>inputs</w:t>
      </w:r>
      <w:r w:rsidRPr="007B25DA">
        <w:rPr>
          <w:rFonts w:cs="Times New Roman"/>
        </w:rPr>
        <w:t xml:space="preserve">, </w:t>
      </w:r>
      <w:r w:rsidR="00B6010E">
        <w:rPr>
          <w:rFonts w:cs="Times New Roman"/>
        </w:rPr>
        <w:t>especially those of local</w:t>
      </w:r>
      <w:r w:rsidRPr="007B25DA">
        <w:rPr>
          <w:rFonts w:cs="Times New Roman"/>
        </w:rPr>
        <w:t xml:space="preserve"> colonial </w:t>
      </w:r>
      <w:r w:rsidR="002A3E3B">
        <w:rPr>
          <w:rFonts w:cs="Times New Roman"/>
        </w:rPr>
        <w:t>officials</w:t>
      </w:r>
      <w:r w:rsidRPr="007B25DA">
        <w:rPr>
          <w:rFonts w:cs="Times New Roman"/>
        </w:rPr>
        <w:t xml:space="preserve">. </w:t>
      </w:r>
    </w:p>
    <w:p w14:paraId="4B6F6EA1" w14:textId="3B64D1E5" w:rsidR="007E55C7" w:rsidRDefault="007B25DA" w:rsidP="006D6478">
      <w:pPr>
        <w:spacing w:line="480" w:lineRule="auto"/>
        <w:ind w:firstLine="720"/>
        <w:jc w:val="both"/>
        <w:rPr>
          <w:rFonts w:cs="Times New Roman"/>
        </w:rPr>
      </w:pPr>
      <w:r w:rsidRPr="007B25DA">
        <w:rPr>
          <w:rFonts w:cs="Times New Roman"/>
        </w:rPr>
        <w:t xml:space="preserve">Yet, the Rwandan case shows that authoritarian regimes are more likely to intensify </w:t>
      </w:r>
      <w:r w:rsidR="002A3E3B">
        <w:rPr>
          <w:rFonts w:cs="Times New Roman"/>
        </w:rPr>
        <w:t xml:space="preserve">the </w:t>
      </w:r>
      <w:r w:rsidRPr="007B25DA">
        <w:rPr>
          <w:rFonts w:cs="Times New Roman"/>
        </w:rPr>
        <w:t xml:space="preserve">political override of bureaucratic caution. </w:t>
      </w:r>
      <w:r w:rsidR="002A3E3B">
        <w:rPr>
          <w:rFonts w:cs="Times New Roman"/>
        </w:rPr>
        <w:t>L</w:t>
      </w:r>
      <w:r w:rsidRPr="007B25DA">
        <w:rPr>
          <w:rFonts w:cs="Times New Roman"/>
        </w:rPr>
        <w:t>ack of political opposition and media scrutiny creates an information asymmetry, preventing government</w:t>
      </w:r>
      <w:r w:rsidR="00FB2D68">
        <w:rPr>
          <w:rFonts w:cs="Times New Roman"/>
        </w:rPr>
        <w:t>s</w:t>
      </w:r>
      <w:r w:rsidRPr="007B25DA">
        <w:rPr>
          <w:rFonts w:cs="Times New Roman"/>
        </w:rPr>
        <w:t xml:space="preserve"> from accessing reliable information</w:t>
      </w:r>
      <w:r w:rsidR="002A3E3B">
        <w:rPr>
          <w:rFonts w:cs="Times New Roman"/>
        </w:rPr>
        <w:t>, and shelters it from immediate civil society’s pressure</w:t>
      </w:r>
      <w:r w:rsidRPr="007B25DA">
        <w:rPr>
          <w:rFonts w:cs="Times New Roman"/>
        </w:rPr>
        <w:t xml:space="preserve">. </w:t>
      </w:r>
      <w:r w:rsidR="00104F73">
        <w:rPr>
          <w:rFonts w:cs="Times New Roman"/>
        </w:rPr>
        <w:t xml:space="preserve">Returning </w:t>
      </w:r>
      <w:r w:rsidRPr="007B25DA">
        <w:rPr>
          <w:rFonts w:cs="Times New Roman"/>
        </w:rPr>
        <w:t>to the Groundnut Scheme, as soon as failure became known, “the public eye was firmly focused on the scheme. Every move was scrutinised and dissected. [….] It was an irresistible subject</w:t>
      </w:r>
      <w:r w:rsidR="00FB2D68">
        <w:rPr>
          <w:rFonts w:cs="Times New Roman"/>
        </w:rPr>
        <w:t>.</w:t>
      </w:r>
      <w:r w:rsidRPr="007B25DA">
        <w:rPr>
          <w:rFonts w:cs="Times New Roman"/>
        </w:rPr>
        <w:t>”</w:t>
      </w:r>
      <w:r w:rsidR="00FB2D68">
        <w:rPr>
          <w:rStyle w:val="FootnoteReference"/>
          <w:rFonts w:cs="Times New Roman"/>
        </w:rPr>
        <w:footnoteReference w:id="126"/>
      </w:r>
      <w:r w:rsidRPr="007B25DA">
        <w:rPr>
          <w:rFonts w:cs="Times New Roman"/>
        </w:rPr>
        <w:t xml:space="preserve"> The Scheme’s problems were mocked in newspapers and used by the Conservative political opposition in the 1950 general elections campaign. It is hard to imagine similar </w:t>
      </w:r>
      <w:r w:rsidR="00104F73">
        <w:rPr>
          <w:rFonts w:cs="Times New Roman"/>
        </w:rPr>
        <w:t>s</w:t>
      </w:r>
      <w:r w:rsidRPr="007B25DA">
        <w:rPr>
          <w:rFonts w:cs="Times New Roman"/>
        </w:rPr>
        <w:t>crutiny in Rwanda</w:t>
      </w:r>
      <w:r w:rsidR="00104F73">
        <w:rPr>
          <w:rFonts w:cs="Times New Roman"/>
        </w:rPr>
        <w:t>, even though it occurred under a colonial regime</w:t>
      </w:r>
      <w:r w:rsidRPr="007B25DA">
        <w:rPr>
          <w:rFonts w:cs="Times New Roman"/>
        </w:rPr>
        <w:t>.</w:t>
      </w:r>
      <w:r w:rsidR="006D6478">
        <w:rPr>
          <w:rFonts w:cs="Times New Roman"/>
        </w:rPr>
        <w:t xml:space="preserve"> </w:t>
      </w:r>
      <w:r w:rsidR="00FB2D68">
        <w:rPr>
          <w:rFonts w:cs="Times New Roman"/>
        </w:rPr>
        <w:t>Consequently</w:t>
      </w:r>
      <w:r w:rsidR="007E55C7">
        <w:rPr>
          <w:rFonts w:cs="Times New Roman"/>
        </w:rPr>
        <w:t xml:space="preserve">, </w:t>
      </w:r>
      <w:r w:rsidR="00E2755C" w:rsidRPr="00AA1887">
        <w:rPr>
          <w:rFonts w:cs="Times New Roman"/>
        </w:rPr>
        <w:t xml:space="preserve">supposed contradictions between more open political space and economic development, often </w:t>
      </w:r>
      <w:r w:rsidR="00E415ED">
        <w:rPr>
          <w:rFonts w:cs="Times New Roman"/>
        </w:rPr>
        <w:t xml:space="preserve">implied by the </w:t>
      </w:r>
      <w:r w:rsidR="00483E08">
        <w:rPr>
          <w:rFonts w:cs="Times New Roman"/>
        </w:rPr>
        <w:t>PSF</w:t>
      </w:r>
      <w:r w:rsidR="00E2755C" w:rsidRPr="00AA1887">
        <w:rPr>
          <w:rFonts w:cs="Times New Roman"/>
        </w:rPr>
        <w:t>, might not be so contradictory</w:t>
      </w:r>
      <w:r w:rsidR="00FB2D68">
        <w:rPr>
          <w:rFonts w:cs="Times New Roman"/>
        </w:rPr>
        <w:t>. In Rwanda,</w:t>
      </w:r>
      <w:r w:rsidR="00E2755C" w:rsidRPr="00AA1887">
        <w:rPr>
          <w:rFonts w:cs="Times New Roman"/>
        </w:rPr>
        <w:t xml:space="preserve"> a less authoritarian political leadership may have allowed meaningful debates in the bureaucracy and a more open policy-making process that could have benefited from the critiques</w:t>
      </w:r>
      <w:r w:rsidR="00147771">
        <w:rPr>
          <w:rFonts w:cs="Times New Roman"/>
        </w:rPr>
        <w:t xml:space="preserve"> of external consultants, </w:t>
      </w:r>
      <w:r w:rsidR="0015597A">
        <w:rPr>
          <w:rFonts w:cs="Times New Roman"/>
        </w:rPr>
        <w:t xml:space="preserve">a </w:t>
      </w:r>
      <w:r w:rsidR="00E2755C" w:rsidRPr="00AA1887">
        <w:rPr>
          <w:rFonts w:cs="Times New Roman"/>
        </w:rPr>
        <w:t xml:space="preserve">more vibrant civil society and </w:t>
      </w:r>
      <w:r w:rsidR="00FB2D68">
        <w:rPr>
          <w:rFonts w:cs="Times New Roman"/>
        </w:rPr>
        <w:t xml:space="preserve">the </w:t>
      </w:r>
      <w:r w:rsidR="00E2755C" w:rsidRPr="00AA1887">
        <w:rPr>
          <w:rFonts w:cs="Times New Roman"/>
        </w:rPr>
        <w:t xml:space="preserve">press. </w:t>
      </w:r>
    </w:p>
    <w:p w14:paraId="6E975BE2" w14:textId="45875B4C" w:rsidR="000F698E" w:rsidRDefault="00E2755C" w:rsidP="00244E9C">
      <w:pPr>
        <w:spacing w:line="480" w:lineRule="auto"/>
        <w:ind w:firstLine="720"/>
        <w:jc w:val="both"/>
        <w:rPr>
          <w:rFonts w:cs="Times New Roman"/>
        </w:rPr>
      </w:pPr>
      <w:r w:rsidRPr="00AA1887">
        <w:rPr>
          <w:rFonts w:cs="Times New Roman"/>
        </w:rPr>
        <w:t xml:space="preserve">This is not to say that Rwanda’s trajectory is doomed to failure. Yet, lack of bureaucratic independence </w:t>
      </w:r>
      <w:r w:rsidR="00DB1653">
        <w:rPr>
          <w:rFonts w:cs="Times New Roman"/>
        </w:rPr>
        <w:t xml:space="preserve">inevitably makes this development fragile when </w:t>
      </w:r>
      <w:r w:rsidR="00147771">
        <w:rPr>
          <w:rFonts w:cs="Times New Roman"/>
        </w:rPr>
        <w:t>nuanced</w:t>
      </w:r>
      <w:r w:rsidR="00147771" w:rsidRPr="00AA1887">
        <w:rPr>
          <w:rFonts w:cs="Times New Roman"/>
        </w:rPr>
        <w:t xml:space="preserve"> policy processes</w:t>
      </w:r>
      <w:r w:rsidR="00147771">
        <w:rPr>
          <w:rFonts w:cs="Times New Roman"/>
        </w:rPr>
        <w:t xml:space="preserve"> are required</w:t>
      </w:r>
      <w:r w:rsidRPr="00AA1887">
        <w:rPr>
          <w:rFonts w:cs="Times New Roman"/>
        </w:rPr>
        <w:t xml:space="preserve">. </w:t>
      </w:r>
      <w:r w:rsidR="00E119CC">
        <w:rPr>
          <w:rFonts w:cs="Times New Roman"/>
        </w:rPr>
        <w:t>A</w:t>
      </w:r>
      <w:r w:rsidRPr="00AA1887">
        <w:rPr>
          <w:rFonts w:cs="Times New Roman"/>
        </w:rPr>
        <w:t xml:space="preserve">s the Rwandan economy and society grow in complexity, </w:t>
      </w:r>
      <w:r w:rsidR="0063552D">
        <w:rPr>
          <w:rFonts w:cs="Times New Roman"/>
        </w:rPr>
        <w:t>insufficient</w:t>
      </w:r>
      <w:r w:rsidRPr="00AA1887">
        <w:rPr>
          <w:rFonts w:cs="Times New Roman"/>
        </w:rPr>
        <w:t xml:space="preserve"> bureaucratic independence is likely to </w:t>
      </w:r>
      <w:r w:rsidR="0063552D">
        <w:rPr>
          <w:rFonts w:cs="Times New Roman"/>
        </w:rPr>
        <w:t xml:space="preserve">detrimentally impact </w:t>
      </w:r>
      <w:r w:rsidRPr="00AA1887">
        <w:rPr>
          <w:rFonts w:cs="Times New Roman"/>
        </w:rPr>
        <w:t xml:space="preserve">the </w:t>
      </w:r>
      <w:r w:rsidR="0063552D">
        <w:rPr>
          <w:rFonts w:cs="Times New Roman"/>
        </w:rPr>
        <w:t xml:space="preserve">delivery of </w:t>
      </w:r>
      <w:r w:rsidR="00003A52">
        <w:rPr>
          <w:rFonts w:cs="Times New Roman"/>
        </w:rPr>
        <w:t>long-term</w:t>
      </w:r>
      <w:r w:rsidR="0063552D" w:rsidRPr="00AA1887">
        <w:rPr>
          <w:rFonts w:cs="Times New Roman"/>
        </w:rPr>
        <w:t xml:space="preserve"> </w:t>
      </w:r>
      <w:r w:rsidRPr="00AA1887">
        <w:rPr>
          <w:rFonts w:cs="Times New Roman"/>
        </w:rPr>
        <w:t>development</w:t>
      </w:r>
      <w:r w:rsidR="00F84094" w:rsidRPr="00F84094">
        <w:rPr>
          <w:rFonts w:cs="Times New Roman"/>
        </w:rPr>
        <w:t xml:space="preserve"> </w:t>
      </w:r>
      <w:r w:rsidRPr="00AA1887">
        <w:rPr>
          <w:rFonts w:cs="Times New Roman"/>
        </w:rPr>
        <w:t xml:space="preserve">beyond surface-level success, </w:t>
      </w:r>
      <w:r w:rsidR="00F84094">
        <w:rPr>
          <w:rFonts w:cs="Times New Roman"/>
        </w:rPr>
        <w:t>such as</w:t>
      </w:r>
      <w:r w:rsidRPr="00AA1887">
        <w:rPr>
          <w:rFonts w:cs="Times New Roman"/>
        </w:rPr>
        <w:t xml:space="preserve"> GDP growth or rapid infrastructure </w:t>
      </w:r>
      <w:r w:rsidR="00F84094" w:rsidRPr="00AA1887">
        <w:rPr>
          <w:rFonts w:cs="Times New Roman"/>
        </w:rPr>
        <w:t>construction</w:t>
      </w:r>
      <w:r w:rsidR="00F84094">
        <w:rPr>
          <w:rFonts w:cs="Times New Roman"/>
        </w:rPr>
        <w:t>.</w:t>
      </w:r>
      <w:r w:rsidRPr="00AA1887">
        <w:rPr>
          <w:rFonts w:cs="Times New Roman"/>
        </w:rPr>
        <w:t xml:space="preserve"> At worst, an </w:t>
      </w:r>
      <w:r w:rsidR="00F84094">
        <w:rPr>
          <w:rFonts w:cs="Times New Roman"/>
        </w:rPr>
        <w:t>excessive</w:t>
      </w:r>
      <w:r w:rsidRPr="00AA1887">
        <w:rPr>
          <w:rFonts w:cs="Times New Roman"/>
        </w:rPr>
        <w:t xml:space="preserve"> concentration of decision-making power may result in </w:t>
      </w:r>
      <w:r w:rsidR="003F399E">
        <w:rPr>
          <w:rFonts w:cs="Times New Roman"/>
        </w:rPr>
        <w:t>‘</w:t>
      </w:r>
      <w:r w:rsidRPr="00AA1887">
        <w:rPr>
          <w:rFonts w:cs="Times New Roman"/>
        </w:rPr>
        <w:t>USSR-style</w:t>
      </w:r>
      <w:r w:rsidR="003F399E">
        <w:rPr>
          <w:rFonts w:cs="Times New Roman"/>
        </w:rPr>
        <w:t>’</w:t>
      </w:r>
      <w:r w:rsidRPr="00AA1887">
        <w:rPr>
          <w:rFonts w:cs="Times New Roman"/>
        </w:rPr>
        <w:t xml:space="preserve"> problems, most famously captured by the </w:t>
      </w:r>
      <w:r w:rsidR="00E96224">
        <w:rPr>
          <w:rFonts w:cs="Times New Roman"/>
        </w:rPr>
        <w:t>Chernobyl</w:t>
      </w:r>
      <w:r w:rsidRPr="00AA1887">
        <w:rPr>
          <w:rFonts w:cs="Times New Roman"/>
        </w:rPr>
        <w:t xml:space="preserve"> nuclear disaster, where no one dares to adjust course</w:t>
      </w:r>
      <w:r w:rsidR="009308D9">
        <w:rPr>
          <w:rFonts w:cs="Times New Roman"/>
        </w:rPr>
        <w:t xml:space="preserve">, or </w:t>
      </w:r>
      <w:r w:rsidR="00F84094">
        <w:rPr>
          <w:rFonts w:cs="Times New Roman"/>
        </w:rPr>
        <w:t xml:space="preserve">speak truth to </w:t>
      </w:r>
      <w:r w:rsidR="009308D9">
        <w:rPr>
          <w:rFonts w:cs="Times New Roman"/>
        </w:rPr>
        <w:t>power,</w:t>
      </w:r>
      <w:r w:rsidR="00F84094">
        <w:rPr>
          <w:rFonts w:cs="Times New Roman"/>
        </w:rPr>
        <w:t xml:space="preserve"> </w:t>
      </w:r>
      <w:r w:rsidRPr="00AA1887">
        <w:rPr>
          <w:rFonts w:cs="Times New Roman"/>
        </w:rPr>
        <w:t>before it is too late</w:t>
      </w:r>
      <w:r w:rsidR="000F698E">
        <w:rPr>
          <w:rFonts w:cs="Times New Roman"/>
        </w:rPr>
        <w:t xml:space="preserve">. </w:t>
      </w:r>
      <w:r w:rsidR="00772FE3">
        <w:rPr>
          <w:rFonts w:cs="Times New Roman"/>
        </w:rPr>
        <w:t xml:space="preserve">This article consequently </w:t>
      </w:r>
      <w:r w:rsidR="00772FE3">
        <w:rPr>
          <w:rFonts w:cs="Times New Roman"/>
        </w:rPr>
        <w:lastRenderedPageBreak/>
        <w:t xml:space="preserve">demonstrates a weakness in the </w:t>
      </w:r>
      <w:r w:rsidR="00483E08">
        <w:rPr>
          <w:rFonts w:cs="Times New Roman"/>
        </w:rPr>
        <w:t>PSF</w:t>
      </w:r>
      <w:r w:rsidR="00772FE3">
        <w:rPr>
          <w:rFonts w:cs="Times New Roman"/>
        </w:rPr>
        <w:t xml:space="preserve"> and its application to the </w:t>
      </w:r>
      <w:r w:rsidR="00772FE3" w:rsidRPr="00AA1887">
        <w:rPr>
          <w:rFonts w:cs="Times New Roman"/>
        </w:rPr>
        <w:t>bureaucracy</w:t>
      </w:r>
      <w:r w:rsidR="00772FE3">
        <w:rPr>
          <w:rFonts w:cs="Times New Roman"/>
        </w:rPr>
        <w:t>, which assumes the</w:t>
      </w:r>
      <w:r w:rsidR="00772FE3" w:rsidRPr="00AA1887">
        <w:rPr>
          <w:rFonts w:cs="Times New Roman"/>
        </w:rPr>
        <w:t xml:space="preserve"> beneficial effect </w:t>
      </w:r>
      <w:r w:rsidR="00772FE3">
        <w:rPr>
          <w:rFonts w:cs="Times New Roman"/>
        </w:rPr>
        <w:t>of a</w:t>
      </w:r>
      <w:r w:rsidR="00772FE3" w:rsidRPr="00AA1887">
        <w:rPr>
          <w:rFonts w:cs="Times New Roman"/>
        </w:rPr>
        <w:t xml:space="preserve"> </w:t>
      </w:r>
      <w:r w:rsidR="003F399E">
        <w:rPr>
          <w:rFonts w:cs="Times New Roman"/>
        </w:rPr>
        <w:t>‘</w:t>
      </w:r>
      <w:r w:rsidR="00772FE3" w:rsidRPr="00AA1887">
        <w:rPr>
          <w:rFonts w:cs="Times New Roman"/>
        </w:rPr>
        <w:t>dominant party</w:t>
      </w:r>
      <w:r w:rsidR="003F399E">
        <w:rPr>
          <w:rFonts w:cs="Times New Roman"/>
        </w:rPr>
        <w:t>’</w:t>
      </w:r>
      <w:r w:rsidR="00772FE3" w:rsidRPr="00AA1887">
        <w:rPr>
          <w:rFonts w:cs="Times New Roman"/>
        </w:rPr>
        <w:t xml:space="preserve"> settlement</w:t>
      </w:r>
      <w:r w:rsidR="00772FE3">
        <w:rPr>
          <w:rFonts w:cs="Times New Roman"/>
        </w:rPr>
        <w:t xml:space="preserve"> creating </w:t>
      </w:r>
      <w:r w:rsidR="00772FE3" w:rsidRPr="00AA1887">
        <w:rPr>
          <w:rFonts w:cs="Times New Roman"/>
        </w:rPr>
        <w:t>autonomy and Weberian-ness</w:t>
      </w:r>
      <w:r w:rsidR="000F698E">
        <w:rPr>
          <w:rFonts w:cs="Times New Roman"/>
        </w:rPr>
        <w:t>, thereby overlooking t</w:t>
      </w:r>
      <w:r w:rsidR="00772FE3">
        <w:rPr>
          <w:rFonts w:cs="Times New Roman"/>
        </w:rPr>
        <w:t>he significant costs of rendering the state subservient</w:t>
      </w:r>
      <w:r w:rsidR="00772FE3" w:rsidRPr="00AA1887">
        <w:rPr>
          <w:rFonts w:cs="Times New Roman"/>
        </w:rPr>
        <w:t>.</w:t>
      </w:r>
      <w:r w:rsidR="00E5382D">
        <w:rPr>
          <w:rFonts w:cs="Times New Roman"/>
        </w:rPr>
        <w:t xml:space="preserve"> </w:t>
      </w:r>
    </w:p>
    <w:p w14:paraId="3035DF90" w14:textId="4E136EE8" w:rsidR="002C6CB0" w:rsidRPr="008E56BD" w:rsidRDefault="002C6CB0" w:rsidP="00776B80">
      <w:pPr>
        <w:spacing w:line="480" w:lineRule="auto"/>
        <w:ind w:firstLine="720"/>
        <w:rPr>
          <w:rFonts w:cs="Times New Roman"/>
          <w:b/>
          <w:bCs/>
          <w:iCs/>
        </w:rPr>
      </w:pPr>
    </w:p>
    <w:sectPr w:rsidR="002C6CB0" w:rsidRPr="008E56BD">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710B1" w14:textId="77777777" w:rsidR="001B78BF" w:rsidRDefault="001B78BF" w:rsidP="00BD388F">
      <w:r>
        <w:separator/>
      </w:r>
    </w:p>
  </w:endnote>
  <w:endnote w:type="continuationSeparator" w:id="0">
    <w:p w14:paraId="167783B4" w14:textId="77777777" w:rsidR="001B78BF" w:rsidRDefault="001B78BF" w:rsidP="00BD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ki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5182049"/>
      <w:docPartObj>
        <w:docPartGallery w:val="Page Numbers (Bottom of Page)"/>
        <w:docPartUnique/>
      </w:docPartObj>
    </w:sdtPr>
    <w:sdtContent>
      <w:p w14:paraId="484E0D02" w14:textId="77ED8C2F" w:rsidR="00E15B43" w:rsidRDefault="00E15B43" w:rsidP="00E15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AFCCBB" w14:textId="77777777" w:rsidR="00E15B43" w:rsidRDefault="00E15B43" w:rsidP="00E10D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18854341"/>
      <w:docPartObj>
        <w:docPartGallery w:val="Page Numbers (Bottom of Page)"/>
        <w:docPartUnique/>
      </w:docPartObj>
    </w:sdtPr>
    <w:sdtContent>
      <w:p w14:paraId="2F833CE4" w14:textId="48C5662A" w:rsidR="00E15B43" w:rsidRDefault="00E15B43" w:rsidP="00E15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EC7CF8" w14:textId="77777777" w:rsidR="00E15B43" w:rsidRDefault="00E15B43" w:rsidP="00E10D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1CB3D" w14:textId="77777777" w:rsidR="001B78BF" w:rsidRDefault="001B78BF" w:rsidP="00BD388F">
      <w:r>
        <w:separator/>
      </w:r>
    </w:p>
  </w:footnote>
  <w:footnote w:type="continuationSeparator" w:id="0">
    <w:p w14:paraId="3A023521" w14:textId="77777777" w:rsidR="001B78BF" w:rsidRDefault="001B78BF" w:rsidP="00BD388F">
      <w:r>
        <w:continuationSeparator/>
      </w:r>
    </w:p>
  </w:footnote>
  <w:footnote w:id="1">
    <w:p w14:paraId="2FF16465" w14:textId="2B9F76AF" w:rsidR="00E15B43" w:rsidRPr="00E43DA6" w:rsidRDefault="00E15B43"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Benjamin Chemouni (benjamin.chemouni@uclouvain.be) is Assistant Professor in the Centre of Development Studies, Université </w:t>
      </w:r>
      <w:proofErr w:type="spellStart"/>
      <w:r w:rsidRPr="00E43DA6">
        <w:rPr>
          <w:rFonts w:cs="Times New Roman"/>
        </w:rPr>
        <w:t>Catholique</w:t>
      </w:r>
      <w:proofErr w:type="spellEnd"/>
      <w:r w:rsidRPr="00E43DA6">
        <w:rPr>
          <w:rFonts w:cs="Times New Roman"/>
        </w:rPr>
        <w:t xml:space="preserve"> de Louvain</w:t>
      </w:r>
      <w:r w:rsidR="003C1D66">
        <w:rPr>
          <w:rFonts w:cs="Times New Roman"/>
        </w:rPr>
        <w:t xml:space="preserve"> (</w:t>
      </w:r>
      <w:proofErr w:type="spellStart"/>
      <w:r w:rsidR="003C1D66">
        <w:rPr>
          <w:rFonts w:cs="Times New Roman"/>
        </w:rPr>
        <w:t>UCLouvain</w:t>
      </w:r>
      <w:proofErr w:type="spellEnd"/>
      <w:r w:rsidR="003C1D66">
        <w:rPr>
          <w:rFonts w:cs="Times New Roman"/>
        </w:rPr>
        <w:t>)</w:t>
      </w:r>
      <w:r w:rsidRPr="00E43DA6">
        <w:rPr>
          <w:rFonts w:cs="Times New Roman"/>
        </w:rPr>
        <w:t xml:space="preserve">, </w:t>
      </w:r>
      <w:r w:rsidRPr="00022BF1">
        <w:rPr>
          <w:rFonts w:cs="Times New Roman"/>
        </w:rPr>
        <w:t xml:space="preserve">Belgium, </w:t>
      </w:r>
      <w:r w:rsidRPr="00E10DC5">
        <w:rPr>
          <w:rFonts w:cs="Times New Roman"/>
        </w:rPr>
        <w:t>and Barnaby Dye (barnaby.dye@york.ac.uk) is</w:t>
      </w:r>
      <w:r w:rsidR="00874BFE" w:rsidRPr="00E10DC5">
        <w:rPr>
          <w:rFonts w:cs="Times New Roman"/>
        </w:rPr>
        <w:t xml:space="preserve"> a Lecturer in the Politics of Development at the Department of Politics and International Relations</w:t>
      </w:r>
      <w:r w:rsidR="001507EA">
        <w:rPr>
          <w:rFonts w:cs="Times New Roman"/>
        </w:rPr>
        <w:t>.</w:t>
      </w:r>
      <w:r w:rsidRPr="00E43DA6">
        <w:rPr>
          <w:rFonts w:cs="Times New Roman"/>
        </w:rPr>
        <w:t xml:space="preserve"> </w:t>
      </w:r>
      <w:r w:rsidR="001507EA">
        <w:rPr>
          <w:rFonts w:cs="Times New Roman"/>
        </w:rPr>
        <w:t>The authors</w:t>
      </w:r>
      <w:r w:rsidRPr="00E43DA6">
        <w:rPr>
          <w:rFonts w:cs="Times New Roman"/>
        </w:rPr>
        <w:t xml:space="preserve"> wish to acknowledge the Effective State and Inclusive Development Research </w:t>
      </w:r>
      <w:proofErr w:type="spellStart"/>
      <w:r w:rsidRPr="00E43DA6">
        <w:rPr>
          <w:rFonts w:cs="Times New Roman"/>
        </w:rPr>
        <w:t>Center</w:t>
      </w:r>
      <w:proofErr w:type="spellEnd"/>
      <w:r w:rsidRPr="00E43DA6">
        <w:rPr>
          <w:rFonts w:cs="Times New Roman"/>
        </w:rPr>
        <w:t xml:space="preserve"> and the FutureDAMS program at the University of Manchester for their financial support as well as the editors and anonymous reviewers of </w:t>
      </w:r>
      <w:r w:rsidRPr="00E43DA6">
        <w:rPr>
          <w:rFonts w:cs="Times New Roman"/>
          <w:i/>
          <w:iCs/>
        </w:rPr>
        <w:t>African Affairs</w:t>
      </w:r>
      <w:r w:rsidRPr="00E43DA6">
        <w:rPr>
          <w:rFonts w:cs="Times New Roman"/>
        </w:rPr>
        <w:t xml:space="preserve"> for their comments on earlier drafts.</w:t>
      </w:r>
    </w:p>
  </w:footnote>
  <w:footnote w:id="2">
    <w:p w14:paraId="4CE5AF6F" w14:textId="11875AFA" w:rsidR="00061086" w:rsidRPr="00E43DA6" w:rsidRDefault="00061086"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Mushtaq Khan, </w:t>
      </w:r>
      <w:r w:rsidR="003F399E" w:rsidRPr="00E43DA6">
        <w:rPr>
          <w:rFonts w:cs="Times New Roman"/>
        </w:rPr>
        <w:t>‘</w:t>
      </w:r>
      <w:r w:rsidR="000434ED" w:rsidRPr="00E43DA6">
        <w:rPr>
          <w:rFonts w:cs="Times New Roman"/>
        </w:rPr>
        <w:t xml:space="preserve">Political </w:t>
      </w:r>
      <w:r w:rsidR="001507EA">
        <w:rPr>
          <w:rFonts w:cs="Times New Roman"/>
        </w:rPr>
        <w:t>s</w:t>
      </w:r>
      <w:r w:rsidR="000434ED" w:rsidRPr="00E43DA6">
        <w:rPr>
          <w:rFonts w:cs="Times New Roman"/>
        </w:rPr>
        <w:t xml:space="preserve">ettlements and the </w:t>
      </w:r>
      <w:r w:rsidR="001507EA">
        <w:rPr>
          <w:rFonts w:cs="Times New Roman"/>
        </w:rPr>
        <w:t>g</w:t>
      </w:r>
      <w:r w:rsidR="000434ED" w:rsidRPr="00E43DA6">
        <w:rPr>
          <w:rFonts w:cs="Times New Roman"/>
        </w:rPr>
        <w:t xml:space="preserve">overnance of </w:t>
      </w:r>
      <w:r w:rsidR="001507EA">
        <w:rPr>
          <w:rFonts w:cs="Times New Roman"/>
        </w:rPr>
        <w:t>g</w:t>
      </w:r>
      <w:r w:rsidR="000434ED" w:rsidRPr="00E43DA6">
        <w:rPr>
          <w:rFonts w:cs="Times New Roman"/>
        </w:rPr>
        <w:t>rowth-</w:t>
      </w:r>
      <w:r w:rsidR="001507EA">
        <w:rPr>
          <w:rFonts w:cs="Times New Roman"/>
        </w:rPr>
        <w:t>e</w:t>
      </w:r>
      <w:r w:rsidR="000434ED" w:rsidRPr="00E43DA6">
        <w:rPr>
          <w:rFonts w:cs="Times New Roman"/>
        </w:rPr>
        <w:t xml:space="preserve">nhancing </w:t>
      </w:r>
      <w:r w:rsidR="001507EA">
        <w:rPr>
          <w:rFonts w:cs="Times New Roman"/>
        </w:rPr>
        <w:t>i</w:t>
      </w:r>
      <w:r w:rsidR="000434ED" w:rsidRPr="00E43DA6">
        <w:rPr>
          <w:rFonts w:cs="Times New Roman"/>
        </w:rPr>
        <w:t>nstitutions</w:t>
      </w:r>
      <w:r w:rsidR="003F399E" w:rsidRPr="00E43DA6">
        <w:rPr>
          <w:rFonts w:cs="Times New Roman"/>
        </w:rPr>
        <w:t>’</w:t>
      </w:r>
      <w:r w:rsidR="001D6425">
        <w:rPr>
          <w:rFonts w:cs="Times New Roman"/>
        </w:rPr>
        <w:t>,</w:t>
      </w:r>
      <w:r w:rsidR="000434ED" w:rsidRPr="00E43DA6">
        <w:rPr>
          <w:rFonts w:cs="Times New Roman"/>
        </w:rPr>
        <w:t xml:space="preserve"> </w:t>
      </w:r>
      <w:r w:rsidR="00F10353" w:rsidRPr="00E43DA6">
        <w:rPr>
          <w:rFonts w:cs="Times New Roman"/>
        </w:rPr>
        <w:t xml:space="preserve">(Research Paper Series on Governance for Growth, SOAS, </w:t>
      </w:r>
      <w:r w:rsidR="000434ED" w:rsidRPr="00E43DA6">
        <w:rPr>
          <w:rFonts w:cs="Times New Roman"/>
        </w:rPr>
        <w:t>University of London</w:t>
      </w:r>
      <w:r w:rsidR="00F10353" w:rsidRPr="00E43DA6">
        <w:rPr>
          <w:rFonts w:cs="Times New Roman"/>
        </w:rPr>
        <w:t>,</w:t>
      </w:r>
      <w:r w:rsidR="001507EA">
        <w:rPr>
          <w:rFonts w:cs="Times New Roman"/>
        </w:rPr>
        <w:t xml:space="preserve"> London,</w:t>
      </w:r>
      <w:r w:rsidR="00F10353" w:rsidRPr="00E43DA6">
        <w:rPr>
          <w:rFonts w:cs="Times New Roman"/>
        </w:rPr>
        <w:t xml:space="preserve"> </w:t>
      </w:r>
      <w:r w:rsidR="000434ED" w:rsidRPr="00E43DA6">
        <w:rPr>
          <w:rFonts w:cs="Times New Roman"/>
        </w:rPr>
        <w:t>2010)</w:t>
      </w:r>
      <w:r w:rsidR="00F10353" w:rsidRPr="00E43DA6">
        <w:rPr>
          <w:rFonts w:cs="Times New Roman"/>
        </w:rPr>
        <w:t>, p.</w:t>
      </w:r>
      <w:r w:rsidR="000434ED" w:rsidRPr="00E43DA6">
        <w:rPr>
          <w:rFonts w:cs="Times New Roman"/>
        </w:rPr>
        <w:t>4</w:t>
      </w:r>
      <w:r w:rsidR="00F10353" w:rsidRPr="00E43DA6">
        <w:rPr>
          <w:rFonts w:cs="Times New Roman"/>
        </w:rPr>
        <w:t>.</w:t>
      </w:r>
    </w:p>
  </w:footnote>
  <w:footnote w:id="3">
    <w:p w14:paraId="0E4B9460" w14:textId="06FAA3CE" w:rsidR="00061086" w:rsidRPr="00E43DA6" w:rsidRDefault="00061086"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Matthew Tyce, </w:t>
      </w:r>
      <w:r w:rsidR="003F399E" w:rsidRPr="00E43DA6">
        <w:rPr>
          <w:rFonts w:cs="Times New Roman"/>
        </w:rPr>
        <w:t>‘</w:t>
      </w:r>
      <w:r w:rsidR="000434ED" w:rsidRPr="00E43DA6">
        <w:rPr>
          <w:rFonts w:cs="Times New Roman"/>
        </w:rPr>
        <w:t xml:space="preserve">The </w:t>
      </w:r>
      <w:r w:rsidR="001507EA">
        <w:rPr>
          <w:rFonts w:cs="Times New Roman"/>
        </w:rPr>
        <w:t>p</w:t>
      </w:r>
      <w:r w:rsidR="000434ED" w:rsidRPr="00E43DA6">
        <w:rPr>
          <w:rFonts w:cs="Times New Roman"/>
        </w:rPr>
        <w:t xml:space="preserve">olitics of </w:t>
      </w:r>
      <w:r w:rsidR="001507EA">
        <w:rPr>
          <w:rFonts w:cs="Times New Roman"/>
        </w:rPr>
        <w:t>i</w:t>
      </w:r>
      <w:r w:rsidR="000434ED" w:rsidRPr="00E43DA6">
        <w:rPr>
          <w:rFonts w:cs="Times New Roman"/>
        </w:rPr>
        <w:t xml:space="preserve">ndustrial </w:t>
      </w:r>
      <w:r w:rsidR="001507EA">
        <w:rPr>
          <w:rFonts w:cs="Times New Roman"/>
        </w:rPr>
        <w:t>p</w:t>
      </w:r>
      <w:r w:rsidR="000434ED" w:rsidRPr="00E43DA6">
        <w:rPr>
          <w:rFonts w:cs="Times New Roman"/>
        </w:rPr>
        <w:t xml:space="preserve">olicy in a </w:t>
      </w:r>
      <w:r w:rsidR="001507EA">
        <w:rPr>
          <w:rFonts w:cs="Times New Roman"/>
        </w:rPr>
        <w:t>c</w:t>
      </w:r>
      <w:r w:rsidR="000434ED" w:rsidRPr="00E43DA6">
        <w:rPr>
          <w:rFonts w:cs="Times New Roman"/>
        </w:rPr>
        <w:t xml:space="preserve">ontext of </w:t>
      </w:r>
      <w:r w:rsidR="001507EA">
        <w:rPr>
          <w:rFonts w:cs="Times New Roman"/>
        </w:rPr>
        <w:t>c</w:t>
      </w:r>
      <w:r w:rsidR="000434ED" w:rsidRPr="00E43DA6">
        <w:rPr>
          <w:rFonts w:cs="Times New Roman"/>
        </w:rPr>
        <w:t xml:space="preserve">ompetitive </w:t>
      </w:r>
      <w:r w:rsidR="001507EA">
        <w:rPr>
          <w:rFonts w:cs="Times New Roman"/>
        </w:rPr>
        <w:t>c</w:t>
      </w:r>
      <w:r w:rsidR="000434ED" w:rsidRPr="00E43DA6">
        <w:rPr>
          <w:rFonts w:cs="Times New Roman"/>
        </w:rPr>
        <w:t xml:space="preserve">lientelism: The </w:t>
      </w:r>
      <w:r w:rsidR="001507EA">
        <w:rPr>
          <w:rFonts w:cs="Times New Roman"/>
        </w:rPr>
        <w:t>c</w:t>
      </w:r>
      <w:r w:rsidR="000434ED" w:rsidRPr="00E43DA6">
        <w:rPr>
          <w:rFonts w:cs="Times New Roman"/>
        </w:rPr>
        <w:t xml:space="preserve">ase of Kenya’s </w:t>
      </w:r>
      <w:r w:rsidR="001507EA">
        <w:rPr>
          <w:rFonts w:cs="Times New Roman"/>
        </w:rPr>
        <w:t>g</w:t>
      </w:r>
      <w:r w:rsidR="000434ED" w:rsidRPr="00E43DA6">
        <w:rPr>
          <w:rFonts w:cs="Times New Roman"/>
        </w:rPr>
        <w:t xml:space="preserve">arment </w:t>
      </w:r>
      <w:r w:rsidR="001507EA">
        <w:rPr>
          <w:rFonts w:cs="Times New Roman"/>
        </w:rPr>
        <w:t>e</w:t>
      </w:r>
      <w:r w:rsidR="000434ED" w:rsidRPr="00E43DA6">
        <w:rPr>
          <w:rFonts w:cs="Times New Roman"/>
        </w:rPr>
        <w:t xml:space="preserve">xport </w:t>
      </w:r>
      <w:r w:rsidR="001507EA">
        <w:rPr>
          <w:rFonts w:cs="Times New Roman"/>
        </w:rPr>
        <w:t>s</w:t>
      </w:r>
      <w:r w:rsidR="000434ED" w:rsidRPr="00E43DA6">
        <w:rPr>
          <w:rFonts w:cs="Times New Roman"/>
        </w:rPr>
        <w:t>ector</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African Affairs</w:t>
      </w:r>
      <w:r w:rsidR="000434ED" w:rsidRPr="00E43DA6">
        <w:rPr>
          <w:rFonts w:cs="Times New Roman"/>
        </w:rPr>
        <w:t xml:space="preserve"> 118, 472 (2019)</w:t>
      </w:r>
      <w:r w:rsidR="00F10353" w:rsidRPr="00E43DA6">
        <w:rPr>
          <w:rFonts w:cs="Times New Roman"/>
        </w:rPr>
        <w:t>, pp.553-579, p.</w:t>
      </w:r>
      <w:r w:rsidR="000434ED" w:rsidRPr="00E43DA6">
        <w:rPr>
          <w:rFonts w:cs="Times New Roman"/>
        </w:rPr>
        <w:t>554.</w:t>
      </w:r>
    </w:p>
  </w:footnote>
  <w:footnote w:id="4">
    <w:p w14:paraId="5D415ECD" w14:textId="3D82B7B3" w:rsidR="00061086" w:rsidRPr="00E43DA6" w:rsidRDefault="00061086"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Graham Harrison, </w:t>
      </w:r>
      <w:r w:rsidR="003F399E" w:rsidRPr="00E43DA6">
        <w:rPr>
          <w:rFonts w:cs="Times New Roman"/>
        </w:rPr>
        <w:t>‘</w:t>
      </w:r>
      <w:r w:rsidR="000434ED" w:rsidRPr="00E43DA6">
        <w:rPr>
          <w:rFonts w:cs="Times New Roman"/>
        </w:rPr>
        <w:t xml:space="preserve">Focus: Rwanda and the </w:t>
      </w:r>
      <w:r w:rsidR="001507EA">
        <w:rPr>
          <w:rFonts w:cs="Times New Roman"/>
        </w:rPr>
        <w:t>d</w:t>
      </w:r>
      <w:r w:rsidR="000434ED" w:rsidRPr="00E43DA6">
        <w:rPr>
          <w:rFonts w:cs="Times New Roman"/>
        </w:rPr>
        <w:t xml:space="preserve">ifficult </w:t>
      </w:r>
      <w:r w:rsidR="001507EA">
        <w:rPr>
          <w:rFonts w:cs="Times New Roman"/>
        </w:rPr>
        <w:t>b</w:t>
      </w:r>
      <w:r w:rsidR="000434ED" w:rsidRPr="00E43DA6">
        <w:rPr>
          <w:rFonts w:cs="Times New Roman"/>
        </w:rPr>
        <w:t xml:space="preserve">usiness of </w:t>
      </w:r>
      <w:r w:rsidR="001507EA">
        <w:rPr>
          <w:rFonts w:cs="Times New Roman"/>
        </w:rPr>
        <w:t>c</w:t>
      </w:r>
      <w:r w:rsidR="000434ED" w:rsidRPr="00E43DA6">
        <w:rPr>
          <w:rFonts w:cs="Times New Roman"/>
        </w:rPr>
        <w:t xml:space="preserve">apitalist </w:t>
      </w:r>
      <w:r w:rsidR="001507EA">
        <w:rPr>
          <w:rFonts w:cs="Times New Roman"/>
        </w:rPr>
        <w:t>d</w:t>
      </w:r>
      <w:r w:rsidR="000434ED" w:rsidRPr="00E43DA6">
        <w:rPr>
          <w:rFonts w:cs="Times New Roman"/>
        </w:rPr>
        <w:t>evelopment</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Development and Change</w:t>
      </w:r>
      <w:r w:rsidR="000434ED" w:rsidRPr="00E43DA6">
        <w:rPr>
          <w:rFonts w:cs="Times New Roman"/>
        </w:rPr>
        <w:t xml:space="preserve"> 48,5 (2017</w:t>
      </w:r>
      <w:proofErr w:type="gramStart"/>
      <w:r w:rsidR="000434ED" w:rsidRPr="00E43DA6">
        <w:rPr>
          <w:rFonts w:cs="Times New Roman"/>
        </w:rPr>
        <w:t>)</w:t>
      </w:r>
      <w:r w:rsidR="00F10353" w:rsidRPr="00E43DA6">
        <w:rPr>
          <w:rFonts w:cs="Times New Roman"/>
        </w:rPr>
        <w:t>,pp.</w:t>
      </w:r>
      <w:proofErr w:type="gramEnd"/>
      <w:r w:rsidR="00F10353" w:rsidRPr="00E43DA6">
        <w:rPr>
          <w:rFonts w:cs="Times New Roman"/>
        </w:rPr>
        <w:t xml:space="preserve"> 873-898, p.</w:t>
      </w:r>
      <w:r w:rsidR="000434ED" w:rsidRPr="00E43DA6">
        <w:rPr>
          <w:rFonts w:cs="Times New Roman"/>
        </w:rPr>
        <w:t>873.</w:t>
      </w:r>
    </w:p>
  </w:footnote>
  <w:footnote w:id="5">
    <w:p w14:paraId="1BFB6C7F" w14:textId="5F810EBB" w:rsidR="00BD388F" w:rsidRPr="00E43DA6" w:rsidRDefault="00BD388F"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Ministry of Infrastructure Republic of Rwanda, </w:t>
      </w:r>
      <w:r w:rsidR="003F399E" w:rsidRPr="00E43DA6">
        <w:rPr>
          <w:rFonts w:cs="Times New Roman"/>
        </w:rPr>
        <w:t>‘</w:t>
      </w:r>
      <w:r w:rsidR="000434ED" w:rsidRPr="00E43DA6">
        <w:rPr>
          <w:rFonts w:cs="Times New Roman"/>
        </w:rPr>
        <w:t xml:space="preserve">National </w:t>
      </w:r>
      <w:r w:rsidR="001507EA">
        <w:rPr>
          <w:rFonts w:cs="Times New Roman"/>
        </w:rPr>
        <w:t>e</w:t>
      </w:r>
      <w:r w:rsidR="000434ED" w:rsidRPr="00E43DA6">
        <w:rPr>
          <w:rFonts w:cs="Times New Roman"/>
        </w:rPr>
        <w:t xml:space="preserve">nergy </w:t>
      </w:r>
      <w:r w:rsidR="001507EA">
        <w:rPr>
          <w:rFonts w:cs="Times New Roman"/>
        </w:rPr>
        <w:t>p</w:t>
      </w:r>
      <w:r w:rsidR="000434ED" w:rsidRPr="00E43DA6">
        <w:rPr>
          <w:rFonts w:cs="Times New Roman"/>
        </w:rPr>
        <w:t xml:space="preserve">olicy and </w:t>
      </w:r>
      <w:r w:rsidR="001507EA">
        <w:rPr>
          <w:rFonts w:cs="Times New Roman"/>
        </w:rPr>
        <w:t>n</w:t>
      </w:r>
      <w:r w:rsidR="000434ED" w:rsidRPr="00E43DA6">
        <w:rPr>
          <w:rFonts w:cs="Times New Roman"/>
        </w:rPr>
        <w:t xml:space="preserve">ational </w:t>
      </w:r>
      <w:r w:rsidR="001507EA">
        <w:rPr>
          <w:rFonts w:cs="Times New Roman"/>
        </w:rPr>
        <w:t>e</w:t>
      </w:r>
      <w:r w:rsidR="000434ED" w:rsidRPr="00E43DA6">
        <w:rPr>
          <w:rFonts w:cs="Times New Roman"/>
        </w:rPr>
        <w:t xml:space="preserve">nergy </w:t>
      </w:r>
      <w:r w:rsidR="001507EA">
        <w:rPr>
          <w:rFonts w:cs="Times New Roman"/>
        </w:rPr>
        <w:t>s</w:t>
      </w:r>
      <w:r w:rsidR="000434ED" w:rsidRPr="00E43DA6">
        <w:rPr>
          <w:rFonts w:cs="Times New Roman"/>
        </w:rPr>
        <w:t>trategy 2008-2012</w:t>
      </w:r>
      <w:r w:rsidR="003F399E" w:rsidRPr="00E43DA6">
        <w:rPr>
          <w:rFonts w:cs="Times New Roman"/>
        </w:rPr>
        <w:t>’</w:t>
      </w:r>
      <w:r w:rsidR="000434ED" w:rsidRPr="00E43DA6">
        <w:rPr>
          <w:rFonts w:cs="Times New Roman"/>
        </w:rPr>
        <w:t xml:space="preserve"> (Government of Rwanda, </w:t>
      </w:r>
      <w:r w:rsidR="00F10353" w:rsidRPr="00E43DA6">
        <w:rPr>
          <w:rFonts w:cs="Times New Roman"/>
        </w:rPr>
        <w:t xml:space="preserve">Kigali, </w:t>
      </w:r>
      <w:r w:rsidR="000434ED" w:rsidRPr="00E43DA6">
        <w:rPr>
          <w:rFonts w:cs="Times New Roman"/>
        </w:rPr>
        <w:t>2009).</w:t>
      </w:r>
    </w:p>
  </w:footnote>
  <w:footnote w:id="6">
    <w:p w14:paraId="5EA87633" w14:textId="11E77FEE" w:rsidR="00295C70" w:rsidRPr="00E43DA6" w:rsidRDefault="00295C70"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World Bank, </w:t>
      </w:r>
      <w:r w:rsidR="003F399E" w:rsidRPr="00E43DA6">
        <w:rPr>
          <w:rFonts w:cs="Times New Roman"/>
        </w:rPr>
        <w:t>‘</w:t>
      </w:r>
      <w:r w:rsidR="000434ED" w:rsidRPr="00E43DA6">
        <w:rPr>
          <w:rFonts w:cs="Times New Roman"/>
        </w:rPr>
        <w:t xml:space="preserve">Rwanda - Energy </w:t>
      </w:r>
      <w:r w:rsidR="001507EA">
        <w:rPr>
          <w:rFonts w:cs="Times New Roman"/>
        </w:rPr>
        <w:t>s</w:t>
      </w:r>
      <w:r w:rsidR="000434ED" w:rsidRPr="00E43DA6">
        <w:rPr>
          <w:rFonts w:cs="Times New Roman"/>
        </w:rPr>
        <w:t xml:space="preserve">ector </w:t>
      </w:r>
      <w:r w:rsidR="001507EA">
        <w:rPr>
          <w:rFonts w:cs="Times New Roman"/>
        </w:rPr>
        <w:t>d</w:t>
      </w:r>
      <w:r w:rsidR="000434ED" w:rsidRPr="00E43DA6">
        <w:rPr>
          <w:rFonts w:cs="Times New Roman"/>
        </w:rPr>
        <w:t xml:space="preserve">evelopment </w:t>
      </w:r>
      <w:r w:rsidR="001507EA">
        <w:rPr>
          <w:rFonts w:cs="Times New Roman"/>
        </w:rPr>
        <w:t>p</w:t>
      </w:r>
      <w:r w:rsidR="000434ED" w:rsidRPr="00E43DA6">
        <w:rPr>
          <w:rFonts w:cs="Times New Roman"/>
        </w:rPr>
        <w:t xml:space="preserve">olicy </w:t>
      </w:r>
      <w:r w:rsidR="001507EA">
        <w:rPr>
          <w:rFonts w:cs="Times New Roman"/>
        </w:rPr>
        <w:t>l</w:t>
      </w:r>
      <w:r w:rsidR="000434ED" w:rsidRPr="00E43DA6">
        <w:rPr>
          <w:rFonts w:cs="Times New Roman"/>
        </w:rPr>
        <w:t xml:space="preserve">oan </w:t>
      </w:r>
      <w:r w:rsidR="001507EA">
        <w:rPr>
          <w:rFonts w:cs="Times New Roman"/>
        </w:rPr>
        <w:t>p</w:t>
      </w:r>
      <w:r w:rsidR="000434ED" w:rsidRPr="00E43DA6">
        <w:rPr>
          <w:rFonts w:cs="Times New Roman"/>
        </w:rPr>
        <w:t>roject</w:t>
      </w:r>
      <w:r w:rsidR="003F399E" w:rsidRPr="00E43DA6">
        <w:rPr>
          <w:rFonts w:cs="Times New Roman"/>
        </w:rPr>
        <w:t>’</w:t>
      </w:r>
      <w:r w:rsidR="000434ED" w:rsidRPr="00E43DA6">
        <w:rPr>
          <w:rFonts w:cs="Times New Roman"/>
        </w:rPr>
        <w:t xml:space="preserve"> (World Bank Group</w:t>
      </w:r>
      <w:r w:rsidR="00F10353" w:rsidRPr="00E43DA6">
        <w:rPr>
          <w:rFonts w:cs="Times New Roman"/>
        </w:rPr>
        <w:t>,</w:t>
      </w:r>
      <w:r w:rsidR="000434ED" w:rsidRPr="00E43DA6">
        <w:rPr>
          <w:rFonts w:cs="Times New Roman"/>
        </w:rPr>
        <w:t xml:space="preserve"> Washington, D.C., 2017).</w:t>
      </w:r>
    </w:p>
  </w:footnote>
  <w:footnote w:id="7">
    <w:p w14:paraId="569C9330" w14:textId="1F583959" w:rsidR="00BD388F" w:rsidRPr="00E43DA6" w:rsidRDefault="00BD388F"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proofErr w:type="spellStart"/>
      <w:r w:rsidR="000434ED" w:rsidRPr="00E43DA6">
        <w:rPr>
          <w:rFonts w:cs="Times New Roman"/>
        </w:rPr>
        <w:t>Bonfils</w:t>
      </w:r>
      <w:proofErr w:type="spellEnd"/>
      <w:r w:rsidR="000434ED" w:rsidRPr="00E43DA6">
        <w:rPr>
          <w:rFonts w:cs="Times New Roman"/>
        </w:rPr>
        <w:t xml:space="preserve"> Safari, </w:t>
      </w:r>
      <w:r w:rsidR="003F399E" w:rsidRPr="00E43DA6">
        <w:rPr>
          <w:rFonts w:cs="Times New Roman"/>
        </w:rPr>
        <w:t>‘</w:t>
      </w:r>
      <w:r w:rsidR="000434ED" w:rsidRPr="00E43DA6">
        <w:rPr>
          <w:rFonts w:cs="Times New Roman"/>
        </w:rPr>
        <w:t xml:space="preserve">A </w:t>
      </w:r>
      <w:r w:rsidR="001507EA">
        <w:rPr>
          <w:rFonts w:cs="Times New Roman"/>
        </w:rPr>
        <w:t>r</w:t>
      </w:r>
      <w:r w:rsidR="000434ED" w:rsidRPr="00E43DA6">
        <w:rPr>
          <w:rFonts w:cs="Times New Roman"/>
        </w:rPr>
        <w:t xml:space="preserve">eview of </w:t>
      </w:r>
      <w:r w:rsidR="001507EA">
        <w:rPr>
          <w:rFonts w:cs="Times New Roman"/>
        </w:rPr>
        <w:t>e</w:t>
      </w:r>
      <w:r w:rsidR="000434ED" w:rsidRPr="00E43DA6">
        <w:rPr>
          <w:rFonts w:cs="Times New Roman"/>
        </w:rPr>
        <w:t>nergy in Rwanda</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Renewable and Sustainable Energy Reviews</w:t>
      </w:r>
      <w:r w:rsidR="000434ED" w:rsidRPr="00E43DA6">
        <w:rPr>
          <w:rFonts w:cs="Times New Roman"/>
        </w:rPr>
        <w:t xml:space="preserve"> 14, 1 (2010): </w:t>
      </w:r>
      <w:r w:rsidR="00323903" w:rsidRPr="00E43DA6">
        <w:rPr>
          <w:rFonts w:cs="Times New Roman"/>
        </w:rPr>
        <w:t>pp.</w:t>
      </w:r>
      <w:r w:rsidR="001507EA">
        <w:rPr>
          <w:rFonts w:cs="Times New Roman"/>
        </w:rPr>
        <w:t xml:space="preserve"> </w:t>
      </w:r>
      <w:r w:rsidR="000434ED" w:rsidRPr="00E43DA6">
        <w:rPr>
          <w:rFonts w:cs="Times New Roman"/>
        </w:rPr>
        <w:t>524–29.</w:t>
      </w:r>
    </w:p>
  </w:footnote>
  <w:footnote w:id="8">
    <w:p w14:paraId="20DE314A" w14:textId="7F9FB4CD" w:rsidR="00BD388F" w:rsidRPr="00E43DA6" w:rsidRDefault="00BD388F"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Barnaby Joseph Dye, </w:t>
      </w:r>
      <w:r w:rsidR="003F399E" w:rsidRPr="00E43DA6">
        <w:rPr>
          <w:rFonts w:cs="Times New Roman"/>
        </w:rPr>
        <w:t>‘</w:t>
      </w:r>
      <w:r w:rsidR="000434ED" w:rsidRPr="00E43DA6">
        <w:rPr>
          <w:rFonts w:cs="Times New Roman"/>
        </w:rPr>
        <w:t xml:space="preserve">Ideology </w:t>
      </w:r>
      <w:r w:rsidR="001507EA">
        <w:rPr>
          <w:rFonts w:cs="Times New Roman"/>
        </w:rPr>
        <w:t>m</w:t>
      </w:r>
      <w:r w:rsidR="000434ED" w:rsidRPr="00E43DA6">
        <w:rPr>
          <w:rFonts w:cs="Times New Roman"/>
        </w:rPr>
        <w:t xml:space="preserve">atters: Political </w:t>
      </w:r>
      <w:r w:rsidR="001507EA">
        <w:rPr>
          <w:rFonts w:cs="Times New Roman"/>
        </w:rPr>
        <w:t>m</w:t>
      </w:r>
      <w:r w:rsidR="000434ED" w:rsidRPr="00E43DA6">
        <w:rPr>
          <w:rFonts w:cs="Times New Roman"/>
        </w:rPr>
        <w:t xml:space="preserve">achinations, </w:t>
      </w:r>
      <w:r w:rsidR="001507EA">
        <w:rPr>
          <w:rFonts w:cs="Times New Roman"/>
        </w:rPr>
        <w:t>m</w:t>
      </w:r>
      <w:r w:rsidR="000434ED" w:rsidRPr="00E43DA6">
        <w:rPr>
          <w:rFonts w:cs="Times New Roman"/>
        </w:rPr>
        <w:t xml:space="preserve">odernism, and </w:t>
      </w:r>
      <w:r w:rsidR="001507EA">
        <w:rPr>
          <w:rFonts w:cs="Times New Roman"/>
        </w:rPr>
        <w:t>m</w:t>
      </w:r>
      <w:r w:rsidR="000434ED" w:rsidRPr="00E43DA6">
        <w:rPr>
          <w:rFonts w:cs="Times New Roman"/>
        </w:rPr>
        <w:t xml:space="preserve">yopia in Rwanda’s </w:t>
      </w:r>
      <w:r w:rsidR="001507EA">
        <w:rPr>
          <w:rFonts w:cs="Times New Roman"/>
        </w:rPr>
        <w:t>e</w:t>
      </w:r>
      <w:r w:rsidR="000434ED" w:rsidRPr="00E43DA6">
        <w:rPr>
          <w:rFonts w:cs="Times New Roman"/>
        </w:rPr>
        <w:t xml:space="preserve">lectricity </w:t>
      </w:r>
      <w:r w:rsidR="001507EA">
        <w:rPr>
          <w:rFonts w:cs="Times New Roman"/>
        </w:rPr>
        <w:t>b</w:t>
      </w:r>
      <w:r w:rsidR="000434ED" w:rsidRPr="00E43DA6">
        <w:rPr>
          <w:rFonts w:cs="Times New Roman"/>
        </w:rPr>
        <w:t>oom</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Energy Research &amp; Social Science</w:t>
      </w:r>
      <w:r w:rsidR="000434ED" w:rsidRPr="00E43DA6">
        <w:rPr>
          <w:rFonts w:cs="Times New Roman"/>
        </w:rPr>
        <w:t xml:space="preserve"> 61 (2020): </w:t>
      </w:r>
      <w:r w:rsidR="00323903" w:rsidRPr="00E43DA6">
        <w:rPr>
          <w:rFonts w:cs="Times New Roman"/>
        </w:rPr>
        <w:t>pp.</w:t>
      </w:r>
      <w:r w:rsidR="001507EA">
        <w:rPr>
          <w:rFonts w:cs="Times New Roman"/>
        </w:rPr>
        <w:t xml:space="preserve"> </w:t>
      </w:r>
      <w:r w:rsidR="000434ED" w:rsidRPr="00E43DA6">
        <w:rPr>
          <w:rFonts w:cs="Times New Roman"/>
        </w:rPr>
        <w:t xml:space="preserve">1–11; World Bank, </w:t>
      </w:r>
      <w:r w:rsidR="003F399E" w:rsidRPr="00E43DA6">
        <w:rPr>
          <w:rFonts w:cs="Times New Roman"/>
        </w:rPr>
        <w:t>‘</w:t>
      </w:r>
      <w:r w:rsidR="000434ED" w:rsidRPr="00E43DA6">
        <w:rPr>
          <w:rFonts w:cs="Times New Roman"/>
        </w:rPr>
        <w:t xml:space="preserve">Rwanda - </w:t>
      </w:r>
      <w:r w:rsidR="001507EA">
        <w:rPr>
          <w:rFonts w:cs="Times New Roman"/>
        </w:rPr>
        <w:t>e</w:t>
      </w:r>
      <w:r w:rsidR="000434ED" w:rsidRPr="00E43DA6">
        <w:rPr>
          <w:rFonts w:cs="Times New Roman"/>
        </w:rPr>
        <w:t xml:space="preserve">nergy </w:t>
      </w:r>
      <w:r w:rsidR="001507EA">
        <w:rPr>
          <w:rFonts w:cs="Times New Roman"/>
        </w:rPr>
        <w:t>s</w:t>
      </w:r>
      <w:r w:rsidR="000434ED" w:rsidRPr="00E43DA6">
        <w:rPr>
          <w:rFonts w:cs="Times New Roman"/>
        </w:rPr>
        <w:t xml:space="preserve">ector </w:t>
      </w:r>
      <w:r w:rsidR="001507EA">
        <w:rPr>
          <w:rFonts w:cs="Times New Roman"/>
        </w:rPr>
        <w:t>d</w:t>
      </w:r>
      <w:r w:rsidR="000434ED" w:rsidRPr="00E43DA6">
        <w:rPr>
          <w:rFonts w:cs="Times New Roman"/>
        </w:rPr>
        <w:t xml:space="preserve">evelopment </w:t>
      </w:r>
      <w:r w:rsidR="001507EA">
        <w:rPr>
          <w:rFonts w:cs="Times New Roman"/>
        </w:rPr>
        <w:t>p</w:t>
      </w:r>
      <w:r w:rsidR="000434ED" w:rsidRPr="00E43DA6">
        <w:rPr>
          <w:rFonts w:cs="Times New Roman"/>
        </w:rPr>
        <w:t xml:space="preserve">olicy </w:t>
      </w:r>
      <w:r w:rsidR="001507EA">
        <w:rPr>
          <w:rFonts w:cs="Times New Roman"/>
        </w:rPr>
        <w:t>l</w:t>
      </w:r>
      <w:r w:rsidR="000434ED" w:rsidRPr="00E43DA6">
        <w:rPr>
          <w:rFonts w:cs="Times New Roman"/>
        </w:rPr>
        <w:t xml:space="preserve">oan </w:t>
      </w:r>
      <w:r w:rsidR="001507EA">
        <w:rPr>
          <w:rFonts w:cs="Times New Roman"/>
        </w:rPr>
        <w:t>p</w:t>
      </w:r>
      <w:r w:rsidR="000434ED" w:rsidRPr="00E43DA6">
        <w:rPr>
          <w:rFonts w:cs="Times New Roman"/>
        </w:rPr>
        <w:t>roject</w:t>
      </w:r>
      <w:r w:rsidR="003F399E" w:rsidRPr="00E43DA6">
        <w:rPr>
          <w:rFonts w:cs="Times New Roman"/>
        </w:rPr>
        <w:t>’</w:t>
      </w:r>
      <w:r w:rsidR="001D6425">
        <w:rPr>
          <w:rFonts w:cs="Times New Roman"/>
        </w:rPr>
        <w:t>.</w:t>
      </w:r>
    </w:p>
  </w:footnote>
  <w:footnote w:id="9">
    <w:p w14:paraId="3B305917" w14:textId="4047E0BF" w:rsidR="000301D5" w:rsidRPr="000301D5" w:rsidRDefault="000301D5">
      <w:pPr>
        <w:pStyle w:val="FootnoteText"/>
      </w:pPr>
      <w:r>
        <w:rPr>
          <w:rStyle w:val="FootnoteReference"/>
        </w:rPr>
        <w:footnoteRef/>
      </w:r>
      <w:r>
        <w:t xml:space="preserve"> </w:t>
      </w:r>
      <w:r w:rsidRPr="002146AA">
        <w:rPr>
          <w:rFonts w:cs="Times New Roman"/>
        </w:rPr>
        <w:t>Weber, Max </w:t>
      </w:r>
      <w:r w:rsidR="00542C48">
        <w:rPr>
          <w:rFonts w:cs="Times New Roman"/>
        </w:rPr>
        <w:t>‘Bureaucracy’ i</w:t>
      </w:r>
      <w:r>
        <w:rPr>
          <w:rFonts w:cs="Times New Roman"/>
        </w:rPr>
        <w:t xml:space="preserve">n </w:t>
      </w:r>
      <w:r w:rsidR="00542C48" w:rsidRPr="00542C48">
        <w:rPr>
          <w:rFonts w:cs="Times New Roman"/>
        </w:rPr>
        <w:t>Hans Heinrich Gerth</w:t>
      </w:r>
      <w:r w:rsidR="00542C48">
        <w:rPr>
          <w:rFonts w:cs="Times New Roman"/>
        </w:rPr>
        <w:t xml:space="preserve"> and Charles</w:t>
      </w:r>
      <w:r w:rsidRPr="000301D5">
        <w:rPr>
          <w:rFonts w:cs="Times New Roman"/>
        </w:rPr>
        <w:t xml:space="preserve"> Wright Mills</w:t>
      </w:r>
      <w:r w:rsidRPr="00E43DA6">
        <w:rPr>
          <w:rFonts w:cs="Times New Roman"/>
        </w:rPr>
        <w:t xml:space="preserve"> (eds), </w:t>
      </w:r>
      <w:r w:rsidR="00542C48" w:rsidRPr="00542C48">
        <w:rPr>
          <w:rFonts w:cs="Times New Roman"/>
          <w:i/>
          <w:iCs/>
        </w:rPr>
        <w:t>From Max Weber: essays in sociology</w:t>
      </w:r>
      <w:r w:rsidRPr="00E43DA6">
        <w:rPr>
          <w:rFonts w:cs="Times New Roman"/>
        </w:rPr>
        <w:t xml:space="preserve"> (Routledge, London</w:t>
      </w:r>
      <w:r>
        <w:rPr>
          <w:rFonts w:cs="Times New Roman"/>
        </w:rPr>
        <w:t>,</w:t>
      </w:r>
      <w:r w:rsidRPr="00E43DA6">
        <w:rPr>
          <w:rFonts w:cs="Times New Roman"/>
        </w:rPr>
        <w:t xml:space="preserve"> </w:t>
      </w:r>
      <w:r w:rsidR="00542C48">
        <w:rPr>
          <w:rFonts w:cs="Times New Roman"/>
        </w:rPr>
        <w:t>1991</w:t>
      </w:r>
      <w:r w:rsidRPr="00E43DA6">
        <w:rPr>
          <w:rFonts w:cs="Times New Roman"/>
        </w:rPr>
        <w:t>), pp.</w:t>
      </w:r>
      <w:r>
        <w:rPr>
          <w:rFonts w:cs="Times New Roman"/>
        </w:rPr>
        <w:t xml:space="preserve"> </w:t>
      </w:r>
      <w:r w:rsidR="00542C48">
        <w:rPr>
          <w:rFonts w:cs="Times New Roman"/>
        </w:rPr>
        <w:t>1996</w:t>
      </w:r>
      <w:r w:rsidRPr="00E43DA6">
        <w:rPr>
          <w:rFonts w:cs="Times New Roman"/>
        </w:rPr>
        <w:t>-</w:t>
      </w:r>
      <w:r w:rsidR="00542C48">
        <w:rPr>
          <w:rFonts w:cs="Times New Roman"/>
        </w:rPr>
        <w:t>244</w:t>
      </w:r>
      <w:r w:rsidRPr="00E43DA6">
        <w:rPr>
          <w:rFonts w:cs="Times New Roman"/>
        </w:rPr>
        <w:t>.</w:t>
      </w:r>
    </w:p>
  </w:footnote>
  <w:footnote w:id="10">
    <w:p w14:paraId="595170F4" w14:textId="31159E18" w:rsidR="00061086" w:rsidRPr="00E43DA6" w:rsidRDefault="00061086"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Sam Hickey, </w:t>
      </w:r>
      <w:r w:rsidR="006A7C8B" w:rsidRPr="00E43DA6">
        <w:rPr>
          <w:rFonts w:cs="Times New Roman"/>
          <w:i/>
          <w:iCs/>
        </w:rPr>
        <w:t xml:space="preserve">Pockets of </w:t>
      </w:r>
      <w:r w:rsidR="001507EA">
        <w:rPr>
          <w:rFonts w:cs="Times New Roman"/>
          <w:i/>
          <w:iCs/>
        </w:rPr>
        <w:t>e</w:t>
      </w:r>
      <w:r w:rsidR="006A7C8B" w:rsidRPr="00E43DA6">
        <w:rPr>
          <w:rFonts w:cs="Times New Roman"/>
          <w:i/>
          <w:iCs/>
        </w:rPr>
        <w:t>ffectiveness</w:t>
      </w:r>
      <w:r w:rsidR="006A7C8B" w:rsidRPr="00E43DA6">
        <w:rPr>
          <w:rFonts w:cs="Times New Roman"/>
        </w:rPr>
        <w:t xml:space="preserve"> </w:t>
      </w:r>
      <w:r w:rsidR="006A7C8B" w:rsidRPr="00E43DA6">
        <w:rPr>
          <w:rFonts w:cs="Times New Roman"/>
          <w:i/>
          <w:iCs/>
        </w:rPr>
        <w:t xml:space="preserve">and the </w:t>
      </w:r>
      <w:r w:rsidR="001507EA">
        <w:rPr>
          <w:rFonts w:cs="Times New Roman"/>
          <w:i/>
          <w:iCs/>
        </w:rPr>
        <w:t>p</w:t>
      </w:r>
      <w:r w:rsidR="006A7C8B" w:rsidRPr="00E43DA6">
        <w:rPr>
          <w:rFonts w:cs="Times New Roman"/>
          <w:i/>
          <w:iCs/>
        </w:rPr>
        <w:t xml:space="preserve">olitics of </w:t>
      </w:r>
      <w:r w:rsidR="001507EA">
        <w:rPr>
          <w:rFonts w:cs="Times New Roman"/>
          <w:i/>
          <w:iCs/>
        </w:rPr>
        <w:t>s</w:t>
      </w:r>
      <w:r w:rsidR="006A7C8B" w:rsidRPr="00E43DA6">
        <w:rPr>
          <w:rFonts w:cs="Times New Roman"/>
          <w:i/>
          <w:iCs/>
        </w:rPr>
        <w:t xml:space="preserve">tate-building and </w:t>
      </w:r>
      <w:r w:rsidR="001507EA">
        <w:rPr>
          <w:rFonts w:cs="Times New Roman"/>
          <w:i/>
          <w:iCs/>
        </w:rPr>
        <w:t>d</w:t>
      </w:r>
      <w:r w:rsidR="006A7C8B" w:rsidRPr="00E43DA6">
        <w:rPr>
          <w:rFonts w:cs="Times New Roman"/>
          <w:i/>
          <w:iCs/>
        </w:rPr>
        <w:t>evelopment in Africa</w:t>
      </w:r>
      <w:r w:rsidR="006A7C8B" w:rsidRPr="00E43DA6">
        <w:rPr>
          <w:rFonts w:cs="Times New Roman"/>
        </w:rPr>
        <w:t xml:space="preserve"> (Oxford University Press,</w:t>
      </w:r>
      <w:r w:rsidR="00323903" w:rsidRPr="00E43DA6">
        <w:rPr>
          <w:rFonts w:cs="Times New Roman"/>
        </w:rPr>
        <w:t xml:space="preserve"> Oxford,</w:t>
      </w:r>
      <w:r w:rsidR="006A7C8B" w:rsidRPr="00E43DA6">
        <w:rPr>
          <w:rFonts w:cs="Times New Roman"/>
        </w:rPr>
        <w:t xml:space="preserve"> 2023); </w:t>
      </w:r>
      <w:r w:rsidR="000434ED" w:rsidRPr="00E43DA6">
        <w:rPr>
          <w:rFonts w:cs="Times New Roman"/>
        </w:rPr>
        <w:t xml:space="preserve">Lindsay Whitfield et al., </w:t>
      </w:r>
      <w:r w:rsidR="000434ED" w:rsidRPr="00E43DA6">
        <w:rPr>
          <w:rFonts w:cs="Times New Roman"/>
          <w:i/>
          <w:iCs/>
        </w:rPr>
        <w:t xml:space="preserve">The </w:t>
      </w:r>
      <w:r w:rsidR="001507EA">
        <w:rPr>
          <w:rFonts w:cs="Times New Roman"/>
          <w:i/>
          <w:iCs/>
        </w:rPr>
        <w:t>p</w:t>
      </w:r>
      <w:r w:rsidR="000434ED" w:rsidRPr="00E43DA6">
        <w:rPr>
          <w:rFonts w:cs="Times New Roman"/>
          <w:i/>
          <w:iCs/>
        </w:rPr>
        <w:t xml:space="preserve">olitics of African </w:t>
      </w:r>
      <w:r w:rsidR="001507EA">
        <w:rPr>
          <w:rFonts w:cs="Times New Roman"/>
          <w:i/>
          <w:iCs/>
        </w:rPr>
        <w:t>i</w:t>
      </w:r>
      <w:r w:rsidR="000434ED" w:rsidRPr="00E43DA6">
        <w:rPr>
          <w:rFonts w:cs="Times New Roman"/>
          <w:i/>
          <w:iCs/>
        </w:rPr>
        <w:t xml:space="preserve">ndustrial </w:t>
      </w:r>
      <w:r w:rsidR="001507EA">
        <w:rPr>
          <w:rFonts w:cs="Times New Roman"/>
          <w:i/>
          <w:iCs/>
        </w:rPr>
        <w:t>p</w:t>
      </w:r>
      <w:r w:rsidR="000434ED" w:rsidRPr="00E43DA6">
        <w:rPr>
          <w:rFonts w:cs="Times New Roman"/>
          <w:i/>
          <w:iCs/>
        </w:rPr>
        <w:t xml:space="preserve">olicy: A </w:t>
      </w:r>
      <w:r w:rsidR="001507EA">
        <w:rPr>
          <w:rFonts w:cs="Times New Roman"/>
          <w:i/>
          <w:iCs/>
        </w:rPr>
        <w:t>c</w:t>
      </w:r>
      <w:r w:rsidR="000434ED" w:rsidRPr="00E43DA6">
        <w:rPr>
          <w:rFonts w:cs="Times New Roman"/>
          <w:i/>
          <w:iCs/>
        </w:rPr>
        <w:t xml:space="preserve">omparative </w:t>
      </w:r>
      <w:r w:rsidR="001507EA">
        <w:rPr>
          <w:rFonts w:cs="Times New Roman"/>
          <w:i/>
          <w:iCs/>
        </w:rPr>
        <w:t>p</w:t>
      </w:r>
      <w:r w:rsidR="000434ED" w:rsidRPr="00E43DA6">
        <w:rPr>
          <w:rFonts w:cs="Times New Roman"/>
          <w:i/>
          <w:iCs/>
        </w:rPr>
        <w:t>erspective</w:t>
      </w:r>
      <w:r w:rsidR="000434ED" w:rsidRPr="00E43DA6">
        <w:rPr>
          <w:rFonts w:cs="Times New Roman"/>
        </w:rPr>
        <w:t xml:space="preserve"> (Cambridge University Press, </w:t>
      </w:r>
      <w:r w:rsidR="00323903" w:rsidRPr="00E43DA6">
        <w:rPr>
          <w:rFonts w:cs="Times New Roman"/>
        </w:rPr>
        <w:t xml:space="preserve">Cambridge, </w:t>
      </w:r>
      <w:r w:rsidR="000434ED" w:rsidRPr="00E43DA6">
        <w:rPr>
          <w:rFonts w:cs="Times New Roman"/>
        </w:rPr>
        <w:t>2015).</w:t>
      </w:r>
    </w:p>
  </w:footnote>
  <w:footnote w:id="11">
    <w:p w14:paraId="5F2FF10E" w14:textId="2BD2DD5F" w:rsidR="00BD388F" w:rsidRPr="00E43DA6" w:rsidRDefault="00BD388F"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Alexander George and Timothy McKeown, </w:t>
      </w:r>
      <w:r w:rsidR="003F399E" w:rsidRPr="00E43DA6">
        <w:rPr>
          <w:rFonts w:cs="Times New Roman"/>
        </w:rPr>
        <w:t>‘</w:t>
      </w:r>
      <w:r w:rsidR="000434ED" w:rsidRPr="00E43DA6">
        <w:rPr>
          <w:rFonts w:cs="Times New Roman"/>
        </w:rPr>
        <w:t xml:space="preserve">Case </w:t>
      </w:r>
      <w:r w:rsidR="001507EA">
        <w:rPr>
          <w:rFonts w:cs="Times New Roman"/>
        </w:rPr>
        <w:t>s</w:t>
      </w:r>
      <w:r w:rsidR="000434ED" w:rsidRPr="00E43DA6">
        <w:rPr>
          <w:rFonts w:cs="Times New Roman"/>
        </w:rPr>
        <w:t xml:space="preserve">tudies and </w:t>
      </w:r>
      <w:r w:rsidR="001507EA">
        <w:rPr>
          <w:rFonts w:cs="Times New Roman"/>
        </w:rPr>
        <w:t>t</w:t>
      </w:r>
      <w:r w:rsidR="000434ED" w:rsidRPr="00E43DA6">
        <w:rPr>
          <w:rFonts w:cs="Times New Roman"/>
        </w:rPr>
        <w:t xml:space="preserve">heories of </w:t>
      </w:r>
      <w:r w:rsidR="001507EA">
        <w:rPr>
          <w:rFonts w:cs="Times New Roman"/>
        </w:rPr>
        <w:t>o</w:t>
      </w:r>
      <w:r w:rsidR="000434ED" w:rsidRPr="00E43DA6">
        <w:rPr>
          <w:rFonts w:cs="Times New Roman"/>
        </w:rPr>
        <w:t xml:space="preserve">rganizational </w:t>
      </w:r>
      <w:r w:rsidR="001507EA">
        <w:rPr>
          <w:rFonts w:cs="Times New Roman"/>
        </w:rPr>
        <w:t>d</w:t>
      </w:r>
      <w:r w:rsidR="000434ED" w:rsidRPr="00E43DA6">
        <w:rPr>
          <w:rFonts w:cs="Times New Roman"/>
        </w:rPr>
        <w:t xml:space="preserve">ecision </w:t>
      </w:r>
      <w:r w:rsidR="001507EA">
        <w:rPr>
          <w:rFonts w:cs="Times New Roman"/>
        </w:rPr>
        <w:t>m</w:t>
      </w:r>
      <w:r w:rsidR="000434ED" w:rsidRPr="00E43DA6">
        <w:rPr>
          <w:rFonts w:cs="Times New Roman"/>
        </w:rPr>
        <w:t>aking</w:t>
      </w:r>
      <w:r w:rsidR="003F399E" w:rsidRPr="00E43DA6">
        <w:rPr>
          <w:rFonts w:cs="Times New Roman"/>
        </w:rPr>
        <w:t>’</w:t>
      </w:r>
      <w:r w:rsidR="00A009BA" w:rsidRPr="00E43DA6">
        <w:rPr>
          <w:rFonts w:cs="Times New Roman"/>
        </w:rPr>
        <w:t>,</w:t>
      </w:r>
      <w:r w:rsidR="000434ED" w:rsidRPr="00E43DA6">
        <w:rPr>
          <w:rFonts w:cs="Times New Roman"/>
        </w:rPr>
        <w:t xml:space="preserve"> in </w:t>
      </w:r>
      <w:r w:rsidR="00A009BA" w:rsidRPr="00E43DA6">
        <w:rPr>
          <w:rFonts w:cs="Times New Roman"/>
        </w:rPr>
        <w:t>Robert Coulam and Richard Smith (eds)</w:t>
      </w:r>
      <w:r w:rsidR="00A009BA" w:rsidRPr="00E43DA6">
        <w:rPr>
          <w:rFonts w:cs="Times New Roman"/>
          <w:i/>
          <w:iCs/>
        </w:rPr>
        <w:t xml:space="preserve"> </w:t>
      </w:r>
      <w:r w:rsidR="000434ED" w:rsidRPr="00E43DA6">
        <w:rPr>
          <w:rFonts w:cs="Times New Roman"/>
          <w:i/>
          <w:iCs/>
        </w:rPr>
        <w:t xml:space="preserve">Advances in </w:t>
      </w:r>
      <w:r w:rsidR="001507EA">
        <w:rPr>
          <w:rFonts w:cs="Times New Roman"/>
          <w:i/>
          <w:iCs/>
        </w:rPr>
        <w:t>i</w:t>
      </w:r>
      <w:r w:rsidR="000434ED" w:rsidRPr="00E43DA6">
        <w:rPr>
          <w:rFonts w:cs="Times New Roman"/>
          <w:i/>
          <w:iCs/>
        </w:rPr>
        <w:t xml:space="preserve">nformation </w:t>
      </w:r>
      <w:r w:rsidR="001507EA">
        <w:rPr>
          <w:rFonts w:cs="Times New Roman"/>
          <w:i/>
          <w:iCs/>
        </w:rPr>
        <w:t>p</w:t>
      </w:r>
      <w:r w:rsidR="000434ED" w:rsidRPr="00E43DA6">
        <w:rPr>
          <w:rFonts w:cs="Times New Roman"/>
          <w:i/>
          <w:iCs/>
        </w:rPr>
        <w:t xml:space="preserve">rocessing in </w:t>
      </w:r>
      <w:proofErr w:type="gramStart"/>
      <w:r w:rsidR="001507EA">
        <w:rPr>
          <w:rFonts w:cs="Times New Roman"/>
          <w:i/>
          <w:iCs/>
        </w:rPr>
        <w:t>o</w:t>
      </w:r>
      <w:r w:rsidR="000434ED" w:rsidRPr="00E43DA6">
        <w:rPr>
          <w:rFonts w:cs="Times New Roman"/>
          <w:i/>
          <w:iCs/>
        </w:rPr>
        <w:t>rganizations</w:t>
      </w:r>
      <w:r w:rsidR="000434ED" w:rsidRPr="00E43DA6">
        <w:rPr>
          <w:rFonts w:cs="Times New Roman"/>
        </w:rPr>
        <w:t>,(</w:t>
      </w:r>
      <w:proofErr w:type="gramEnd"/>
      <w:r w:rsidR="00A009BA" w:rsidRPr="00E43DA6">
        <w:rPr>
          <w:rFonts w:cs="Times New Roman"/>
        </w:rPr>
        <w:t xml:space="preserve">JAI Press, </w:t>
      </w:r>
      <w:r w:rsidR="000434ED" w:rsidRPr="00E43DA6">
        <w:rPr>
          <w:rFonts w:cs="Times New Roman"/>
        </w:rPr>
        <w:t>Santa Barbara,</w:t>
      </w:r>
      <w:r w:rsidR="001507EA">
        <w:rPr>
          <w:rFonts w:cs="Times New Roman"/>
        </w:rPr>
        <w:t xml:space="preserve"> CA,</w:t>
      </w:r>
      <w:r w:rsidR="00A009BA" w:rsidRPr="00E43DA6">
        <w:rPr>
          <w:rFonts w:cs="Times New Roman"/>
        </w:rPr>
        <w:t xml:space="preserve"> </w:t>
      </w:r>
      <w:r w:rsidR="000434ED" w:rsidRPr="00E43DA6">
        <w:rPr>
          <w:rFonts w:cs="Times New Roman"/>
        </w:rPr>
        <w:t xml:space="preserve">1985), </w:t>
      </w:r>
      <w:r w:rsidR="00A009BA" w:rsidRPr="00E43DA6">
        <w:rPr>
          <w:rFonts w:cs="Times New Roman"/>
        </w:rPr>
        <w:t>p.</w:t>
      </w:r>
      <w:r w:rsidR="000434ED" w:rsidRPr="00E43DA6">
        <w:rPr>
          <w:rFonts w:cs="Times New Roman"/>
        </w:rPr>
        <w:t>35.</w:t>
      </w:r>
    </w:p>
  </w:footnote>
  <w:footnote w:id="12">
    <w:p w14:paraId="317B03EB" w14:textId="6DD525D8" w:rsidR="00FB3F69" w:rsidRPr="00E43DA6" w:rsidRDefault="00FB3F69"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Tasha Fairfield, </w:t>
      </w:r>
      <w:r w:rsidR="003F399E" w:rsidRPr="00E43DA6">
        <w:rPr>
          <w:rFonts w:cs="Times New Roman"/>
        </w:rPr>
        <w:t>‘</w:t>
      </w:r>
      <w:r w:rsidR="000434ED" w:rsidRPr="00E43DA6">
        <w:rPr>
          <w:rFonts w:cs="Times New Roman"/>
        </w:rPr>
        <w:t xml:space="preserve">Reflections on </w:t>
      </w:r>
      <w:r w:rsidR="001507EA">
        <w:rPr>
          <w:rFonts w:cs="Times New Roman"/>
        </w:rPr>
        <w:t>a</w:t>
      </w:r>
      <w:r w:rsidR="000434ED" w:rsidRPr="00E43DA6">
        <w:rPr>
          <w:rFonts w:cs="Times New Roman"/>
        </w:rPr>
        <w:t xml:space="preserve">nalytic </w:t>
      </w:r>
      <w:r w:rsidR="001507EA">
        <w:rPr>
          <w:rFonts w:cs="Times New Roman"/>
        </w:rPr>
        <w:t>t</w:t>
      </w:r>
      <w:r w:rsidR="000434ED" w:rsidRPr="00E43DA6">
        <w:rPr>
          <w:rFonts w:cs="Times New Roman"/>
        </w:rPr>
        <w:t xml:space="preserve">ransparency in </w:t>
      </w:r>
      <w:r w:rsidR="001507EA">
        <w:rPr>
          <w:rFonts w:cs="Times New Roman"/>
        </w:rPr>
        <w:t>p</w:t>
      </w:r>
      <w:r w:rsidR="000434ED" w:rsidRPr="00E43DA6">
        <w:rPr>
          <w:rFonts w:cs="Times New Roman"/>
        </w:rPr>
        <w:t xml:space="preserve">rocess </w:t>
      </w:r>
      <w:r w:rsidR="001507EA">
        <w:rPr>
          <w:rFonts w:cs="Times New Roman"/>
        </w:rPr>
        <w:t>t</w:t>
      </w:r>
      <w:r w:rsidR="000434ED" w:rsidRPr="00E43DA6">
        <w:rPr>
          <w:rFonts w:cs="Times New Roman"/>
        </w:rPr>
        <w:t xml:space="preserve">racing </w:t>
      </w:r>
      <w:r w:rsidR="001507EA">
        <w:rPr>
          <w:rFonts w:cs="Times New Roman"/>
        </w:rPr>
        <w:t>r</w:t>
      </w:r>
      <w:r w:rsidR="000434ED" w:rsidRPr="00E43DA6">
        <w:rPr>
          <w:rFonts w:cs="Times New Roman"/>
        </w:rPr>
        <w:t>esearch</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Qualitative and Multi-Method Research</w:t>
      </w:r>
      <w:r w:rsidR="000434ED" w:rsidRPr="00E43DA6">
        <w:rPr>
          <w:rFonts w:cs="Times New Roman"/>
        </w:rPr>
        <w:t xml:space="preserve"> 13,1 (2015): </w:t>
      </w:r>
      <w:r w:rsidR="00A009BA" w:rsidRPr="00E43DA6">
        <w:rPr>
          <w:rFonts w:cs="Times New Roman"/>
        </w:rPr>
        <w:t>pp.</w:t>
      </w:r>
      <w:r w:rsidR="001507EA">
        <w:rPr>
          <w:rFonts w:cs="Times New Roman"/>
        </w:rPr>
        <w:t xml:space="preserve"> </w:t>
      </w:r>
      <w:r w:rsidR="000434ED" w:rsidRPr="00E43DA6">
        <w:rPr>
          <w:rFonts w:cs="Times New Roman"/>
        </w:rPr>
        <w:t>47–51.</w:t>
      </w:r>
    </w:p>
  </w:footnote>
  <w:footnote w:id="13">
    <w:p w14:paraId="0C33F0D9" w14:textId="699C676F" w:rsidR="00301E35" w:rsidRPr="00E43DA6" w:rsidRDefault="00301E35"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David Art, </w:t>
      </w:r>
      <w:r w:rsidR="003F399E" w:rsidRPr="00E43DA6">
        <w:rPr>
          <w:rFonts w:cs="Times New Roman"/>
        </w:rPr>
        <w:t>‘</w:t>
      </w:r>
      <w:r w:rsidR="000434ED" w:rsidRPr="00E43DA6">
        <w:rPr>
          <w:rFonts w:cs="Times New Roman"/>
        </w:rPr>
        <w:t xml:space="preserve">Archivists and </w:t>
      </w:r>
      <w:r w:rsidR="001507EA">
        <w:rPr>
          <w:rFonts w:cs="Times New Roman"/>
        </w:rPr>
        <w:t>a</w:t>
      </w:r>
      <w:r w:rsidR="000434ED" w:rsidRPr="00E43DA6">
        <w:rPr>
          <w:rFonts w:cs="Times New Roman"/>
        </w:rPr>
        <w:t xml:space="preserve">dventurers: Research </w:t>
      </w:r>
      <w:r w:rsidR="001507EA">
        <w:rPr>
          <w:rFonts w:cs="Times New Roman"/>
        </w:rPr>
        <w:t>s</w:t>
      </w:r>
      <w:r w:rsidR="000434ED" w:rsidRPr="00E43DA6">
        <w:rPr>
          <w:rFonts w:cs="Times New Roman"/>
        </w:rPr>
        <w:t xml:space="preserve">trategies for </w:t>
      </w:r>
      <w:r w:rsidR="001507EA">
        <w:rPr>
          <w:rFonts w:cs="Times New Roman"/>
        </w:rPr>
        <w:t>a</w:t>
      </w:r>
      <w:r w:rsidR="000434ED" w:rsidRPr="00E43DA6">
        <w:rPr>
          <w:rFonts w:cs="Times New Roman"/>
        </w:rPr>
        <w:t xml:space="preserve">uthoritarian </w:t>
      </w:r>
      <w:r w:rsidR="001507EA">
        <w:rPr>
          <w:rFonts w:cs="Times New Roman"/>
        </w:rPr>
        <w:t>r</w:t>
      </w:r>
      <w:r w:rsidR="000434ED" w:rsidRPr="00E43DA6">
        <w:rPr>
          <w:rFonts w:cs="Times New Roman"/>
        </w:rPr>
        <w:t xml:space="preserve">egimes of the </w:t>
      </w:r>
      <w:r w:rsidR="001507EA">
        <w:rPr>
          <w:rFonts w:cs="Times New Roman"/>
        </w:rPr>
        <w:t>p</w:t>
      </w:r>
      <w:r w:rsidR="000434ED" w:rsidRPr="00E43DA6">
        <w:rPr>
          <w:rFonts w:cs="Times New Roman"/>
        </w:rPr>
        <w:t xml:space="preserve">ast and </w:t>
      </w:r>
      <w:r w:rsidR="001507EA">
        <w:rPr>
          <w:rFonts w:cs="Times New Roman"/>
        </w:rPr>
        <w:t>p</w:t>
      </w:r>
      <w:r w:rsidR="000434ED" w:rsidRPr="00E43DA6">
        <w:rPr>
          <w:rFonts w:cs="Times New Roman"/>
        </w:rPr>
        <w:t>resent</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Social Science Quarterly</w:t>
      </w:r>
      <w:r w:rsidR="000434ED" w:rsidRPr="00E43DA6">
        <w:rPr>
          <w:rFonts w:cs="Times New Roman"/>
        </w:rPr>
        <w:t xml:space="preserve"> 97, 4 (2016)</w:t>
      </w:r>
      <w:r w:rsidR="00A009BA" w:rsidRPr="00E43DA6">
        <w:rPr>
          <w:rFonts w:cs="Times New Roman"/>
        </w:rPr>
        <w:t>,</w:t>
      </w:r>
      <w:r w:rsidR="000434ED" w:rsidRPr="00E43DA6">
        <w:rPr>
          <w:rFonts w:cs="Times New Roman"/>
        </w:rPr>
        <w:t xml:space="preserve"> </w:t>
      </w:r>
      <w:r w:rsidR="00A009BA" w:rsidRPr="00E43DA6">
        <w:rPr>
          <w:rFonts w:cs="Times New Roman"/>
        </w:rPr>
        <w:t>pp.</w:t>
      </w:r>
      <w:r w:rsidR="001507EA">
        <w:rPr>
          <w:rFonts w:cs="Times New Roman"/>
        </w:rPr>
        <w:t xml:space="preserve"> </w:t>
      </w:r>
      <w:r w:rsidR="000434ED" w:rsidRPr="00E43DA6">
        <w:rPr>
          <w:rFonts w:cs="Times New Roman"/>
        </w:rPr>
        <w:t>974–90</w:t>
      </w:r>
      <w:r w:rsidR="00A009BA" w:rsidRPr="00E43DA6">
        <w:rPr>
          <w:rFonts w:cs="Times New Roman"/>
        </w:rPr>
        <w:t>.</w:t>
      </w:r>
      <w:r w:rsidR="000434ED" w:rsidRPr="00E43DA6">
        <w:rPr>
          <w:rFonts w:cs="Times New Roman"/>
        </w:rPr>
        <w:t xml:space="preserve"> </w:t>
      </w:r>
    </w:p>
  </w:footnote>
  <w:footnote w:id="14">
    <w:p w14:paraId="55613508" w14:textId="0D66B658" w:rsidR="00CA0631" w:rsidRPr="00E43DA6" w:rsidRDefault="00CA0631"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114147" w:rsidRPr="00E43DA6">
        <w:rPr>
          <w:rFonts w:cs="Times New Roman"/>
        </w:rPr>
        <w:t xml:space="preserve">Khan, </w:t>
      </w:r>
      <w:r w:rsidR="003F399E" w:rsidRPr="00E43DA6">
        <w:rPr>
          <w:rFonts w:cs="Times New Roman"/>
        </w:rPr>
        <w:t>‘</w:t>
      </w:r>
      <w:r w:rsidR="00114147" w:rsidRPr="00E43DA6">
        <w:rPr>
          <w:rFonts w:cs="Times New Roman"/>
        </w:rPr>
        <w:t xml:space="preserve">Political </w:t>
      </w:r>
      <w:r w:rsidR="001507EA">
        <w:rPr>
          <w:rFonts w:cs="Times New Roman"/>
        </w:rPr>
        <w:t>s</w:t>
      </w:r>
      <w:r w:rsidR="00114147" w:rsidRPr="00E43DA6">
        <w:rPr>
          <w:rFonts w:cs="Times New Roman"/>
        </w:rPr>
        <w:t xml:space="preserve">ettlements and the </w:t>
      </w:r>
      <w:r w:rsidR="001507EA">
        <w:rPr>
          <w:rFonts w:cs="Times New Roman"/>
        </w:rPr>
        <w:t>g</w:t>
      </w:r>
      <w:r w:rsidR="00114147" w:rsidRPr="00E43DA6">
        <w:rPr>
          <w:rFonts w:cs="Times New Roman"/>
        </w:rPr>
        <w:t xml:space="preserve">overnance of </w:t>
      </w:r>
      <w:r w:rsidR="001507EA">
        <w:rPr>
          <w:rFonts w:cs="Times New Roman"/>
        </w:rPr>
        <w:t>g</w:t>
      </w:r>
      <w:r w:rsidR="00114147" w:rsidRPr="00E43DA6">
        <w:rPr>
          <w:rFonts w:cs="Times New Roman"/>
        </w:rPr>
        <w:t>rowth-</w:t>
      </w:r>
      <w:r w:rsidR="001507EA">
        <w:rPr>
          <w:rFonts w:cs="Times New Roman"/>
        </w:rPr>
        <w:t>e</w:t>
      </w:r>
      <w:r w:rsidR="00114147" w:rsidRPr="00E43DA6">
        <w:rPr>
          <w:rFonts w:cs="Times New Roman"/>
        </w:rPr>
        <w:t xml:space="preserve">nhancing </w:t>
      </w:r>
      <w:proofErr w:type="gramStart"/>
      <w:r w:rsidR="001507EA">
        <w:rPr>
          <w:rFonts w:cs="Times New Roman"/>
        </w:rPr>
        <w:t>i</w:t>
      </w:r>
      <w:r w:rsidR="00114147" w:rsidRPr="00E43DA6">
        <w:rPr>
          <w:rFonts w:cs="Times New Roman"/>
        </w:rPr>
        <w:t>nstitutions</w:t>
      </w:r>
      <w:r w:rsidR="001369B3">
        <w:rPr>
          <w:rFonts w:cs="Times New Roman"/>
        </w:rPr>
        <w:t>’</w:t>
      </w:r>
      <w:proofErr w:type="gramEnd"/>
      <w:r w:rsidR="001369B3">
        <w:rPr>
          <w:rFonts w:cs="Times New Roman"/>
        </w:rPr>
        <w:t>.</w:t>
      </w:r>
    </w:p>
  </w:footnote>
  <w:footnote w:id="15">
    <w:p w14:paraId="5094A0F9" w14:textId="6319C7F8" w:rsidR="00667415" w:rsidRPr="00E43DA6" w:rsidRDefault="00667415"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Mushtaq Khan, </w:t>
      </w:r>
      <w:r w:rsidR="003F399E" w:rsidRPr="00E43DA6">
        <w:rPr>
          <w:rFonts w:cs="Times New Roman"/>
        </w:rPr>
        <w:t>‘</w:t>
      </w:r>
      <w:r w:rsidR="000434ED" w:rsidRPr="00E43DA6">
        <w:rPr>
          <w:rFonts w:cs="Times New Roman"/>
        </w:rPr>
        <w:t xml:space="preserve">Political </w:t>
      </w:r>
      <w:r w:rsidR="001507EA">
        <w:rPr>
          <w:rFonts w:cs="Times New Roman"/>
        </w:rPr>
        <w:t>s</w:t>
      </w:r>
      <w:r w:rsidR="000434ED" w:rsidRPr="00E43DA6">
        <w:rPr>
          <w:rFonts w:cs="Times New Roman"/>
        </w:rPr>
        <w:t xml:space="preserve">ettlements and the </w:t>
      </w:r>
      <w:r w:rsidR="001507EA">
        <w:rPr>
          <w:rFonts w:cs="Times New Roman"/>
        </w:rPr>
        <w:t>a</w:t>
      </w:r>
      <w:r w:rsidR="000434ED" w:rsidRPr="00E43DA6">
        <w:rPr>
          <w:rFonts w:cs="Times New Roman"/>
        </w:rPr>
        <w:t xml:space="preserve">nalysis of </w:t>
      </w:r>
      <w:r w:rsidR="001507EA">
        <w:rPr>
          <w:rFonts w:cs="Times New Roman"/>
        </w:rPr>
        <w:t>i</w:t>
      </w:r>
      <w:r w:rsidR="000434ED" w:rsidRPr="00E43DA6">
        <w:rPr>
          <w:rFonts w:cs="Times New Roman"/>
        </w:rPr>
        <w:t>nstitutions</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African Affairs</w:t>
      </w:r>
      <w:r w:rsidR="000434ED" w:rsidRPr="00E43DA6">
        <w:rPr>
          <w:rFonts w:cs="Times New Roman"/>
        </w:rPr>
        <w:t xml:space="preserve"> 117, 469 (2018)</w:t>
      </w:r>
      <w:r w:rsidR="00A009BA" w:rsidRPr="00E43DA6">
        <w:rPr>
          <w:rFonts w:cs="Times New Roman"/>
        </w:rPr>
        <w:t>, pp.</w:t>
      </w:r>
      <w:r w:rsidR="001507EA">
        <w:rPr>
          <w:rFonts w:cs="Times New Roman"/>
        </w:rPr>
        <w:t xml:space="preserve"> </w:t>
      </w:r>
      <w:r w:rsidR="00A009BA" w:rsidRPr="00E43DA6">
        <w:rPr>
          <w:rFonts w:cs="Times New Roman"/>
        </w:rPr>
        <w:t>636-655,</w:t>
      </w:r>
      <w:r w:rsidR="000434ED" w:rsidRPr="00E43DA6">
        <w:rPr>
          <w:rFonts w:cs="Times New Roman"/>
        </w:rPr>
        <w:t xml:space="preserve"> </w:t>
      </w:r>
      <w:r w:rsidR="00A009BA" w:rsidRPr="00E43DA6">
        <w:rPr>
          <w:rFonts w:cs="Times New Roman"/>
        </w:rPr>
        <w:t>p.</w:t>
      </w:r>
      <w:r w:rsidR="000434ED" w:rsidRPr="00E43DA6">
        <w:rPr>
          <w:rFonts w:cs="Times New Roman"/>
        </w:rPr>
        <w:t>638.</w:t>
      </w:r>
    </w:p>
  </w:footnote>
  <w:footnote w:id="16">
    <w:p w14:paraId="5312049D" w14:textId="722C47DA" w:rsidR="00AA2C3F" w:rsidRPr="00E43DA6" w:rsidRDefault="00AA2C3F"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Pritish Behuria, Lars Buur, and Hazel Gray, </w:t>
      </w:r>
      <w:r w:rsidR="003F399E" w:rsidRPr="00E43DA6">
        <w:rPr>
          <w:rFonts w:cs="Times New Roman"/>
        </w:rPr>
        <w:t>‘</w:t>
      </w:r>
      <w:r w:rsidR="000434ED" w:rsidRPr="00E43DA6">
        <w:rPr>
          <w:rFonts w:cs="Times New Roman"/>
        </w:rPr>
        <w:t xml:space="preserve">Studying </w:t>
      </w:r>
      <w:r w:rsidR="001507EA">
        <w:rPr>
          <w:rFonts w:cs="Times New Roman"/>
        </w:rPr>
        <w:t>p</w:t>
      </w:r>
      <w:r w:rsidR="000434ED" w:rsidRPr="00E43DA6">
        <w:rPr>
          <w:rFonts w:cs="Times New Roman"/>
        </w:rPr>
        <w:t xml:space="preserve">olitical </w:t>
      </w:r>
      <w:r w:rsidR="001507EA">
        <w:rPr>
          <w:rFonts w:cs="Times New Roman"/>
        </w:rPr>
        <w:t>s</w:t>
      </w:r>
      <w:r w:rsidR="000434ED" w:rsidRPr="00E43DA6">
        <w:rPr>
          <w:rFonts w:cs="Times New Roman"/>
        </w:rPr>
        <w:t>ettlements in Africa</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African Affairs</w:t>
      </w:r>
      <w:r w:rsidR="000434ED" w:rsidRPr="00E43DA6">
        <w:rPr>
          <w:rFonts w:cs="Times New Roman"/>
        </w:rPr>
        <w:t xml:space="preserve"> 116</w:t>
      </w:r>
      <w:r w:rsidR="00A009BA" w:rsidRPr="00E43DA6">
        <w:rPr>
          <w:rFonts w:cs="Times New Roman"/>
        </w:rPr>
        <w:t>,</w:t>
      </w:r>
      <w:r w:rsidR="000434ED" w:rsidRPr="00E43DA6">
        <w:rPr>
          <w:rFonts w:cs="Times New Roman"/>
        </w:rPr>
        <w:t xml:space="preserve"> 464 (2017)</w:t>
      </w:r>
      <w:r w:rsidR="00A009BA" w:rsidRPr="00E43DA6">
        <w:rPr>
          <w:rFonts w:cs="Times New Roman"/>
        </w:rPr>
        <w:t>,</w:t>
      </w:r>
      <w:r w:rsidR="000434ED" w:rsidRPr="00E43DA6">
        <w:rPr>
          <w:rFonts w:cs="Times New Roman"/>
        </w:rPr>
        <w:t xml:space="preserve"> </w:t>
      </w:r>
      <w:r w:rsidR="00A009BA" w:rsidRPr="00E43DA6">
        <w:rPr>
          <w:rFonts w:cs="Times New Roman"/>
        </w:rPr>
        <w:t>pp.</w:t>
      </w:r>
      <w:r w:rsidR="001507EA">
        <w:rPr>
          <w:rFonts w:cs="Times New Roman"/>
        </w:rPr>
        <w:t xml:space="preserve"> </w:t>
      </w:r>
      <w:r w:rsidR="000434ED" w:rsidRPr="00E43DA6">
        <w:rPr>
          <w:rFonts w:cs="Times New Roman"/>
        </w:rPr>
        <w:t xml:space="preserve">508–25; Khan, </w:t>
      </w:r>
      <w:r w:rsidR="003F399E" w:rsidRPr="00E43DA6">
        <w:rPr>
          <w:rFonts w:cs="Times New Roman"/>
        </w:rPr>
        <w:t>‘</w:t>
      </w:r>
      <w:r w:rsidR="000434ED" w:rsidRPr="00E43DA6">
        <w:rPr>
          <w:rFonts w:cs="Times New Roman"/>
        </w:rPr>
        <w:t xml:space="preserve">Political </w:t>
      </w:r>
      <w:r w:rsidR="001507EA">
        <w:rPr>
          <w:rFonts w:cs="Times New Roman"/>
        </w:rPr>
        <w:t>s</w:t>
      </w:r>
      <w:r w:rsidR="000434ED" w:rsidRPr="00E43DA6">
        <w:rPr>
          <w:rFonts w:cs="Times New Roman"/>
        </w:rPr>
        <w:t xml:space="preserve">ettlements and the </w:t>
      </w:r>
      <w:r w:rsidR="001507EA">
        <w:rPr>
          <w:rFonts w:cs="Times New Roman"/>
        </w:rPr>
        <w:t>g</w:t>
      </w:r>
      <w:r w:rsidR="000434ED" w:rsidRPr="00E43DA6">
        <w:rPr>
          <w:rFonts w:cs="Times New Roman"/>
        </w:rPr>
        <w:t xml:space="preserve">overnance of </w:t>
      </w:r>
      <w:r w:rsidR="001507EA">
        <w:rPr>
          <w:rFonts w:cs="Times New Roman"/>
        </w:rPr>
        <w:t>g</w:t>
      </w:r>
      <w:r w:rsidR="000434ED" w:rsidRPr="00E43DA6">
        <w:rPr>
          <w:rFonts w:cs="Times New Roman"/>
        </w:rPr>
        <w:t>rowth-</w:t>
      </w:r>
      <w:r w:rsidR="001507EA">
        <w:rPr>
          <w:rFonts w:cs="Times New Roman"/>
        </w:rPr>
        <w:t>e</w:t>
      </w:r>
      <w:r w:rsidR="000434ED" w:rsidRPr="00E43DA6">
        <w:rPr>
          <w:rFonts w:cs="Times New Roman"/>
        </w:rPr>
        <w:t xml:space="preserve">nhancing </w:t>
      </w:r>
      <w:proofErr w:type="gramStart"/>
      <w:r w:rsidR="001507EA">
        <w:rPr>
          <w:rFonts w:cs="Times New Roman"/>
        </w:rPr>
        <w:t>i</w:t>
      </w:r>
      <w:r w:rsidR="000434ED" w:rsidRPr="00E43DA6">
        <w:rPr>
          <w:rFonts w:cs="Times New Roman"/>
        </w:rPr>
        <w:t>nstitutions</w:t>
      </w:r>
      <w:r w:rsidR="003F399E" w:rsidRPr="00E43DA6">
        <w:rPr>
          <w:rFonts w:cs="Times New Roman"/>
        </w:rPr>
        <w:t>’</w:t>
      </w:r>
      <w:proofErr w:type="gramEnd"/>
      <w:r w:rsidR="001D6425">
        <w:rPr>
          <w:rFonts w:cs="Times New Roman"/>
        </w:rPr>
        <w:t>.</w:t>
      </w:r>
    </w:p>
  </w:footnote>
  <w:footnote w:id="17">
    <w:p w14:paraId="03730D49" w14:textId="679AE226" w:rsidR="00CA0631" w:rsidRPr="00E43DA6" w:rsidRDefault="00CA0631"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353EE1">
        <w:rPr>
          <w:rFonts w:cs="Times New Roman"/>
        </w:rPr>
        <w:t xml:space="preserve">E.g. </w:t>
      </w:r>
      <w:r w:rsidRPr="00E43DA6">
        <w:rPr>
          <w:rFonts w:cs="Times New Roman"/>
        </w:rPr>
        <w:t xml:space="preserve">Abdul-Gafaru Abdulai and Sam Hickey, </w:t>
      </w:r>
      <w:r w:rsidR="003F399E" w:rsidRPr="00E43DA6">
        <w:rPr>
          <w:rFonts w:cs="Times New Roman"/>
        </w:rPr>
        <w:t>‘</w:t>
      </w:r>
      <w:r w:rsidRPr="00E43DA6">
        <w:rPr>
          <w:rFonts w:cs="Times New Roman"/>
        </w:rPr>
        <w:t xml:space="preserve">The </w:t>
      </w:r>
      <w:r w:rsidR="00A5632F">
        <w:rPr>
          <w:rFonts w:cs="Times New Roman"/>
        </w:rPr>
        <w:t>p</w:t>
      </w:r>
      <w:r w:rsidRPr="00E43DA6">
        <w:rPr>
          <w:rFonts w:cs="Times New Roman"/>
        </w:rPr>
        <w:t xml:space="preserve">olitics of </w:t>
      </w:r>
      <w:r w:rsidR="00A5632F">
        <w:rPr>
          <w:rFonts w:cs="Times New Roman"/>
        </w:rPr>
        <w:t>d</w:t>
      </w:r>
      <w:r w:rsidRPr="00E43DA6">
        <w:rPr>
          <w:rFonts w:cs="Times New Roman"/>
        </w:rPr>
        <w:t xml:space="preserve">evelopment under </w:t>
      </w:r>
      <w:r w:rsidR="00A5632F">
        <w:rPr>
          <w:rFonts w:cs="Times New Roman"/>
        </w:rPr>
        <w:t>c</w:t>
      </w:r>
      <w:r w:rsidRPr="00E43DA6">
        <w:rPr>
          <w:rFonts w:cs="Times New Roman"/>
        </w:rPr>
        <w:t xml:space="preserve">ompetitive </w:t>
      </w:r>
      <w:r w:rsidR="00A5632F">
        <w:rPr>
          <w:rFonts w:cs="Times New Roman"/>
        </w:rPr>
        <w:t>c</w:t>
      </w:r>
      <w:r w:rsidRPr="00E43DA6">
        <w:rPr>
          <w:rFonts w:cs="Times New Roman"/>
        </w:rPr>
        <w:t xml:space="preserve">lientelism: Insights from Ghana’s </w:t>
      </w:r>
      <w:r w:rsidR="00A5632F">
        <w:rPr>
          <w:rFonts w:cs="Times New Roman"/>
        </w:rPr>
        <w:t>e</w:t>
      </w:r>
      <w:r w:rsidRPr="00E43DA6">
        <w:rPr>
          <w:rFonts w:cs="Times New Roman"/>
        </w:rPr>
        <w:t xml:space="preserve">ducation </w:t>
      </w:r>
      <w:r w:rsidR="00A5632F">
        <w:rPr>
          <w:rFonts w:cs="Times New Roman"/>
        </w:rPr>
        <w:t>s</w:t>
      </w:r>
      <w:r w:rsidRPr="00E43DA6">
        <w:rPr>
          <w:rFonts w:cs="Times New Roman"/>
        </w:rPr>
        <w:t>ector</w:t>
      </w:r>
      <w:r w:rsidR="003F399E" w:rsidRPr="00E43DA6">
        <w:rPr>
          <w:rFonts w:cs="Times New Roman"/>
        </w:rPr>
        <w:t>’</w:t>
      </w:r>
      <w:r w:rsidR="001D6425">
        <w:rPr>
          <w:rFonts w:cs="Times New Roman"/>
        </w:rPr>
        <w:t>,</w:t>
      </w:r>
      <w:r w:rsidRPr="00E43DA6">
        <w:rPr>
          <w:rFonts w:cs="Times New Roman"/>
        </w:rPr>
        <w:t xml:space="preserve"> </w:t>
      </w:r>
      <w:r w:rsidRPr="00E43DA6">
        <w:rPr>
          <w:rFonts w:cs="Times New Roman"/>
          <w:i/>
          <w:iCs/>
        </w:rPr>
        <w:t>African Affairs</w:t>
      </w:r>
      <w:r w:rsidRPr="00E43DA6">
        <w:rPr>
          <w:rFonts w:cs="Times New Roman"/>
        </w:rPr>
        <w:t xml:space="preserve"> 115, 458 (2016)</w:t>
      </w:r>
      <w:r w:rsidR="00A009BA" w:rsidRPr="00E43DA6">
        <w:rPr>
          <w:rFonts w:cs="Times New Roman"/>
        </w:rPr>
        <w:t>, pp. 44-72,</w:t>
      </w:r>
      <w:r w:rsidRPr="00E43DA6">
        <w:rPr>
          <w:rFonts w:cs="Times New Roman"/>
        </w:rPr>
        <w:t xml:space="preserve"> </w:t>
      </w:r>
      <w:r w:rsidR="00A009BA" w:rsidRPr="00E43DA6">
        <w:rPr>
          <w:rFonts w:cs="Times New Roman"/>
        </w:rPr>
        <w:t>p.</w:t>
      </w:r>
      <w:r w:rsidRPr="00E43DA6">
        <w:rPr>
          <w:rFonts w:cs="Times New Roman"/>
        </w:rPr>
        <w:t>51.</w:t>
      </w:r>
    </w:p>
  </w:footnote>
  <w:footnote w:id="18">
    <w:p w14:paraId="77DAB356" w14:textId="3D52008B" w:rsidR="00CA0631" w:rsidRPr="00E43DA6" w:rsidRDefault="00CA0631" w:rsidP="00E43DA6">
      <w:pPr>
        <w:pStyle w:val="FootnoteText"/>
        <w:jc w:val="both"/>
        <w:rPr>
          <w:rFonts w:cs="Times New Roman"/>
          <w:lang w:val="en-US"/>
        </w:rPr>
      </w:pPr>
      <w:r w:rsidRPr="00E43DA6">
        <w:rPr>
          <w:rStyle w:val="FootnoteReference"/>
          <w:rFonts w:cs="Times New Roman"/>
        </w:rPr>
        <w:footnoteRef/>
      </w:r>
      <w:r w:rsidRPr="00E43DA6">
        <w:rPr>
          <w:rFonts w:cs="Times New Roman"/>
          <w:lang w:val="en-US"/>
        </w:rPr>
        <w:t xml:space="preserve"> </w:t>
      </w:r>
      <w:r w:rsidR="00A009BA" w:rsidRPr="00E43DA6">
        <w:rPr>
          <w:rFonts w:cs="Times New Roman"/>
          <w:i/>
          <w:iCs/>
          <w:noProof/>
          <w:lang w:val="en-US"/>
        </w:rPr>
        <w:t>Ibid</w:t>
      </w:r>
      <w:r w:rsidRPr="00E43DA6">
        <w:rPr>
          <w:rFonts w:cs="Times New Roman"/>
          <w:noProof/>
          <w:lang w:val="en-US"/>
        </w:rPr>
        <w:t>.</w:t>
      </w:r>
    </w:p>
  </w:footnote>
  <w:footnote w:id="19">
    <w:p w14:paraId="58C17BEA" w14:textId="432CE690" w:rsidR="003D698D" w:rsidRPr="00E43DA6" w:rsidRDefault="003D698D" w:rsidP="00E43DA6">
      <w:pPr>
        <w:pStyle w:val="FootnoteText"/>
        <w:jc w:val="both"/>
        <w:rPr>
          <w:rFonts w:cs="Times New Roman"/>
          <w:lang w:val="en-US"/>
        </w:rPr>
      </w:pPr>
      <w:r w:rsidRPr="00E43DA6">
        <w:rPr>
          <w:rStyle w:val="FootnoteReference"/>
          <w:rFonts w:cs="Times New Roman"/>
        </w:rPr>
        <w:footnoteRef/>
      </w:r>
      <w:r w:rsidRPr="00E43DA6">
        <w:rPr>
          <w:rFonts w:cs="Times New Roman"/>
          <w:lang w:val="en-US"/>
        </w:rPr>
        <w:t xml:space="preserve"> </w:t>
      </w:r>
      <w:r w:rsidR="001F2304" w:rsidRPr="00E43DA6">
        <w:rPr>
          <w:rFonts w:cs="Times New Roman"/>
        </w:rPr>
        <w:t xml:space="preserve">e.g. Peter B. Evans, </w:t>
      </w:r>
      <w:r w:rsidR="001F2304" w:rsidRPr="00E43DA6">
        <w:rPr>
          <w:rFonts w:cs="Times New Roman"/>
          <w:i/>
          <w:iCs/>
        </w:rPr>
        <w:t xml:space="preserve">Embedded </w:t>
      </w:r>
      <w:r w:rsidR="00A5632F">
        <w:rPr>
          <w:rFonts w:cs="Times New Roman"/>
          <w:i/>
          <w:iCs/>
        </w:rPr>
        <w:t>a</w:t>
      </w:r>
      <w:r w:rsidR="001F2304" w:rsidRPr="00E43DA6">
        <w:rPr>
          <w:rFonts w:cs="Times New Roman"/>
          <w:i/>
          <w:iCs/>
        </w:rPr>
        <w:t xml:space="preserve">utonomy: States and </w:t>
      </w:r>
      <w:r w:rsidR="00A5632F">
        <w:rPr>
          <w:rFonts w:cs="Times New Roman"/>
          <w:i/>
          <w:iCs/>
        </w:rPr>
        <w:t>i</w:t>
      </w:r>
      <w:r w:rsidR="001F2304" w:rsidRPr="00E43DA6">
        <w:rPr>
          <w:rFonts w:cs="Times New Roman"/>
          <w:i/>
          <w:iCs/>
        </w:rPr>
        <w:t xml:space="preserve">ndustrial </w:t>
      </w:r>
      <w:r w:rsidR="00A5632F">
        <w:rPr>
          <w:rFonts w:cs="Times New Roman"/>
          <w:i/>
          <w:iCs/>
        </w:rPr>
        <w:t>t</w:t>
      </w:r>
      <w:r w:rsidR="001F2304" w:rsidRPr="00E43DA6">
        <w:rPr>
          <w:rFonts w:cs="Times New Roman"/>
          <w:i/>
          <w:iCs/>
        </w:rPr>
        <w:t>ransformation</w:t>
      </w:r>
      <w:r w:rsidR="001F2304" w:rsidRPr="00E43DA6">
        <w:rPr>
          <w:rFonts w:cs="Times New Roman"/>
        </w:rPr>
        <w:t xml:space="preserve"> (Princeton University Press,</w:t>
      </w:r>
      <w:r w:rsidR="00A009BA" w:rsidRPr="00E43DA6">
        <w:rPr>
          <w:rFonts w:cs="Times New Roman"/>
        </w:rPr>
        <w:t xml:space="preserve"> Princeton,</w:t>
      </w:r>
      <w:r w:rsidR="001F2304" w:rsidRPr="00E43DA6">
        <w:rPr>
          <w:rFonts w:cs="Times New Roman"/>
        </w:rPr>
        <w:t xml:space="preserve"> </w:t>
      </w:r>
      <w:r w:rsidR="00A5632F">
        <w:rPr>
          <w:rFonts w:cs="Times New Roman"/>
        </w:rPr>
        <w:t xml:space="preserve">NJ, </w:t>
      </w:r>
      <w:r w:rsidR="001F2304" w:rsidRPr="00E43DA6">
        <w:rPr>
          <w:rFonts w:cs="Times New Roman"/>
        </w:rPr>
        <w:t xml:space="preserve">1995); Adrian Leftwich, </w:t>
      </w:r>
      <w:r w:rsidR="003F399E" w:rsidRPr="00E43DA6">
        <w:rPr>
          <w:rFonts w:cs="Times New Roman"/>
        </w:rPr>
        <w:t>‘</w:t>
      </w:r>
      <w:r w:rsidR="001F2304" w:rsidRPr="00E43DA6">
        <w:rPr>
          <w:rFonts w:cs="Times New Roman"/>
        </w:rPr>
        <w:t xml:space="preserve">Bringing </w:t>
      </w:r>
      <w:r w:rsidR="00A5632F">
        <w:rPr>
          <w:rFonts w:cs="Times New Roman"/>
        </w:rPr>
        <w:t>p</w:t>
      </w:r>
      <w:r w:rsidR="001F2304" w:rsidRPr="00E43DA6">
        <w:rPr>
          <w:rFonts w:cs="Times New Roman"/>
        </w:rPr>
        <w:t xml:space="preserve">olitics </w:t>
      </w:r>
      <w:r w:rsidR="00A5632F">
        <w:rPr>
          <w:rFonts w:cs="Times New Roman"/>
        </w:rPr>
        <w:t>b</w:t>
      </w:r>
      <w:r w:rsidR="001F2304" w:rsidRPr="00E43DA6">
        <w:rPr>
          <w:rFonts w:cs="Times New Roman"/>
        </w:rPr>
        <w:t xml:space="preserve">ack in: Towards a </w:t>
      </w:r>
      <w:r w:rsidR="00A5632F">
        <w:rPr>
          <w:rFonts w:cs="Times New Roman"/>
        </w:rPr>
        <w:t>m</w:t>
      </w:r>
      <w:r w:rsidR="001F2304" w:rsidRPr="00E43DA6">
        <w:rPr>
          <w:rFonts w:cs="Times New Roman"/>
        </w:rPr>
        <w:t xml:space="preserve">odel of the </w:t>
      </w:r>
      <w:r w:rsidR="00A5632F">
        <w:rPr>
          <w:rFonts w:cs="Times New Roman"/>
        </w:rPr>
        <w:t>d</w:t>
      </w:r>
      <w:r w:rsidR="001F2304" w:rsidRPr="00E43DA6">
        <w:rPr>
          <w:rFonts w:cs="Times New Roman"/>
        </w:rPr>
        <w:t xml:space="preserve">evelopmental </w:t>
      </w:r>
      <w:r w:rsidR="001D6425">
        <w:rPr>
          <w:rFonts w:cs="Times New Roman"/>
        </w:rPr>
        <w:t>s</w:t>
      </w:r>
      <w:r w:rsidR="001F2304" w:rsidRPr="00E43DA6">
        <w:rPr>
          <w:rFonts w:cs="Times New Roman"/>
        </w:rPr>
        <w:t>tate</w:t>
      </w:r>
      <w:r w:rsidR="003F399E" w:rsidRPr="00E43DA6">
        <w:rPr>
          <w:rFonts w:cs="Times New Roman"/>
        </w:rPr>
        <w:t>’</w:t>
      </w:r>
      <w:r w:rsidR="001D6425">
        <w:rPr>
          <w:rFonts w:cs="Times New Roman"/>
        </w:rPr>
        <w:t>,</w:t>
      </w:r>
      <w:r w:rsidR="001F2304" w:rsidRPr="00E43DA6">
        <w:rPr>
          <w:rFonts w:cs="Times New Roman"/>
        </w:rPr>
        <w:t xml:space="preserve"> </w:t>
      </w:r>
      <w:r w:rsidR="001F2304" w:rsidRPr="00E43DA6">
        <w:rPr>
          <w:rFonts w:cs="Times New Roman"/>
          <w:i/>
          <w:iCs/>
        </w:rPr>
        <w:t>The Journal of Development Studies</w:t>
      </w:r>
      <w:r w:rsidR="001F2304" w:rsidRPr="00E43DA6">
        <w:rPr>
          <w:rFonts w:cs="Times New Roman"/>
        </w:rPr>
        <w:t xml:space="preserve"> 31,</w:t>
      </w:r>
      <w:r w:rsidR="00A009BA" w:rsidRPr="00E43DA6">
        <w:rPr>
          <w:rFonts w:cs="Times New Roman"/>
        </w:rPr>
        <w:t xml:space="preserve"> </w:t>
      </w:r>
      <w:r w:rsidR="001F2304" w:rsidRPr="00E43DA6">
        <w:rPr>
          <w:rFonts w:cs="Times New Roman"/>
        </w:rPr>
        <w:t>3 (1995)</w:t>
      </w:r>
      <w:r w:rsidR="00A009BA" w:rsidRPr="00E43DA6">
        <w:rPr>
          <w:rFonts w:cs="Times New Roman"/>
        </w:rPr>
        <w:t>,</w:t>
      </w:r>
      <w:r w:rsidR="001F2304" w:rsidRPr="00E43DA6">
        <w:rPr>
          <w:rFonts w:cs="Times New Roman"/>
        </w:rPr>
        <w:t xml:space="preserve"> </w:t>
      </w:r>
      <w:r w:rsidR="00A009BA" w:rsidRPr="00E43DA6">
        <w:rPr>
          <w:rFonts w:cs="Times New Roman"/>
        </w:rPr>
        <w:t>pp.</w:t>
      </w:r>
      <w:r w:rsidR="00A5632F">
        <w:rPr>
          <w:rFonts w:cs="Times New Roman"/>
        </w:rPr>
        <w:t xml:space="preserve"> </w:t>
      </w:r>
      <w:r w:rsidR="001F2304" w:rsidRPr="00E43DA6">
        <w:rPr>
          <w:rFonts w:cs="Times New Roman"/>
        </w:rPr>
        <w:t>400–427.</w:t>
      </w:r>
    </w:p>
  </w:footnote>
  <w:footnote w:id="20">
    <w:p w14:paraId="32452C2A" w14:textId="46EEBDA9" w:rsidR="00D65D52" w:rsidRPr="00E43DA6" w:rsidRDefault="00D65D52"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Atul Kohli, </w:t>
      </w:r>
      <w:r w:rsidR="000434ED" w:rsidRPr="00E43DA6">
        <w:rPr>
          <w:rFonts w:cs="Times New Roman"/>
          <w:i/>
          <w:iCs/>
        </w:rPr>
        <w:t>State-</w:t>
      </w:r>
      <w:r w:rsidR="00A5632F">
        <w:rPr>
          <w:rFonts w:cs="Times New Roman"/>
          <w:i/>
          <w:iCs/>
        </w:rPr>
        <w:t>d</w:t>
      </w:r>
      <w:r w:rsidR="000434ED" w:rsidRPr="00E43DA6">
        <w:rPr>
          <w:rFonts w:cs="Times New Roman"/>
          <w:i/>
          <w:iCs/>
        </w:rPr>
        <w:t xml:space="preserve">irected </w:t>
      </w:r>
      <w:r w:rsidR="00A5632F">
        <w:rPr>
          <w:rFonts w:cs="Times New Roman"/>
          <w:i/>
          <w:iCs/>
        </w:rPr>
        <w:t>d</w:t>
      </w:r>
      <w:r w:rsidR="000434ED" w:rsidRPr="00E43DA6">
        <w:rPr>
          <w:rFonts w:cs="Times New Roman"/>
          <w:i/>
          <w:iCs/>
        </w:rPr>
        <w:t xml:space="preserve">evelopment: Political </w:t>
      </w:r>
      <w:r w:rsidR="00A5632F">
        <w:rPr>
          <w:rFonts w:cs="Times New Roman"/>
          <w:i/>
          <w:iCs/>
        </w:rPr>
        <w:t>p</w:t>
      </w:r>
      <w:r w:rsidR="000434ED" w:rsidRPr="00E43DA6">
        <w:rPr>
          <w:rFonts w:cs="Times New Roman"/>
          <w:i/>
          <w:iCs/>
        </w:rPr>
        <w:t xml:space="preserve">ower and </w:t>
      </w:r>
      <w:r w:rsidR="00A5632F">
        <w:rPr>
          <w:rFonts w:cs="Times New Roman"/>
          <w:i/>
          <w:iCs/>
        </w:rPr>
        <w:t>i</w:t>
      </w:r>
      <w:r w:rsidR="000434ED" w:rsidRPr="00E43DA6">
        <w:rPr>
          <w:rFonts w:cs="Times New Roman"/>
          <w:i/>
          <w:iCs/>
        </w:rPr>
        <w:t xml:space="preserve">ndustrialization in the </w:t>
      </w:r>
      <w:r w:rsidR="00A5632F">
        <w:rPr>
          <w:rFonts w:cs="Times New Roman"/>
          <w:i/>
          <w:iCs/>
        </w:rPr>
        <w:t>g</w:t>
      </w:r>
      <w:r w:rsidR="000434ED" w:rsidRPr="00E43DA6">
        <w:rPr>
          <w:rFonts w:cs="Times New Roman"/>
          <w:i/>
          <w:iCs/>
        </w:rPr>
        <w:t xml:space="preserve">lobal </w:t>
      </w:r>
      <w:r w:rsidR="00A5632F">
        <w:rPr>
          <w:rFonts w:cs="Times New Roman"/>
          <w:i/>
          <w:iCs/>
        </w:rPr>
        <w:t>p</w:t>
      </w:r>
      <w:r w:rsidR="000434ED" w:rsidRPr="00E43DA6">
        <w:rPr>
          <w:rFonts w:cs="Times New Roman"/>
          <w:i/>
          <w:iCs/>
        </w:rPr>
        <w:t>eriphery</w:t>
      </w:r>
      <w:r w:rsidR="000434ED" w:rsidRPr="00E43DA6">
        <w:rPr>
          <w:rFonts w:cs="Times New Roman"/>
        </w:rPr>
        <w:t xml:space="preserve"> (Cambridge University Press, </w:t>
      </w:r>
      <w:r w:rsidR="00D04781" w:rsidRPr="00E43DA6">
        <w:rPr>
          <w:rFonts w:cs="Times New Roman"/>
        </w:rPr>
        <w:t xml:space="preserve">Cambridge, </w:t>
      </w:r>
      <w:r w:rsidR="000434ED" w:rsidRPr="00E43DA6">
        <w:rPr>
          <w:rFonts w:cs="Times New Roman"/>
        </w:rPr>
        <w:t>2004</w:t>
      </w:r>
      <w:r w:rsidR="00D04781" w:rsidRPr="00E43DA6">
        <w:rPr>
          <w:rFonts w:cs="Times New Roman"/>
        </w:rPr>
        <w:t>)</w:t>
      </w:r>
      <w:r w:rsidR="000434ED" w:rsidRPr="00E43DA6">
        <w:rPr>
          <w:rFonts w:cs="Times New Roman"/>
        </w:rPr>
        <w:t>.</w:t>
      </w:r>
    </w:p>
  </w:footnote>
  <w:footnote w:id="21">
    <w:p w14:paraId="44127965" w14:textId="274B358F" w:rsidR="001F2304" w:rsidRPr="00E43DA6" w:rsidRDefault="001F2304"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EA6197" w:rsidRPr="00E43DA6">
        <w:rPr>
          <w:rFonts w:cs="Times New Roman"/>
        </w:rPr>
        <w:t xml:space="preserve">e.g. Tim Kelsall et al., </w:t>
      </w:r>
      <w:r w:rsidR="00EA6197" w:rsidRPr="00E43DA6">
        <w:rPr>
          <w:rFonts w:cs="Times New Roman"/>
          <w:i/>
          <w:iCs/>
        </w:rPr>
        <w:t xml:space="preserve">Political </w:t>
      </w:r>
      <w:r w:rsidR="00A5632F">
        <w:rPr>
          <w:rFonts w:cs="Times New Roman"/>
          <w:i/>
          <w:iCs/>
        </w:rPr>
        <w:t>s</w:t>
      </w:r>
      <w:r w:rsidR="00EA6197" w:rsidRPr="00E43DA6">
        <w:rPr>
          <w:rFonts w:cs="Times New Roman"/>
          <w:i/>
          <w:iCs/>
        </w:rPr>
        <w:t xml:space="preserve">ettlements and </w:t>
      </w:r>
      <w:r w:rsidR="00A5632F">
        <w:rPr>
          <w:rFonts w:cs="Times New Roman"/>
          <w:i/>
          <w:iCs/>
        </w:rPr>
        <w:t>d</w:t>
      </w:r>
      <w:r w:rsidR="00EA6197" w:rsidRPr="00E43DA6">
        <w:rPr>
          <w:rFonts w:cs="Times New Roman"/>
          <w:i/>
          <w:iCs/>
        </w:rPr>
        <w:t xml:space="preserve">evelopment: </w:t>
      </w:r>
      <w:r w:rsidR="00A5632F">
        <w:rPr>
          <w:rFonts w:cs="Times New Roman"/>
          <w:i/>
          <w:iCs/>
        </w:rPr>
        <w:t>t</w:t>
      </w:r>
      <w:r w:rsidR="00EA6197" w:rsidRPr="00E43DA6">
        <w:rPr>
          <w:rFonts w:cs="Times New Roman"/>
          <w:i/>
          <w:iCs/>
        </w:rPr>
        <w:t xml:space="preserve">heory, Evidence, </w:t>
      </w:r>
      <w:r w:rsidR="00A5632F">
        <w:rPr>
          <w:rFonts w:cs="Times New Roman"/>
          <w:i/>
          <w:iCs/>
        </w:rPr>
        <w:t>i</w:t>
      </w:r>
      <w:r w:rsidR="00EA6197" w:rsidRPr="00E43DA6">
        <w:rPr>
          <w:rFonts w:cs="Times New Roman"/>
          <w:i/>
          <w:iCs/>
        </w:rPr>
        <w:t>mplications</w:t>
      </w:r>
      <w:r w:rsidR="00EA6197" w:rsidRPr="00E43DA6">
        <w:rPr>
          <w:rFonts w:cs="Times New Roman"/>
        </w:rPr>
        <w:t xml:space="preserve"> (Oxford University Press, </w:t>
      </w:r>
      <w:r w:rsidR="00D04781" w:rsidRPr="00E43DA6">
        <w:rPr>
          <w:rFonts w:cs="Times New Roman"/>
        </w:rPr>
        <w:t xml:space="preserve">Oxford, </w:t>
      </w:r>
      <w:r w:rsidR="00EA6197" w:rsidRPr="00E43DA6">
        <w:rPr>
          <w:rFonts w:cs="Times New Roman"/>
        </w:rPr>
        <w:t xml:space="preserve">2022); Jonathan Di John and James Putzel, </w:t>
      </w:r>
      <w:r w:rsidR="003F399E" w:rsidRPr="00E43DA6">
        <w:rPr>
          <w:rFonts w:cs="Times New Roman"/>
        </w:rPr>
        <w:t>‘</w:t>
      </w:r>
      <w:r w:rsidR="00EA6197" w:rsidRPr="00E43DA6">
        <w:rPr>
          <w:rFonts w:cs="Times New Roman"/>
        </w:rPr>
        <w:t xml:space="preserve">Political </w:t>
      </w:r>
      <w:r w:rsidR="00A5632F">
        <w:rPr>
          <w:rFonts w:cs="Times New Roman"/>
        </w:rPr>
        <w:t>s</w:t>
      </w:r>
      <w:r w:rsidR="00EA6197" w:rsidRPr="00E43DA6">
        <w:rPr>
          <w:rFonts w:cs="Times New Roman"/>
        </w:rPr>
        <w:t xml:space="preserve">ettlements: Issues </w:t>
      </w:r>
      <w:r w:rsidR="00A5632F">
        <w:rPr>
          <w:rFonts w:cs="Times New Roman"/>
        </w:rPr>
        <w:t>p</w:t>
      </w:r>
      <w:r w:rsidR="00EA6197" w:rsidRPr="00E43DA6">
        <w:rPr>
          <w:rFonts w:cs="Times New Roman"/>
        </w:rPr>
        <w:t>aper</w:t>
      </w:r>
      <w:r w:rsidR="003F399E" w:rsidRPr="00E43DA6">
        <w:rPr>
          <w:rFonts w:cs="Times New Roman"/>
        </w:rPr>
        <w:t>’</w:t>
      </w:r>
      <w:r w:rsidR="001D6425">
        <w:rPr>
          <w:rFonts w:cs="Times New Roman"/>
        </w:rPr>
        <w:t>,</w:t>
      </w:r>
      <w:r w:rsidR="00EA6197" w:rsidRPr="00E43DA6">
        <w:rPr>
          <w:rFonts w:cs="Times New Roman"/>
        </w:rPr>
        <w:t xml:space="preserve"> </w:t>
      </w:r>
      <w:r w:rsidR="00D04781" w:rsidRPr="00E43DA6">
        <w:rPr>
          <w:rFonts w:cs="Times New Roman"/>
        </w:rPr>
        <w:t>(</w:t>
      </w:r>
      <w:r w:rsidR="00EA6197" w:rsidRPr="00E43DA6">
        <w:rPr>
          <w:rFonts w:cs="Times New Roman"/>
        </w:rPr>
        <w:t>GSDRC Issues Paper</w:t>
      </w:r>
      <w:r w:rsidR="00D04781" w:rsidRPr="00E43DA6">
        <w:rPr>
          <w:rFonts w:cs="Times New Roman"/>
        </w:rPr>
        <w:t xml:space="preserve">, </w:t>
      </w:r>
      <w:r w:rsidR="00EA6197" w:rsidRPr="00E43DA6">
        <w:rPr>
          <w:rFonts w:cs="Times New Roman"/>
        </w:rPr>
        <w:t xml:space="preserve">University of Birmingham, </w:t>
      </w:r>
      <w:r w:rsidR="00D04781" w:rsidRPr="00E43DA6">
        <w:rPr>
          <w:rFonts w:cs="Times New Roman"/>
        </w:rPr>
        <w:t xml:space="preserve">Birmingham, </w:t>
      </w:r>
      <w:r w:rsidR="00EA6197" w:rsidRPr="00E43DA6">
        <w:rPr>
          <w:rFonts w:cs="Times New Roman"/>
        </w:rPr>
        <w:t xml:space="preserve">2009); Hickey, </w:t>
      </w:r>
      <w:r w:rsidR="003F399E" w:rsidRPr="00E43DA6">
        <w:rPr>
          <w:rFonts w:cs="Times New Roman"/>
        </w:rPr>
        <w:t>‘</w:t>
      </w:r>
      <w:r w:rsidR="006A7C8B" w:rsidRPr="00E43DA6">
        <w:rPr>
          <w:rFonts w:cs="Times New Roman"/>
        </w:rPr>
        <w:t xml:space="preserve">Pockets of </w:t>
      </w:r>
      <w:r w:rsidR="00A5632F">
        <w:rPr>
          <w:rFonts w:cs="Times New Roman"/>
        </w:rPr>
        <w:t>e</w:t>
      </w:r>
      <w:r w:rsidR="006A7C8B" w:rsidRPr="00E43DA6">
        <w:rPr>
          <w:rFonts w:cs="Times New Roman"/>
        </w:rPr>
        <w:t>ffectiveness</w:t>
      </w:r>
      <w:r w:rsidR="003F399E" w:rsidRPr="00E43DA6">
        <w:rPr>
          <w:rFonts w:cs="Times New Roman"/>
        </w:rPr>
        <w:t>’</w:t>
      </w:r>
    </w:p>
  </w:footnote>
  <w:footnote w:id="22">
    <w:p w14:paraId="685D7B04" w14:textId="7A3A7251" w:rsidR="003D57EE" w:rsidRPr="00E43DA6" w:rsidRDefault="003D57EE"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BF2ECF" w:rsidRPr="00E43DA6">
        <w:rPr>
          <w:rFonts w:cs="Times New Roman"/>
        </w:rPr>
        <w:t xml:space="preserve">Tom Lavers, </w:t>
      </w:r>
      <w:r w:rsidR="003F399E" w:rsidRPr="00E43DA6">
        <w:rPr>
          <w:rFonts w:cs="Times New Roman"/>
        </w:rPr>
        <w:t>‘</w:t>
      </w:r>
      <w:r w:rsidR="00BF2ECF" w:rsidRPr="00E43DA6">
        <w:rPr>
          <w:rFonts w:cs="Times New Roman"/>
        </w:rPr>
        <w:t xml:space="preserve">Taking </w:t>
      </w:r>
      <w:r w:rsidR="00A5632F">
        <w:rPr>
          <w:rFonts w:cs="Times New Roman"/>
        </w:rPr>
        <w:t>i</w:t>
      </w:r>
      <w:r w:rsidR="00BF2ECF" w:rsidRPr="00E43DA6">
        <w:rPr>
          <w:rFonts w:cs="Times New Roman"/>
        </w:rPr>
        <w:t xml:space="preserve">deas </w:t>
      </w:r>
      <w:r w:rsidR="00A5632F">
        <w:rPr>
          <w:rFonts w:cs="Times New Roman"/>
        </w:rPr>
        <w:t>s</w:t>
      </w:r>
      <w:r w:rsidR="00BF2ECF" w:rsidRPr="00E43DA6">
        <w:rPr>
          <w:rFonts w:cs="Times New Roman"/>
        </w:rPr>
        <w:t xml:space="preserve">eriously within </w:t>
      </w:r>
      <w:r w:rsidR="00A5632F">
        <w:rPr>
          <w:rFonts w:cs="Times New Roman"/>
        </w:rPr>
        <w:t>p</w:t>
      </w:r>
      <w:r w:rsidR="00BF2ECF" w:rsidRPr="00E43DA6">
        <w:rPr>
          <w:rFonts w:cs="Times New Roman"/>
        </w:rPr>
        <w:t xml:space="preserve">olitical </w:t>
      </w:r>
      <w:r w:rsidR="00A5632F">
        <w:rPr>
          <w:rFonts w:cs="Times New Roman"/>
        </w:rPr>
        <w:t>s</w:t>
      </w:r>
      <w:r w:rsidR="00BF2ECF" w:rsidRPr="00E43DA6">
        <w:rPr>
          <w:rFonts w:cs="Times New Roman"/>
        </w:rPr>
        <w:t xml:space="preserve">ettlements </w:t>
      </w:r>
      <w:r w:rsidR="00A5632F">
        <w:rPr>
          <w:rFonts w:cs="Times New Roman"/>
        </w:rPr>
        <w:t>a</w:t>
      </w:r>
      <w:r w:rsidR="00BF2ECF" w:rsidRPr="00E43DA6">
        <w:rPr>
          <w:rFonts w:cs="Times New Roman"/>
        </w:rPr>
        <w:t>nalysis</w:t>
      </w:r>
      <w:r w:rsidR="003F399E" w:rsidRPr="00E43DA6">
        <w:rPr>
          <w:rFonts w:cs="Times New Roman"/>
        </w:rPr>
        <w:t>’</w:t>
      </w:r>
      <w:r w:rsidR="001D6425">
        <w:rPr>
          <w:rFonts w:cs="Times New Roman"/>
        </w:rPr>
        <w:t>,</w:t>
      </w:r>
      <w:r w:rsidR="00BF2ECF" w:rsidRPr="00E43DA6">
        <w:rPr>
          <w:rFonts w:cs="Times New Roman"/>
        </w:rPr>
        <w:t xml:space="preserve"> </w:t>
      </w:r>
      <w:r w:rsidR="00A161FC" w:rsidRPr="00E43DA6">
        <w:rPr>
          <w:rFonts w:cs="Times New Roman"/>
        </w:rPr>
        <w:t>(</w:t>
      </w:r>
      <w:r w:rsidR="00BF2ECF" w:rsidRPr="00E43DA6">
        <w:rPr>
          <w:rFonts w:cs="Times New Roman"/>
        </w:rPr>
        <w:t>ESID Working Paper 95</w:t>
      </w:r>
      <w:r w:rsidR="00A5632F">
        <w:rPr>
          <w:rFonts w:cs="Times New Roman"/>
        </w:rPr>
        <w:t>,</w:t>
      </w:r>
      <w:r w:rsidR="00BF2ECF" w:rsidRPr="00E43DA6">
        <w:rPr>
          <w:rFonts w:cs="Times New Roman"/>
        </w:rPr>
        <w:t xml:space="preserve"> University of </w:t>
      </w:r>
      <w:r w:rsidR="00D04781" w:rsidRPr="00E43DA6">
        <w:rPr>
          <w:rFonts w:cs="Times New Roman"/>
        </w:rPr>
        <w:t>Manchester</w:t>
      </w:r>
      <w:r w:rsidR="00BF2ECF" w:rsidRPr="00E43DA6">
        <w:rPr>
          <w:rFonts w:cs="Times New Roman"/>
        </w:rPr>
        <w:t xml:space="preserve">, </w:t>
      </w:r>
      <w:r w:rsidR="00A161FC" w:rsidRPr="00E43DA6">
        <w:rPr>
          <w:rFonts w:cs="Times New Roman"/>
        </w:rPr>
        <w:t xml:space="preserve">Manchester, </w:t>
      </w:r>
      <w:r w:rsidR="00BF2ECF" w:rsidRPr="00E43DA6">
        <w:rPr>
          <w:rFonts w:cs="Times New Roman"/>
        </w:rPr>
        <w:t>2018).</w:t>
      </w:r>
    </w:p>
  </w:footnote>
  <w:footnote w:id="23">
    <w:p w14:paraId="5F513B46" w14:textId="025FF030" w:rsidR="008A5EF1" w:rsidRPr="00E43DA6" w:rsidRDefault="008A5EF1"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CA0631" w:rsidRPr="00E43DA6">
        <w:rPr>
          <w:rFonts w:cs="Times New Roman"/>
        </w:rPr>
        <w:t xml:space="preserve">Mushtaq H Khan, </w:t>
      </w:r>
      <w:r w:rsidR="003F399E" w:rsidRPr="00E43DA6">
        <w:rPr>
          <w:rFonts w:cs="Times New Roman"/>
        </w:rPr>
        <w:t>‘</w:t>
      </w:r>
      <w:r w:rsidR="00CA0631" w:rsidRPr="00E43DA6">
        <w:rPr>
          <w:rFonts w:cs="Times New Roman"/>
        </w:rPr>
        <w:t xml:space="preserve">Power, </w:t>
      </w:r>
      <w:r w:rsidR="00A5632F">
        <w:rPr>
          <w:rFonts w:cs="Times New Roman"/>
        </w:rPr>
        <w:t>p</w:t>
      </w:r>
      <w:r w:rsidR="00CA0631" w:rsidRPr="00E43DA6">
        <w:rPr>
          <w:rFonts w:cs="Times New Roman"/>
        </w:rPr>
        <w:t xml:space="preserve">acts and </w:t>
      </w:r>
      <w:r w:rsidR="00A5632F">
        <w:rPr>
          <w:rFonts w:cs="Times New Roman"/>
        </w:rPr>
        <w:t>p</w:t>
      </w:r>
      <w:r w:rsidR="00CA0631" w:rsidRPr="00E43DA6">
        <w:rPr>
          <w:rFonts w:cs="Times New Roman"/>
        </w:rPr>
        <w:t xml:space="preserve">olitical </w:t>
      </w:r>
      <w:r w:rsidR="00A5632F">
        <w:rPr>
          <w:rFonts w:cs="Times New Roman"/>
        </w:rPr>
        <w:t>s</w:t>
      </w:r>
      <w:r w:rsidR="00CA0631" w:rsidRPr="00E43DA6">
        <w:rPr>
          <w:rFonts w:cs="Times New Roman"/>
        </w:rPr>
        <w:t xml:space="preserve">ettlements: A </w:t>
      </w:r>
      <w:r w:rsidR="00A5632F">
        <w:rPr>
          <w:rFonts w:cs="Times New Roman"/>
        </w:rPr>
        <w:t>r</w:t>
      </w:r>
      <w:r w:rsidR="00CA0631" w:rsidRPr="00E43DA6">
        <w:rPr>
          <w:rFonts w:cs="Times New Roman"/>
        </w:rPr>
        <w:t>eply to Tim Kelsall</w:t>
      </w:r>
      <w:r w:rsidR="003F399E" w:rsidRPr="00E43DA6">
        <w:rPr>
          <w:rFonts w:cs="Times New Roman"/>
        </w:rPr>
        <w:t>’</w:t>
      </w:r>
      <w:r w:rsidR="001D6425">
        <w:rPr>
          <w:rFonts w:cs="Times New Roman"/>
        </w:rPr>
        <w:t>,</w:t>
      </w:r>
      <w:r w:rsidR="00CA0631" w:rsidRPr="00E43DA6">
        <w:rPr>
          <w:rFonts w:cs="Times New Roman"/>
        </w:rPr>
        <w:t xml:space="preserve"> </w:t>
      </w:r>
      <w:r w:rsidR="00CA0631" w:rsidRPr="00E43DA6">
        <w:rPr>
          <w:rFonts w:cs="Times New Roman"/>
          <w:i/>
          <w:iCs/>
        </w:rPr>
        <w:t>African Affairs</w:t>
      </w:r>
      <w:r w:rsidR="00CA0631" w:rsidRPr="00E43DA6">
        <w:rPr>
          <w:rFonts w:cs="Times New Roman"/>
        </w:rPr>
        <w:t xml:space="preserve">, </w:t>
      </w:r>
      <w:r w:rsidR="00A161FC" w:rsidRPr="00E43DA6">
        <w:rPr>
          <w:rFonts w:cs="Times New Roman"/>
        </w:rPr>
        <w:t>117, 469 (2018) pp.</w:t>
      </w:r>
      <w:r w:rsidR="00A5632F">
        <w:rPr>
          <w:rFonts w:cs="Times New Roman"/>
        </w:rPr>
        <w:t xml:space="preserve"> </w:t>
      </w:r>
      <w:r w:rsidR="00A161FC" w:rsidRPr="00E43DA6">
        <w:rPr>
          <w:rFonts w:cs="Times New Roman"/>
        </w:rPr>
        <w:t>670-694</w:t>
      </w:r>
      <w:r w:rsidR="00CA0631" w:rsidRPr="00E43DA6">
        <w:rPr>
          <w:rFonts w:cs="Times New Roman"/>
        </w:rPr>
        <w:t xml:space="preserve">; Tim Kelsall, </w:t>
      </w:r>
      <w:r w:rsidR="003F399E" w:rsidRPr="00E43DA6">
        <w:rPr>
          <w:rFonts w:cs="Times New Roman"/>
        </w:rPr>
        <w:t>‘</w:t>
      </w:r>
      <w:r w:rsidR="00CA0631" w:rsidRPr="00E43DA6">
        <w:rPr>
          <w:rFonts w:cs="Times New Roman"/>
        </w:rPr>
        <w:t xml:space="preserve">Towards a </w:t>
      </w:r>
      <w:r w:rsidR="00A5632F">
        <w:rPr>
          <w:rFonts w:cs="Times New Roman"/>
        </w:rPr>
        <w:t>u</w:t>
      </w:r>
      <w:r w:rsidR="00CA0631" w:rsidRPr="00E43DA6">
        <w:rPr>
          <w:rFonts w:cs="Times New Roman"/>
        </w:rPr>
        <w:t xml:space="preserve">niversal </w:t>
      </w:r>
      <w:r w:rsidR="00A5632F">
        <w:rPr>
          <w:rFonts w:cs="Times New Roman"/>
        </w:rPr>
        <w:t>p</w:t>
      </w:r>
      <w:r w:rsidR="00CA0631" w:rsidRPr="00E43DA6">
        <w:rPr>
          <w:rFonts w:cs="Times New Roman"/>
        </w:rPr>
        <w:t xml:space="preserve">olitical </w:t>
      </w:r>
      <w:r w:rsidR="00A5632F">
        <w:rPr>
          <w:rFonts w:cs="Times New Roman"/>
        </w:rPr>
        <w:t>s</w:t>
      </w:r>
      <w:r w:rsidR="00CA0631" w:rsidRPr="00E43DA6">
        <w:rPr>
          <w:rFonts w:cs="Times New Roman"/>
        </w:rPr>
        <w:t xml:space="preserve">ettlement </w:t>
      </w:r>
      <w:r w:rsidR="00A5632F">
        <w:rPr>
          <w:rFonts w:cs="Times New Roman"/>
        </w:rPr>
        <w:t>c</w:t>
      </w:r>
      <w:r w:rsidR="00CA0631" w:rsidRPr="00E43DA6">
        <w:rPr>
          <w:rFonts w:cs="Times New Roman"/>
        </w:rPr>
        <w:t xml:space="preserve">oncept: A </w:t>
      </w:r>
      <w:r w:rsidR="00A5632F">
        <w:rPr>
          <w:rFonts w:cs="Times New Roman"/>
        </w:rPr>
        <w:t>r</w:t>
      </w:r>
      <w:r w:rsidR="00CA0631" w:rsidRPr="00E43DA6">
        <w:rPr>
          <w:rFonts w:cs="Times New Roman"/>
        </w:rPr>
        <w:t>esponse to Mushtaq Khan</w:t>
      </w:r>
      <w:r w:rsidR="003F399E" w:rsidRPr="00E43DA6">
        <w:rPr>
          <w:rFonts w:cs="Times New Roman"/>
        </w:rPr>
        <w:t>’</w:t>
      </w:r>
      <w:r w:rsidR="001D6425">
        <w:rPr>
          <w:rFonts w:cs="Times New Roman"/>
        </w:rPr>
        <w:t>,</w:t>
      </w:r>
      <w:r w:rsidR="00CA0631" w:rsidRPr="00E43DA6">
        <w:rPr>
          <w:rFonts w:cs="Times New Roman"/>
        </w:rPr>
        <w:t xml:space="preserve"> </w:t>
      </w:r>
      <w:r w:rsidR="00CA0631" w:rsidRPr="00E43DA6">
        <w:rPr>
          <w:rFonts w:cs="Times New Roman"/>
          <w:i/>
          <w:iCs/>
        </w:rPr>
        <w:t>African Affairs</w:t>
      </w:r>
      <w:r w:rsidR="00CA0631" w:rsidRPr="00E43DA6">
        <w:rPr>
          <w:rFonts w:cs="Times New Roman"/>
        </w:rPr>
        <w:t xml:space="preserve"> </w:t>
      </w:r>
      <w:r w:rsidR="00A161FC" w:rsidRPr="00E43DA6">
        <w:rPr>
          <w:rFonts w:cs="Times New Roman"/>
        </w:rPr>
        <w:t>117, 469 (2018) pp.</w:t>
      </w:r>
      <w:r w:rsidR="00A5632F">
        <w:rPr>
          <w:rFonts w:cs="Times New Roman"/>
        </w:rPr>
        <w:t xml:space="preserve"> </w:t>
      </w:r>
      <w:r w:rsidR="00CA0631" w:rsidRPr="00E43DA6">
        <w:rPr>
          <w:rFonts w:cs="Times New Roman"/>
        </w:rPr>
        <w:t>656–69</w:t>
      </w:r>
      <w:r w:rsidR="00A161FC" w:rsidRPr="00E43DA6">
        <w:rPr>
          <w:rFonts w:cs="Times New Roman"/>
        </w:rPr>
        <w:t>4</w:t>
      </w:r>
      <w:r w:rsidR="00CA0631" w:rsidRPr="00E43DA6">
        <w:rPr>
          <w:rFonts w:cs="Times New Roman"/>
        </w:rPr>
        <w:t>.</w:t>
      </w:r>
    </w:p>
  </w:footnote>
  <w:footnote w:id="24">
    <w:p w14:paraId="42AB8D62" w14:textId="41464588" w:rsidR="002746BD" w:rsidRPr="00E43DA6" w:rsidRDefault="002746BD"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Kelsall et al., </w:t>
      </w:r>
      <w:r w:rsidRPr="00E43DA6">
        <w:rPr>
          <w:rFonts w:cs="Times New Roman"/>
          <w:i/>
          <w:iCs/>
        </w:rPr>
        <w:t xml:space="preserve">Political </w:t>
      </w:r>
      <w:r w:rsidR="00A5632F">
        <w:rPr>
          <w:rFonts w:cs="Times New Roman"/>
          <w:i/>
          <w:iCs/>
        </w:rPr>
        <w:t>s</w:t>
      </w:r>
      <w:r w:rsidRPr="00E43DA6">
        <w:rPr>
          <w:rFonts w:cs="Times New Roman"/>
          <w:i/>
          <w:iCs/>
        </w:rPr>
        <w:t xml:space="preserve">ettlements and </w:t>
      </w:r>
      <w:r w:rsidR="00A5632F">
        <w:rPr>
          <w:rFonts w:cs="Times New Roman"/>
          <w:i/>
          <w:iCs/>
        </w:rPr>
        <w:t>d</w:t>
      </w:r>
      <w:r w:rsidRPr="00E43DA6">
        <w:rPr>
          <w:rFonts w:cs="Times New Roman"/>
          <w:i/>
          <w:iCs/>
        </w:rPr>
        <w:t>evelopment</w:t>
      </w:r>
      <w:r w:rsidRPr="00E43DA6">
        <w:rPr>
          <w:rFonts w:cs="Times New Roman"/>
        </w:rPr>
        <w:t>.</w:t>
      </w:r>
      <w:r w:rsidR="00ED4712" w:rsidRPr="00ED4712">
        <w:rPr>
          <w:rFonts w:cs="Times New Roman"/>
        </w:rPr>
        <w:t xml:space="preserve"> </w:t>
      </w:r>
      <w:r w:rsidR="00ED4712" w:rsidRPr="00E43DA6">
        <w:rPr>
          <w:rFonts w:cs="Times New Roman"/>
        </w:rPr>
        <w:t xml:space="preserve">Whitfield et al., </w:t>
      </w:r>
      <w:r w:rsidR="00ED4712" w:rsidRPr="00E43DA6">
        <w:rPr>
          <w:rFonts w:cs="Times New Roman"/>
          <w:i/>
          <w:iCs/>
        </w:rPr>
        <w:t xml:space="preserve">The </w:t>
      </w:r>
      <w:r w:rsidR="00ED4712">
        <w:rPr>
          <w:rFonts w:cs="Times New Roman"/>
          <w:i/>
          <w:iCs/>
        </w:rPr>
        <w:t>p</w:t>
      </w:r>
      <w:r w:rsidR="00ED4712" w:rsidRPr="00E43DA6">
        <w:rPr>
          <w:rFonts w:cs="Times New Roman"/>
          <w:i/>
          <w:iCs/>
        </w:rPr>
        <w:t xml:space="preserve">olitics of African </w:t>
      </w:r>
      <w:r w:rsidR="00ED4712">
        <w:rPr>
          <w:rFonts w:cs="Times New Roman"/>
          <w:i/>
          <w:iCs/>
        </w:rPr>
        <w:t>i</w:t>
      </w:r>
      <w:r w:rsidR="00ED4712" w:rsidRPr="00E43DA6">
        <w:rPr>
          <w:rFonts w:cs="Times New Roman"/>
          <w:i/>
          <w:iCs/>
        </w:rPr>
        <w:t xml:space="preserve">ndustrial </w:t>
      </w:r>
      <w:r w:rsidR="00ED4712">
        <w:rPr>
          <w:rFonts w:cs="Times New Roman"/>
          <w:i/>
          <w:iCs/>
        </w:rPr>
        <w:t>p</w:t>
      </w:r>
      <w:r w:rsidR="00ED4712" w:rsidRPr="00E43DA6">
        <w:rPr>
          <w:rFonts w:cs="Times New Roman"/>
          <w:i/>
          <w:iCs/>
        </w:rPr>
        <w:t>olicy</w:t>
      </w:r>
      <w:r w:rsidR="00ED4712" w:rsidRPr="00E43DA6">
        <w:rPr>
          <w:rFonts w:cs="Times New Roman"/>
        </w:rPr>
        <w:t xml:space="preserve">; Benjamin Chemouni, ‘The </w:t>
      </w:r>
      <w:r w:rsidR="00ED4712">
        <w:rPr>
          <w:rFonts w:cs="Times New Roman"/>
        </w:rPr>
        <w:t>p</w:t>
      </w:r>
      <w:r w:rsidR="00ED4712" w:rsidRPr="00E43DA6">
        <w:rPr>
          <w:rFonts w:cs="Times New Roman"/>
        </w:rPr>
        <w:t xml:space="preserve">olitics of </w:t>
      </w:r>
      <w:r w:rsidR="00ED4712">
        <w:rPr>
          <w:rFonts w:cs="Times New Roman"/>
        </w:rPr>
        <w:t>c</w:t>
      </w:r>
      <w:r w:rsidR="00ED4712" w:rsidRPr="00E43DA6">
        <w:rPr>
          <w:rFonts w:cs="Times New Roman"/>
        </w:rPr>
        <w:t xml:space="preserve">ore </w:t>
      </w:r>
      <w:r w:rsidR="00ED4712">
        <w:rPr>
          <w:rFonts w:cs="Times New Roman"/>
        </w:rPr>
        <w:t>p</w:t>
      </w:r>
      <w:r w:rsidR="00ED4712" w:rsidRPr="00E43DA6">
        <w:rPr>
          <w:rFonts w:cs="Times New Roman"/>
        </w:rPr>
        <w:t xml:space="preserve">ublic </w:t>
      </w:r>
      <w:r w:rsidR="00ED4712">
        <w:rPr>
          <w:rFonts w:cs="Times New Roman"/>
        </w:rPr>
        <w:t>s</w:t>
      </w:r>
      <w:r w:rsidR="00ED4712" w:rsidRPr="00E43DA6">
        <w:rPr>
          <w:rFonts w:cs="Times New Roman"/>
        </w:rPr>
        <w:t xml:space="preserve">ector </w:t>
      </w:r>
      <w:r w:rsidR="00ED4712">
        <w:rPr>
          <w:rFonts w:cs="Times New Roman"/>
        </w:rPr>
        <w:t>r</w:t>
      </w:r>
      <w:r w:rsidR="00ED4712" w:rsidRPr="00E43DA6">
        <w:rPr>
          <w:rFonts w:cs="Times New Roman"/>
        </w:rPr>
        <w:t>eform in Rwanda’</w:t>
      </w:r>
      <w:r w:rsidR="00ED4712">
        <w:rPr>
          <w:rFonts w:cs="Times New Roman"/>
        </w:rPr>
        <w:t>,</w:t>
      </w:r>
      <w:r w:rsidR="00ED4712" w:rsidRPr="00E43DA6">
        <w:rPr>
          <w:rFonts w:cs="Times New Roman"/>
        </w:rPr>
        <w:t xml:space="preserve"> (ESID Working Paper 88, University of Manchester, Manchester, 2017).</w:t>
      </w:r>
    </w:p>
  </w:footnote>
  <w:footnote w:id="25">
    <w:p w14:paraId="526B4F33" w14:textId="40E32535" w:rsidR="00AA2C3F" w:rsidRPr="00E43DA6" w:rsidRDefault="00AA2C3F"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Behuria, Buur, and Gray, </w:t>
      </w:r>
      <w:r w:rsidR="003F399E" w:rsidRPr="00E43DA6">
        <w:rPr>
          <w:rFonts w:cs="Times New Roman"/>
        </w:rPr>
        <w:t>‘</w:t>
      </w:r>
      <w:r w:rsidR="000434ED" w:rsidRPr="00E43DA6">
        <w:rPr>
          <w:rFonts w:cs="Times New Roman"/>
        </w:rPr>
        <w:t xml:space="preserve">Studying </w:t>
      </w:r>
      <w:r w:rsidR="00A5632F">
        <w:rPr>
          <w:rFonts w:cs="Times New Roman"/>
        </w:rPr>
        <w:t>p</w:t>
      </w:r>
      <w:r w:rsidR="000434ED" w:rsidRPr="00E43DA6">
        <w:rPr>
          <w:rFonts w:cs="Times New Roman"/>
        </w:rPr>
        <w:t xml:space="preserve">olitical </w:t>
      </w:r>
      <w:r w:rsidR="00A5632F">
        <w:rPr>
          <w:rFonts w:cs="Times New Roman"/>
        </w:rPr>
        <w:t>s</w:t>
      </w:r>
      <w:r w:rsidR="000434ED" w:rsidRPr="00E43DA6">
        <w:rPr>
          <w:rFonts w:cs="Times New Roman"/>
        </w:rPr>
        <w:t>ettlements in Africa</w:t>
      </w:r>
      <w:r w:rsidR="003F399E" w:rsidRPr="00E43DA6">
        <w:rPr>
          <w:rFonts w:cs="Times New Roman"/>
        </w:rPr>
        <w:t>’</w:t>
      </w:r>
      <w:r w:rsidR="001D6425">
        <w:rPr>
          <w:rFonts w:cs="Times New Roman"/>
        </w:rPr>
        <w:t>.</w:t>
      </w:r>
    </w:p>
  </w:footnote>
  <w:footnote w:id="26">
    <w:p w14:paraId="609CD9E6" w14:textId="458C0BDC" w:rsidR="00D83E21" w:rsidRPr="00E43DA6" w:rsidRDefault="00D83E21"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Kelsall et al., </w:t>
      </w:r>
      <w:r w:rsidR="000434ED" w:rsidRPr="00E43DA6">
        <w:rPr>
          <w:rFonts w:cs="Times New Roman"/>
          <w:i/>
          <w:iCs/>
        </w:rPr>
        <w:t xml:space="preserve">Political </w:t>
      </w:r>
      <w:r w:rsidR="00A5632F">
        <w:rPr>
          <w:rFonts w:cs="Times New Roman"/>
          <w:i/>
          <w:iCs/>
        </w:rPr>
        <w:t>s</w:t>
      </w:r>
      <w:r w:rsidR="000434ED" w:rsidRPr="00E43DA6">
        <w:rPr>
          <w:rFonts w:cs="Times New Roman"/>
          <w:i/>
          <w:iCs/>
        </w:rPr>
        <w:t xml:space="preserve">ettlements and </w:t>
      </w:r>
      <w:r w:rsidR="00A5632F">
        <w:rPr>
          <w:rFonts w:cs="Times New Roman"/>
          <w:i/>
          <w:iCs/>
        </w:rPr>
        <w:t>d</w:t>
      </w:r>
      <w:r w:rsidR="000434ED" w:rsidRPr="00E43DA6">
        <w:rPr>
          <w:rFonts w:cs="Times New Roman"/>
          <w:i/>
          <w:iCs/>
        </w:rPr>
        <w:t>evelopment</w:t>
      </w:r>
      <w:r w:rsidR="000434ED" w:rsidRPr="00E43DA6">
        <w:rPr>
          <w:rFonts w:cs="Times New Roman"/>
        </w:rPr>
        <w:t>.</w:t>
      </w:r>
    </w:p>
  </w:footnote>
  <w:footnote w:id="27">
    <w:p w14:paraId="5CCECDB4" w14:textId="381FAF4D" w:rsidR="008E2CF6" w:rsidRPr="00E43DA6" w:rsidRDefault="008E2CF6"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215633" w:rsidRPr="00E43DA6">
        <w:rPr>
          <w:rFonts w:cs="Times New Roman"/>
        </w:rPr>
        <w:t>Hickey</w:t>
      </w:r>
      <w:r w:rsidR="00215633" w:rsidRPr="00E43DA6">
        <w:rPr>
          <w:rFonts w:cs="Times New Roman"/>
          <w:i/>
          <w:iCs/>
        </w:rPr>
        <w:t xml:space="preserve">, Pockets of </w:t>
      </w:r>
      <w:r w:rsidR="00A5632F">
        <w:rPr>
          <w:rFonts w:cs="Times New Roman"/>
          <w:i/>
          <w:iCs/>
        </w:rPr>
        <w:t>e</w:t>
      </w:r>
      <w:r w:rsidR="00215633" w:rsidRPr="00E43DA6">
        <w:rPr>
          <w:rFonts w:cs="Times New Roman"/>
          <w:i/>
          <w:iCs/>
        </w:rPr>
        <w:t>ffectiveness</w:t>
      </w:r>
      <w:r w:rsidR="00215633" w:rsidRPr="00E43DA6">
        <w:rPr>
          <w:rFonts w:cs="Times New Roman"/>
        </w:rPr>
        <w:t xml:space="preserve">; Whitfield et al., </w:t>
      </w:r>
      <w:r w:rsidR="00215633" w:rsidRPr="00E43DA6">
        <w:rPr>
          <w:rFonts w:cs="Times New Roman"/>
          <w:i/>
          <w:iCs/>
        </w:rPr>
        <w:t xml:space="preserve">The </w:t>
      </w:r>
      <w:r w:rsidR="00A5632F">
        <w:rPr>
          <w:rFonts w:cs="Times New Roman"/>
          <w:i/>
          <w:iCs/>
        </w:rPr>
        <w:t>p</w:t>
      </w:r>
      <w:r w:rsidR="00215633" w:rsidRPr="00E43DA6">
        <w:rPr>
          <w:rFonts w:cs="Times New Roman"/>
          <w:i/>
          <w:iCs/>
        </w:rPr>
        <w:t xml:space="preserve">olitics of African </w:t>
      </w:r>
      <w:r w:rsidR="00A5632F">
        <w:rPr>
          <w:rFonts w:cs="Times New Roman"/>
          <w:i/>
          <w:iCs/>
        </w:rPr>
        <w:t>i</w:t>
      </w:r>
      <w:r w:rsidR="00215633" w:rsidRPr="00E43DA6">
        <w:rPr>
          <w:rFonts w:cs="Times New Roman"/>
          <w:i/>
          <w:iCs/>
        </w:rPr>
        <w:t xml:space="preserve">ndustrial </w:t>
      </w:r>
      <w:r w:rsidR="00A5632F">
        <w:rPr>
          <w:rFonts w:cs="Times New Roman"/>
          <w:i/>
          <w:iCs/>
        </w:rPr>
        <w:t>p</w:t>
      </w:r>
      <w:r w:rsidR="00215633" w:rsidRPr="00E43DA6">
        <w:rPr>
          <w:rFonts w:cs="Times New Roman"/>
          <w:i/>
          <w:iCs/>
        </w:rPr>
        <w:t>olicy</w:t>
      </w:r>
      <w:r w:rsidR="00215633" w:rsidRPr="00E43DA6">
        <w:rPr>
          <w:rFonts w:cs="Times New Roman"/>
        </w:rPr>
        <w:t>.</w:t>
      </w:r>
    </w:p>
  </w:footnote>
  <w:footnote w:id="28">
    <w:p w14:paraId="0F114147" w14:textId="606DE872" w:rsidR="00EE3222" w:rsidRPr="00E43DA6" w:rsidRDefault="00EE3222"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proofErr w:type="spellStart"/>
      <w:r w:rsidR="000439FD" w:rsidRPr="00E43DA6">
        <w:rPr>
          <w:rFonts w:cs="Times New Roman"/>
        </w:rPr>
        <w:t>Niheer</w:t>
      </w:r>
      <w:proofErr w:type="spellEnd"/>
      <w:r w:rsidR="000439FD" w:rsidRPr="00E43DA6">
        <w:rPr>
          <w:rFonts w:cs="Times New Roman"/>
        </w:rPr>
        <w:t xml:space="preserve"> </w:t>
      </w:r>
      <w:proofErr w:type="spellStart"/>
      <w:r w:rsidR="000439FD" w:rsidRPr="00E43DA6">
        <w:rPr>
          <w:rFonts w:cs="Times New Roman"/>
        </w:rPr>
        <w:t>Dasandi</w:t>
      </w:r>
      <w:proofErr w:type="spellEnd"/>
      <w:r w:rsidR="000439FD" w:rsidRPr="00E43DA6">
        <w:rPr>
          <w:rFonts w:cs="Times New Roman"/>
        </w:rPr>
        <w:t xml:space="preserve"> and Marc Esteve ‘The </w:t>
      </w:r>
      <w:r w:rsidR="00A5632F">
        <w:rPr>
          <w:rFonts w:cs="Times New Roman"/>
        </w:rPr>
        <w:t>p</w:t>
      </w:r>
      <w:r w:rsidR="000439FD" w:rsidRPr="00E43DA6">
        <w:rPr>
          <w:rFonts w:cs="Times New Roman"/>
        </w:rPr>
        <w:t>olitics–</w:t>
      </w:r>
      <w:r w:rsidR="00A5632F">
        <w:rPr>
          <w:rFonts w:cs="Times New Roman"/>
        </w:rPr>
        <w:t>b</w:t>
      </w:r>
      <w:r w:rsidR="000439FD" w:rsidRPr="00E43DA6">
        <w:rPr>
          <w:rFonts w:cs="Times New Roman"/>
        </w:rPr>
        <w:t xml:space="preserve">ureaucracy </w:t>
      </w:r>
      <w:r w:rsidR="00A5632F">
        <w:rPr>
          <w:rFonts w:cs="Times New Roman"/>
        </w:rPr>
        <w:t>i</w:t>
      </w:r>
      <w:r w:rsidR="000439FD" w:rsidRPr="00E43DA6">
        <w:rPr>
          <w:rFonts w:cs="Times New Roman"/>
        </w:rPr>
        <w:t xml:space="preserve">nterface in </w:t>
      </w:r>
      <w:r w:rsidR="00A5632F">
        <w:rPr>
          <w:rFonts w:cs="Times New Roman"/>
        </w:rPr>
        <w:t>d</w:t>
      </w:r>
      <w:r w:rsidR="000439FD" w:rsidRPr="00E43DA6">
        <w:rPr>
          <w:rFonts w:cs="Times New Roman"/>
        </w:rPr>
        <w:t xml:space="preserve">eveloping </w:t>
      </w:r>
      <w:r w:rsidR="00A5632F">
        <w:rPr>
          <w:rFonts w:cs="Times New Roman"/>
        </w:rPr>
        <w:t>c</w:t>
      </w:r>
      <w:r w:rsidR="000439FD" w:rsidRPr="00E43DA6">
        <w:rPr>
          <w:rFonts w:cs="Times New Roman"/>
        </w:rPr>
        <w:t>ountries’</w:t>
      </w:r>
      <w:r w:rsidR="001D6425">
        <w:rPr>
          <w:rFonts w:cs="Times New Roman"/>
        </w:rPr>
        <w:t>,</w:t>
      </w:r>
      <w:r w:rsidR="000439FD" w:rsidRPr="00E43DA6">
        <w:rPr>
          <w:rFonts w:cs="Times New Roman"/>
        </w:rPr>
        <w:t xml:space="preserve"> </w:t>
      </w:r>
      <w:r w:rsidR="000439FD" w:rsidRPr="00E43DA6">
        <w:rPr>
          <w:rFonts w:cs="Times New Roman"/>
          <w:i/>
          <w:iCs/>
        </w:rPr>
        <w:t>Public Administration and Development</w:t>
      </w:r>
      <w:r w:rsidR="000439FD" w:rsidRPr="00E43DA6">
        <w:rPr>
          <w:rFonts w:cs="Times New Roman"/>
        </w:rPr>
        <w:t xml:space="preserve"> 37, 4 (2017), pp.</w:t>
      </w:r>
      <w:r w:rsidR="00A5632F">
        <w:rPr>
          <w:rFonts w:cs="Times New Roman"/>
        </w:rPr>
        <w:t xml:space="preserve"> </w:t>
      </w:r>
      <w:r w:rsidR="000439FD" w:rsidRPr="00E43DA6">
        <w:rPr>
          <w:rFonts w:cs="Times New Roman"/>
        </w:rPr>
        <w:t>231–245,</w:t>
      </w:r>
      <w:r w:rsidRPr="00E43DA6">
        <w:rPr>
          <w:rFonts w:cs="Times New Roman"/>
        </w:rPr>
        <w:t xml:space="preserve"> </w:t>
      </w:r>
      <w:r w:rsidR="000439FD" w:rsidRPr="00E43DA6">
        <w:rPr>
          <w:rFonts w:cs="Times New Roman"/>
        </w:rPr>
        <w:t>p.</w:t>
      </w:r>
      <w:r w:rsidRPr="00E43DA6">
        <w:rPr>
          <w:rFonts w:cs="Times New Roman"/>
        </w:rPr>
        <w:t>231.</w:t>
      </w:r>
    </w:p>
  </w:footnote>
  <w:footnote w:id="29">
    <w:p w14:paraId="6B274E18" w14:textId="41AE5866"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Ion Georgiou, </w:t>
      </w:r>
      <w:r w:rsidR="003F399E" w:rsidRPr="00E43DA6">
        <w:rPr>
          <w:rFonts w:cs="Times New Roman"/>
        </w:rPr>
        <w:t>‘</w:t>
      </w:r>
      <w:r w:rsidR="000434ED" w:rsidRPr="00E43DA6">
        <w:rPr>
          <w:rFonts w:cs="Times New Roman"/>
        </w:rPr>
        <w:t xml:space="preserve">Seeing the </w:t>
      </w:r>
      <w:r w:rsidR="00A5632F">
        <w:rPr>
          <w:rFonts w:cs="Times New Roman"/>
        </w:rPr>
        <w:t>f</w:t>
      </w:r>
      <w:r w:rsidR="000434ED" w:rsidRPr="00E43DA6">
        <w:rPr>
          <w:rFonts w:cs="Times New Roman"/>
        </w:rPr>
        <w:t xml:space="preserve">orest for the </w:t>
      </w:r>
      <w:r w:rsidR="00A5632F">
        <w:rPr>
          <w:rFonts w:cs="Times New Roman"/>
        </w:rPr>
        <w:t>t</w:t>
      </w:r>
      <w:r w:rsidR="000434ED" w:rsidRPr="00E43DA6">
        <w:rPr>
          <w:rFonts w:cs="Times New Roman"/>
        </w:rPr>
        <w:t xml:space="preserve">rees: An </w:t>
      </w:r>
      <w:r w:rsidR="00A5632F">
        <w:rPr>
          <w:rFonts w:cs="Times New Roman"/>
        </w:rPr>
        <w:t>a</w:t>
      </w:r>
      <w:r w:rsidR="000434ED" w:rsidRPr="00E43DA6">
        <w:rPr>
          <w:rFonts w:cs="Times New Roman"/>
        </w:rPr>
        <w:t xml:space="preserve">tlas of the </w:t>
      </w:r>
      <w:r w:rsidR="00A5632F">
        <w:rPr>
          <w:rFonts w:cs="Times New Roman"/>
        </w:rPr>
        <w:t>p</w:t>
      </w:r>
      <w:r w:rsidR="000434ED" w:rsidRPr="00E43DA6">
        <w:rPr>
          <w:rFonts w:cs="Times New Roman"/>
        </w:rPr>
        <w:t>olitics–</w:t>
      </w:r>
      <w:r w:rsidR="00A5632F">
        <w:rPr>
          <w:rFonts w:cs="Times New Roman"/>
        </w:rPr>
        <w:t>a</w:t>
      </w:r>
      <w:r w:rsidR="000434ED" w:rsidRPr="00E43DA6">
        <w:rPr>
          <w:rFonts w:cs="Times New Roman"/>
        </w:rPr>
        <w:t xml:space="preserve">dministration </w:t>
      </w:r>
      <w:r w:rsidR="00A5632F">
        <w:rPr>
          <w:rFonts w:cs="Times New Roman"/>
        </w:rPr>
        <w:t>d</w:t>
      </w:r>
      <w:r w:rsidR="000434ED" w:rsidRPr="00E43DA6">
        <w:rPr>
          <w:rFonts w:cs="Times New Roman"/>
        </w:rPr>
        <w:t>ichotomy</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Public Administration Review</w:t>
      </w:r>
      <w:r w:rsidR="000434ED" w:rsidRPr="00E43DA6">
        <w:rPr>
          <w:rFonts w:cs="Times New Roman"/>
        </w:rPr>
        <w:t xml:space="preserve"> 74, 2 (2014)</w:t>
      </w:r>
      <w:r w:rsidR="000439FD" w:rsidRPr="00E43DA6">
        <w:rPr>
          <w:rFonts w:cs="Times New Roman"/>
        </w:rPr>
        <w:t>,</w:t>
      </w:r>
      <w:r w:rsidR="000434ED" w:rsidRPr="00E43DA6">
        <w:rPr>
          <w:rFonts w:cs="Times New Roman"/>
        </w:rPr>
        <w:t xml:space="preserve"> </w:t>
      </w:r>
      <w:r w:rsidR="000439FD" w:rsidRPr="00E43DA6">
        <w:rPr>
          <w:rFonts w:cs="Times New Roman"/>
        </w:rPr>
        <w:t>pp.</w:t>
      </w:r>
      <w:r w:rsidR="00A5632F">
        <w:rPr>
          <w:rFonts w:cs="Times New Roman"/>
        </w:rPr>
        <w:t xml:space="preserve"> </w:t>
      </w:r>
      <w:r w:rsidR="000434ED" w:rsidRPr="00E43DA6">
        <w:rPr>
          <w:rFonts w:cs="Times New Roman"/>
        </w:rPr>
        <w:t xml:space="preserve">156–75; James H. Svara, </w:t>
      </w:r>
      <w:r w:rsidR="003F399E" w:rsidRPr="00E43DA6">
        <w:rPr>
          <w:rFonts w:cs="Times New Roman"/>
        </w:rPr>
        <w:t>‘</w:t>
      </w:r>
      <w:r w:rsidR="000434ED" w:rsidRPr="00E43DA6">
        <w:rPr>
          <w:rFonts w:cs="Times New Roman"/>
        </w:rPr>
        <w:t xml:space="preserve">The </w:t>
      </w:r>
      <w:r w:rsidR="00A5632F">
        <w:rPr>
          <w:rFonts w:cs="Times New Roman"/>
        </w:rPr>
        <w:t>m</w:t>
      </w:r>
      <w:r w:rsidR="000434ED" w:rsidRPr="00E43DA6">
        <w:rPr>
          <w:rFonts w:cs="Times New Roman"/>
        </w:rPr>
        <w:t xml:space="preserve">yth of the </w:t>
      </w:r>
      <w:r w:rsidR="00A5632F">
        <w:rPr>
          <w:rFonts w:cs="Times New Roman"/>
        </w:rPr>
        <w:t>d</w:t>
      </w:r>
      <w:r w:rsidR="000434ED" w:rsidRPr="00E43DA6">
        <w:rPr>
          <w:rFonts w:cs="Times New Roman"/>
        </w:rPr>
        <w:t xml:space="preserve">ichotomy: Complementarity of </w:t>
      </w:r>
      <w:r w:rsidR="00A5632F">
        <w:rPr>
          <w:rFonts w:cs="Times New Roman"/>
        </w:rPr>
        <w:t>p</w:t>
      </w:r>
      <w:r w:rsidR="000434ED" w:rsidRPr="00E43DA6">
        <w:rPr>
          <w:rFonts w:cs="Times New Roman"/>
        </w:rPr>
        <w:t xml:space="preserve">olitics and </w:t>
      </w:r>
      <w:r w:rsidR="00A5632F">
        <w:rPr>
          <w:rFonts w:cs="Times New Roman"/>
        </w:rPr>
        <w:t>a</w:t>
      </w:r>
      <w:r w:rsidR="000434ED" w:rsidRPr="00E43DA6">
        <w:rPr>
          <w:rFonts w:cs="Times New Roman"/>
        </w:rPr>
        <w:t xml:space="preserve">dministration in the </w:t>
      </w:r>
      <w:r w:rsidR="00A5632F">
        <w:rPr>
          <w:rFonts w:cs="Times New Roman"/>
        </w:rPr>
        <w:t>p</w:t>
      </w:r>
      <w:r w:rsidR="000434ED" w:rsidRPr="00E43DA6">
        <w:rPr>
          <w:rFonts w:cs="Times New Roman"/>
        </w:rPr>
        <w:t xml:space="preserve">ast and </w:t>
      </w:r>
      <w:r w:rsidR="00A5632F">
        <w:rPr>
          <w:rFonts w:cs="Times New Roman"/>
        </w:rPr>
        <w:t>f</w:t>
      </w:r>
      <w:r w:rsidR="000434ED" w:rsidRPr="00E43DA6">
        <w:rPr>
          <w:rFonts w:cs="Times New Roman"/>
        </w:rPr>
        <w:t xml:space="preserve">uture of </w:t>
      </w:r>
      <w:r w:rsidR="00A5632F">
        <w:rPr>
          <w:rFonts w:cs="Times New Roman"/>
        </w:rPr>
        <w:t>p</w:t>
      </w:r>
      <w:r w:rsidR="000434ED" w:rsidRPr="00E43DA6">
        <w:rPr>
          <w:rFonts w:cs="Times New Roman"/>
        </w:rPr>
        <w:t xml:space="preserve">ublic </w:t>
      </w:r>
      <w:r w:rsidR="00A5632F">
        <w:rPr>
          <w:rFonts w:cs="Times New Roman"/>
        </w:rPr>
        <w:t>a</w:t>
      </w:r>
      <w:r w:rsidR="000434ED" w:rsidRPr="00E43DA6">
        <w:rPr>
          <w:rFonts w:cs="Times New Roman"/>
        </w:rPr>
        <w:t>dministration</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Public Administration Review</w:t>
      </w:r>
      <w:r w:rsidR="000434ED" w:rsidRPr="00E43DA6">
        <w:rPr>
          <w:rFonts w:cs="Times New Roman"/>
        </w:rPr>
        <w:t xml:space="preserve"> 61, 2 (2001)</w:t>
      </w:r>
      <w:r w:rsidR="000439FD" w:rsidRPr="00E43DA6">
        <w:rPr>
          <w:rFonts w:cs="Times New Roman"/>
        </w:rPr>
        <w:t>, pp</w:t>
      </w:r>
      <w:r w:rsidR="00A5632F">
        <w:rPr>
          <w:rFonts w:cs="Times New Roman"/>
        </w:rPr>
        <w:t xml:space="preserve">. </w:t>
      </w:r>
      <w:r w:rsidR="000434ED" w:rsidRPr="00E43DA6">
        <w:rPr>
          <w:rFonts w:cs="Times New Roman"/>
        </w:rPr>
        <w:t xml:space="preserve">176–83; James H. Svara, </w:t>
      </w:r>
      <w:r w:rsidR="003F399E" w:rsidRPr="00E43DA6">
        <w:rPr>
          <w:rFonts w:cs="Times New Roman"/>
        </w:rPr>
        <w:t>‘</w:t>
      </w:r>
      <w:r w:rsidR="000434ED" w:rsidRPr="00E43DA6">
        <w:rPr>
          <w:rFonts w:cs="Times New Roman"/>
        </w:rPr>
        <w:t xml:space="preserve">Introduction: Politicians and </w:t>
      </w:r>
      <w:r w:rsidR="00A5632F">
        <w:rPr>
          <w:rFonts w:cs="Times New Roman"/>
        </w:rPr>
        <w:t>a</w:t>
      </w:r>
      <w:r w:rsidR="000434ED" w:rsidRPr="00E43DA6">
        <w:rPr>
          <w:rFonts w:cs="Times New Roman"/>
        </w:rPr>
        <w:t xml:space="preserve">dministrators in the </w:t>
      </w:r>
      <w:r w:rsidR="00A5632F">
        <w:rPr>
          <w:rFonts w:cs="Times New Roman"/>
        </w:rPr>
        <w:t>p</w:t>
      </w:r>
      <w:r w:rsidR="000434ED" w:rsidRPr="00E43DA6">
        <w:rPr>
          <w:rFonts w:cs="Times New Roman"/>
        </w:rPr>
        <w:t xml:space="preserve">olitical </w:t>
      </w:r>
      <w:r w:rsidR="00A5632F">
        <w:rPr>
          <w:rFonts w:cs="Times New Roman"/>
        </w:rPr>
        <w:t>p</w:t>
      </w:r>
      <w:r w:rsidR="000434ED" w:rsidRPr="00E43DA6">
        <w:rPr>
          <w:rFonts w:cs="Times New Roman"/>
        </w:rPr>
        <w:t xml:space="preserve">rocess—A </w:t>
      </w:r>
      <w:r w:rsidR="00A5632F">
        <w:rPr>
          <w:rFonts w:cs="Times New Roman"/>
        </w:rPr>
        <w:t>r</w:t>
      </w:r>
      <w:r w:rsidR="000434ED" w:rsidRPr="00E43DA6">
        <w:rPr>
          <w:rFonts w:cs="Times New Roman"/>
        </w:rPr>
        <w:t xml:space="preserve">eview of </w:t>
      </w:r>
      <w:r w:rsidR="00A5632F">
        <w:rPr>
          <w:rFonts w:cs="Times New Roman"/>
        </w:rPr>
        <w:t>t</w:t>
      </w:r>
      <w:r w:rsidR="000434ED" w:rsidRPr="00E43DA6">
        <w:rPr>
          <w:rFonts w:cs="Times New Roman"/>
        </w:rPr>
        <w:t xml:space="preserve">hemes and </w:t>
      </w:r>
      <w:r w:rsidR="00A5632F">
        <w:rPr>
          <w:rFonts w:cs="Times New Roman"/>
        </w:rPr>
        <w:t>i</w:t>
      </w:r>
      <w:r w:rsidR="000434ED" w:rsidRPr="00E43DA6">
        <w:rPr>
          <w:rFonts w:cs="Times New Roman"/>
        </w:rPr>
        <w:t xml:space="preserve">ssues in the </w:t>
      </w:r>
      <w:r w:rsidR="00A5632F">
        <w:rPr>
          <w:rFonts w:cs="Times New Roman"/>
        </w:rPr>
        <w:t>l</w:t>
      </w:r>
      <w:r w:rsidR="000434ED" w:rsidRPr="00E43DA6">
        <w:rPr>
          <w:rFonts w:cs="Times New Roman"/>
        </w:rPr>
        <w:t>iterature</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International Journal of Public Administration</w:t>
      </w:r>
      <w:r w:rsidR="000434ED" w:rsidRPr="00E43DA6">
        <w:rPr>
          <w:rFonts w:cs="Times New Roman"/>
        </w:rPr>
        <w:t xml:space="preserve"> 29, 12 (2006)</w:t>
      </w:r>
      <w:r w:rsidR="000439FD" w:rsidRPr="00E43DA6">
        <w:rPr>
          <w:rFonts w:cs="Times New Roman"/>
        </w:rPr>
        <w:t>,</w:t>
      </w:r>
      <w:r w:rsidR="000434ED" w:rsidRPr="00E43DA6">
        <w:rPr>
          <w:rFonts w:cs="Times New Roman"/>
        </w:rPr>
        <w:t xml:space="preserve"> </w:t>
      </w:r>
      <w:r w:rsidR="000439FD" w:rsidRPr="00E43DA6">
        <w:rPr>
          <w:rFonts w:cs="Times New Roman"/>
        </w:rPr>
        <w:t>pp.</w:t>
      </w:r>
      <w:r w:rsidR="00A5632F">
        <w:rPr>
          <w:rFonts w:cs="Times New Roman"/>
        </w:rPr>
        <w:t xml:space="preserve"> </w:t>
      </w:r>
      <w:r w:rsidR="000434ED" w:rsidRPr="00E43DA6">
        <w:rPr>
          <w:rFonts w:cs="Times New Roman"/>
        </w:rPr>
        <w:t>953–76.</w:t>
      </w:r>
    </w:p>
  </w:footnote>
  <w:footnote w:id="30">
    <w:p w14:paraId="41EA583E" w14:textId="58821EDD" w:rsidR="00D83E21" w:rsidRPr="00E43DA6" w:rsidRDefault="00D83E21"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Evans, </w:t>
      </w:r>
      <w:r w:rsidR="000434ED" w:rsidRPr="00E43DA6">
        <w:rPr>
          <w:rFonts w:cs="Times New Roman"/>
          <w:i/>
          <w:iCs/>
        </w:rPr>
        <w:t xml:space="preserve">Embedded </w:t>
      </w:r>
      <w:r w:rsidR="004C7C6C">
        <w:rPr>
          <w:rFonts w:cs="Times New Roman"/>
          <w:i/>
          <w:iCs/>
        </w:rPr>
        <w:t>a</w:t>
      </w:r>
      <w:r w:rsidR="000434ED" w:rsidRPr="00E43DA6">
        <w:rPr>
          <w:rFonts w:cs="Times New Roman"/>
          <w:i/>
          <w:iCs/>
        </w:rPr>
        <w:t>utonomy</w:t>
      </w:r>
      <w:r w:rsidR="000434ED" w:rsidRPr="00E43DA6">
        <w:rPr>
          <w:rFonts w:cs="Times New Roman"/>
        </w:rPr>
        <w:t>.</w:t>
      </w:r>
    </w:p>
  </w:footnote>
  <w:footnote w:id="31">
    <w:p w14:paraId="374D94DD" w14:textId="3294F3BE" w:rsidR="006C7ABF" w:rsidRPr="00E43DA6" w:rsidRDefault="006C7ABF"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9B3162" w:rsidRPr="00E43DA6">
        <w:rPr>
          <w:rFonts w:cs="Times New Roman"/>
          <w:i/>
          <w:iCs/>
        </w:rPr>
        <w:t>Ibid</w:t>
      </w:r>
      <w:r w:rsidR="009B3162" w:rsidRPr="00E43DA6">
        <w:rPr>
          <w:rFonts w:cs="Times New Roman"/>
        </w:rPr>
        <w:t>.</w:t>
      </w:r>
      <w:r w:rsidR="005C480D" w:rsidRPr="00E43DA6">
        <w:rPr>
          <w:rFonts w:cs="Times New Roman"/>
        </w:rPr>
        <w:t xml:space="preserve">; Samuel Huntington, </w:t>
      </w:r>
      <w:r w:rsidR="005C480D" w:rsidRPr="00E43DA6">
        <w:rPr>
          <w:rFonts w:cs="Times New Roman"/>
          <w:i/>
          <w:iCs/>
        </w:rPr>
        <w:t xml:space="preserve">Political </w:t>
      </w:r>
      <w:r w:rsidR="004C7C6C">
        <w:rPr>
          <w:rFonts w:cs="Times New Roman"/>
          <w:i/>
          <w:iCs/>
        </w:rPr>
        <w:t>o</w:t>
      </w:r>
      <w:r w:rsidR="005C480D" w:rsidRPr="00E43DA6">
        <w:rPr>
          <w:rFonts w:cs="Times New Roman"/>
          <w:i/>
          <w:iCs/>
        </w:rPr>
        <w:t xml:space="preserve">rder in </w:t>
      </w:r>
      <w:r w:rsidR="004C7C6C">
        <w:rPr>
          <w:rFonts w:cs="Times New Roman"/>
          <w:i/>
          <w:iCs/>
        </w:rPr>
        <w:t>c</w:t>
      </w:r>
      <w:r w:rsidR="005C480D" w:rsidRPr="00E43DA6">
        <w:rPr>
          <w:rFonts w:cs="Times New Roman"/>
          <w:i/>
          <w:iCs/>
        </w:rPr>
        <w:t xml:space="preserve">hanging </w:t>
      </w:r>
      <w:r w:rsidR="004C7C6C">
        <w:rPr>
          <w:rFonts w:cs="Times New Roman"/>
          <w:i/>
          <w:iCs/>
        </w:rPr>
        <w:t>s</w:t>
      </w:r>
      <w:r w:rsidR="005C480D" w:rsidRPr="00E43DA6">
        <w:rPr>
          <w:rFonts w:cs="Times New Roman"/>
          <w:i/>
          <w:iCs/>
        </w:rPr>
        <w:t>ocieties</w:t>
      </w:r>
      <w:r w:rsidR="005C480D" w:rsidRPr="00E43DA6">
        <w:rPr>
          <w:rFonts w:cs="Times New Roman"/>
        </w:rPr>
        <w:t>, (</w:t>
      </w:r>
      <w:r w:rsidR="009B3162" w:rsidRPr="00E43DA6">
        <w:rPr>
          <w:rFonts w:cs="Times New Roman"/>
        </w:rPr>
        <w:t xml:space="preserve">Yale University Press, </w:t>
      </w:r>
      <w:r w:rsidR="005C480D" w:rsidRPr="00E43DA6">
        <w:rPr>
          <w:rFonts w:cs="Times New Roman"/>
        </w:rPr>
        <w:t xml:space="preserve">New Haven, </w:t>
      </w:r>
      <w:r w:rsidR="004C7C6C">
        <w:rPr>
          <w:rFonts w:cs="Times New Roman"/>
        </w:rPr>
        <w:t xml:space="preserve">CT, </w:t>
      </w:r>
      <w:r w:rsidR="005C480D" w:rsidRPr="00E43DA6">
        <w:rPr>
          <w:rFonts w:cs="Times New Roman"/>
        </w:rPr>
        <w:t>1968).</w:t>
      </w:r>
    </w:p>
  </w:footnote>
  <w:footnote w:id="32">
    <w:p w14:paraId="1FE56180" w14:textId="6C843B89" w:rsidR="000A0F91" w:rsidRPr="00E43DA6" w:rsidRDefault="000A0F91"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A825A2" w:rsidRPr="00E43DA6">
        <w:rPr>
          <w:rFonts w:cs="Times New Roman"/>
        </w:rPr>
        <w:t xml:space="preserve">Francis Fukuyama, ‘What </w:t>
      </w:r>
      <w:r w:rsidR="00A825A2">
        <w:rPr>
          <w:rFonts w:cs="Times New Roman"/>
        </w:rPr>
        <w:t>i</w:t>
      </w:r>
      <w:r w:rsidR="00A825A2" w:rsidRPr="00E43DA6">
        <w:rPr>
          <w:rFonts w:cs="Times New Roman"/>
        </w:rPr>
        <w:t xml:space="preserve">s </w:t>
      </w:r>
      <w:proofErr w:type="gramStart"/>
      <w:r w:rsidR="00A825A2">
        <w:rPr>
          <w:rFonts w:cs="Times New Roman"/>
        </w:rPr>
        <w:t>g</w:t>
      </w:r>
      <w:r w:rsidR="00A825A2" w:rsidRPr="00E43DA6">
        <w:rPr>
          <w:rFonts w:cs="Times New Roman"/>
        </w:rPr>
        <w:t>overnance?:</w:t>
      </w:r>
      <w:proofErr w:type="gramEnd"/>
      <w:r w:rsidR="00A825A2" w:rsidRPr="00E43DA6">
        <w:rPr>
          <w:rFonts w:cs="Times New Roman"/>
        </w:rPr>
        <w:t xml:space="preserve"> Commentary,’ </w:t>
      </w:r>
      <w:r w:rsidR="00A825A2" w:rsidRPr="004C7C6C">
        <w:rPr>
          <w:rFonts w:cs="Times New Roman"/>
          <w:i/>
          <w:iCs/>
        </w:rPr>
        <w:t>Governance</w:t>
      </w:r>
      <w:r w:rsidR="00A825A2">
        <w:rPr>
          <w:rFonts w:cs="Times New Roman"/>
        </w:rPr>
        <w:t xml:space="preserve">, </w:t>
      </w:r>
      <w:r w:rsidR="00A825A2" w:rsidRPr="004C7C6C">
        <w:rPr>
          <w:rFonts w:cs="Times New Roman"/>
        </w:rPr>
        <w:t>26</w:t>
      </w:r>
      <w:r w:rsidR="00A825A2" w:rsidRPr="00E43DA6">
        <w:rPr>
          <w:rFonts w:cs="Times New Roman"/>
        </w:rPr>
        <w:t>, 3 (2013), pp.</w:t>
      </w:r>
      <w:r w:rsidR="00A825A2">
        <w:rPr>
          <w:rFonts w:cs="Times New Roman"/>
        </w:rPr>
        <w:t xml:space="preserve"> </w:t>
      </w:r>
      <w:r w:rsidR="00A825A2" w:rsidRPr="00E43DA6">
        <w:rPr>
          <w:rFonts w:cs="Times New Roman"/>
        </w:rPr>
        <w:t>347–68</w:t>
      </w:r>
      <w:r w:rsidR="00A825A2">
        <w:rPr>
          <w:rFonts w:cs="Times New Roman"/>
        </w:rPr>
        <w:t xml:space="preserve">, </w:t>
      </w:r>
      <w:r w:rsidR="000434ED" w:rsidRPr="00E43DA6">
        <w:rPr>
          <w:rFonts w:cs="Times New Roman"/>
        </w:rPr>
        <w:t xml:space="preserve"> </w:t>
      </w:r>
      <w:r w:rsidR="009B3162" w:rsidRPr="00E43DA6">
        <w:rPr>
          <w:rFonts w:cs="Times New Roman"/>
        </w:rPr>
        <w:t>p</w:t>
      </w:r>
      <w:r w:rsidR="004C7C6C">
        <w:rPr>
          <w:rFonts w:cs="Times New Roman"/>
        </w:rPr>
        <w:t>p</w:t>
      </w:r>
      <w:r w:rsidR="009B3162" w:rsidRPr="00E43DA6">
        <w:rPr>
          <w:rFonts w:cs="Times New Roman"/>
        </w:rPr>
        <w:t>.</w:t>
      </w:r>
      <w:r w:rsidR="004C7C6C">
        <w:rPr>
          <w:rFonts w:cs="Times New Roman"/>
        </w:rPr>
        <w:t xml:space="preserve"> </w:t>
      </w:r>
      <w:r w:rsidR="000434ED" w:rsidRPr="00E43DA6">
        <w:rPr>
          <w:rFonts w:cs="Times New Roman"/>
        </w:rPr>
        <w:t>357–</w:t>
      </w:r>
      <w:r w:rsidR="009B3162" w:rsidRPr="00E43DA6">
        <w:rPr>
          <w:rFonts w:cs="Times New Roman"/>
        </w:rPr>
        <w:t>3</w:t>
      </w:r>
      <w:r w:rsidR="000434ED" w:rsidRPr="00E43DA6">
        <w:rPr>
          <w:rFonts w:cs="Times New Roman"/>
        </w:rPr>
        <w:t>58.</w:t>
      </w:r>
    </w:p>
  </w:footnote>
  <w:footnote w:id="33">
    <w:p w14:paraId="5BF016F1" w14:textId="7E6779CD" w:rsidR="00D83E21" w:rsidRPr="00E43DA6" w:rsidRDefault="00D83E21"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Evans, </w:t>
      </w:r>
      <w:r w:rsidR="000434ED" w:rsidRPr="00E43DA6">
        <w:rPr>
          <w:rFonts w:cs="Times New Roman"/>
          <w:i/>
          <w:iCs/>
        </w:rPr>
        <w:t xml:space="preserve">Embedded </w:t>
      </w:r>
      <w:r w:rsidR="004C7C6C">
        <w:rPr>
          <w:rFonts w:cs="Times New Roman"/>
          <w:i/>
          <w:iCs/>
        </w:rPr>
        <w:t>a</w:t>
      </w:r>
      <w:r w:rsidR="000434ED" w:rsidRPr="00E43DA6">
        <w:rPr>
          <w:rFonts w:cs="Times New Roman"/>
          <w:i/>
          <w:iCs/>
        </w:rPr>
        <w:t>utonomy</w:t>
      </w:r>
      <w:r w:rsidR="000434ED" w:rsidRPr="00E43DA6">
        <w:rPr>
          <w:rFonts w:cs="Times New Roman"/>
        </w:rPr>
        <w:t xml:space="preserve">, </w:t>
      </w:r>
      <w:r w:rsidR="009B3162" w:rsidRPr="00E43DA6">
        <w:rPr>
          <w:rFonts w:cs="Times New Roman"/>
        </w:rPr>
        <w:t>p.</w:t>
      </w:r>
      <w:r w:rsidR="000434ED" w:rsidRPr="00E43DA6">
        <w:rPr>
          <w:rFonts w:cs="Times New Roman"/>
        </w:rPr>
        <w:t>12.</w:t>
      </w:r>
    </w:p>
  </w:footnote>
  <w:footnote w:id="34">
    <w:p w14:paraId="08F80815" w14:textId="4F711374" w:rsidR="00ED511D" w:rsidRPr="00ED511D" w:rsidRDefault="00ED511D">
      <w:pPr>
        <w:pStyle w:val="FootnoteText"/>
      </w:pPr>
      <w:r>
        <w:rPr>
          <w:rStyle w:val="FootnoteReference"/>
        </w:rPr>
        <w:footnoteRef/>
      </w:r>
      <w:r>
        <w:t xml:space="preserve"> </w:t>
      </w:r>
      <w:r w:rsidRPr="00E43DA6">
        <w:rPr>
          <w:rFonts w:cs="Times New Roman"/>
        </w:rPr>
        <w:t xml:space="preserve">Chemouni, ‘The </w:t>
      </w:r>
      <w:r>
        <w:rPr>
          <w:rFonts w:cs="Times New Roman"/>
        </w:rPr>
        <w:t>p</w:t>
      </w:r>
      <w:r w:rsidRPr="00E43DA6">
        <w:rPr>
          <w:rFonts w:cs="Times New Roman"/>
        </w:rPr>
        <w:t xml:space="preserve">olitics of </w:t>
      </w:r>
      <w:r>
        <w:rPr>
          <w:rFonts w:cs="Times New Roman"/>
        </w:rPr>
        <w:t>c</w:t>
      </w:r>
      <w:r w:rsidRPr="00E43DA6">
        <w:rPr>
          <w:rFonts w:cs="Times New Roman"/>
        </w:rPr>
        <w:t xml:space="preserve">ore </w:t>
      </w:r>
      <w:r>
        <w:rPr>
          <w:rFonts w:cs="Times New Roman"/>
        </w:rPr>
        <w:t>p</w:t>
      </w:r>
      <w:r w:rsidRPr="00E43DA6">
        <w:rPr>
          <w:rFonts w:cs="Times New Roman"/>
        </w:rPr>
        <w:t xml:space="preserve">ublic </w:t>
      </w:r>
      <w:r>
        <w:rPr>
          <w:rFonts w:cs="Times New Roman"/>
        </w:rPr>
        <w:t>s</w:t>
      </w:r>
      <w:r w:rsidRPr="00E43DA6">
        <w:rPr>
          <w:rFonts w:cs="Times New Roman"/>
        </w:rPr>
        <w:t xml:space="preserve">ector </w:t>
      </w:r>
      <w:r>
        <w:rPr>
          <w:rFonts w:cs="Times New Roman"/>
        </w:rPr>
        <w:t>r</w:t>
      </w:r>
      <w:r w:rsidRPr="00E43DA6">
        <w:rPr>
          <w:rFonts w:cs="Times New Roman"/>
        </w:rPr>
        <w:t>eform in Rwanda’</w:t>
      </w:r>
      <w:r>
        <w:rPr>
          <w:rFonts w:cs="Times New Roman"/>
        </w:rPr>
        <w:t>.</w:t>
      </w:r>
    </w:p>
  </w:footnote>
  <w:footnote w:id="35">
    <w:p w14:paraId="24354183" w14:textId="016336B4" w:rsidR="00617818" w:rsidRPr="00E43DA6" w:rsidRDefault="00617818"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Chalmers Johnson, </w:t>
      </w:r>
      <w:r w:rsidRPr="00E43DA6">
        <w:rPr>
          <w:rFonts w:cs="Times New Roman"/>
          <w:i/>
          <w:iCs/>
        </w:rPr>
        <w:t xml:space="preserve">MITI and the Japanese </w:t>
      </w:r>
      <w:r w:rsidR="002625B4">
        <w:rPr>
          <w:rFonts w:cs="Times New Roman"/>
          <w:i/>
          <w:iCs/>
        </w:rPr>
        <w:t>m</w:t>
      </w:r>
      <w:r w:rsidRPr="00E43DA6">
        <w:rPr>
          <w:rFonts w:cs="Times New Roman"/>
          <w:i/>
          <w:iCs/>
        </w:rPr>
        <w:t xml:space="preserve">iracle: The </w:t>
      </w:r>
      <w:r w:rsidR="002625B4">
        <w:rPr>
          <w:rFonts w:cs="Times New Roman"/>
          <w:i/>
          <w:iCs/>
        </w:rPr>
        <w:t>g</w:t>
      </w:r>
      <w:r w:rsidRPr="00E43DA6">
        <w:rPr>
          <w:rFonts w:cs="Times New Roman"/>
          <w:i/>
          <w:iCs/>
        </w:rPr>
        <w:t xml:space="preserve">rowth of </w:t>
      </w:r>
      <w:r w:rsidR="002625B4">
        <w:rPr>
          <w:rFonts w:cs="Times New Roman"/>
          <w:i/>
          <w:iCs/>
        </w:rPr>
        <w:t>i</w:t>
      </w:r>
      <w:r w:rsidRPr="00E43DA6">
        <w:rPr>
          <w:rFonts w:cs="Times New Roman"/>
          <w:i/>
          <w:iCs/>
        </w:rPr>
        <w:t xml:space="preserve">ndustrial </w:t>
      </w:r>
      <w:r w:rsidR="002625B4">
        <w:rPr>
          <w:rFonts w:cs="Times New Roman"/>
          <w:i/>
          <w:iCs/>
        </w:rPr>
        <w:t>p</w:t>
      </w:r>
      <w:r w:rsidRPr="00E43DA6">
        <w:rPr>
          <w:rFonts w:cs="Times New Roman"/>
          <w:i/>
          <w:iCs/>
        </w:rPr>
        <w:t>olicy, 1925-1975</w:t>
      </w:r>
      <w:r w:rsidRPr="00E43DA6">
        <w:rPr>
          <w:rFonts w:cs="Times New Roman"/>
        </w:rPr>
        <w:t xml:space="preserve"> (Stanford University Press, </w:t>
      </w:r>
      <w:r w:rsidR="00EE2F27" w:rsidRPr="00E43DA6">
        <w:rPr>
          <w:rFonts w:cs="Times New Roman"/>
        </w:rPr>
        <w:t>Stanford,</w:t>
      </w:r>
      <w:r w:rsidR="002625B4">
        <w:rPr>
          <w:rFonts w:cs="Times New Roman"/>
        </w:rPr>
        <w:t xml:space="preserve"> CA,</w:t>
      </w:r>
      <w:r w:rsidR="00EE2F27" w:rsidRPr="00E43DA6">
        <w:rPr>
          <w:rFonts w:cs="Times New Roman"/>
        </w:rPr>
        <w:t xml:space="preserve"> </w:t>
      </w:r>
      <w:r w:rsidRPr="00E43DA6">
        <w:rPr>
          <w:rFonts w:cs="Times New Roman"/>
        </w:rPr>
        <w:t xml:space="preserve">1982), </w:t>
      </w:r>
      <w:r w:rsidR="00EE2F27" w:rsidRPr="00E43DA6">
        <w:rPr>
          <w:rFonts w:cs="Times New Roman"/>
        </w:rPr>
        <w:t>p.</w:t>
      </w:r>
      <w:r w:rsidRPr="00E43DA6">
        <w:rPr>
          <w:rFonts w:cs="Times New Roman"/>
        </w:rPr>
        <w:t>315.</w:t>
      </w:r>
    </w:p>
  </w:footnote>
  <w:footnote w:id="36">
    <w:p w14:paraId="2A1F15CF" w14:textId="5B0C8AFD" w:rsidR="00617818" w:rsidRPr="00E43DA6" w:rsidRDefault="00617818"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EE2F27" w:rsidRPr="000F2839">
        <w:rPr>
          <w:rFonts w:cs="Times New Roman"/>
          <w:i/>
          <w:iCs/>
          <w:noProof/>
        </w:rPr>
        <w:t>Ibid</w:t>
      </w:r>
      <w:r w:rsidR="00EE2F27" w:rsidRPr="00E43DA6">
        <w:rPr>
          <w:rFonts w:cs="Times New Roman"/>
          <w:noProof/>
        </w:rPr>
        <w:t>., p.316</w:t>
      </w:r>
      <w:r w:rsidRPr="00E43DA6">
        <w:rPr>
          <w:rFonts w:cs="Times New Roman"/>
          <w:noProof/>
        </w:rPr>
        <w:t>.</w:t>
      </w:r>
    </w:p>
  </w:footnote>
  <w:footnote w:id="37">
    <w:p w14:paraId="05946A2A" w14:textId="7B927BF0" w:rsidR="00617818" w:rsidRPr="00E43DA6" w:rsidRDefault="00617818"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EE2F27" w:rsidRPr="000F2839">
        <w:rPr>
          <w:rFonts w:cs="Times New Roman"/>
          <w:i/>
          <w:iCs/>
          <w:noProof/>
        </w:rPr>
        <w:t>Ibid</w:t>
      </w:r>
      <w:r w:rsidR="002625B4">
        <w:rPr>
          <w:rFonts w:cs="Times New Roman"/>
          <w:noProof/>
        </w:rPr>
        <w:t>.</w:t>
      </w:r>
    </w:p>
  </w:footnote>
  <w:footnote w:id="38">
    <w:p w14:paraId="29B97712" w14:textId="24047AE2" w:rsidR="00617818" w:rsidRPr="00E43DA6" w:rsidRDefault="00617818"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Tun‐Jen Cheng, Stephan Haggard, and David Kang, </w:t>
      </w:r>
      <w:r w:rsidR="003F399E" w:rsidRPr="00E43DA6">
        <w:rPr>
          <w:rFonts w:cs="Times New Roman"/>
        </w:rPr>
        <w:t>‘</w:t>
      </w:r>
      <w:r w:rsidRPr="00E43DA6">
        <w:rPr>
          <w:rFonts w:cs="Times New Roman"/>
        </w:rPr>
        <w:t xml:space="preserve">Institutions and </w:t>
      </w:r>
      <w:r w:rsidR="002625B4">
        <w:rPr>
          <w:rFonts w:cs="Times New Roman"/>
        </w:rPr>
        <w:t>g</w:t>
      </w:r>
      <w:r w:rsidRPr="00E43DA6">
        <w:rPr>
          <w:rFonts w:cs="Times New Roman"/>
        </w:rPr>
        <w:t xml:space="preserve">rowth in Korea and Taiwan: The </w:t>
      </w:r>
      <w:r w:rsidR="002625B4">
        <w:rPr>
          <w:rFonts w:cs="Times New Roman"/>
        </w:rPr>
        <w:t>b</w:t>
      </w:r>
      <w:r w:rsidRPr="00E43DA6">
        <w:rPr>
          <w:rFonts w:cs="Times New Roman"/>
        </w:rPr>
        <w:t>ureaucracy</w:t>
      </w:r>
      <w:r w:rsidR="003F399E" w:rsidRPr="00E43DA6">
        <w:rPr>
          <w:rFonts w:cs="Times New Roman"/>
        </w:rPr>
        <w:t>’</w:t>
      </w:r>
      <w:r w:rsidR="001D6425">
        <w:rPr>
          <w:rFonts w:cs="Times New Roman"/>
        </w:rPr>
        <w:t>,</w:t>
      </w:r>
      <w:r w:rsidRPr="00E43DA6">
        <w:rPr>
          <w:rFonts w:cs="Times New Roman"/>
        </w:rPr>
        <w:t xml:space="preserve"> </w:t>
      </w:r>
      <w:r w:rsidRPr="00E43DA6">
        <w:rPr>
          <w:rFonts w:cs="Times New Roman"/>
          <w:i/>
          <w:iCs/>
        </w:rPr>
        <w:t>Journal of Development Studies</w:t>
      </w:r>
      <w:r w:rsidRPr="00E43DA6">
        <w:rPr>
          <w:rFonts w:cs="Times New Roman"/>
        </w:rPr>
        <w:t xml:space="preserve"> 34, 6 (1998)</w:t>
      </w:r>
      <w:r w:rsidR="00EE2F27" w:rsidRPr="00E43DA6">
        <w:rPr>
          <w:rFonts w:cs="Times New Roman"/>
        </w:rPr>
        <w:t>,</w:t>
      </w:r>
      <w:r w:rsidRPr="00E43DA6">
        <w:rPr>
          <w:rFonts w:cs="Times New Roman"/>
        </w:rPr>
        <w:t xml:space="preserve"> </w:t>
      </w:r>
      <w:r w:rsidR="00EE2F27" w:rsidRPr="00E43DA6">
        <w:rPr>
          <w:rFonts w:cs="Times New Roman"/>
        </w:rPr>
        <w:t>pp.</w:t>
      </w:r>
      <w:r w:rsidR="002625B4">
        <w:rPr>
          <w:rFonts w:cs="Times New Roman"/>
        </w:rPr>
        <w:t xml:space="preserve"> </w:t>
      </w:r>
      <w:r w:rsidRPr="00E43DA6">
        <w:rPr>
          <w:rFonts w:cs="Times New Roman"/>
        </w:rPr>
        <w:t>87–111</w:t>
      </w:r>
      <w:r w:rsidR="00EE2F27" w:rsidRPr="00E43DA6">
        <w:rPr>
          <w:rFonts w:cs="Times New Roman"/>
        </w:rPr>
        <w:t>.</w:t>
      </w:r>
    </w:p>
  </w:footnote>
  <w:footnote w:id="39">
    <w:p w14:paraId="46BE9D3C" w14:textId="50129C8A" w:rsidR="00ED511D" w:rsidRPr="00E43DA6" w:rsidRDefault="00ED511D" w:rsidP="00ED511D">
      <w:pPr>
        <w:pStyle w:val="FootnoteText"/>
        <w:jc w:val="both"/>
        <w:rPr>
          <w:rFonts w:cs="Times New Roman"/>
        </w:rPr>
      </w:pPr>
      <w:r w:rsidRPr="00E43DA6">
        <w:rPr>
          <w:rStyle w:val="FootnoteReference"/>
          <w:rFonts w:cs="Times New Roman"/>
        </w:rPr>
        <w:footnoteRef/>
      </w:r>
      <w:r w:rsidRPr="00E43DA6">
        <w:rPr>
          <w:rFonts w:cs="Times New Roman"/>
        </w:rPr>
        <w:t xml:space="preserve"> Svara, ‘The </w:t>
      </w:r>
      <w:r>
        <w:rPr>
          <w:rFonts w:cs="Times New Roman"/>
        </w:rPr>
        <w:t>m</w:t>
      </w:r>
      <w:r w:rsidRPr="00E43DA6">
        <w:rPr>
          <w:rFonts w:cs="Times New Roman"/>
        </w:rPr>
        <w:t xml:space="preserve">yth of the </w:t>
      </w:r>
      <w:r>
        <w:rPr>
          <w:rFonts w:cs="Times New Roman"/>
        </w:rPr>
        <w:t>d</w:t>
      </w:r>
      <w:r w:rsidRPr="00E43DA6">
        <w:rPr>
          <w:rFonts w:cs="Times New Roman"/>
        </w:rPr>
        <w:t>ichotomy’.</w:t>
      </w:r>
    </w:p>
  </w:footnote>
  <w:footnote w:id="40">
    <w:p w14:paraId="429E65D1" w14:textId="6661D607" w:rsidR="005C480D" w:rsidRPr="00E43DA6" w:rsidRDefault="005C480D"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ED511D" w:rsidRPr="000F2839">
        <w:rPr>
          <w:rFonts w:cs="Times New Roman"/>
          <w:i/>
          <w:iCs/>
        </w:rPr>
        <w:t>Ibid</w:t>
      </w:r>
      <w:r w:rsidR="00ED511D" w:rsidRPr="00E43DA6">
        <w:rPr>
          <w:rFonts w:cs="Times New Roman"/>
        </w:rPr>
        <w:t xml:space="preserve">., </w:t>
      </w:r>
      <w:r w:rsidR="00ED511D">
        <w:rPr>
          <w:rFonts w:cs="Times New Roman"/>
        </w:rPr>
        <w:t>p.</w:t>
      </w:r>
      <w:r w:rsidR="00ED511D" w:rsidRPr="00E43DA6">
        <w:rPr>
          <w:rFonts w:cs="Times New Roman"/>
        </w:rPr>
        <w:t>179.</w:t>
      </w:r>
    </w:p>
  </w:footnote>
  <w:footnote w:id="41">
    <w:p w14:paraId="7C52054C" w14:textId="43D28C48"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EE2F27" w:rsidRPr="000F2839">
        <w:rPr>
          <w:rFonts w:cs="Times New Roman"/>
          <w:i/>
          <w:iCs/>
        </w:rPr>
        <w:t>Ibid</w:t>
      </w:r>
      <w:r w:rsidR="00EE2F27" w:rsidRPr="00E43DA6">
        <w:rPr>
          <w:rFonts w:cs="Times New Roman"/>
        </w:rPr>
        <w:t>.</w:t>
      </w:r>
      <w:r w:rsidR="000434ED" w:rsidRPr="00E43DA6">
        <w:rPr>
          <w:rFonts w:cs="Times New Roman"/>
        </w:rPr>
        <w:t xml:space="preserve">, </w:t>
      </w:r>
      <w:r w:rsidR="002625B4">
        <w:rPr>
          <w:rFonts w:cs="Times New Roman"/>
        </w:rPr>
        <w:t>p.</w:t>
      </w:r>
      <w:r w:rsidR="000434ED" w:rsidRPr="00E43DA6">
        <w:rPr>
          <w:rFonts w:cs="Times New Roman"/>
        </w:rPr>
        <w:t>179.</w:t>
      </w:r>
    </w:p>
  </w:footnote>
  <w:footnote w:id="42">
    <w:p w14:paraId="7D0A0DEF" w14:textId="43C6DF56" w:rsidR="00483BAB" w:rsidRPr="00E43DA6" w:rsidRDefault="00483BAB"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Hickey, </w:t>
      </w:r>
      <w:r w:rsidRPr="00E43DA6">
        <w:rPr>
          <w:rFonts w:cs="Times New Roman"/>
          <w:i/>
          <w:iCs/>
        </w:rPr>
        <w:t xml:space="preserve">Pockets of </w:t>
      </w:r>
      <w:r w:rsidR="002625B4">
        <w:rPr>
          <w:rFonts w:cs="Times New Roman"/>
          <w:i/>
          <w:iCs/>
        </w:rPr>
        <w:t>e</w:t>
      </w:r>
      <w:r w:rsidRPr="00E43DA6">
        <w:rPr>
          <w:rFonts w:cs="Times New Roman"/>
          <w:i/>
          <w:iCs/>
        </w:rPr>
        <w:t>ffectiveness</w:t>
      </w:r>
      <w:r w:rsidRPr="00E43DA6">
        <w:rPr>
          <w:rFonts w:cs="Times New Roman"/>
        </w:rPr>
        <w:t>.</w:t>
      </w:r>
    </w:p>
  </w:footnote>
  <w:footnote w:id="43">
    <w:p w14:paraId="53652EAC" w14:textId="3F72BA76" w:rsidR="005F2B26" w:rsidRPr="00E43DA6" w:rsidRDefault="005F2B26"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Abdul-Gafaru Abdula, ‘Political settlement dynamics and the emergence and decline of bureaucratic pockets of effectiveness in Ghana’ </w:t>
      </w:r>
      <w:r w:rsidR="00EE2F27" w:rsidRPr="00E43DA6">
        <w:rPr>
          <w:rFonts w:cs="Times New Roman"/>
        </w:rPr>
        <w:t>(</w:t>
      </w:r>
      <w:r w:rsidRPr="00E43DA6">
        <w:rPr>
          <w:rFonts w:cs="Times New Roman"/>
        </w:rPr>
        <w:t>ESID Working Paper 173</w:t>
      </w:r>
      <w:r w:rsidR="00EE2F27" w:rsidRPr="00E43DA6">
        <w:rPr>
          <w:rFonts w:cs="Times New Roman"/>
        </w:rPr>
        <w:t>, The</w:t>
      </w:r>
      <w:r w:rsidRPr="00E43DA6">
        <w:rPr>
          <w:rFonts w:cs="Times New Roman"/>
        </w:rPr>
        <w:t xml:space="preserve"> University of Manchester</w:t>
      </w:r>
      <w:r w:rsidR="00EE2F27" w:rsidRPr="00E43DA6">
        <w:rPr>
          <w:rFonts w:cs="Times New Roman"/>
        </w:rPr>
        <w:t xml:space="preserve"> </w:t>
      </w:r>
      <w:proofErr w:type="spellStart"/>
      <w:r w:rsidR="00EE2F27" w:rsidRPr="00E43DA6">
        <w:rPr>
          <w:rFonts w:cs="Times New Roman"/>
        </w:rPr>
        <w:t>Manchester</w:t>
      </w:r>
      <w:proofErr w:type="spellEnd"/>
      <w:r w:rsidR="00EE2F27" w:rsidRPr="00E43DA6">
        <w:rPr>
          <w:rFonts w:cs="Times New Roman"/>
        </w:rPr>
        <w:t>, 2021</w:t>
      </w:r>
      <w:r w:rsidRPr="00E43DA6">
        <w:rPr>
          <w:rFonts w:cs="Times New Roman"/>
        </w:rPr>
        <w:t>)</w:t>
      </w:r>
      <w:r w:rsidR="008B6FCD" w:rsidRPr="00E43DA6">
        <w:rPr>
          <w:rFonts w:cs="Times New Roman"/>
        </w:rPr>
        <w:t>, p.26.</w:t>
      </w:r>
      <w:r w:rsidR="00590037" w:rsidRPr="00E43DA6">
        <w:rPr>
          <w:rFonts w:cs="Times New Roman"/>
        </w:rPr>
        <w:t xml:space="preserve"> </w:t>
      </w:r>
    </w:p>
  </w:footnote>
  <w:footnote w:id="44">
    <w:p w14:paraId="6965E2E9" w14:textId="10BE5448" w:rsidR="002712C2" w:rsidRPr="00E43DA6" w:rsidRDefault="002712C2"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For example, Richard F. Doner, Bryan K. Ritchie, and Dan Slater</w:t>
      </w:r>
      <w:r w:rsidR="005B145C">
        <w:rPr>
          <w:rFonts w:cs="Times New Roman"/>
        </w:rPr>
        <w:t>,</w:t>
      </w:r>
      <w:r w:rsidRPr="00E43DA6">
        <w:rPr>
          <w:rFonts w:cs="Times New Roman"/>
        </w:rPr>
        <w:t xml:space="preserve"> ‘Systemic vulnerability and the origins of developmental states: Northeast and Southeast Asia in comparative perspective’</w:t>
      </w:r>
      <w:r w:rsidR="005B145C">
        <w:rPr>
          <w:rFonts w:cs="Times New Roman"/>
        </w:rPr>
        <w:t>,</w:t>
      </w:r>
      <w:r w:rsidRPr="00E43DA6">
        <w:rPr>
          <w:rFonts w:cs="Times New Roman"/>
        </w:rPr>
        <w:t xml:space="preserve"> </w:t>
      </w:r>
      <w:r w:rsidRPr="00E10DC5">
        <w:rPr>
          <w:rFonts w:cs="Times New Roman"/>
          <w:i/>
          <w:iCs/>
        </w:rPr>
        <w:t xml:space="preserve">International </w:t>
      </w:r>
      <w:r w:rsidR="00A802C0">
        <w:rPr>
          <w:rFonts w:cs="Times New Roman"/>
          <w:i/>
          <w:iCs/>
        </w:rPr>
        <w:t>O</w:t>
      </w:r>
      <w:r w:rsidRPr="00E10DC5">
        <w:rPr>
          <w:rFonts w:cs="Times New Roman"/>
          <w:i/>
          <w:iCs/>
        </w:rPr>
        <w:t>rganization</w:t>
      </w:r>
      <w:r w:rsidRPr="00E43DA6">
        <w:rPr>
          <w:rFonts w:cs="Times New Roman"/>
        </w:rPr>
        <w:t xml:space="preserve"> 59, 2 (2005), pp.</w:t>
      </w:r>
      <w:r w:rsidR="00A802C0">
        <w:rPr>
          <w:rFonts w:cs="Times New Roman"/>
        </w:rPr>
        <w:t xml:space="preserve"> </w:t>
      </w:r>
      <w:r w:rsidRPr="00E43DA6">
        <w:rPr>
          <w:rFonts w:cs="Times New Roman"/>
        </w:rPr>
        <w:t xml:space="preserve">327-361, Dan Slater, </w:t>
      </w:r>
      <w:r w:rsidRPr="00E10DC5">
        <w:rPr>
          <w:rFonts w:cs="Times New Roman"/>
          <w:i/>
          <w:iCs/>
        </w:rPr>
        <w:t>Ordering power: Contentious politics and authoritarian leviathans in Southeast Asia</w:t>
      </w:r>
      <w:r w:rsidRPr="00E43DA6">
        <w:rPr>
          <w:rFonts w:cs="Times New Roman"/>
        </w:rPr>
        <w:t xml:space="preserve"> (Cambridge University Press, Cambridge, 2010), </w:t>
      </w:r>
      <w:r w:rsidR="00C014A5" w:rsidRPr="00E43DA6">
        <w:rPr>
          <w:rFonts w:cs="Times New Roman"/>
        </w:rPr>
        <w:t xml:space="preserve">Kelsall et al., ‘Political </w:t>
      </w:r>
      <w:r w:rsidR="005B145C">
        <w:rPr>
          <w:rFonts w:cs="Times New Roman"/>
        </w:rPr>
        <w:t>s</w:t>
      </w:r>
      <w:r w:rsidR="00C014A5" w:rsidRPr="00E43DA6">
        <w:rPr>
          <w:rFonts w:cs="Times New Roman"/>
        </w:rPr>
        <w:t xml:space="preserve">ettlements and </w:t>
      </w:r>
      <w:r w:rsidR="005B145C">
        <w:rPr>
          <w:rFonts w:cs="Times New Roman"/>
        </w:rPr>
        <w:t>d</w:t>
      </w:r>
      <w:r w:rsidR="00C014A5" w:rsidRPr="00E43DA6">
        <w:rPr>
          <w:rFonts w:cs="Times New Roman"/>
        </w:rPr>
        <w:t xml:space="preserve">evelopment’. On the case of Rwanda, see Benjamin Chemouni, ‘Explaining the </w:t>
      </w:r>
      <w:r w:rsidR="005B145C">
        <w:rPr>
          <w:rFonts w:cs="Times New Roman"/>
        </w:rPr>
        <w:t>d</w:t>
      </w:r>
      <w:r w:rsidR="00C014A5" w:rsidRPr="00E43DA6">
        <w:rPr>
          <w:rFonts w:cs="Times New Roman"/>
        </w:rPr>
        <w:t xml:space="preserve">esign of the Rwandan </w:t>
      </w:r>
      <w:r w:rsidR="005B145C">
        <w:rPr>
          <w:rFonts w:cs="Times New Roman"/>
        </w:rPr>
        <w:t>d</w:t>
      </w:r>
      <w:r w:rsidR="00C014A5" w:rsidRPr="00E43DA6">
        <w:rPr>
          <w:rFonts w:cs="Times New Roman"/>
        </w:rPr>
        <w:t xml:space="preserve">ecentralization: Elite </w:t>
      </w:r>
      <w:r w:rsidR="005B145C">
        <w:rPr>
          <w:rFonts w:cs="Times New Roman"/>
        </w:rPr>
        <w:t>v</w:t>
      </w:r>
      <w:r w:rsidR="00C014A5" w:rsidRPr="00E43DA6">
        <w:rPr>
          <w:rFonts w:cs="Times New Roman"/>
        </w:rPr>
        <w:t xml:space="preserve">ulnerability and the </w:t>
      </w:r>
      <w:r w:rsidR="005B145C">
        <w:rPr>
          <w:rFonts w:cs="Times New Roman"/>
        </w:rPr>
        <w:t>t</w:t>
      </w:r>
      <w:r w:rsidR="00C014A5" w:rsidRPr="00E43DA6">
        <w:rPr>
          <w:rFonts w:cs="Times New Roman"/>
        </w:rPr>
        <w:t xml:space="preserve">erritorial </w:t>
      </w:r>
      <w:r w:rsidR="005B145C">
        <w:rPr>
          <w:rFonts w:cs="Times New Roman"/>
        </w:rPr>
        <w:t>r</w:t>
      </w:r>
      <w:r w:rsidR="00C014A5" w:rsidRPr="00E43DA6">
        <w:rPr>
          <w:rFonts w:cs="Times New Roman"/>
        </w:rPr>
        <w:t xml:space="preserve">epartition of </w:t>
      </w:r>
      <w:r w:rsidR="005B145C">
        <w:rPr>
          <w:rFonts w:cs="Times New Roman"/>
        </w:rPr>
        <w:t>p</w:t>
      </w:r>
      <w:r w:rsidR="00C014A5" w:rsidRPr="00E43DA6">
        <w:rPr>
          <w:rFonts w:cs="Times New Roman"/>
        </w:rPr>
        <w:t>ower’</w:t>
      </w:r>
      <w:r w:rsidR="005B145C">
        <w:rPr>
          <w:rFonts w:cs="Times New Roman"/>
        </w:rPr>
        <w:t>,</w:t>
      </w:r>
      <w:r w:rsidR="00C014A5" w:rsidRPr="00E43DA6">
        <w:rPr>
          <w:rFonts w:cs="Times New Roman"/>
        </w:rPr>
        <w:t xml:space="preserve"> </w:t>
      </w:r>
      <w:r w:rsidR="00C014A5" w:rsidRPr="000F2839">
        <w:rPr>
          <w:rFonts w:cs="Times New Roman"/>
          <w:i/>
          <w:iCs/>
        </w:rPr>
        <w:t>Journal of Eastern African Studies</w:t>
      </w:r>
      <w:r w:rsidR="00C014A5" w:rsidRPr="00E43DA6">
        <w:rPr>
          <w:rFonts w:cs="Times New Roman"/>
        </w:rPr>
        <w:t xml:space="preserve"> 8, 2 (2014), pp.246–62, Laura Mann and Marie Berry</w:t>
      </w:r>
      <w:r w:rsidR="005B145C">
        <w:rPr>
          <w:rFonts w:cs="Times New Roman"/>
        </w:rPr>
        <w:t>,</w:t>
      </w:r>
      <w:r w:rsidR="00C014A5" w:rsidRPr="00E43DA6">
        <w:rPr>
          <w:rFonts w:cs="Times New Roman"/>
        </w:rPr>
        <w:t xml:space="preserve"> </w:t>
      </w:r>
      <w:r w:rsidR="005B145C">
        <w:rPr>
          <w:rFonts w:cs="Times New Roman"/>
        </w:rPr>
        <w:t>‘</w:t>
      </w:r>
      <w:r w:rsidR="00C014A5" w:rsidRPr="00E43DA6">
        <w:rPr>
          <w:rFonts w:cs="Times New Roman"/>
        </w:rPr>
        <w:t>Understanding the political motivations that shape Rwanda's emergent developmental state</w:t>
      </w:r>
      <w:r w:rsidR="005B145C">
        <w:rPr>
          <w:rFonts w:cs="Times New Roman"/>
        </w:rPr>
        <w:t>’,</w:t>
      </w:r>
      <w:r w:rsidR="00C014A5" w:rsidRPr="00E43DA6">
        <w:rPr>
          <w:rFonts w:cs="Times New Roman"/>
        </w:rPr>
        <w:t xml:space="preserve"> </w:t>
      </w:r>
      <w:r w:rsidR="00C014A5" w:rsidRPr="000F2839">
        <w:rPr>
          <w:rFonts w:cs="Times New Roman"/>
          <w:i/>
          <w:iCs/>
        </w:rPr>
        <w:t>New Political Economy</w:t>
      </w:r>
      <w:r w:rsidR="00C014A5" w:rsidRPr="00E43DA6">
        <w:rPr>
          <w:rFonts w:cs="Times New Roman"/>
        </w:rPr>
        <w:t xml:space="preserve"> 21, 1 (2016), pp.</w:t>
      </w:r>
      <w:r w:rsidR="005B145C">
        <w:rPr>
          <w:rFonts w:cs="Times New Roman"/>
        </w:rPr>
        <w:t xml:space="preserve"> </w:t>
      </w:r>
      <w:r w:rsidR="00C014A5" w:rsidRPr="00E43DA6">
        <w:rPr>
          <w:rFonts w:cs="Times New Roman"/>
        </w:rPr>
        <w:t>119-144.</w:t>
      </w:r>
    </w:p>
  </w:footnote>
  <w:footnote w:id="45">
    <w:p w14:paraId="5709CD15" w14:textId="70B3F9FD" w:rsidR="002712C2" w:rsidRPr="00E43DA6" w:rsidRDefault="002712C2"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Stefan </w:t>
      </w:r>
      <w:proofErr w:type="spellStart"/>
      <w:r w:rsidRPr="00E43DA6">
        <w:rPr>
          <w:rFonts w:cs="Times New Roman"/>
        </w:rPr>
        <w:t>Dercon</w:t>
      </w:r>
      <w:proofErr w:type="spellEnd"/>
      <w:r w:rsidRPr="00E43DA6">
        <w:rPr>
          <w:rFonts w:cs="Times New Roman"/>
        </w:rPr>
        <w:t xml:space="preserve">, </w:t>
      </w:r>
      <w:r w:rsidRPr="00E10DC5">
        <w:rPr>
          <w:rFonts w:cs="Times New Roman"/>
          <w:i/>
          <w:iCs/>
        </w:rPr>
        <w:t xml:space="preserve">Gambling on development: Why some countries </w:t>
      </w:r>
      <w:proofErr w:type="gramStart"/>
      <w:r w:rsidRPr="00E10DC5">
        <w:rPr>
          <w:rFonts w:cs="Times New Roman"/>
          <w:i/>
          <w:iCs/>
        </w:rPr>
        <w:t>win</w:t>
      </w:r>
      <w:proofErr w:type="gramEnd"/>
      <w:r w:rsidRPr="00E10DC5">
        <w:rPr>
          <w:rFonts w:cs="Times New Roman"/>
          <w:i/>
          <w:iCs/>
        </w:rPr>
        <w:t xml:space="preserve"> and others lose</w:t>
      </w:r>
      <w:r w:rsidRPr="00E43DA6">
        <w:rPr>
          <w:rFonts w:cs="Times New Roman"/>
        </w:rPr>
        <w:t xml:space="preserve"> (Hurst,</w:t>
      </w:r>
      <w:r w:rsidR="005B145C">
        <w:rPr>
          <w:rFonts w:cs="Times New Roman"/>
        </w:rPr>
        <w:t xml:space="preserve"> London,</w:t>
      </w:r>
      <w:r w:rsidRPr="00E43DA6">
        <w:rPr>
          <w:rFonts w:cs="Times New Roman"/>
        </w:rPr>
        <w:t xml:space="preserve"> 2022).</w:t>
      </w:r>
    </w:p>
  </w:footnote>
  <w:footnote w:id="46">
    <w:p w14:paraId="5BF50C5C" w14:textId="211C0252" w:rsidR="00C014A5" w:rsidRPr="00E43DA6" w:rsidRDefault="00C014A5"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5B145C">
        <w:rPr>
          <w:rFonts w:cs="Times New Roman"/>
        </w:rPr>
        <w:t xml:space="preserve">For example, </w:t>
      </w:r>
      <w:r w:rsidRPr="00E43DA6">
        <w:rPr>
          <w:rFonts w:cs="Times New Roman"/>
        </w:rPr>
        <w:t>Matt Andrews</w:t>
      </w:r>
      <w:r w:rsidR="005B145C">
        <w:rPr>
          <w:rFonts w:cs="Times New Roman"/>
        </w:rPr>
        <w:t>,</w:t>
      </w:r>
      <w:r w:rsidRPr="00E43DA6">
        <w:rPr>
          <w:rFonts w:cs="Times New Roman"/>
        </w:rPr>
        <w:t xml:space="preserve"> </w:t>
      </w:r>
      <w:proofErr w:type="gramStart"/>
      <w:r w:rsidRPr="000F2839">
        <w:rPr>
          <w:rFonts w:cs="Times New Roman"/>
          <w:i/>
          <w:iCs/>
        </w:rPr>
        <w:t>T</w:t>
      </w:r>
      <w:r w:rsidRPr="00E10DC5">
        <w:rPr>
          <w:rFonts w:cs="Times New Roman"/>
          <w:i/>
          <w:iCs/>
        </w:rPr>
        <w:t>he</w:t>
      </w:r>
      <w:proofErr w:type="gramEnd"/>
      <w:r w:rsidRPr="00E10DC5">
        <w:rPr>
          <w:rFonts w:cs="Times New Roman"/>
          <w:i/>
          <w:iCs/>
        </w:rPr>
        <w:t xml:space="preserve"> limits of institutional reform in development: Changing rules for realistic solutions</w:t>
      </w:r>
      <w:r w:rsidRPr="00E43DA6">
        <w:rPr>
          <w:rFonts w:cs="Times New Roman"/>
        </w:rPr>
        <w:t xml:space="preserve"> (Cambridge University Press, Cambridge, 2013)</w:t>
      </w:r>
      <w:r w:rsidR="005B145C">
        <w:rPr>
          <w:rFonts w:cs="Times New Roman"/>
        </w:rPr>
        <w:t>,</w:t>
      </w:r>
      <w:r w:rsidR="00E43DA6" w:rsidRPr="00E43DA6">
        <w:rPr>
          <w:rFonts w:cs="Times New Roman"/>
        </w:rPr>
        <w:t xml:space="preserve"> Matt Andrews, Lant Pritchett, and Michael Woolcock, </w:t>
      </w:r>
      <w:r w:rsidR="00E43DA6" w:rsidRPr="00E10DC5">
        <w:rPr>
          <w:rFonts w:cs="Times New Roman"/>
          <w:i/>
          <w:iCs/>
        </w:rPr>
        <w:t>Building state capability: Evidence, analysis, action</w:t>
      </w:r>
      <w:r w:rsidR="00E43DA6" w:rsidRPr="00E43DA6">
        <w:rPr>
          <w:rFonts w:cs="Times New Roman"/>
        </w:rPr>
        <w:t xml:space="preserve"> (Oxford University Press, Oxford, 2017).</w:t>
      </w:r>
    </w:p>
  </w:footnote>
  <w:footnote w:id="47">
    <w:p w14:paraId="5F29CD64" w14:textId="7FF66789"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Filip </w:t>
      </w:r>
      <w:proofErr w:type="spellStart"/>
      <w:r w:rsidR="000434ED" w:rsidRPr="00E43DA6">
        <w:rPr>
          <w:rFonts w:cs="Times New Roman"/>
        </w:rPr>
        <w:t>Reyntjens</w:t>
      </w:r>
      <w:proofErr w:type="spellEnd"/>
      <w:r w:rsidR="000434ED" w:rsidRPr="00E43DA6">
        <w:rPr>
          <w:rFonts w:cs="Times New Roman"/>
        </w:rPr>
        <w:t xml:space="preserve">, </w:t>
      </w:r>
      <w:r w:rsidR="000434ED" w:rsidRPr="00E43DA6">
        <w:rPr>
          <w:rFonts w:cs="Times New Roman"/>
          <w:i/>
          <w:iCs/>
        </w:rPr>
        <w:t xml:space="preserve">Political </w:t>
      </w:r>
      <w:r w:rsidR="005B145C">
        <w:rPr>
          <w:rFonts w:cs="Times New Roman"/>
          <w:i/>
          <w:iCs/>
        </w:rPr>
        <w:t>g</w:t>
      </w:r>
      <w:r w:rsidR="000434ED" w:rsidRPr="00E43DA6">
        <w:rPr>
          <w:rFonts w:cs="Times New Roman"/>
          <w:i/>
          <w:iCs/>
        </w:rPr>
        <w:t xml:space="preserve">overnance in </w:t>
      </w:r>
      <w:r w:rsidR="005B145C">
        <w:rPr>
          <w:rFonts w:cs="Times New Roman"/>
          <w:i/>
          <w:iCs/>
        </w:rPr>
        <w:t>p</w:t>
      </w:r>
      <w:r w:rsidR="000434ED" w:rsidRPr="00E43DA6">
        <w:rPr>
          <w:rFonts w:cs="Times New Roman"/>
          <w:i/>
          <w:iCs/>
        </w:rPr>
        <w:t>ost-</w:t>
      </w:r>
      <w:r w:rsidR="005B145C">
        <w:rPr>
          <w:rFonts w:cs="Times New Roman"/>
          <w:i/>
          <w:iCs/>
        </w:rPr>
        <w:t>g</w:t>
      </w:r>
      <w:r w:rsidR="000434ED" w:rsidRPr="00E43DA6">
        <w:rPr>
          <w:rFonts w:cs="Times New Roman"/>
          <w:i/>
          <w:iCs/>
        </w:rPr>
        <w:t>enocide Rwanda</w:t>
      </w:r>
      <w:r w:rsidR="000434ED" w:rsidRPr="00E43DA6">
        <w:rPr>
          <w:rFonts w:cs="Times New Roman"/>
        </w:rPr>
        <w:t xml:space="preserve"> (Cambridge University Press, </w:t>
      </w:r>
      <w:r w:rsidR="00EE2F27" w:rsidRPr="00E43DA6">
        <w:rPr>
          <w:rFonts w:cs="Times New Roman"/>
        </w:rPr>
        <w:t xml:space="preserve">Cambridge, </w:t>
      </w:r>
      <w:r w:rsidR="000434ED" w:rsidRPr="00E43DA6">
        <w:rPr>
          <w:rFonts w:cs="Times New Roman"/>
        </w:rPr>
        <w:t>2013).</w:t>
      </w:r>
    </w:p>
  </w:footnote>
  <w:footnote w:id="48">
    <w:p w14:paraId="3EC0351D" w14:textId="1BC22587"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D</w:t>
      </w:r>
      <w:r w:rsidR="00814ED4" w:rsidRPr="00E43DA6">
        <w:rPr>
          <w:rFonts w:cs="Times New Roman"/>
        </w:rPr>
        <w:t>avid</w:t>
      </w:r>
      <w:r w:rsidR="000434ED" w:rsidRPr="00E43DA6">
        <w:rPr>
          <w:rFonts w:cs="Times New Roman"/>
        </w:rPr>
        <w:t xml:space="preserve"> Booth and F</w:t>
      </w:r>
      <w:r w:rsidR="00814ED4" w:rsidRPr="00E43DA6">
        <w:rPr>
          <w:rFonts w:cs="Times New Roman"/>
        </w:rPr>
        <w:t>red</w:t>
      </w:r>
      <w:r w:rsidR="000434ED" w:rsidRPr="00E43DA6">
        <w:rPr>
          <w:rFonts w:cs="Times New Roman"/>
        </w:rPr>
        <w:t xml:space="preserve"> Golooba-Mutebi, </w:t>
      </w:r>
      <w:r w:rsidR="003F399E" w:rsidRPr="00E43DA6">
        <w:rPr>
          <w:rFonts w:cs="Times New Roman"/>
        </w:rPr>
        <w:t>‘</w:t>
      </w:r>
      <w:r w:rsidR="000434ED" w:rsidRPr="00E43DA6">
        <w:rPr>
          <w:rFonts w:cs="Times New Roman"/>
        </w:rPr>
        <w:t xml:space="preserve">Developmental </w:t>
      </w:r>
      <w:r w:rsidR="001D6425">
        <w:rPr>
          <w:rFonts w:cs="Times New Roman"/>
        </w:rPr>
        <w:t>p</w:t>
      </w:r>
      <w:r w:rsidR="000434ED" w:rsidRPr="00E43DA6">
        <w:rPr>
          <w:rFonts w:cs="Times New Roman"/>
        </w:rPr>
        <w:t xml:space="preserve">atrimonialism? The </w:t>
      </w:r>
      <w:r w:rsidR="001D6425">
        <w:rPr>
          <w:rFonts w:cs="Times New Roman"/>
        </w:rPr>
        <w:t>c</w:t>
      </w:r>
      <w:r w:rsidR="000434ED" w:rsidRPr="00E43DA6">
        <w:rPr>
          <w:rFonts w:cs="Times New Roman"/>
        </w:rPr>
        <w:t>ase of Rwanda</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African Affairs</w:t>
      </w:r>
      <w:r w:rsidR="000434ED" w:rsidRPr="00E43DA6">
        <w:rPr>
          <w:rFonts w:cs="Times New Roman"/>
        </w:rPr>
        <w:t xml:space="preserve"> 111, 444 (2012)</w:t>
      </w:r>
      <w:r w:rsidR="00EE2F27" w:rsidRPr="00E43DA6">
        <w:rPr>
          <w:rFonts w:cs="Times New Roman"/>
        </w:rPr>
        <w:t>,</w:t>
      </w:r>
      <w:r w:rsidR="000434ED" w:rsidRPr="00E43DA6">
        <w:rPr>
          <w:rFonts w:cs="Times New Roman"/>
        </w:rPr>
        <w:t xml:space="preserve"> </w:t>
      </w:r>
      <w:r w:rsidR="00EE2F27" w:rsidRPr="00E43DA6">
        <w:rPr>
          <w:rFonts w:cs="Times New Roman"/>
        </w:rPr>
        <w:t>pp.</w:t>
      </w:r>
      <w:r w:rsidR="001D6425">
        <w:rPr>
          <w:rFonts w:cs="Times New Roman"/>
        </w:rPr>
        <w:t xml:space="preserve"> </w:t>
      </w:r>
      <w:r w:rsidR="000434ED" w:rsidRPr="00E43DA6">
        <w:rPr>
          <w:rFonts w:cs="Times New Roman"/>
        </w:rPr>
        <w:t>379–403.</w:t>
      </w:r>
    </w:p>
  </w:footnote>
  <w:footnote w:id="49">
    <w:p w14:paraId="6EC28282" w14:textId="3E02B225"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351864" w:rsidRPr="00E43DA6">
        <w:rPr>
          <w:rFonts w:cs="Times New Roman"/>
        </w:rPr>
        <w:t xml:space="preserve">An </w:t>
      </w:r>
      <w:proofErr w:type="spellStart"/>
      <w:r w:rsidR="00351864" w:rsidRPr="00E43DA6">
        <w:rPr>
          <w:rFonts w:cs="Times New Roman"/>
        </w:rPr>
        <w:t>Ansoms</w:t>
      </w:r>
      <w:proofErr w:type="spellEnd"/>
      <w:r w:rsidR="00351864" w:rsidRPr="00E43DA6">
        <w:rPr>
          <w:rFonts w:cs="Times New Roman"/>
        </w:rPr>
        <w:t xml:space="preserve">, </w:t>
      </w:r>
      <w:proofErr w:type="spellStart"/>
      <w:r w:rsidR="003F399E" w:rsidRPr="00E43DA6">
        <w:rPr>
          <w:rFonts w:cs="Times New Roman"/>
        </w:rPr>
        <w:t>‘</w:t>
      </w:r>
      <w:r w:rsidR="00351864" w:rsidRPr="00E43DA6">
        <w:rPr>
          <w:rFonts w:cs="Times New Roman"/>
        </w:rPr>
        <w:t>Re</w:t>
      </w:r>
      <w:proofErr w:type="spellEnd"/>
      <w:r w:rsidR="00351864" w:rsidRPr="00E43DA6">
        <w:rPr>
          <w:rFonts w:cs="Times New Roman"/>
        </w:rPr>
        <w:t>-</w:t>
      </w:r>
      <w:r w:rsidR="001D6425">
        <w:rPr>
          <w:rFonts w:cs="Times New Roman"/>
        </w:rPr>
        <w:t>e</w:t>
      </w:r>
      <w:r w:rsidR="00351864" w:rsidRPr="00E43DA6">
        <w:rPr>
          <w:rFonts w:cs="Times New Roman"/>
        </w:rPr>
        <w:t xml:space="preserve">ngineering </w:t>
      </w:r>
      <w:r w:rsidR="001D6425">
        <w:rPr>
          <w:rFonts w:cs="Times New Roman"/>
        </w:rPr>
        <w:t>r</w:t>
      </w:r>
      <w:r w:rsidR="00351864" w:rsidRPr="00E43DA6">
        <w:rPr>
          <w:rFonts w:cs="Times New Roman"/>
        </w:rPr>
        <w:t xml:space="preserve">ural </w:t>
      </w:r>
      <w:r w:rsidR="001D6425">
        <w:rPr>
          <w:rFonts w:cs="Times New Roman"/>
        </w:rPr>
        <w:t>s</w:t>
      </w:r>
      <w:r w:rsidR="00351864" w:rsidRPr="00E43DA6">
        <w:rPr>
          <w:rFonts w:cs="Times New Roman"/>
        </w:rPr>
        <w:t xml:space="preserve">ociety: The </w:t>
      </w:r>
      <w:r w:rsidR="001D6425">
        <w:rPr>
          <w:rFonts w:cs="Times New Roman"/>
        </w:rPr>
        <w:t>v</w:t>
      </w:r>
      <w:r w:rsidR="00351864" w:rsidRPr="00E43DA6">
        <w:rPr>
          <w:rFonts w:cs="Times New Roman"/>
        </w:rPr>
        <w:t xml:space="preserve">isions and </w:t>
      </w:r>
      <w:r w:rsidR="001D6425">
        <w:rPr>
          <w:rFonts w:cs="Times New Roman"/>
        </w:rPr>
        <w:t>a</w:t>
      </w:r>
      <w:r w:rsidR="00351864" w:rsidRPr="00E43DA6">
        <w:rPr>
          <w:rFonts w:cs="Times New Roman"/>
        </w:rPr>
        <w:t xml:space="preserve">mbitions of the Rwandan </w:t>
      </w:r>
      <w:r w:rsidR="001D6425">
        <w:rPr>
          <w:rFonts w:cs="Times New Roman"/>
        </w:rPr>
        <w:t>e</w:t>
      </w:r>
      <w:r w:rsidR="00351864" w:rsidRPr="00E43DA6">
        <w:rPr>
          <w:rFonts w:cs="Times New Roman"/>
        </w:rPr>
        <w:t>lite</w:t>
      </w:r>
      <w:r w:rsidR="003F399E" w:rsidRPr="00E43DA6">
        <w:rPr>
          <w:rFonts w:cs="Times New Roman"/>
        </w:rPr>
        <w:t>’</w:t>
      </w:r>
      <w:r w:rsidR="001D6425">
        <w:rPr>
          <w:rFonts w:cs="Times New Roman"/>
        </w:rPr>
        <w:t>,</w:t>
      </w:r>
      <w:r w:rsidR="00351864" w:rsidRPr="00E43DA6">
        <w:rPr>
          <w:rFonts w:cs="Times New Roman"/>
        </w:rPr>
        <w:t xml:space="preserve"> </w:t>
      </w:r>
      <w:r w:rsidR="00351864" w:rsidRPr="00E43DA6">
        <w:rPr>
          <w:rFonts w:cs="Times New Roman"/>
          <w:i/>
          <w:iCs/>
        </w:rPr>
        <w:t>African Affairs</w:t>
      </w:r>
      <w:r w:rsidR="00351864" w:rsidRPr="00E43DA6">
        <w:rPr>
          <w:rFonts w:cs="Times New Roman"/>
        </w:rPr>
        <w:t xml:space="preserve"> 108, 431 (2009)</w:t>
      </w:r>
      <w:r w:rsidR="00EE2F27" w:rsidRPr="00E43DA6">
        <w:rPr>
          <w:rFonts w:cs="Times New Roman"/>
        </w:rPr>
        <w:t>,</w:t>
      </w:r>
      <w:r w:rsidR="00351864" w:rsidRPr="00E43DA6">
        <w:rPr>
          <w:rFonts w:cs="Times New Roman"/>
        </w:rPr>
        <w:t xml:space="preserve"> </w:t>
      </w:r>
      <w:r w:rsidR="00EE2F27" w:rsidRPr="00E43DA6">
        <w:rPr>
          <w:rFonts w:cs="Times New Roman"/>
        </w:rPr>
        <w:t>pp.</w:t>
      </w:r>
      <w:r w:rsidR="001D6425">
        <w:rPr>
          <w:rFonts w:cs="Times New Roman"/>
        </w:rPr>
        <w:t xml:space="preserve"> </w:t>
      </w:r>
      <w:r w:rsidR="00351864" w:rsidRPr="00E43DA6">
        <w:rPr>
          <w:rFonts w:cs="Times New Roman"/>
        </w:rPr>
        <w:t>289–309.</w:t>
      </w:r>
    </w:p>
  </w:footnote>
  <w:footnote w:id="50">
    <w:p w14:paraId="153A3A2D" w14:textId="1EB86317" w:rsidR="008772B5" w:rsidRPr="00E43DA6" w:rsidRDefault="008772B5"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Barnaby Dye, </w:t>
      </w:r>
      <w:r w:rsidR="003F399E" w:rsidRPr="00E43DA6">
        <w:rPr>
          <w:rFonts w:cs="Times New Roman"/>
        </w:rPr>
        <w:t>‘</w:t>
      </w:r>
      <w:r w:rsidR="000434ED" w:rsidRPr="00E43DA6">
        <w:rPr>
          <w:rFonts w:cs="Times New Roman"/>
        </w:rPr>
        <w:t xml:space="preserve">The </w:t>
      </w:r>
      <w:r w:rsidR="001D6425">
        <w:rPr>
          <w:rFonts w:cs="Times New Roman"/>
        </w:rPr>
        <w:t>r</w:t>
      </w:r>
      <w:r w:rsidR="000434ED" w:rsidRPr="00E43DA6">
        <w:rPr>
          <w:rFonts w:cs="Times New Roman"/>
        </w:rPr>
        <w:t>eturn of ‘</w:t>
      </w:r>
      <w:r w:rsidR="001D6425">
        <w:rPr>
          <w:rFonts w:cs="Times New Roman"/>
        </w:rPr>
        <w:t>h</w:t>
      </w:r>
      <w:r w:rsidR="000434ED" w:rsidRPr="00E43DA6">
        <w:rPr>
          <w:rFonts w:cs="Times New Roman"/>
        </w:rPr>
        <w:t xml:space="preserve">igh </w:t>
      </w:r>
      <w:r w:rsidR="001D6425">
        <w:rPr>
          <w:rFonts w:cs="Times New Roman"/>
        </w:rPr>
        <w:t>m</w:t>
      </w:r>
      <w:r w:rsidR="000434ED" w:rsidRPr="00E43DA6">
        <w:rPr>
          <w:rFonts w:cs="Times New Roman"/>
        </w:rPr>
        <w:t xml:space="preserve">odernism’? Exploring the </w:t>
      </w:r>
      <w:r w:rsidR="001D6425">
        <w:rPr>
          <w:rFonts w:cs="Times New Roman"/>
        </w:rPr>
        <w:t>c</w:t>
      </w:r>
      <w:r w:rsidR="000434ED" w:rsidRPr="00E43DA6">
        <w:rPr>
          <w:rFonts w:cs="Times New Roman"/>
        </w:rPr>
        <w:t xml:space="preserve">hanging </w:t>
      </w:r>
      <w:r w:rsidR="001D6425">
        <w:rPr>
          <w:rFonts w:cs="Times New Roman"/>
        </w:rPr>
        <w:t>d</w:t>
      </w:r>
      <w:r w:rsidR="000434ED" w:rsidRPr="00E43DA6">
        <w:rPr>
          <w:rFonts w:cs="Times New Roman"/>
        </w:rPr>
        <w:t xml:space="preserve">evelopment </w:t>
      </w:r>
      <w:r w:rsidR="001D6425">
        <w:rPr>
          <w:rFonts w:cs="Times New Roman"/>
        </w:rPr>
        <w:t>p</w:t>
      </w:r>
      <w:r w:rsidR="000434ED" w:rsidRPr="00E43DA6">
        <w:rPr>
          <w:rFonts w:cs="Times New Roman"/>
        </w:rPr>
        <w:t xml:space="preserve">aradigm through a Rwandan </w:t>
      </w:r>
      <w:r w:rsidR="001D6425">
        <w:rPr>
          <w:rFonts w:cs="Times New Roman"/>
        </w:rPr>
        <w:t>c</w:t>
      </w:r>
      <w:r w:rsidR="000434ED" w:rsidRPr="00E43DA6">
        <w:rPr>
          <w:rFonts w:cs="Times New Roman"/>
        </w:rPr>
        <w:t xml:space="preserve">ase </w:t>
      </w:r>
      <w:r w:rsidR="001D6425">
        <w:rPr>
          <w:rFonts w:cs="Times New Roman"/>
        </w:rPr>
        <w:t>s</w:t>
      </w:r>
      <w:r w:rsidR="000434ED" w:rsidRPr="00E43DA6">
        <w:rPr>
          <w:rFonts w:cs="Times New Roman"/>
        </w:rPr>
        <w:t xml:space="preserve">tudy of </w:t>
      </w:r>
      <w:r w:rsidR="001D6425">
        <w:rPr>
          <w:rFonts w:cs="Times New Roman"/>
        </w:rPr>
        <w:t>d</w:t>
      </w:r>
      <w:r w:rsidR="000434ED" w:rsidRPr="00E43DA6">
        <w:rPr>
          <w:rFonts w:cs="Times New Roman"/>
        </w:rPr>
        <w:t xml:space="preserve">am </w:t>
      </w:r>
      <w:r w:rsidR="001D6425">
        <w:rPr>
          <w:rFonts w:cs="Times New Roman"/>
        </w:rPr>
        <w:t>c</w:t>
      </w:r>
      <w:r w:rsidR="000434ED" w:rsidRPr="00E43DA6">
        <w:rPr>
          <w:rFonts w:cs="Times New Roman"/>
        </w:rPr>
        <w:t>onstruction</w:t>
      </w:r>
      <w:r w:rsidR="003F399E" w:rsidRPr="00E43DA6">
        <w:rPr>
          <w:rFonts w:cs="Times New Roman"/>
        </w:rPr>
        <w:t>’</w:t>
      </w:r>
      <w:r w:rsidR="001D6425">
        <w:rPr>
          <w:rFonts w:cs="Times New Roman"/>
        </w:rPr>
        <w:t>,</w:t>
      </w:r>
      <w:r w:rsidR="000434ED" w:rsidRPr="00E43DA6">
        <w:rPr>
          <w:rFonts w:cs="Times New Roman"/>
        </w:rPr>
        <w:t xml:space="preserve"> </w:t>
      </w:r>
      <w:r w:rsidR="000434ED" w:rsidRPr="00E43DA6">
        <w:rPr>
          <w:rFonts w:cs="Times New Roman"/>
          <w:i/>
          <w:iCs/>
        </w:rPr>
        <w:t>Journal of Eastern African Studies</w:t>
      </w:r>
      <w:r w:rsidR="000434ED" w:rsidRPr="00E43DA6">
        <w:rPr>
          <w:rFonts w:cs="Times New Roman"/>
        </w:rPr>
        <w:t xml:space="preserve"> 10, 2 (2016)</w:t>
      </w:r>
      <w:r w:rsidR="00EE2F27" w:rsidRPr="00E43DA6">
        <w:rPr>
          <w:rFonts w:cs="Times New Roman"/>
        </w:rPr>
        <w:t>,</w:t>
      </w:r>
      <w:r w:rsidR="000434ED" w:rsidRPr="00E43DA6">
        <w:rPr>
          <w:rFonts w:cs="Times New Roman"/>
        </w:rPr>
        <w:t xml:space="preserve"> </w:t>
      </w:r>
      <w:r w:rsidR="00EE2F27" w:rsidRPr="00E43DA6">
        <w:rPr>
          <w:rFonts w:cs="Times New Roman"/>
        </w:rPr>
        <w:t>pp.</w:t>
      </w:r>
      <w:r w:rsidR="001D6425">
        <w:rPr>
          <w:rFonts w:cs="Times New Roman"/>
        </w:rPr>
        <w:t xml:space="preserve"> </w:t>
      </w:r>
      <w:r w:rsidR="000434ED" w:rsidRPr="00E43DA6">
        <w:rPr>
          <w:rFonts w:cs="Times New Roman"/>
        </w:rPr>
        <w:t>303–24</w:t>
      </w:r>
      <w:r w:rsidR="00EE2F27" w:rsidRPr="00E43DA6">
        <w:rPr>
          <w:rFonts w:cs="Times New Roman"/>
        </w:rPr>
        <w:t>.</w:t>
      </w:r>
    </w:p>
  </w:footnote>
  <w:footnote w:id="51">
    <w:p w14:paraId="61B95BFA" w14:textId="742563E0"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Tom Lavers, </w:t>
      </w:r>
      <w:r w:rsidR="003F399E" w:rsidRPr="00E43DA6">
        <w:rPr>
          <w:rFonts w:cs="Times New Roman"/>
        </w:rPr>
        <w:t>‘</w:t>
      </w:r>
      <w:r w:rsidR="000434ED" w:rsidRPr="00E43DA6">
        <w:rPr>
          <w:rFonts w:cs="Times New Roman"/>
        </w:rPr>
        <w:t xml:space="preserve">Understanding </w:t>
      </w:r>
      <w:r w:rsidR="001D6425">
        <w:rPr>
          <w:rFonts w:cs="Times New Roman"/>
        </w:rPr>
        <w:t>e</w:t>
      </w:r>
      <w:r w:rsidR="000434ED" w:rsidRPr="00E43DA6">
        <w:rPr>
          <w:rFonts w:cs="Times New Roman"/>
        </w:rPr>
        <w:t xml:space="preserve">lite </w:t>
      </w:r>
      <w:r w:rsidR="001D6425">
        <w:rPr>
          <w:rFonts w:cs="Times New Roman"/>
        </w:rPr>
        <w:t>c</w:t>
      </w:r>
      <w:r w:rsidR="000434ED" w:rsidRPr="00E43DA6">
        <w:rPr>
          <w:rFonts w:cs="Times New Roman"/>
        </w:rPr>
        <w:t xml:space="preserve">ommitment to </w:t>
      </w:r>
      <w:r w:rsidR="001D6425">
        <w:rPr>
          <w:rFonts w:cs="Times New Roman"/>
        </w:rPr>
        <w:t>s</w:t>
      </w:r>
      <w:r w:rsidR="000434ED" w:rsidRPr="00E43DA6">
        <w:rPr>
          <w:rFonts w:cs="Times New Roman"/>
        </w:rPr>
        <w:t xml:space="preserve">ocial </w:t>
      </w:r>
      <w:r w:rsidR="001D6425">
        <w:rPr>
          <w:rFonts w:cs="Times New Roman"/>
        </w:rPr>
        <w:t>p</w:t>
      </w:r>
      <w:r w:rsidR="000434ED" w:rsidRPr="00E43DA6">
        <w:rPr>
          <w:rFonts w:cs="Times New Roman"/>
        </w:rPr>
        <w:t xml:space="preserve">rotection: Rwanda’s Vision 2020 </w:t>
      </w:r>
      <w:proofErr w:type="spellStart"/>
      <w:r w:rsidR="000434ED" w:rsidRPr="00E43DA6">
        <w:rPr>
          <w:rFonts w:cs="Times New Roman"/>
        </w:rPr>
        <w:t>Umurenge</w:t>
      </w:r>
      <w:proofErr w:type="spellEnd"/>
      <w:r w:rsidR="000434ED" w:rsidRPr="00E43DA6">
        <w:rPr>
          <w:rFonts w:cs="Times New Roman"/>
        </w:rPr>
        <w:t xml:space="preserve"> </w:t>
      </w:r>
      <w:r w:rsidR="001D6425">
        <w:rPr>
          <w:rFonts w:cs="Times New Roman"/>
        </w:rPr>
        <w:t>p</w:t>
      </w:r>
      <w:r w:rsidR="000434ED" w:rsidRPr="00E43DA6">
        <w:rPr>
          <w:rFonts w:cs="Times New Roman"/>
        </w:rPr>
        <w:t>rogramme</w:t>
      </w:r>
      <w:r w:rsidR="003F399E" w:rsidRPr="00E43DA6">
        <w:rPr>
          <w:rFonts w:cs="Times New Roman"/>
        </w:rPr>
        <w:t>’</w:t>
      </w:r>
      <w:r w:rsidR="000434ED" w:rsidRPr="00E43DA6">
        <w:rPr>
          <w:rFonts w:cs="Times New Roman"/>
        </w:rPr>
        <w:t xml:space="preserve"> </w:t>
      </w:r>
      <w:r w:rsidR="001D6425">
        <w:rPr>
          <w:rFonts w:cs="Times New Roman"/>
        </w:rPr>
        <w:t>(</w:t>
      </w:r>
      <w:r w:rsidR="000434ED" w:rsidRPr="00E43DA6">
        <w:rPr>
          <w:rFonts w:cs="Times New Roman"/>
        </w:rPr>
        <w:t>ESID Working Paper</w:t>
      </w:r>
      <w:r w:rsidR="001D6425">
        <w:rPr>
          <w:rFonts w:cs="Times New Roman"/>
        </w:rPr>
        <w:t xml:space="preserve">, </w:t>
      </w:r>
      <w:r w:rsidR="000434ED" w:rsidRPr="00E43DA6">
        <w:rPr>
          <w:rFonts w:cs="Times New Roman"/>
        </w:rPr>
        <w:t xml:space="preserve">University of Manchester, </w:t>
      </w:r>
      <w:r w:rsidR="001D6425">
        <w:rPr>
          <w:rFonts w:cs="Times New Roman"/>
        </w:rPr>
        <w:t xml:space="preserve">Manchester, </w:t>
      </w:r>
      <w:r w:rsidR="000434ED" w:rsidRPr="00E43DA6">
        <w:rPr>
          <w:rFonts w:cs="Times New Roman"/>
        </w:rPr>
        <w:t>2016)</w:t>
      </w:r>
      <w:r w:rsidR="00814ED4" w:rsidRPr="00E43DA6">
        <w:rPr>
          <w:rFonts w:cs="Times New Roman"/>
        </w:rPr>
        <w:t>.</w:t>
      </w:r>
    </w:p>
  </w:footnote>
  <w:footnote w:id="52">
    <w:p w14:paraId="1F0A802E" w14:textId="702559B5"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Timothy P. Williams, </w:t>
      </w:r>
      <w:r w:rsidR="003F399E" w:rsidRPr="00E43DA6">
        <w:rPr>
          <w:rFonts w:cs="Times New Roman"/>
        </w:rPr>
        <w:t>‘</w:t>
      </w:r>
      <w:r w:rsidR="000434ED" w:rsidRPr="00E43DA6">
        <w:rPr>
          <w:rFonts w:cs="Times New Roman"/>
        </w:rPr>
        <w:t xml:space="preserve">The </w:t>
      </w:r>
      <w:r w:rsidR="001D6425">
        <w:rPr>
          <w:rFonts w:cs="Times New Roman"/>
        </w:rPr>
        <w:t>p</w:t>
      </w:r>
      <w:r w:rsidR="000434ED" w:rsidRPr="00E43DA6">
        <w:rPr>
          <w:rFonts w:cs="Times New Roman"/>
        </w:rPr>
        <w:t xml:space="preserve">olitical </w:t>
      </w:r>
      <w:r w:rsidR="001D6425">
        <w:rPr>
          <w:rFonts w:cs="Times New Roman"/>
        </w:rPr>
        <w:t>e</w:t>
      </w:r>
      <w:r w:rsidR="000434ED" w:rsidRPr="00E43DA6">
        <w:rPr>
          <w:rFonts w:cs="Times New Roman"/>
        </w:rPr>
        <w:t xml:space="preserve">conomy of </w:t>
      </w:r>
      <w:r w:rsidR="001D6425">
        <w:rPr>
          <w:rFonts w:cs="Times New Roman"/>
        </w:rPr>
        <w:t>p</w:t>
      </w:r>
      <w:r w:rsidR="000434ED" w:rsidRPr="00E43DA6">
        <w:rPr>
          <w:rFonts w:cs="Times New Roman"/>
        </w:rPr>
        <w:t xml:space="preserve">rimary </w:t>
      </w:r>
      <w:r w:rsidR="001D6425">
        <w:rPr>
          <w:rFonts w:cs="Times New Roman"/>
        </w:rPr>
        <w:t>e</w:t>
      </w:r>
      <w:r w:rsidR="000434ED" w:rsidRPr="00E43DA6">
        <w:rPr>
          <w:rFonts w:cs="Times New Roman"/>
        </w:rPr>
        <w:t>ducation: Lessons from Rwanda,</w:t>
      </w:r>
      <w:r w:rsidR="003F399E" w:rsidRPr="00E43DA6">
        <w:rPr>
          <w:rFonts w:cs="Times New Roman"/>
        </w:rPr>
        <w:t>’</w:t>
      </w:r>
      <w:r w:rsidR="000434ED" w:rsidRPr="00E43DA6">
        <w:rPr>
          <w:rFonts w:cs="Times New Roman"/>
        </w:rPr>
        <w:t xml:space="preserve"> </w:t>
      </w:r>
      <w:r w:rsidR="000434ED" w:rsidRPr="00E43DA6">
        <w:rPr>
          <w:rFonts w:cs="Times New Roman"/>
          <w:i/>
          <w:iCs/>
        </w:rPr>
        <w:t>World Development</w:t>
      </w:r>
      <w:r w:rsidR="000434ED" w:rsidRPr="00E43DA6">
        <w:rPr>
          <w:rFonts w:cs="Times New Roman"/>
        </w:rPr>
        <w:t xml:space="preserve"> 96 (2017)</w:t>
      </w:r>
      <w:r w:rsidR="00814ED4" w:rsidRPr="00E43DA6">
        <w:rPr>
          <w:rFonts w:cs="Times New Roman"/>
        </w:rPr>
        <w:t>,</w:t>
      </w:r>
      <w:r w:rsidR="000434ED" w:rsidRPr="00E43DA6">
        <w:rPr>
          <w:rFonts w:cs="Times New Roman"/>
        </w:rPr>
        <w:t xml:space="preserve"> </w:t>
      </w:r>
      <w:r w:rsidR="00814ED4" w:rsidRPr="00E43DA6">
        <w:rPr>
          <w:rFonts w:cs="Times New Roman"/>
        </w:rPr>
        <w:t>pp.</w:t>
      </w:r>
      <w:r w:rsidR="001D6425">
        <w:rPr>
          <w:rFonts w:cs="Times New Roman"/>
        </w:rPr>
        <w:t xml:space="preserve"> </w:t>
      </w:r>
      <w:r w:rsidR="000434ED" w:rsidRPr="00E43DA6">
        <w:rPr>
          <w:rFonts w:cs="Times New Roman"/>
        </w:rPr>
        <w:t>550</w:t>
      </w:r>
      <w:r w:rsidR="00814ED4" w:rsidRPr="00E43DA6">
        <w:rPr>
          <w:rFonts w:cs="Times New Roman"/>
        </w:rPr>
        <w:t>-5</w:t>
      </w:r>
      <w:r w:rsidR="000434ED" w:rsidRPr="00E43DA6">
        <w:rPr>
          <w:rFonts w:cs="Times New Roman"/>
        </w:rPr>
        <w:t>61.</w:t>
      </w:r>
    </w:p>
  </w:footnote>
  <w:footnote w:id="53">
    <w:p w14:paraId="7D0FF21C" w14:textId="0FEA283B"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Pritish Behuria, </w:t>
      </w:r>
      <w:r w:rsidR="003F399E" w:rsidRPr="00E43DA6">
        <w:rPr>
          <w:rFonts w:cs="Times New Roman"/>
        </w:rPr>
        <w:t>‘</w:t>
      </w:r>
      <w:r w:rsidR="000434ED" w:rsidRPr="00E43DA6">
        <w:rPr>
          <w:rFonts w:cs="Times New Roman"/>
        </w:rPr>
        <w:t xml:space="preserve">The </w:t>
      </w:r>
      <w:r w:rsidR="001D6425">
        <w:rPr>
          <w:rFonts w:cs="Times New Roman"/>
        </w:rPr>
        <w:t>d</w:t>
      </w:r>
      <w:r w:rsidR="000434ED" w:rsidRPr="00E43DA6">
        <w:rPr>
          <w:rFonts w:cs="Times New Roman"/>
        </w:rPr>
        <w:t xml:space="preserve">omestic </w:t>
      </w:r>
      <w:r w:rsidR="001D6425">
        <w:rPr>
          <w:rFonts w:cs="Times New Roman"/>
        </w:rPr>
        <w:t>p</w:t>
      </w:r>
      <w:r w:rsidR="000434ED" w:rsidRPr="00E43DA6">
        <w:rPr>
          <w:rFonts w:cs="Times New Roman"/>
        </w:rPr>
        <w:t xml:space="preserve">olitical </w:t>
      </w:r>
      <w:r w:rsidR="001D6425">
        <w:rPr>
          <w:rFonts w:cs="Times New Roman"/>
        </w:rPr>
        <w:t>e</w:t>
      </w:r>
      <w:r w:rsidR="000434ED" w:rsidRPr="00E43DA6">
        <w:rPr>
          <w:rFonts w:cs="Times New Roman"/>
        </w:rPr>
        <w:t xml:space="preserve">conomy of </w:t>
      </w:r>
      <w:r w:rsidR="001D6425">
        <w:rPr>
          <w:rFonts w:cs="Times New Roman"/>
        </w:rPr>
        <w:t>u</w:t>
      </w:r>
      <w:r w:rsidR="000434ED" w:rsidRPr="00E43DA6">
        <w:rPr>
          <w:rFonts w:cs="Times New Roman"/>
        </w:rPr>
        <w:t xml:space="preserve">pgrading in </w:t>
      </w:r>
      <w:r w:rsidR="001D6425">
        <w:rPr>
          <w:rFonts w:cs="Times New Roman"/>
        </w:rPr>
        <w:t>g</w:t>
      </w:r>
      <w:r w:rsidR="000434ED" w:rsidRPr="00E43DA6">
        <w:rPr>
          <w:rFonts w:cs="Times New Roman"/>
        </w:rPr>
        <w:t xml:space="preserve">lobal </w:t>
      </w:r>
      <w:r w:rsidR="001D6425">
        <w:rPr>
          <w:rFonts w:cs="Times New Roman"/>
        </w:rPr>
        <w:t>v</w:t>
      </w:r>
      <w:r w:rsidR="000434ED" w:rsidRPr="00E43DA6">
        <w:rPr>
          <w:rFonts w:cs="Times New Roman"/>
        </w:rPr>
        <w:t xml:space="preserve">alue </w:t>
      </w:r>
      <w:r w:rsidR="001D6425">
        <w:rPr>
          <w:rFonts w:cs="Times New Roman"/>
        </w:rPr>
        <w:t>c</w:t>
      </w:r>
      <w:r w:rsidR="000434ED" w:rsidRPr="00E43DA6">
        <w:rPr>
          <w:rFonts w:cs="Times New Roman"/>
        </w:rPr>
        <w:t xml:space="preserve">hains: How </w:t>
      </w:r>
      <w:r w:rsidR="001D6425">
        <w:rPr>
          <w:rFonts w:cs="Times New Roman"/>
        </w:rPr>
        <w:t>p</w:t>
      </w:r>
      <w:r w:rsidR="000434ED" w:rsidRPr="00E43DA6">
        <w:rPr>
          <w:rFonts w:cs="Times New Roman"/>
        </w:rPr>
        <w:t xml:space="preserve">olitics </w:t>
      </w:r>
      <w:r w:rsidR="001D6425">
        <w:rPr>
          <w:rFonts w:cs="Times New Roman"/>
        </w:rPr>
        <w:t>s</w:t>
      </w:r>
      <w:r w:rsidR="000434ED" w:rsidRPr="00E43DA6">
        <w:rPr>
          <w:rFonts w:cs="Times New Roman"/>
        </w:rPr>
        <w:t xml:space="preserve">hapes </w:t>
      </w:r>
      <w:r w:rsidR="001D6425">
        <w:rPr>
          <w:rFonts w:cs="Times New Roman"/>
        </w:rPr>
        <w:t>p</w:t>
      </w:r>
      <w:r w:rsidR="000434ED" w:rsidRPr="00E43DA6">
        <w:rPr>
          <w:rFonts w:cs="Times New Roman"/>
        </w:rPr>
        <w:t xml:space="preserve">athways for </w:t>
      </w:r>
      <w:r w:rsidR="001D6425">
        <w:rPr>
          <w:rFonts w:cs="Times New Roman"/>
        </w:rPr>
        <w:t>u</w:t>
      </w:r>
      <w:r w:rsidR="000434ED" w:rsidRPr="00E43DA6">
        <w:rPr>
          <w:rFonts w:cs="Times New Roman"/>
        </w:rPr>
        <w:t xml:space="preserve">pgrading in Rwanda’s </w:t>
      </w:r>
      <w:r w:rsidR="001D6425">
        <w:rPr>
          <w:rFonts w:cs="Times New Roman"/>
        </w:rPr>
        <w:t>c</w:t>
      </w:r>
      <w:r w:rsidR="000434ED" w:rsidRPr="00E43DA6">
        <w:rPr>
          <w:rFonts w:cs="Times New Roman"/>
        </w:rPr>
        <w:t xml:space="preserve">offee </w:t>
      </w:r>
      <w:r w:rsidR="001D6425">
        <w:rPr>
          <w:rFonts w:cs="Times New Roman"/>
        </w:rPr>
        <w:t>s</w:t>
      </w:r>
      <w:r w:rsidR="000434ED" w:rsidRPr="00E43DA6">
        <w:rPr>
          <w:rFonts w:cs="Times New Roman"/>
        </w:rPr>
        <w:t>ector</w:t>
      </w:r>
      <w:r w:rsidR="003F399E" w:rsidRPr="00E43DA6">
        <w:rPr>
          <w:rFonts w:cs="Times New Roman"/>
        </w:rPr>
        <w:t>’</w:t>
      </w:r>
      <w:r w:rsidR="000434ED" w:rsidRPr="00E43DA6">
        <w:rPr>
          <w:rFonts w:cs="Times New Roman"/>
        </w:rPr>
        <w:t xml:space="preserve"> </w:t>
      </w:r>
      <w:r w:rsidR="000434ED" w:rsidRPr="00E43DA6">
        <w:rPr>
          <w:rFonts w:cs="Times New Roman"/>
          <w:i/>
          <w:iCs/>
        </w:rPr>
        <w:t>Review of International Political Economy</w:t>
      </w:r>
      <w:r w:rsidR="000434ED" w:rsidRPr="00E43DA6">
        <w:rPr>
          <w:rFonts w:cs="Times New Roman"/>
        </w:rPr>
        <w:t xml:space="preserve"> 27, 2 (2020)</w:t>
      </w:r>
      <w:r w:rsidR="00814ED4" w:rsidRPr="00E43DA6">
        <w:rPr>
          <w:rFonts w:cs="Times New Roman"/>
        </w:rPr>
        <w:t>,</w:t>
      </w:r>
      <w:r w:rsidR="000434ED" w:rsidRPr="00E43DA6">
        <w:rPr>
          <w:rFonts w:cs="Times New Roman"/>
        </w:rPr>
        <w:t xml:space="preserve"> </w:t>
      </w:r>
      <w:r w:rsidR="00814ED4" w:rsidRPr="00E43DA6">
        <w:rPr>
          <w:rFonts w:cs="Times New Roman"/>
        </w:rPr>
        <w:t>pp.</w:t>
      </w:r>
      <w:r w:rsidR="001D6425">
        <w:rPr>
          <w:rFonts w:cs="Times New Roman"/>
        </w:rPr>
        <w:t xml:space="preserve"> </w:t>
      </w:r>
      <w:r w:rsidR="000434ED" w:rsidRPr="00E43DA6">
        <w:rPr>
          <w:rFonts w:cs="Times New Roman"/>
        </w:rPr>
        <w:t>348–76.</w:t>
      </w:r>
    </w:p>
  </w:footnote>
  <w:footnote w:id="54">
    <w:p w14:paraId="11301EC7" w14:textId="16DAEE24" w:rsidR="00840913" w:rsidRPr="00E43DA6" w:rsidRDefault="00840913"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EA6197" w:rsidRPr="00E43DA6">
        <w:rPr>
          <w:rFonts w:cs="Times New Roman"/>
        </w:rPr>
        <w:t xml:space="preserve">Chemouni, </w:t>
      </w:r>
      <w:r w:rsidR="003F399E" w:rsidRPr="00E43DA6">
        <w:rPr>
          <w:rFonts w:cs="Times New Roman"/>
        </w:rPr>
        <w:t>‘</w:t>
      </w:r>
      <w:r w:rsidR="00EA6197" w:rsidRPr="00E43DA6">
        <w:rPr>
          <w:rFonts w:cs="Times New Roman"/>
        </w:rPr>
        <w:t xml:space="preserve">The </w:t>
      </w:r>
      <w:r w:rsidR="001D6425">
        <w:rPr>
          <w:rFonts w:cs="Times New Roman"/>
        </w:rPr>
        <w:t>p</w:t>
      </w:r>
      <w:r w:rsidR="00EA6197" w:rsidRPr="00E43DA6">
        <w:rPr>
          <w:rFonts w:cs="Times New Roman"/>
        </w:rPr>
        <w:t xml:space="preserve">olitics of </w:t>
      </w:r>
      <w:r w:rsidR="001D6425">
        <w:rPr>
          <w:rFonts w:cs="Times New Roman"/>
        </w:rPr>
        <w:t>c</w:t>
      </w:r>
      <w:r w:rsidR="00EA6197" w:rsidRPr="00E43DA6">
        <w:rPr>
          <w:rFonts w:cs="Times New Roman"/>
        </w:rPr>
        <w:t xml:space="preserve">ore </w:t>
      </w:r>
      <w:r w:rsidR="001D6425">
        <w:rPr>
          <w:rFonts w:cs="Times New Roman"/>
        </w:rPr>
        <w:t>p</w:t>
      </w:r>
      <w:r w:rsidR="00EA6197" w:rsidRPr="00E43DA6">
        <w:rPr>
          <w:rFonts w:cs="Times New Roman"/>
        </w:rPr>
        <w:t xml:space="preserve">ublic </w:t>
      </w:r>
      <w:r w:rsidR="001D6425">
        <w:rPr>
          <w:rFonts w:cs="Times New Roman"/>
        </w:rPr>
        <w:t>s</w:t>
      </w:r>
      <w:r w:rsidR="00EA6197" w:rsidRPr="00E43DA6">
        <w:rPr>
          <w:rFonts w:cs="Times New Roman"/>
        </w:rPr>
        <w:t xml:space="preserve">ector </w:t>
      </w:r>
      <w:r w:rsidR="001D6425">
        <w:rPr>
          <w:rFonts w:cs="Times New Roman"/>
        </w:rPr>
        <w:t>r</w:t>
      </w:r>
      <w:r w:rsidR="00EA6197" w:rsidRPr="00E43DA6">
        <w:rPr>
          <w:rFonts w:cs="Times New Roman"/>
        </w:rPr>
        <w:t>eform in Rwanda</w:t>
      </w:r>
      <w:r w:rsidR="003F399E" w:rsidRPr="00E43DA6">
        <w:rPr>
          <w:rFonts w:cs="Times New Roman"/>
        </w:rPr>
        <w:t>’</w:t>
      </w:r>
      <w:r w:rsidR="001D6425">
        <w:rPr>
          <w:rFonts w:cs="Times New Roman"/>
        </w:rPr>
        <w:t>;</w:t>
      </w:r>
      <w:r w:rsidR="00A570F5" w:rsidRPr="00E43DA6">
        <w:rPr>
          <w:rFonts w:cs="Times New Roman"/>
        </w:rPr>
        <w:t xml:space="preserve"> </w:t>
      </w:r>
      <w:r w:rsidR="00814ED4" w:rsidRPr="00E43DA6">
        <w:rPr>
          <w:rFonts w:cs="Times New Roman"/>
        </w:rPr>
        <w:t xml:space="preserve">Jean-Paul </w:t>
      </w:r>
      <w:proofErr w:type="spellStart"/>
      <w:r w:rsidR="00A570F5" w:rsidRPr="00E43DA6">
        <w:rPr>
          <w:rFonts w:cs="Times New Roman"/>
        </w:rPr>
        <w:t>Kimonyo</w:t>
      </w:r>
      <w:proofErr w:type="spellEnd"/>
      <w:r w:rsidR="00814ED4" w:rsidRPr="00E43DA6">
        <w:rPr>
          <w:rFonts w:cs="Times New Roman"/>
        </w:rPr>
        <w:t>,</w:t>
      </w:r>
      <w:r w:rsidR="00A570F5" w:rsidRPr="00E43DA6">
        <w:rPr>
          <w:rFonts w:cs="Times New Roman"/>
        </w:rPr>
        <w:t xml:space="preserve"> </w:t>
      </w:r>
      <w:r w:rsidR="00A570F5" w:rsidRPr="00E43DA6">
        <w:rPr>
          <w:rFonts w:cs="Times New Roman"/>
          <w:i/>
          <w:iCs/>
        </w:rPr>
        <w:t>Transforming Rwanda: Challenges on the road to reconstruction</w:t>
      </w:r>
      <w:r w:rsidR="00A570F5" w:rsidRPr="00E43DA6">
        <w:rPr>
          <w:rFonts w:cs="Times New Roman"/>
        </w:rPr>
        <w:t xml:space="preserve"> </w:t>
      </w:r>
      <w:r w:rsidR="00814ED4" w:rsidRPr="00E43DA6">
        <w:rPr>
          <w:rFonts w:cs="Times New Roman"/>
        </w:rPr>
        <w:t>(</w:t>
      </w:r>
      <w:r w:rsidR="00A570F5" w:rsidRPr="00E43DA6">
        <w:rPr>
          <w:rFonts w:cs="Times New Roman"/>
        </w:rPr>
        <w:t xml:space="preserve">Lynne </w:t>
      </w:r>
      <w:proofErr w:type="spellStart"/>
      <w:r w:rsidR="00A570F5" w:rsidRPr="00E43DA6">
        <w:rPr>
          <w:rFonts w:cs="Times New Roman"/>
        </w:rPr>
        <w:t>Rienner</w:t>
      </w:r>
      <w:proofErr w:type="spellEnd"/>
      <w:r w:rsidR="00A570F5" w:rsidRPr="00E43DA6">
        <w:rPr>
          <w:rFonts w:cs="Times New Roman"/>
        </w:rPr>
        <w:t xml:space="preserve"> Publishers</w:t>
      </w:r>
      <w:r w:rsidR="00814ED4" w:rsidRPr="00E43DA6">
        <w:rPr>
          <w:rFonts w:cs="Times New Roman"/>
        </w:rPr>
        <w:t>, Boulder</w:t>
      </w:r>
      <w:r w:rsidR="001D6425">
        <w:rPr>
          <w:rFonts w:cs="Times New Roman"/>
        </w:rPr>
        <w:t>, CO,</w:t>
      </w:r>
      <w:r w:rsidR="00814ED4" w:rsidRPr="00E43DA6">
        <w:rPr>
          <w:rFonts w:cs="Times New Roman"/>
        </w:rPr>
        <w:t xml:space="preserve"> 2019)</w:t>
      </w:r>
      <w:r w:rsidR="00A570F5" w:rsidRPr="00E43DA6">
        <w:rPr>
          <w:rFonts w:cs="Times New Roman"/>
        </w:rPr>
        <w:t>.</w:t>
      </w:r>
    </w:p>
  </w:footnote>
  <w:footnote w:id="55">
    <w:p w14:paraId="37E3E0FC" w14:textId="1EDF0B9E" w:rsidR="00840913" w:rsidRPr="00E43DA6" w:rsidRDefault="00840913"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proofErr w:type="spellStart"/>
      <w:r w:rsidR="000434ED" w:rsidRPr="00E43DA6">
        <w:rPr>
          <w:rFonts w:cs="Times New Roman"/>
        </w:rPr>
        <w:t>Reyntjens</w:t>
      </w:r>
      <w:proofErr w:type="spellEnd"/>
      <w:r w:rsidR="000434ED" w:rsidRPr="00E43DA6">
        <w:rPr>
          <w:rFonts w:cs="Times New Roman"/>
        </w:rPr>
        <w:t xml:space="preserve">, </w:t>
      </w:r>
      <w:r w:rsidR="000434ED" w:rsidRPr="00E43DA6">
        <w:rPr>
          <w:rFonts w:cs="Times New Roman"/>
          <w:i/>
          <w:iCs/>
        </w:rPr>
        <w:t xml:space="preserve">Political </w:t>
      </w:r>
      <w:r w:rsidR="001D6425">
        <w:rPr>
          <w:rFonts w:cs="Times New Roman"/>
          <w:i/>
          <w:iCs/>
        </w:rPr>
        <w:t>g</w:t>
      </w:r>
      <w:r w:rsidR="000434ED" w:rsidRPr="00E43DA6">
        <w:rPr>
          <w:rFonts w:cs="Times New Roman"/>
          <w:i/>
          <w:iCs/>
        </w:rPr>
        <w:t xml:space="preserve">overnance in </w:t>
      </w:r>
      <w:r w:rsidR="001D6425">
        <w:rPr>
          <w:rFonts w:cs="Times New Roman"/>
          <w:i/>
          <w:iCs/>
        </w:rPr>
        <w:t>p</w:t>
      </w:r>
      <w:r w:rsidR="000434ED" w:rsidRPr="00E43DA6">
        <w:rPr>
          <w:rFonts w:cs="Times New Roman"/>
          <w:i/>
          <w:iCs/>
        </w:rPr>
        <w:t>ost-</w:t>
      </w:r>
      <w:r w:rsidR="001D6425">
        <w:rPr>
          <w:rFonts w:cs="Times New Roman"/>
          <w:i/>
          <w:iCs/>
        </w:rPr>
        <w:t>g</w:t>
      </w:r>
      <w:r w:rsidR="000434ED" w:rsidRPr="00E43DA6">
        <w:rPr>
          <w:rFonts w:cs="Times New Roman"/>
          <w:i/>
          <w:iCs/>
        </w:rPr>
        <w:t>enocide Rwanda</w:t>
      </w:r>
      <w:r w:rsidR="000434ED" w:rsidRPr="00E43DA6">
        <w:rPr>
          <w:rFonts w:cs="Times New Roman"/>
        </w:rPr>
        <w:t xml:space="preserve">, </w:t>
      </w:r>
      <w:proofErr w:type="spellStart"/>
      <w:proofErr w:type="gramStart"/>
      <w:r w:rsidR="00814ED4" w:rsidRPr="00E43DA6">
        <w:rPr>
          <w:rFonts w:cs="Times New Roman"/>
        </w:rPr>
        <w:t>p.</w:t>
      </w:r>
      <w:r w:rsidR="000434ED" w:rsidRPr="00E43DA6">
        <w:rPr>
          <w:rFonts w:cs="Times New Roman"/>
        </w:rPr>
        <w:t>xv</w:t>
      </w:r>
      <w:proofErr w:type="spellEnd"/>
      <w:r w:rsidR="000434ED" w:rsidRPr="00E43DA6">
        <w:rPr>
          <w:rFonts w:cs="Times New Roman"/>
        </w:rPr>
        <w:t>.</w:t>
      </w:r>
      <w:proofErr w:type="gramEnd"/>
    </w:p>
  </w:footnote>
  <w:footnote w:id="56">
    <w:p w14:paraId="574379A1" w14:textId="18B2D9A5" w:rsidR="00D07184" w:rsidRPr="00E43DA6" w:rsidRDefault="00D07184"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Malin </w:t>
      </w:r>
      <w:proofErr w:type="spellStart"/>
      <w:r w:rsidR="000434ED" w:rsidRPr="00E43DA6">
        <w:rPr>
          <w:rFonts w:cs="Times New Roman"/>
        </w:rPr>
        <w:t>Hasselskog</w:t>
      </w:r>
      <w:proofErr w:type="spellEnd"/>
      <w:r w:rsidR="000434ED" w:rsidRPr="00E43DA6">
        <w:rPr>
          <w:rFonts w:cs="Times New Roman"/>
        </w:rPr>
        <w:t xml:space="preserve">, </w:t>
      </w:r>
      <w:r w:rsidR="003F399E" w:rsidRPr="00E43DA6">
        <w:rPr>
          <w:rFonts w:cs="Times New Roman"/>
        </w:rPr>
        <w:t>‘</w:t>
      </w:r>
      <w:r w:rsidR="000434ED" w:rsidRPr="00E43DA6">
        <w:rPr>
          <w:rFonts w:cs="Times New Roman"/>
        </w:rPr>
        <w:t xml:space="preserve">Rwandan </w:t>
      </w:r>
      <w:proofErr w:type="spellStart"/>
      <w:r w:rsidR="000434ED" w:rsidRPr="00E43DA6">
        <w:rPr>
          <w:rFonts w:cs="Times New Roman"/>
        </w:rPr>
        <w:t>D</w:t>
      </w:r>
      <w:r w:rsidR="001D6425">
        <w:rPr>
          <w:rFonts w:cs="Times New Roman"/>
        </w:rPr>
        <w:t>d</w:t>
      </w:r>
      <w:r w:rsidR="000434ED" w:rsidRPr="00E43DA6">
        <w:rPr>
          <w:rFonts w:cs="Times New Roman"/>
        </w:rPr>
        <w:t>velopmental</w:t>
      </w:r>
      <w:proofErr w:type="spellEnd"/>
      <w:r w:rsidR="000434ED" w:rsidRPr="00E43DA6">
        <w:rPr>
          <w:rFonts w:cs="Times New Roman"/>
        </w:rPr>
        <w:t xml:space="preserve"> ‘</w:t>
      </w:r>
      <w:r w:rsidR="001D6425">
        <w:rPr>
          <w:rFonts w:cs="Times New Roman"/>
        </w:rPr>
        <w:t>s</w:t>
      </w:r>
      <w:r w:rsidR="000434ED" w:rsidRPr="00E43DA6">
        <w:rPr>
          <w:rFonts w:cs="Times New Roman"/>
        </w:rPr>
        <w:t xml:space="preserve">ocial </w:t>
      </w:r>
      <w:r w:rsidR="001D6425">
        <w:rPr>
          <w:rFonts w:cs="Times New Roman"/>
        </w:rPr>
        <w:t>e</w:t>
      </w:r>
      <w:r w:rsidR="000434ED" w:rsidRPr="00E43DA6">
        <w:rPr>
          <w:rFonts w:cs="Times New Roman"/>
        </w:rPr>
        <w:t xml:space="preserve">ngineering’: What </w:t>
      </w:r>
      <w:r w:rsidR="001D6425">
        <w:rPr>
          <w:rFonts w:cs="Times New Roman"/>
        </w:rPr>
        <w:t>d</w:t>
      </w:r>
      <w:r w:rsidR="000434ED" w:rsidRPr="00E43DA6">
        <w:rPr>
          <w:rFonts w:cs="Times New Roman"/>
        </w:rPr>
        <w:t xml:space="preserve">oes </w:t>
      </w:r>
      <w:r w:rsidR="001D6425">
        <w:rPr>
          <w:rFonts w:cs="Times New Roman"/>
        </w:rPr>
        <w:t>i</w:t>
      </w:r>
      <w:r w:rsidR="000434ED" w:rsidRPr="00E43DA6">
        <w:rPr>
          <w:rFonts w:cs="Times New Roman"/>
        </w:rPr>
        <w:t xml:space="preserve">t </w:t>
      </w:r>
      <w:r w:rsidR="001D6425">
        <w:rPr>
          <w:rFonts w:cs="Times New Roman"/>
        </w:rPr>
        <w:t>i</w:t>
      </w:r>
      <w:r w:rsidR="000434ED" w:rsidRPr="00E43DA6">
        <w:rPr>
          <w:rFonts w:cs="Times New Roman"/>
        </w:rPr>
        <w:t xml:space="preserve">mply and </w:t>
      </w:r>
      <w:r w:rsidR="001D6425">
        <w:rPr>
          <w:rFonts w:cs="Times New Roman"/>
        </w:rPr>
        <w:t>h</w:t>
      </w:r>
      <w:r w:rsidR="000434ED" w:rsidRPr="00E43DA6">
        <w:rPr>
          <w:rFonts w:cs="Times New Roman"/>
        </w:rPr>
        <w:t xml:space="preserve">ow </w:t>
      </w:r>
      <w:r w:rsidR="001D6425">
        <w:rPr>
          <w:rFonts w:cs="Times New Roman"/>
        </w:rPr>
        <w:t>i</w:t>
      </w:r>
      <w:r w:rsidR="000434ED" w:rsidRPr="00E43DA6">
        <w:rPr>
          <w:rFonts w:cs="Times New Roman"/>
        </w:rPr>
        <w:t xml:space="preserve">s </w:t>
      </w:r>
      <w:r w:rsidR="001D6425">
        <w:rPr>
          <w:rFonts w:cs="Times New Roman"/>
        </w:rPr>
        <w:t>i</w:t>
      </w:r>
      <w:r w:rsidR="000434ED" w:rsidRPr="00E43DA6">
        <w:rPr>
          <w:rFonts w:cs="Times New Roman"/>
        </w:rPr>
        <w:t xml:space="preserve">t </w:t>
      </w:r>
      <w:proofErr w:type="gramStart"/>
      <w:r w:rsidR="001D6425">
        <w:rPr>
          <w:rFonts w:cs="Times New Roman"/>
        </w:rPr>
        <w:t>d</w:t>
      </w:r>
      <w:r w:rsidR="000434ED" w:rsidRPr="00E43DA6">
        <w:rPr>
          <w:rFonts w:cs="Times New Roman"/>
        </w:rPr>
        <w:t>isplayed?,</w:t>
      </w:r>
      <w:proofErr w:type="gramEnd"/>
      <w:r w:rsidR="003F399E" w:rsidRPr="00E43DA6">
        <w:rPr>
          <w:rFonts w:cs="Times New Roman"/>
        </w:rPr>
        <w:t>’</w:t>
      </w:r>
      <w:r w:rsidR="000434ED" w:rsidRPr="00E43DA6">
        <w:rPr>
          <w:rFonts w:cs="Times New Roman"/>
        </w:rPr>
        <w:t xml:space="preserve"> </w:t>
      </w:r>
      <w:r w:rsidR="000434ED" w:rsidRPr="00E43DA6">
        <w:rPr>
          <w:rFonts w:cs="Times New Roman"/>
          <w:i/>
          <w:iCs/>
        </w:rPr>
        <w:t>Progress in Development Studies</w:t>
      </w:r>
      <w:r w:rsidR="000434ED" w:rsidRPr="00E43DA6">
        <w:rPr>
          <w:rFonts w:cs="Times New Roman"/>
        </w:rPr>
        <w:t xml:space="preserve"> 15, 2 (2015)</w:t>
      </w:r>
      <w:r w:rsidR="00EC0069" w:rsidRPr="00E43DA6">
        <w:rPr>
          <w:rFonts w:cs="Times New Roman"/>
        </w:rPr>
        <w:t>, pp. 154-169, p.</w:t>
      </w:r>
      <w:r w:rsidR="000434ED" w:rsidRPr="00E43DA6">
        <w:rPr>
          <w:rFonts w:cs="Times New Roman"/>
        </w:rPr>
        <w:t>157</w:t>
      </w:r>
      <w:r w:rsidR="00EC0069" w:rsidRPr="00E43DA6">
        <w:rPr>
          <w:rFonts w:cs="Times New Roman"/>
        </w:rPr>
        <w:t>.</w:t>
      </w:r>
    </w:p>
  </w:footnote>
  <w:footnote w:id="57">
    <w:p w14:paraId="305A37C2" w14:textId="1E4AB8A4" w:rsidR="000D18CE" w:rsidRPr="00E43DA6" w:rsidRDefault="000D18CE"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Pritish Behuria, </w:t>
      </w:r>
      <w:r w:rsidR="003F399E" w:rsidRPr="00E43DA6">
        <w:rPr>
          <w:rFonts w:cs="Times New Roman"/>
        </w:rPr>
        <w:t>‘</w:t>
      </w:r>
      <w:r w:rsidR="000434ED" w:rsidRPr="00E43DA6">
        <w:rPr>
          <w:rFonts w:cs="Times New Roman"/>
        </w:rPr>
        <w:t xml:space="preserve">Examining </w:t>
      </w:r>
      <w:r w:rsidR="001D6425">
        <w:rPr>
          <w:rFonts w:cs="Times New Roman"/>
        </w:rPr>
        <w:t>e</w:t>
      </w:r>
      <w:r w:rsidR="000434ED" w:rsidRPr="00E43DA6">
        <w:rPr>
          <w:rFonts w:cs="Times New Roman"/>
        </w:rPr>
        <w:t xml:space="preserve">ffectiveness and </w:t>
      </w:r>
      <w:r w:rsidR="001D6425">
        <w:rPr>
          <w:rFonts w:cs="Times New Roman"/>
        </w:rPr>
        <w:t>l</w:t>
      </w:r>
      <w:r w:rsidR="000434ED" w:rsidRPr="00E43DA6">
        <w:rPr>
          <w:rFonts w:cs="Times New Roman"/>
        </w:rPr>
        <w:t xml:space="preserve">earning in Rwandan </w:t>
      </w:r>
      <w:r w:rsidR="001D6425">
        <w:rPr>
          <w:rFonts w:cs="Times New Roman"/>
        </w:rPr>
        <w:t>p</w:t>
      </w:r>
      <w:r w:rsidR="000434ED" w:rsidRPr="00E43DA6">
        <w:rPr>
          <w:rFonts w:cs="Times New Roman"/>
        </w:rPr>
        <w:t xml:space="preserve">olicymaking: The </w:t>
      </w:r>
      <w:r w:rsidR="001D6425">
        <w:rPr>
          <w:rFonts w:cs="Times New Roman"/>
        </w:rPr>
        <w:t>v</w:t>
      </w:r>
      <w:r w:rsidR="000434ED" w:rsidRPr="00E43DA6">
        <w:rPr>
          <w:rFonts w:cs="Times New Roman"/>
        </w:rPr>
        <w:t xml:space="preserve">aried </w:t>
      </w:r>
      <w:r w:rsidR="001D6425">
        <w:rPr>
          <w:rFonts w:cs="Times New Roman"/>
        </w:rPr>
        <w:t>o</w:t>
      </w:r>
      <w:r w:rsidR="000434ED" w:rsidRPr="00E43DA6">
        <w:rPr>
          <w:rFonts w:cs="Times New Roman"/>
        </w:rPr>
        <w:t xml:space="preserve">utcomes of </w:t>
      </w:r>
      <w:r w:rsidR="001D6425">
        <w:rPr>
          <w:rFonts w:cs="Times New Roman"/>
        </w:rPr>
        <w:t>l</w:t>
      </w:r>
      <w:r w:rsidR="000434ED" w:rsidRPr="00E43DA6">
        <w:rPr>
          <w:rFonts w:cs="Times New Roman"/>
        </w:rPr>
        <w:t xml:space="preserve">earning from </w:t>
      </w:r>
      <w:r w:rsidR="001D6425">
        <w:rPr>
          <w:rFonts w:cs="Times New Roman"/>
        </w:rPr>
        <w:t>f</w:t>
      </w:r>
      <w:r w:rsidR="000434ED" w:rsidRPr="00E43DA6">
        <w:rPr>
          <w:rFonts w:cs="Times New Roman"/>
        </w:rPr>
        <w:t xml:space="preserve">ailure in </w:t>
      </w:r>
      <w:r w:rsidR="001D6425">
        <w:rPr>
          <w:rFonts w:cs="Times New Roman"/>
        </w:rPr>
        <w:t>p</w:t>
      </w:r>
      <w:r w:rsidR="000434ED" w:rsidRPr="00E43DA6">
        <w:rPr>
          <w:rFonts w:cs="Times New Roman"/>
        </w:rPr>
        <w:t xml:space="preserve">roductive </w:t>
      </w:r>
      <w:r w:rsidR="001D6425">
        <w:rPr>
          <w:rFonts w:cs="Times New Roman"/>
        </w:rPr>
        <w:t>s</w:t>
      </w:r>
      <w:r w:rsidR="000434ED" w:rsidRPr="00E43DA6">
        <w:rPr>
          <w:rFonts w:cs="Times New Roman"/>
        </w:rPr>
        <w:t xml:space="preserve">ector </w:t>
      </w:r>
      <w:r w:rsidR="001D6425">
        <w:rPr>
          <w:rFonts w:cs="Times New Roman"/>
        </w:rPr>
        <w:t>p</w:t>
      </w:r>
      <w:r w:rsidR="000434ED" w:rsidRPr="00E43DA6">
        <w:rPr>
          <w:rFonts w:cs="Times New Roman"/>
        </w:rPr>
        <w:t xml:space="preserve">olicies: Effectiveness and </w:t>
      </w:r>
      <w:r w:rsidR="001D6425">
        <w:rPr>
          <w:rFonts w:cs="Times New Roman"/>
        </w:rPr>
        <w:t>l</w:t>
      </w:r>
      <w:r w:rsidR="000434ED" w:rsidRPr="00E43DA6">
        <w:rPr>
          <w:rFonts w:cs="Times New Roman"/>
        </w:rPr>
        <w:t>earning in Rwanda</w:t>
      </w:r>
      <w:r w:rsidR="003F399E" w:rsidRPr="00E43DA6">
        <w:rPr>
          <w:rFonts w:cs="Times New Roman"/>
        </w:rPr>
        <w:t>’</w:t>
      </w:r>
      <w:r w:rsidR="000434ED" w:rsidRPr="00E43DA6">
        <w:rPr>
          <w:rFonts w:cs="Times New Roman"/>
        </w:rPr>
        <w:t xml:space="preserve"> </w:t>
      </w:r>
      <w:r w:rsidR="000434ED" w:rsidRPr="00E43DA6">
        <w:rPr>
          <w:rFonts w:cs="Times New Roman"/>
          <w:i/>
          <w:iCs/>
        </w:rPr>
        <w:t>Journal of International Development</w:t>
      </w:r>
      <w:r w:rsidR="00EC0069" w:rsidRPr="00E43DA6">
        <w:rPr>
          <w:rFonts w:cs="Times New Roman"/>
        </w:rPr>
        <w:t>, 30 (2018)</w:t>
      </w:r>
      <w:r w:rsidR="000434ED" w:rsidRPr="00E43DA6">
        <w:rPr>
          <w:rFonts w:cs="Times New Roman"/>
        </w:rPr>
        <w:t xml:space="preserve"> </w:t>
      </w:r>
      <w:r w:rsidR="00EC0069" w:rsidRPr="00E43DA6">
        <w:rPr>
          <w:rFonts w:cs="Times New Roman"/>
        </w:rPr>
        <w:t>pp.</w:t>
      </w:r>
      <w:r w:rsidR="00B2363A">
        <w:rPr>
          <w:rFonts w:cs="Times New Roman"/>
        </w:rPr>
        <w:t xml:space="preserve"> </w:t>
      </w:r>
      <w:r w:rsidR="000434ED" w:rsidRPr="00E43DA6">
        <w:rPr>
          <w:rFonts w:cs="Times New Roman"/>
        </w:rPr>
        <w:t>1023–</w:t>
      </w:r>
      <w:r w:rsidR="00EC0069" w:rsidRPr="00E43DA6">
        <w:rPr>
          <w:rFonts w:cs="Times New Roman"/>
        </w:rPr>
        <w:t>10</w:t>
      </w:r>
      <w:r w:rsidR="000434ED" w:rsidRPr="00E43DA6">
        <w:rPr>
          <w:rFonts w:cs="Times New Roman"/>
        </w:rPr>
        <w:t>43.</w:t>
      </w:r>
    </w:p>
  </w:footnote>
  <w:footnote w:id="58">
    <w:p w14:paraId="2DAC6A42" w14:textId="3D0FF75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Chemouni, </w:t>
      </w:r>
      <w:r w:rsidR="003F399E" w:rsidRPr="00E43DA6">
        <w:rPr>
          <w:rFonts w:cs="Times New Roman"/>
        </w:rPr>
        <w:t>‘</w:t>
      </w:r>
      <w:r w:rsidR="000434ED" w:rsidRPr="00E43DA6">
        <w:rPr>
          <w:rFonts w:cs="Times New Roman"/>
        </w:rPr>
        <w:t xml:space="preserve">The </w:t>
      </w:r>
      <w:r w:rsidR="00B2363A">
        <w:rPr>
          <w:rFonts w:cs="Times New Roman"/>
        </w:rPr>
        <w:t>p</w:t>
      </w:r>
      <w:r w:rsidR="000434ED" w:rsidRPr="00E43DA6">
        <w:rPr>
          <w:rFonts w:cs="Times New Roman"/>
        </w:rPr>
        <w:t xml:space="preserve">olitics of </w:t>
      </w:r>
      <w:r w:rsidR="00B2363A">
        <w:rPr>
          <w:rFonts w:cs="Times New Roman"/>
        </w:rPr>
        <w:t>c</w:t>
      </w:r>
      <w:r w:rsidR="000434ED" w:rsidRPr="00E43DA6">
        <w:rPr>
          <w:rFonts w:cs="Times New Roman"/>
        </w:rPr>
        <w:t xml:space="preserve">ore </w:t>
      </w:r>
      <w:r w:rsidR="00B2363A">
        <w:rPr>
          <w:rFonts w:cs="Times New Roman"/>
        </w:rPr>
        <w:t>p</w:t>
      </w:r>
      <w:r w:rsidR="000434ED" w:rsidRPr="00E43DA6">
        <w:rPr>
          <w:rFonts w:cs="Times New Roman"/>
        </w:rPr>
        <w:t xml:space="preserve">ublic </w:t>
      </w:r>
      <w:r w:rsidR="00B2363A">
        <w:rPr>
          <w:rFonts w:cs="Times New Roman"/>
        </w:rPr>
        <w:t>s</w:t>
      </w:r>
      <w:r w:rsidR="000434ED" w:rsidRPr="00E43DA6">
        <w:rPr>
          <w:rFonts w:cs="Times New Roman"/>
        </w:rPr>
        <w:t xml:space="preserve">ector </w:t>
      </w:r>
      <w:r w:rsidR="00B2363A">
        <w:rPr>
          <w:rFonts w:cs="Times New Roman"/>
        </w:rPr>
        <w:t>r</w:t>
      </w:r>
      <w:r w:rsidR="000434ED" w:rsidRPr="00E43DA6">
        <w:rPr>
          <w:rFonts w:cs="Times New Roman"/>
        </w:rPr>
        <w:t>eform in Rwanda</w:t>
      </w:r>
      <w:r w:rsidR="003F399E" w:rsidRPr="00E43DA6">
        <w:rPr>
          <w:rFonts w:cs="Times New Roman"/>
        </w:rPr>
        <w:t>’</w:t>
      </w:r>
      <w:r w:rsidR="000434ED" w:rsidRPr="00E43DA6">
        <w:rPr>
          <w:rFonts w:cs="Times New Roman"/>
        </w:rPr>
        <w:t xml:space="preserve">; </w:t>
      </w:r>
      <w:proofErr w:type="spellStart"/>
      <w:r w:rsidR="000434ED" w:rsidRPr="00E43DA6">
        <w:rPr>
          <w:rFonts w:cs="Times New Roman"/>
        </w:rPr>
        <w:t>Kimonyo</w:t>
      </w:r>
      <w:proofErr w:type="spellEnd"/>
      <w:r w:rsidR="000434ED" w:rsidRPr="00E43DA6">
        <w:rPr>
          <w:rFonts w:cs="Times New Roman"/>
        </w:rPr>
        <w:t xml:space="preserve">, </w:t>
      </w:r>
      <w:r w:rsidR="000434ED" w:rsidRPr="00E43DA6">
        <w:rPr>
          <w:rFonts w:cs="Times New Roman"/>
          <w:i/>
          <w:iCs/>
        </w:rPr>
        <w:t>Transforming Rwanda</w:t>
      </w:r>
      <w:r w:rsidR="00B2363A">
        <w:rPr>
          <w:rFonts w:cs="Times New Roman"/>
          <w:i/>
          <w:iCs/>
        </w:rPr>
        <w:t>.</w:t>
      </w:r>
    </w:p>
  </w:footnote>
  <w:footnote w:id="59">
    <w:p w14:paraId="3498BB50" w14:textId="618EBCC6" w:rsidR="008772B5" w:rsidRPr="00E43DA6" w:rsidRDefault="008772B5"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Transparency International, </w:t>
      </w:r>
      <w:r w:rsidR="003F399E" w:rsidRPr="00E43DA6">
        <w:rPr>
          <w:rFonts w:cs="Times New Roman"/>
        </w:rPr>
        <w:t>‘</w:t>
      </w:r>
      <w:r w:rsidR="000434ED" w:rsidRPr="00E43DA6">
        <w:rPr>
          <w:rFonts w:cs="Times New Roman"/>
        </w:rPr>
        <w:t xml:space="preserve">Corruption </w:t>
      </w:r>
      <w:r w:rsidR="00B2363A">
        <w:rPr>
          <w:rFonts w:cs="Times New Roman"/>
        </w:rPr>
        <w:t>p</w:t>
      </w:r>
      <w:r w:rsidR="000434ED" w:rsidRPr="00E43DA6">
        <w:rPr>
          <w:rFonts w:cs="Times New Roman"/>
        </w:rPr>
        <w:t xml:space="preserve">erceptions </w:t>
      </w:r>
      <w:r w:rsidR="00B2363A">
        <w:rPr>
          <w:rFonts w:cs="Times New Roman"/>
        </w:rPr>
        <w:t>i</w:t>
      </w:r>
      <w:r w:rsidR="000434ED" w:rsidRPr="00E43DA6">
        <w:rPr>
          <w:rFonts w:cs="Times New Roman"/>
        </w:rPr>
        <w:t>ndex</w:t>
      </w:r>
      <w:r w:rsidR="003F399E" w:rsidRPr="00E43DA6">
        <w:rPr>
          <w:rFonts w:cs="Times New Roman"/>
        </w:rPr>
        <w:t>’</w:t>
      </w:r>
      <w:r w:rsidR="000434ED" w:rsidRPr="00E43DA6">
        <w:rPr>
          <w:rFonts w:cs="Times New Roman"/>
        </w:rPr>
        <w:t xml:space="preserve"> (Transparency International, </w:t>
      </w:r>
      <w:r w:rsidR="00B2363A">
        <w:rPr>
          <w:rFonts w:cs="Times New Roman"/>
        </w:rPr>
        <w:t xml:space="preserve">Berlin, </w:t>
      </w:r>
      <w:r w:rsidR="000434ED" w:rsidRPr="00E43DA6">
        <w:rPr>
          <w:rFonts w:cs="Times New Roman"/>
        </w:rPr>
        <w:t>2018).</w:t>
      </w:r>
    </w:p>
  </w:footnote>
  <w:footnote w:id="60">
    <w:p w14:paraId="69509354" w14:textId="15DA1555"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Chemouni, </w:t>
      </w:r>
      <w:r w:rsidR="003F399E" w:rsidRPr="00E43DA6">
        <w:rPr>
          <w:rFonts w:cs="Times New Roman"/>
        </w:rPr>
        <w:t>‘</w:t>
      </w:r>
      <w:r w:rsidR="000434ED" w:rsidRPr="00E43DA6">
        <w:rPr>
          <w:rFonts w:cs="Times New Roman"/>
        </w:rPr>
        <w:t xml:space="preserve">The </w:t>
      </w:r>
      <w:r w:rsidR="00B2363A">
        <w:rPr>
          <w:rFonts w:cs="Times New Roman"/>
        </w:rPr>
        <w:t>p</w:t>
      </w:r>
      <w:r w:rsidR="000434ED" w:rsidRPr="00E43DA6">
        <w:rPr>
          <w:rFonts w:cs="Times New Roman"/>
        </w:rPr>
        <w:t xml:space="preserve">olitics of </w:t>
      </w:r>
      <w:r w:rsidR="00B2363A">
        <w:rPr>
          <w:rFonts w:cs="Times New Roman"/>
        </w:rPr>
        <w:t>c</w:t>
      </w:r>
      <w:r w:rsidR="000434ED" w:rsidRPr="00E43DA6">
        <w:rPr>
          <w:rFonts w:cs="Times New Roman"/>
        </w:rPr>
        <w:t xml:space="preserve">ore </w:t>
      </w:r>
      <w:r w:rsidR="00B2363A">
        <w:rPr>
          <w:rFonts w:cs="Times New Roman"/>
        </w:rPr>
        <w:t>p</w:t>
      </w:r>
      <w:r w:rsidR="000434ED" w:rsidRPr="00E43DA6">
        <w:rPr>
          <w:rFonts w:cs="Times New Roman"/>
        </w:rPr>
        <w:t xml:space="preserve">ublic </w:t>
      </w:r>
      <w:r w:rsidR="00B2363A">
        <w:rPr>
          <w:rFonts w:cs="Times New Roman"/>
        </w:rPr>
        <w:t>s</w:t>
      </w:r>
      <w:r w:rsidR="000434ED" w:rsidRPr="00E43DA6">
        <w:rPr>
          <w:rFonts w:cs="Times New Roman"/>
        </w:rPr>
        <w:t xml:space="preserve">ector </w:t>
      </w:r>
      <w:r w:rsidR="00B2363A">
        <w:rPr>
          <w:rFonts w:cs="Times New Roman"/>
        </w:rPr>
        <w:t>r</w:t>
      </w:r>
      <w:r w:rsidR="000434ED" w:rsidRPr="00E43DA6">
        <w:rPr>
          <w:rFonts w:cs="Times New Roman"/>
        </w:rPr>
        <w:t>eform in Rwanda,</w:t>
      </w:r>
      <w:r w:rsidR="003F399E" w:rsidRPr="00E43DA6">
        <w:rPr>
          <w:rFonts w:cs="Times New Roman"/>
        </w:rPr>
        <w:t>’</w:t>
      </w:r>
      <w:r w:rsidR="000434ED" w:rsidRPr="00E43DA6">
        <w:rPr>
          <w:rFonts w:cs="Times New Roman"/>
        </w:rPr>
        <w:t xml:space="preserve"> </w:t>
      </w:r>
      <w:r w:rsidR="00B2363A">
        <w:rPr>
          <w:rFonts w:cs="Times New Roman"/>
        </w:rPr>
        <w:t>p.</w:t>
      </w:r>
      <w:r w:rsidR="000434ED" w:rsidRPr="00E43DA6">
        <w:rPr>
          <w:rFonts w:cs="Times New Roman"/>
        </w:rPr>
        <w:t>4.</w:t>
      </w:r>
    </w:p>
  </w:footnote>
  <w:footnote w:id="61">
    <w:p w14:paraId="5330ECB5" w14:textId="1E291E11"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EC0069" w:rsidRPr="000F2839">
        <w:rPr>
          <w:rFonts w:cs="Times New Roman"/>
          <w:i/>
          <w:iCs/>
        </w:rPr>
        <w:t>Ibid</w:t>
      </w:r>
      <w:r w:rsidR="00EC0069" w:rsidRPr="00E43DA6">
        <w:rPr>
          <w:rFonts w:cs="Times New Roman"/>
        </w:rPr>
        <w:t>.</w:t>
      </w:r>
    </w:p>
  </w:footnote>
  <w:footnote w:id="62">
    <w:p w14:paraId="16F5CAE0" w14:textId="6CD8462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Chemouni, </w:t>
      </w:r>
      <w:r w:rsidR="003F399E" w:rsidRPr="00E43DA6">
        <w:rPr>
          <w:rFonts w:cs="Times New Roman"/>
        </w:rPr>
        <w:t>‘</w:t>
      </w:r>
      <w:r w:rsidR="000434ED" w:rsidRPr="00E43DA6">
        <w:rPr>
          <w:rFonts w:cs="Times New Roman"/>
        </w:rPr>
        <w:t xml:space="preserve">Explaining the </w:t>
      </w:r>
      <w:r w:rsidR="00B2363A">
        <w:rPr>
          <w:rFonts w:cs="Times New Roman"/>
        </w:rPr>
        <w:t>d</w:t>
      </w:r>
      <w:r w:rsidR="000434ED" w:rsidRPr="00E43DA6">
        <w:rPr>
          <w:rFonts w:cs="Times New Roman"/>
        </w:rPr>
        <w:t xml:space="preserve">esign of the Rwandan </w:t>
      </w:r>
      <w:r w:rsidR="00B2363A">
        <w:rPr>
          <w:rFonts w:cs="Times New Roman"/>
        </w:rPr>
        <w:t>d</w:t>
      </w:r>
      <w:r w:rsidR="000434ED" w:rsidRPr="00E43DA6">
        <w:rPr>
          <w:rFonts w:cs="Times New Roman"/>
        </w:rPr>
        <w:t>ecentralization</w:t>
      </w:r>
      <w:r w:rsidR="00C014A5" w:rsidRPr="00E43DA6">
        <w:rPr>
          <w:rFonts w:cs="Times New Roman"/>
        </w:rPr>
        <w:t>’</w:t>
      </w:r>
      <w:r w:rsidR="00EC0069" w:rsidRPr="00E43DA6">
        <w:rPr>
          <w:rFonts w:cs="Times New Roman"/>
        </w:rPr>
        <w:t>.</w:t>
      </w:r>
    </w:p>
  </w:footnote>
  <w:footnote w:id="63">
    <w:p w14:paraId="4C31276F" w14:textId="400970E3"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Safari, </w:t>
      </w:r>
      <w:r w:rsidR="003F399E" w:rsidRPr="00E43DA6">
        <w:rPr>
          <w:rFonts w:cs="Times New Roman"/>
        </w:rPr>
        <w:t>‘</w:t>
      </w:r>
      <w:r w:rsidR="000434ED" w:rsidRPr="00E43DA6">
        <w:rPr>
          <w:rFonts w:cs="Times New Roman"/>
        </w:rPr>
        <w:t xml:space="preserve">A Review of </w:t>
      </w:r>
      <w:r w:rsidR="00B2363A">
        <w:rPr>
          <w:rFonts w:cs="Times New Roman"/>
        </w:rPr>
        <w:t>e</w:t>
      </w:r>
      <w:r w:rsidR="000434ED" w:rsidRPr="00E43DA6">
        <w:rPr>
          <w:rFonts w:cs="Times New Roman"/>
        </w:rPr>
        <w:t>nergy in Rwanda.</w:t>
      </w:r>
      <w:r w:rsidR="003F399E" w:rsidRPr="00E43DA6">
        <w:rPr>
          <w:rFonts w:cs="Times New Roman"/>
        </w:rPr>
        <w:t>’</w:t>
      </w:r>
    </w:p>
  </w:footnote>
  <w:footnote w:id="64">
    <w:p w14:paraId="0C3A6BED" w14:textId="729516A2"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consultants, Kigali, </w:t>
      </w:r>
      <w:r w:rsidR="00B2363A">
        <w:rPr>
          <w:rFonts w:cs="Times New Roman"/>
        </w:rPr>
        <w:t xml:space="preserve">Rwanda, </w:t>
      </w:r>
      <w:r w:rsidRPr="00E43DA6">
        <w:rPr>
          <w:rFonts w:cs="Times New Roman"/>
        </w:rPr>
        <w:t>2016</w:t>
      </w:r>
    </w:p>
  </w:footnote>
  <w:footnote w:id="65">
    <w:p w14:paraId="384B1513" w14:textId="453C7906"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w:t>
      </w:r>
      <w:r w:rsidR="00B2363A">
        <w:rPr>
          <w:rFonts w:cs="Times New Roman"/>
        </w:rPr>
        <w:t>, Ministry of Finance and Economic Planning official, Kigali, Rwanda,</w:t>
      </w:r>
      <w:r w:rsidRPr="00E43DA6">
        <w:rPr>
          <w:rFonts w:cs="Times New Roman"/>
        </w:rPr>
        <w:t xml:space="preserve"> June 2018. </w:t>
      </w:r>
    </w:p>
  </w:footnote>
  <w:footnote w:id="66">
    <w:p w14:paraId="29D71D16" w14:textId="6A00D17A" w:rsidR="00D568A6" w:rsidRPr="00E43DA6" w:rsidRDefault="00D568A6"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Pr="00E43DA6">
        <w:rPr>
          <w:rFonts w:cs="Times New Roman"/>
          <w:lang w:val="en-US"/>
        </w:rPr>
        <w:t>Author’s statistics collated from official reporting</w:t>
      </w:r>
      <w:r w:rsidR="00A0648E" w:rsidRPr="00E43DA6">
        <w:rPr>
          <w:rFonts w:cs="Times New Roman"/>
          <w:lang w:val="en-US"/>
        </w:rPr>
        <w:t>.</w:t>
      </w:r>
    </w:p>
  </w:footnote>
  <w:footnote w:id="67">
    <w:p w14:paraId="0EE494FE" w14:textId="0F717125"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Dye, </w:t>
      </w:r>
      <w:r w:rsidR="003F399E" w:rsidRPr="00E43DA6">
        <w:rPr>
          <w:rFonts w:cs="Times New Roman"/>
        </w:rPr>
        <w:t>‘</w:t>
      </w:r>
      <w:r w:rsidR="000434ED" w:rsidRPr="00E43DA6">
        <w:rPr>
          <w:rFonts w:cs="Times New Roman"/>
        </w:rPr>
        <w:t xml:space="preserve">Ideology </w:t>
      </w:r>
      <w:r w:rsidR="00B2363A">
        <w:rPr>
          <w:rFonts w:cs="Times New Roman"/>
        </w:rPr>
        <w:t>m</w:t>
      </w:r>
      <w:r w:rsidR="000434ED" w:rsidRPr="00E43DA6">
        <w:rPr>
          <w:rFonts w:cs="Times New Roman"/>
        </w:rPr>
        <w:t xml:space="preserve">atters: Political </w:t>
      </w:r>
      <w:r w:rsidR="00B2363A">
        <w:rPr>
          <w:rFonts w:cs="Times New Roman"/>
        </w:rPr>
        <w:t>m</w:t>
      </w:r>
      <w:r w:rsidR="000434ED" w:rsidRPr="00E43DA6">
        <w:rPr>
          <w:rFonts w:cs="Times New Roman"/>
        </w:rPr>
        <w:t xml:space="preserve">achinations, </w:t>
      </w:r>
      <w:r w:rsidR="00B2363A">
        <w:rPr>
          <w:rFonts w:cs="Times New Roman"/>
        </w:rPr>
        <w:t>m</w:t>
      </w:r>
      <w:r w:rsidR="000434ED" w:rsidRPr="00E43DA6">
        <w:rPr>
          <w:rFonts w:cs="Times New Roman"/>
        </w:rPr>
        <w:t xml:space="preserve">odernism, and </w:t>
      </w:r>
      <w:r w:rsidR="00B2363A">
        <w:rPr>
          <w:rFonts w:cs="Times New Roman"/>
        </w:rPr>
        <w:t>m</w:t>
      </w:r>
      <w:r w:rsidR="000434ED" w:rsidRPr="00E43DA6">
        <w:rPr>
          <w:rFonts w:cs="Times New Roman"/>
        </w:rPr>
        <w:t xml:space="preserve">yopia in Rwanda’s </w:t>
      </w:r>
      <w:r w:rsidR="00B2363A">
        <w:rPr>
          <w:rFonts w:cs="Times New Roman"/>
        </w:rPr>
        <w:t>e</w:t>
      </w:r>
      <w:r w:rsidR="000434ED" w:rsidRPr="00E43DA6">
        <w:rPr>
          <w:rFonts w:cs="Times New Roman"/>
        </w:rPr>
        <w:t xml:space="preserve">lectricity </w:t>
      </w:r>
      <w:r w:rsidR="00B2363A">
        <w:rPr>
          <w:rFonts w:cs="Times New Roman"/>
        </w:rPr>
        <w:t>b</w:t>
      </w:r>
      <w:r w:rsidR="000434ED" w:rsidRPr="00E43DA6">
        <w:rPr>
          <w:rFonts w:cs="Times New Roman"/>
        </w:rPr>
        <w:t>oom</w:t>
      </w:r>
      <w:r w:rsidR="003F399E" w:rsidRPr="00E43DA6">
        <w:rPr>
          <w:rFonts w:cs="Times New Roman"/>
        </w:rPr>
        <w:t>’</w:t>
      </w:r>
      <w:r w:rsidR="00B2363A">
        <w:rPr>
          <w:rFonts w:cs="Times New Roman"/>
        </w:rPr>
        <w:t>.</w:t>
      </w:r>
      <w:r w:rsidR="00A0648E" w:rsidRPr="00E43DA6">
        <w:rPr>
          <w:rFonts w:cs="Times New Roman"/>
        </w:rPr>
        <w:t xml:space="preserve"> Rwanda is more comparable to Uganda, wh</w:t>
      </w:r>
      <w:r w:rsidR="00B2363A">
        <w:rPr>
          <w:rFonts w:cs="Times New Roman"/>
        </w:rPr>
        <w:t>ich</w:t>
      </w:r>
      <w:r w:rsidR="00590037" w:rsidRPr="00E43DA6">
        <w:rPr>
          <w:rFonts w:cs="Times New Roman"/>
        </w:rPr>
        <w:t xml:space="preserve"> </w:t>
      </w:r>
      <w:r w:rsidR="00A0648E" w:rsidRPr="00E43DA6">
        <w:rPr>
          <w:rFonts w:cs="Times New Roman"/>
        </w:rPr>
        <w:t>has successfully brought in private-sector finance for a major electricity expansion, although Kampala’s efforts are primarily focused on hydropower rather than Rwanda’s diversification</w:t>
      </w:r>
      <w:r w:rsidR="004F0E27">
        <w:rPr>
          <w:rFonts w:cs="Times New Roman"/>
        </w:rPr>
        <w:t xml:space="preserve"> (</w:t>
      </w:r>
      <w:r w:rsidR="004F0E27" w:rsidRPr="004F0E27">
        <w:rPr>
          <w:rFonts w:cs="Times New Roman"/>
        </w:rPr>
        <w:t xml:space="preserve">Christopher D. Gore, </w:t>
      </w:r>
      <w:r w:rsidR="004F0E27" w:rsidRPr="008E2316">
        <w:rPr>
          <w:rFonts w:cs="Times New Roman"/>
          <w:i/>
          <w:iCs/>
        </w:rPr>
        <w:t>Electricity in Africa: The politics of transformation in Uganda</w:t>
      </w:r>
      <w:r w:rsidR="004F0E27">
        <w:rPr>
          <w:rFonts w:cs="Times New Roman"/>
        </w:rPr>
        <w:t xml:space="preserve">, </w:t>
      </w:r>
      <w:r w:rsidR="004F0E27" w:rsidRPr="004F0E27">
        <w:rPr>
          <w:rFonts w:cs="Times New Roman"/>
        </w:rPr>
        <w:t>James Currey, Oxford, 2017</w:t>
      </w:r>
      <w:r w:rsidR="004F0E27">
        <w:rPr>
          <w:rFonts w:cs="Times New Roman"/>
        </w:rPr>
        <w:t>)</w:t>
      </w:r>
      <w:r w:rsidR="00A0648E" w:rsidRPr="00E43DA6">
        <w:rPr>
          <w:rFonts w:cs="Times New Roman"/>
        </w:rPr>
        <w:t>.</w:t>
      </w:r>
    </w:p>
  </w:footnote>
  <w:footnote w:id="68">
    <w:p w14:paraId="337459A9" w14:textId="37551885"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World Bank, </w:t>
      </w:r>
      <w:proofErr w:type="gramStart"/>
      <w:r w:rsidR="000434ED" w:rsidRPr="00E43DA6">
        <w:rPr>
          <w:rFonts w:cs="Times New Roman"/>
          <w:i/>
          <w:iCs/>
        </w:rPr>
        <w:t>Doing</w:t>
      </w:r>
      <w:proofErr w:type="gramEnd"/>
      <w:r w:rsidR="000434ED" w:rsidRPr="00E43DA6">
        <w:rPr>
          <w:rFonts w:cs="Times New Roman"/>
          <w:i/>
          <w:iCs/>
        </w:rPr>
        <w:t xml:space="preserve"> </w:t>
      </w:r>
      <w:r w:rsidR="00B2363A">
        <w:rPr>
          <w:rFonts w:cs="Times New Roman"/>
          <w:i/>
          <w:iCs/>
        </w:rPr>
        <w:t>b</w:t>
      </w:r>
      <w:r w:rsidR="000434ED" w:rsidRPr="00E43DA6">
        <w:rPr>
          <w:rFonts w:cs="Times New Roman"/>
          <w:i/>
          <w:iCs/>
        </w:rPr>
        <w:t xml:space="preserve">usiness 2018: Reforming to </w:t>
      </w:r>
      <w:r w:rsidR="00B2363A">
        <w:rPr>
          <w:rFonts w:cs="Times New Roman"/>
          <w:i/>
          <w:iCs/>
        </w:rPr>
        <w:t>c</w:t>
      </w:r>
      <w:r w:rsidR="000434ED" w:rsidRPr="00E43DA6">
        <w:rPr>
          <w:rFonts w:cs="Times New Roman"/>
          <w:i/>
          <w:iCs/>
        </w:rPr>
        <w:t xml:space="preserve">reate </w:t>
      </w:r>
      <w:r w:rsidR="00B2363A">
        <w:rPr>
          <w:rFonts w:cs="Times New Roman"/>
          <w:i/>
          <w:iCs/>
        </w:rPr>
        <w:t>j</w:t>
      </w:r>
      <w:r w:rsidR="000434ED" w:rsidRPr="00E43DA6">
        <w:rPr>
          <w:rFonts w:cs="Times New Roman"/>
          <w:i/>
          <w:iCs/>
        </w:rPr>
        <w:t>obs</w:t>
      </w:r>
      <w:r w:rsidR="000434ED" w:rsidRPr="00E43DA6">
        <w:rPr>
          <w:rFonts w:cs="Times New Roman"/>
        </w:rPr>
        <w:t xml:space="preserve"> (World Bank, </w:t>
      </w:r>
      <w:r w:rsidR="00EC0069" w:rsidRPr="00E43DA6">
        <w:rPr>
          <w:rFonts w:cs="Times New Roman"/>
        </w:rPr>
        <w:t xml:space="preserve">Washington, D.C, </w:t>
      </w:r>
      <w:r w:rsidR="000434ED" w:rsidRPr="00E43DA6">
        <w:rPr>
          <w:rFonts w:cs="Times New Roman"/>
        </w:rPr>
        <w:t xml:space="preserve">2018), </w:t>
      </w:r>
      <w:r w:rsidR="00EC0069" w:rsidRPr="00E43DA6">
        <w:rPr>
          <w:rFonts w:cs="Times New Roman"/>
        </w:rPr>
        <w:t>p.</w:t>
      </w:r>
      <w:r w:rsidR="000434ED" w:rsidRPr="00E43DA6">
        <w:rPr>
          <w:rFonts w:cs="Times New Roman"/>
        </w:rPr>
        <w:t>188.</w:t>
      </w:r>
    </w:p>
  </w:footnote>
  <w:footnote w:id="69">
    <w:p w14:paraId="11A0877B" w14:textId="0DCB638E"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5E4E75" w:rsidRPr="00E43DA6">
        <w:rPr>
          <w:rFonts w:cs="Times New Roman"/>
        </w:rPr>
        <w:t xml:space="preserve">World Bank, </w:t>
      </w:r>
      <w:r w:rsidR="000434ED" w:rsidRPr="00E43DA6">
        <w:rPr>
          <w:rFonts w:cs="Times New Roman"/>
          <w:i/>
          <w:iCs/>
        </w:rPr>
        <w:t xml:space="preserve">Making </w:t>
      </w:r>
      <w:r w:rsidR="00B2363A">
        <w:rPr>
          <w:rFonts w:cs="Times New Roman"/>
          <w:i/>
          <w:iCs/>
        </w:rPr>
        <w:t>p</w:t>
      </w:r>
      <w:r w:rsidR="000434ED" w:rsidRPr="00E43DA6">
        <w:rPr>
          <w:rFonts w:cs="Times New Roman"/>
          <w:i/>
          <w:iCs/>
        </w:rPr>
        <w:t xml:space="preserve">ower </w:t>
      </w:r>
      <w:r w:rsidR="00B2363A">
        <w:rPr>
          <w:rFonts w:cs="Times New Roman"/>
          <w:i/>
          <w:iCs/>
        </w:rPr>
        <w:t>a</w:t>
      </w:r>
      <w:r w:rsidR="000434ED" w:rsidRPr="00E43DA6">
        <w:rPr>
          <w:rFonts w:cs="Times New Roman"/>
          <w:i/>
          <w:iCs/>
        </w:rPr>
        <w:t xml:space="preserve">ffordable for Africa and </w:t>
      </w:r>
      <w:r w:rsidR="00B2363A">
        <w:rPr>
          <w:rFonts w:cs="Times New Roman"/>
          <w:i/>
          <w:iCs/>
        </w:rPr>
        <w:t>v</w:t>
      </w:r>
      <w:r w:rsidR="000434ED" w:rsidRPr="00E43DA6">
        <w:rPr>
          <w:rFonts w:cs="Times New Roman"/>
          <w:i/>
          <w:iCs/>
        </w:rPr>
        <w:t xml:space="preserve">iable for </w:t>
      </w:r>
      <w:r w:rsidR="00B2363A">
        <w:rPr>
          <w:rFonts w:cs="Times New Roman"/>
          <w:i/>
          <w:iCs/>
        </w:rPr>
        <w:t>i</w:t>
      </w:r>
      <w:r w:rsidR="000434ED" w:rsidRPr="00E43DA6">
        <w:rPr>
          <w:rFonts w:cs="Times New Roman"/>
          <w:i/>
          <w:iCs/>
        </w:rPr>
        <w:t xml:space="preserve">ts </w:t>
      </w:r>
      <w:r w:rsidR="00B2363A">
        <w:rPr>
          <w:rFonts w:cs="Times New Roman"/>
          <w:i/>
          <w:iCs/>
        </w:rPr>
        <w:t>u</w:t>
      </w:r>
      <w:r w:rsidR="000434ED" w:rsidRPr="00E43DA6">
        <w:rPr>
          <w:rFonts w:cs="Times New Roman"/>
          <w:i/>
          <w:iCs/>
        </w:rPr>
        <w:t>tilities</w:t>
      </w:r>
      <w:r w:rsidR="000434ED" w:rsidRPr="00E43DA6">
        <w:rPr>
          <w:rFonts w:cs="Times New Roman"/>
        </w:rPr>
        <w:t xml:space="preserve"> (World Bank,</w:t>
      </w:r>
      <w:r w:rsidR="005E4E75" w:rsidRPr="00E43DA6">
        <w:rPr>
          <w:rFonts w:cs="Times New Roman"/>
        </w:rPr>
        <w:t xml:space="preserve"> Washington D.C,</w:t>
      </w:r>
      <w:r w:rsidR="000434ED" w:rsidRPr="00E43DA6">
        <w:rPr>
          <w:rFonts w:cs="Times New Roman"/>
        </w:rPr>
        <w:t xml:space="preserve"> 2016), </w:t>
      </w:r>
      <w:r w:rsidR="005E4E75" w:rsidRPr="00E43DA6">
        <w:rPr>
          <w:rFonts w:cs="Times New Roman"/>
        </w:rPr>
        <w:t>p.</w:t>
      </w:r>
      <w:r w:rsidR="000434ED" w:rsidRPr="00E43DA6">
        <w:rPr>
          <w:rFonts w:cs="Times New Roman"/>
        </w:rPr>
        <w:t>21.</w:t>
      </w:r>
    </w:p>
  </w:footnote>
  <w:footnote w:id="70">
    <w:p w14:paraId="567A406A" w14:textId="10CC8FE9"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World Bank, </w:t>
      </w:r>
      <w:r w:rsidR="003F399E" w:rsidRPr="00E43DA6">
        <w:rPr>
          <w:rFonts w:cs="Times New Roman"/>
        </w:rPr>
        <w:t>‘</w:t>
      </w:r>
      <w:r w:rsidR="000434ED" w:rsidRPr="00E43DA6">
        <w:rPr>
          <w:rFonts w:cs="Times New Roman"/>
        </w:rPr>
        <w:t xml:space="preserve">Rwanda - </w:t>
      </w:r>
      <w:r w:rsidR="00B2363A">
        <w:rPr>
          <w:rFonts w:cs="Times New Roman"/>
        </w:rPr>
        <w:t>e</w:t>
      </w:r>
      <w:r w:rsidR="000434ED" w:rsidRPr="00E43DA6">
        <w:rPr>
          <w:rFonts w:cs="Times New Roman"/>
        </w:rPr>
        <w:t xml:space="preserve">nergy </w:t>
      </w:r>
      <w:r w:rsidR="00B2363A">
        <w:rPr>
          <w:rFonts w:cs="Times New Roman"/>
        </w:rPr>
        <w:t>s</w:t>
      </w:r>
      <w:r w:rsidR="000434ED" w:rsidRPr="00E43DA6">
        <w:rPr>
          <w:rFonts w:cs="Times New Roman"/>
        </w:rPr>
        <w:t xml:space="preserve">ector </w:t>
      </w:r>
      <w:r w:rsidR="00B2363A">
        <w:rPr>
          <w:rFonts w:cs="Times New Roman"/>
        </w:rPr>
        <w:t>d</w:t>
      </w:r>
      <w:r w:rsidR="000434ED" w:rsidRPr="00E43DA6">
        <w:rPr>
          <w:rFonts w:cs="Times New Roman"/>
        </w:rPr>
        <w:t xml:space="preserve">evelopment </w:t>
      </w:r>
      <w:r w:rsidR="00B2363A">
        <w:rPr>
          <w:rFonts w:cs="Times New Roman"/>
        </w:rPr>
        <w:t>p</w:t>
      </w:r>
      <w:r w:rsidR="000434ED" w:rsidRPr="00E43DA6">
        <w:rPr>
          <w:rFonts w:cs="Times New Roman"/>
        </w:rPr>
        <w:t xml:space="preserve">olicy </w:t>
      </w:r>
      <w:r w:rsidR="00B2363A">
        <w:rPr>
          <w:rFonts w:cs="Times New Roman"/>
        </w:rPr>
        <w:t>l</w:t>
      </w:r>
      <w:r w:rsidR="000434ED" w:rsidRPr="00E43DA6">
        <w:rPr>
          <w:rFonts w:cs="Times New Roman"/>
        </w:rPr>
        <w:t xml:space="preserve">oan </w:t>
      </w:r>
      <w:r w:rsidR="00B2363A">
        <w:rPr>
          <w:rFonts w:cs="Times New Roman"/>
        </w:rPr>
        <w:t>p</w:t>
      </w:r>
      <w:r w:rsidR="000434ED" w:rsidRPr="00E43DA6">
        <w:rPr>
          <w:rFonts w:cs="Times New Roman"/>
        </w:rPr>
        <w:t>roject,</w:t>
      </w:r>
      <w:r w:rsidR="003F399E" w:rsidRPr="00E43DA6">
        <w:rPr>
          <w:rFonts w:cs="Times New Roman"/>
        </w:rPr>
        <w:t>’</w:t>
      </w:r>
      <w:r w:rsidR="000434ED" w:rsidRPr="00E43DA6">
        <w:rPr>
          <w:rFonts w:cs="Times New Roman"/>
        </w:rPr>
        <w:t xml:space="preserve"> </w:t>
      </w:r>
      <w:r w:rsidR="005E4E75" w:rsidRPr="00E43DA6">
        <w:rPr>
          <w:rFonts w:cs="Times New Roman"/>
        </w:rPr>
        <w:t>p.</w:t>
      </w:r>
      <w:r w:rsidR="000434ED" w:rsidRPr="00E43DA6">
        <w:rPr>
          <w:rFonts w:cs="Times New Roman"/>
        </w:rPr>
        <w:t>19.</w:t>
      </w:r>
    </w:p>
  </w:footnote>
  <w:footnote w:id="71">
    <w:p w14:paraId="2B060E55" w14:textId="77777777"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Author’s calculation in 2018 US dollars, based on adjusted exchange rates of the residential tariffs (42RwF/kWh in 2004) and for the 15–50 kWh tariff in 2018 (182 </w:t>
      </w:r>
      <w:proofErr w:type="spellStart"/>
      <w:r w:rsidRPr="00E43DA6">
        <w:rPr>
          <w:rFonts w:cs="Times New Roman"/>
        </w:rPr>
        <w:t>RwF</w:t>
      </w:r>
      <w:proofErr w:type="spellEnd"/>
      <w:r w:rsidRPr="00E43DA6">
        <w:rPr>
          <w:rFonts w:cs="Times New Roman"/>
        </w:rPr>
        <w:t>/kWh).</w:t>
      </w:r>
    </w:p>
  </w:footnote>
  <w:footnote w:id="72">
    <w:p w14:paraId="6E3FA982" w14:textId="12B99B8A"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t>
      </w:r>
      <w:r w:rsidR="00B2363A">
        <w:rPr>
          <w:rFonts w:cs="Times New Roman"/>
        </w:rPr>
        <w:t>s</w:t>
      </w:r>
      <w:r w:rsidRPr="00E43DA6">
        <w:rPr>
          <w:rFonts w:cs="Times New Roman"/>
        </w:rPr>
        <w:t xml:space="preserve">enior government official, Kigali, </w:t>
      </w:r>
      <w:r w:rsidR="00B2363A">
        <w:rPr>
          <w:rFonts w:cs="Times New Roman"/>
        </w:rPr>
        <w:t xml:space="preserve">Rwanda, </w:t>
      </w:r>
      <w:r w:rsidRPr="00E43DA6">
        <w:rPr>
          <w:rFonts w:cs="Times New Roman"/>
        </w:rPr>
        <w:t>2015</w:t>
      </w:r>
    </w:p>
  </w:footnote>
  <w:footnote w:id="73">
    <w:p w14:paraId="1B56E201" w14:textId="0829D565"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World Bank and Rwanda Development Board, </w:t>
      </w:r>
      <w:r w:rsidR="003F399E" w:rsidRPr="00E43DA6">
        <w:rPr>
          <w:rFonts w:cs="Times New Roman"/>
        </w:rPr>
        <w:t>‘</w:t>
      </w:r>
      <w:r w:rsidR="000434ED" w:rsidRPr="00E43DA6">
        <w:rPr>
          <w:rFonts w:cs="Times New Roman"/>
        </w:rPr>
        <w:t xml:space="preserve">Rwanda </w:t>
      </w:r>
      <w:r w:rsidR="00B2363A">
        <w:rPr>
          <w:rFonts w:cs="Times New Roman"/>
        </w:rPr>
        <w:t>i</w:t>
      </w:r>
      <w:r w:rsidR="000434ED" w:rsidRPr="00E43DA6">
        <w:rPr>
          <w:rFonts w:cs="Times New Roman"/>
        </w:rPr>
        <w:t xml:space="preserve">nvestor </w:t>
      </w:r>
      <w:r w:rsidR="00B2363A">
        <w:rPr>
          <w:rFonts w:cs="Times New Roman"/>
        </w:rPr>
        <w:t>p</w:t>
      </w:r>
      <w:r w:rsidR="000434ED" w:rsidRPr="00E43DA6">
        <w:rPr>
          <w:rFonts w:cs="Times New Roman"/>
        </w:rPr>
        <w:t xml:space="preserve">erceptions </w:t>
      </w:r>
      <w:r w:rsidR="00B2363A">
        <w:rPr>
          <w:rFonts w:cs="Times New Roman"/>
        </w:rPr>
        <w:t>s</w:t>
      </w:r>
      <w:r w:rsidR="000434ED" w:rsidRPr="00E43DA6">
        <w:rPr>
          <w:rFonts w:cs="Times New Roman"/>
        </w:rPr>
        <w:t>urvey 2018</w:t>
      </w:r>
      <w:r w:rsidR="003F399E" w:rsidRPr="00E43DA6">
        <w:rPr>
          <w:rFonts w:cs="Times New Roman"/>
        </w:rPr>
        <w:t>’</w:t>
      </w:r>
      <w:r w:rsidR="000434ED" w:rsidRPr="00E43DA6">
        <w:rPr>
          <w:rFonts w:cs="Times New Roman"/>
        </w:rPr>
        <w:t xml:space="preserve"> (</w:t>
      </w:r>
      <w:r w:rsidR="005E4E75" w:rsidRPr="00E43DA6">
        <w:rPr>
          <w:rFonts w:cs="Times New Roman"/>
        </w:rPr>
        <w:t xml:space="preserve">World Bank, </w:t>
      </w:r>
      <w:r w:rsidR="000434ED" w:rsidRPr="00E43DA6">
        <w:rPr>
          <w:rFonts w:cs="Times New Roman"/>
        </w:rPr>
        <w:t xml:space="preserve">Kigali, 2018), </w:t>
      </w:r>
      <w:r w:rsidR="005E4E75" w:rsidRPr="00E43DA6">
        <w:rPr>
          <w:rFonts w:cs="Times New Roman"/>
        </w:rPr>
        <w:t xml:space="preserve">p. </w:t>
      </w:r>
      <w:r w:rsidR="000434ED" w:rsidRPr="00E43DA6">
        <w:rPr>
          <w:rFonts w:cs="Times New Roman"/>
        </w:rPr>
        <w:t>46.</w:t>
      </w:r>
    </w:p>
  </w:footnote>
  <w:footnote w:id="74">
    <w:p w14:paraId="6F290AEA" w14:textId="02ED60CC"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Interviews with </w:t>
      </w:r>
      <w:r w:rsidR="003C1D66">
        <w:rPr>
          <w:rFonts w:cs="Times New Roman"/>
        </w:rPr>
        <w:t xml:space="preserve">Western </w:t>
      </w:r>
      <w:r w:rsidRPr="00E43DA6">
        <w:rPr>
          <w:rFonts w:cs="Times New Roman"/>
        </w:rPr>
        <w:t>donors and consultants, 2013–18, and with a former senior official 2014</w:t>
      </w:r>
      <w:r w:rsidR="00B2363A">
        <w:rPr>
          <w:rFonts w:cs="Times New Roman"/>
        </w:rPr>
        <w:t>, Kigali, Rwanda</w:t>
      </w:r>
      <w:r w:rsidRPr="00E43DA6">
        <w:rPr>
          <w:rFonts w:cs="Times New Roman"/>
        </w:rPr>
        <w:t>.</w:t>
      </w:r>
    </w:p>
  </w:footnote>
  <w:footnote w:id="75">
    <w:p w14:paraId="3F4ED3A8" w14:textId="0EDC10E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Ministry of Infrastructure Republic of Rwanda, </w:t>
      </w:r>
      <w:r w:rsidR="003F399E" w:rsidRPr="00E43DA6">
        <w:rPr>
          <w:rFonts w:cs="Times New Roman"/>
        </w:rPr>
        <w:t>‘</w:t>
      </w:r>
      <w:r w:rsidR="000434ED" w:rsidRPr="00E43DA6">
        <w:rPr>
          <w:rFonts w:cs="Times New Roman"/>
        </w:rPr>
        <w:t xml:space="preserve">National </w:t>
      </w:r>
      <w:r w:rsidR="00B2363A">
        <w:rPr>
          <w:rFonts w:cs="Times New Roman"/>
        </w:rPr>
        <w:t>e</w:t>
      </w:r>
      <w:r w:rsidR="000434ED" w:rsidRPr="00E43DA6">
        <w:rPr>
          <w:rFonts w:cs="Times New Roman"/>
        </w:rPr>
        <w:t xml:space="preserve">nergy </w:t>
      </w:r>
      <w:r w:rsidR="00B2363A">
        <w:rPr>
          <w:rFonts w:cs="Times New Roman"/>
        </w:rPr>
        <w:t>p</w:t>
      </w:r>
      <w:r w:rsidR="000434ED" w:rsidRPr="00E43DA6">
        <w:rPr>
          <w:rFonts w:cs="Times New Roman"/>
        </w:rPr>
        <w:t xml:space="preserve">olicy and </w:t>
      </w:r>
      <w:r w:rsidR="00B2363A">
        <w:rPr>
          <w:rFonts w:cs="Times New Roman"/>
        </w:rPr>
        <w:t>n</w:t>
      </w:r>
      <w:r w:rsidR="000434ED" w:rsidRPr="00E43DA6">
        <w:rPr>
          <w:rFonts w:cs="Times New Roman"/>
        </w:rPr>
        <w:t xml:space="preserve">ational </w:t>
      </w:r>
      <w:r w:rsidR="00B2363A">
        <w:rPr>
          <w:rFonts w:cs="Times New Roman"/>
        </w:rPr>
        <w:t>e</w:t>
      </w:r>
      <w:r w:rsidR="000434ED" w:rsidRPr="00E43DA6">
        <w:rPr>
          <w:rFonts w:cs="Times New Roman"/>
        </w:rPr>
        <w:t xml:space="preserve">nergy </w:t>
      </w:r>
      <w:r w:rsidR="00B2363A">
        <w:rPr>
          <w:rFonts w:cs="Times New Roman"/>
        </w:rPr>
        <w:t>s</w:t>
      </w:r>
      <w:r w:rsidR="000434ED" w:rsidRPr="00E43DA6">
        <w:rPr>
          <w:rFonts w:cs="Times New Roman"/>
        </w:rPr>
        <w:t>trategy 2013-2014</w:t>
      </w:r>
      <w:r w:rsidR="003F399E" w:rsidRPr="00E43DA6">
        <w:rPr>
          <w:rFonts w:cs="Times New Roman"/>
        </w:rPr>
        <w:t>’</w:t>
      </w:r>
      <w:r w:rsidR="000434ED" w:rsidRPr="00E43DA6">
        <w:rPr>
          <w:rFonts w:cs="Times New Roman"/>
        </w:rPr>
        <w:t xml:space="preserve"> (The Government of Rwanda, </w:t>
      </w:r>
      <w:r w:rsidR="005E4E75" w:rsidRPr="00E43DA6">
        <w:rPr>
          <w:rFonts w:cs="Times New Roman"/>
        </w:rPr>
        <w:t xml:space="preserve">Kigali, </w:t>
      </w:r>
      <w:r w:rsidR="000434ED" w:rsidRPr="00E43DA6">
        <w:rPr>
          <w:rFonts w:cs="Times New Roman"/>
        </w:rPr>
        <w:t xml:space="preserve">2013); Ministry of Infrastructure Republic of Rwanda, </w:t>
      </w:r>
      <w:r w:rsidR="003F399E" w:rsidRPr="00E43DA6">
        <w:rPr>
          <w:rFonts w:cs="Times New Roman"/>
        </w:rPr>
        <w:t>‘</w:t>
      </w:r>
      <w:r w:rsidR="000434ED" w:rsidRPr="00E43DA6">
        <w:rPr>
          <w:rFonts w:cs="Times New Roman"/>
        </w:rPr>
        <w:t xml:space="preserve">National </w:t>
      </w:r>
      <w:r w:rsidR="00B2363A">
        <w:rPr>
          <w:rFonts w:cs="Times New Roman"/>
        </w:rPr>
        <w:t>e</w:t>
      </w:r>
      <w:r w:rsidR="000434ED" w:rsidRPr="00E43DA6">
        <w:rPr>
          <w:rFonts w:cs="Times New Roman"/>
        </w:rPr>
        <w:t xml:space="preserve">nergy </w:t>
      </w:r>
      <w:r w:rsidR="00B2363A">
        <w:rPr>
          <w:rFonts w:cs="Times New Roman"/>
        </w:rPr>
        <w:t>p</w:t>
      </w:r>
      <w:r w:rsidR="000434ED" w:rsidRPr="00E43DA6">
        <w:rPr>
          <w:rFonts w:cs="Times New Roman"/>
        </w:rPr>
        <w:t xml:space="preserve">olicy and </w:t>
      </w:r>
      <w:r w:rsidR="00B2363A">
        <w:rPr>
          <w:rFonts w:cs="Times New Roman"/>
        </w:rPr>
        <w:t>s</w:t>
      </w:r>
      <w:r w:rsidR="000434ED" w:rsidRPr="00E43DA6">
        <w:rPr>
          <w:rFonts w:cs="Times New Roman"/>
        </w:rPr>
        <w:t>trategy</w:t>
      </w:r>
      <w:r w:rsidR="003F399E" w:rsidRPr="00E43DA6">
        <w:rPr>
          <w:rFonts w:cs="Times New Roman"/>
        </w:rPr>
        <w:t>’</w:t>
      </w:r>
      <w:r w:rsidR="000434ED" w:rsidRPr="00E43DA6">
        <w:rPr>
          <w:rFonts w:cs="Times New Roman"/>
        </w:rPr>
        <w:t xml:space="preserve"> (The Government of Rwanda, </w:t>
      </w:r>
      <w:r w:rsidR="005E4E75" w:rsidRPr="00E43DA6">
        <w:rPr>
          <w:rFonts w:cs="Times New Roman"/>
        </w:rPr>
        <w:t xml:space="preserve">Kigali, </w:t>
      </w:r>
      <w:r w:rsidR="000434ED" w:rsidRPr="00E43DA6">
        <w:rPr>
          <w:rFonts w:cs="Times New Roman"/>
        </w:rPr>
        <w:t>2011).</w:t>
      </w:r>
    </w:p>
  </w:footnote>
  <w:footnote w:id="76">
    <w:p w14:paraId="71DD668D" w14:textId="627E5DFE"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B2363A">
        <w:rPr>
          <w:rFonts w:cs="Times New Roman"/>
        </w:rPr>
        <w:t xml:space="preserve">On </w:t>
      </w:r>
      <w:r w:rsidRPr="00E43DA6">
        <w:rPr>
          <w:rFonts w:cs="Times New Roman"/>
        </w:rPr>
        <w:t>Uganda</w:t>
      </w:r>
      <w:r w:rsidR="00B2363A">
        <w:rPr>
          <w:rFonts w:cs="Times New Roman"/>
        </w:rPr>
        <w:t>, see</w:t>
      </w:r>
      <w:r w:rsidRPr="00E43DA6">
        <w:rPr>
          <w:rFonts w:cs="Times New Roman"/>
        </w:rPr>
        <w:t xml:space="preserve"> </w:t>
      </w:r>
      <w:r w:rsidR="000434ED" w:rsidRPr="00E43DA6">
        <w:rPr>
          <w:rFonts w:cs="Times New Roman"/>
        </w:rPr>
        <w:t xml:space="preserve">Gore, </w:t>
      </w:r>
      <w:r w:rsidR="000434ED" w:rsidRPr="00E43DA6">
        <w:rPr>
          <w:rFonts w:cs="Times New Roman"/>
          <w:i/>
          <w:iCs/>
        </w:rPr>
        <w:t>Electricity in Africa</w:t>
      </w:r>
      <w:r w:rsidR="00B2363A">
        <w:rPr>
          <w:rFonts w:cs="Times New Roman"/>
        </w:rPr>
        <w:t>, on Kenya, see</w:t>
      </w:r>
      <w:r w:rsidRPr="00E43DA6">
        <w:rPr>
          <w:rFonts w:cs="Times New Roman"/>
        </w:rPr>
        <w:t xml:space="preserve"> </w:t>
      </w:r>
      <w:r w:rsidR="000434ED" w:rsidRPr="00E43DA6">
        <w:rPr>
          <w:rFonts w:cs="Times New Roman"/>
        </w:rPr>
        <w:t xml:space="preserve">Britta </w:t>
      </w:r>
      <w:proofErr w:type="spellStart"/>
      <w:r w:rsidR="000434ED" w:rsidRPr="00E43DA6">
        <w:rPr>
          <w:rFonts w:cs="Times New Roman"/>
        </w:rPr>
        <w:t>Klagge</w:t>
      </w:r>
      <w:proofErr w:type="spellEnd"/>
      <w:r w:rsidR="000434ED" w:rsidRPr="00E43DA6">
        <w:rPr>
          <w:rFonts w:cs="Times New Roman"/>
        </w:rPr>
        <w:t xml:space="preserve"> et al., </w:t>
      </w:r>
      <w:r w:rsidR="003F399E" w:rsidRPr="00E43DA6">
        <w:rPr>
          <w:rFonts w:cs="Times New Roman"/>
        </w:rPr>
        <w:t>‘</w:t>
      </w:r>
      <w:r w:rsidR="000434ED" w:rsidRPr="00E43DA6">
        <w:rPr>
          <w:rFonts w:cs="Times New Roman"/>
        </w:rPr>
        <w:t>Cross-</w:t>
      </w:r>
      <w:r w:rsidR="00B2363A">
        <w:rPr>
          <w:rFonts w:cs="Times New Roman"/>
        </w:rPr>
        <w:t>s</w:t>
      </w:r>
      <w:r w:rsidR="000434ED" w:rsidRPr="00E43DA6">
        <w:rPr>
          <w:rFonts w:cs="Times New Roman"/>
        </w:rPr>
        <w:t xml:space="preserve">cale </w:t>
      </w:r>
      <w:r w:rsidR="00B2363A">
        <w:rPr>
          <w:rFonts w:cs="Times New Roman"/>
        </w:rPr>
        <w:t>l</w:t>
      </w:r>
      <w:r w:rsidR="000434ED" w:rsidRPr="00E43DA6">
        <w:rPr>
          <w:rFonts w:cs="Times New Roman"/>
        </w:rPr>
        <w:t xml:space="preserve">inkages of </w:t>
      </w:r>
      <w:r w:rsidR="00B2363A">
        <w:rPr>
          <w:rFonts w:cs="Times New Roman"/>
        </w:rPr>
        <w:t>c</w:t>
      </w:r>
      <w:r w:rsidR="000434ED" w:rsidRPr="00E43DA6">
        <w:rPr>
          <w:rFonts w:cs="Times New Roman"/>
        </w:rPr>
        <w:t xml:space="preserve">entralized </w:t>
      </w:r>
      <w:r w:rsidR="00B2363A">
        <w:rPr>
          <w:rFonts w:cs="Times New Roman"/>
        </w:rPr>
        <w:t>e</w:t>
      </w:r>
      <w:r w:rsidR="000434ED" w:rsidRPr="00E43DA6">
        <w:rPr>
          <w:rFonts w:cs="Times New Roman"/>
        </w:rPr>
        <w:t xml:space="preserve">lectricity </w:t>
      </w:r>
      <w:r w:rsidR="00B2363A">
        <w:rPr>
          <w:rFonts w:cs="Times New Roman"/>
        </w:rPr>
        <w:t>g</w:t>
      </w:r>
      <w:r w:rsidR="000434ED" w:rsidRPr="00E43DA6">
        <w:rPr>
          <w:rFonts w:cs="Times New Roman"/>
        </w:rPr>
        <w:t xml:space="preserve">eneration: Geothermal </w:t>
      </w:r>
      <w:r w:rsidR="00B2363A">
        <w:rPr>
          <w:rFonts w:cs="Times New Roman"/>
        </w:rPr>
        <w:t>d</w:t>
      </w:r>
      <w:r w:rsidR="000434ED" w:rsidRPr="00E43DA6">
        <w:rPr>
          <w:rFonts w:cs="Times New Roman"/>
        </w:rPr>
        <w:t xml:space="preserve">evelopment and </w:t>
      </w:r>
      <w:r w:rsidR="00B2363A">
        <w:rPr>
          <w:rFonts w:cs="Times New Roman"/>
        </w:rPr>
        <w:t>i</w:t>
      </w:r>
      <w:r w:rsidR="000434ED" w:rsidRPr="00E43DA6">
        <w:rPr>
          <w:rFonts w:cs="Times New Roman"/>
        </w:rPr>
        <w:t>nvestor–</w:t>
      </w:r>
      <w:r w:rsidR="00B2363A">
        <w:rPr>
          <w:rFonts w:cs="Times New Roman"/>
        </w:rPr>
        <w:t>c</w:t>
      </w:r>
      <w:r w:rsidR="000434ED" w:rsidRPr="00E43DA6">
        <w:rPr>
          <w:rFonts w:cs="Times New Roman"/>
        </w:rPr>
        <w:t xml:space="preserve">ommunity </w:t>
      </w:r>
      <w:r w:rsidR="00B2363A">
        <w:rPr>
          <w:rFonts w:cs="Times New Roman"/>
        </w:rPr>
        <w:t>r</w:t>
      </w:r>
      <w:r w:rsidR="000434ED" w:rsidRPr="00E43DA6">
        <w:rPr>
          <w:rFonts w:cs="Times New Roman"/>
        </w:rPr>
        <w:t>elations in Kenya</w:t>
      </w:r>
      <w:r w:rsidR="003F399E" w:rsidRPr="00E43DA6">
        <w:rPr>
          <w:rFonts w:cs="Times New Roman"/>
        </w:rPr>
        <w:t>’</w:t>
      </w:r>
      <w:r w:rsidR="000434ED" w:rsidRPr="00E43DA6">
        <w:rPr>
          <w:rFonts w:cs="Times New Roman"/>
        </w:rPr>
        <w:t xml:space="preserve"> </w:t>
      </w:r>
      <w:r w:rsidR="000434ED" w:rsidRPr="00E43DA6">
        <w:rPr>
          <w:rFonts w:cs="Times New Roman"/>
          <w:i/>
          <w:iCs/>
        </w:rPr>
        <w:t>Politics and Governance</w:t>
      </w:r>
      <w:r w:rsidR="000434ED" w:rsidRPr="00E43DA6">
        <w:rPr>
          <w:rFonts w:cs="Times New Roman"/>
        </w:rPr>
        <w:t xml:space="preserve"> 8, 3 (2020)</w:t>
      </w:r>
      <w:r w:rsidR="00B2363A">
        <w:rPr>
          <w:rFonts w:cs="Times New Roman"/>
        </w:rPr>
        <w:t>,</w:t>
      </w:r>
      <w:r w:rsidR="000434ED" w:rsidRPr="00E43DA6">
        <w:rPr>
          <w:rFonts w:cs="Times New Roman"/>
        </w:rPr>
        <w:t xml:space="preserve"> </w:t>
      </w:r>
      <w:r w:rsidR="005E4E75" w:rsidRPr="00E43DA6">
        <w:rPr>
          <w:rFonts w:cs="Times New Roman"/>
        </w:rPr>
        <w:t>pp.</w:t>
      </w:r>
      <w:r w:rsidR="00B2363A">
        <w:rPr>
          <w:rFonts w:cs="Times New Roman"/>
        </w:rPr>
        <w:t xml:space="preserve"> </w:t>
      </w:r>
      <w:r w:rsidR="000434ED" w:rsidRPr="00E43DA6">
        <w:rPr>
          <w:rFonts w:cs="Times New Roman"/>
        </w:rPr>
        <w:t>211–22</w:t>
      </w:r>
      <w:r w:rsidR="00B2363A">
        <w:rPr>
          <w:rFonts w:cs="Times New Roman"/>
        </w:rPr>
        <w:t>, on</w:t>
      </w:r>
      <w:r w:rsidRPr="00E43DA6">
        <w:rPr>
          <w:rFonts w:cs="Times New Roman"/>
        </w:rPr>
        <w:t xml:space="preserve"> Tanzania</w:t>
      </w:r>
      <w:r w:rsidR="00B2363A">
        <w:rPr>
          <w:rFonts w:cs="Times New Roman"/>
        </w:rPr>
        <w:t>, see</w:t>
      </w:r>
      <w:r w:rsidRPr="00E43DA6">
        <w:rPr>
          <w:rFonts w:cs="Times New Roman"/>
        </w:rPr>
        <w:t xml:space="preserve"> </w:t>
      </w:r>
      <w:r w:rsidR="000434ED" w:rsidRPr="00E43DA6">
        <w:rPr>
          <w:rFonts w:cs="Times New Roman"/>
        </w:rPr>
        <w:t xml:space="preserve">Barnaby Joseph Dye, </w:t>
      </w:r>
      <w:r w:rsidR="003F399E" w:rsidRPr="00E43DA6">
        <w:rPr>
          <w:rFonts w:cs="Times New Roman"/>
        </w:rPr>
        <w:t>‘</w:t>
      </w:r>
      <w:r w:rsidR="000434ED" w:rsidRPr="00E43DA6">
        <w:rPr>
          <w:rFonts w:cs="Times New Roman"/>
        </w:rPr>
        <w:t xml:space="preserve">Unpacking </w:t>
      </w:r>
      <w:r w:rsidR="00B2363A">
        <w:rPr>
          <w:rFonts w:cs="Times New Roman"/>
        </w:rPr>
        <w:t>a</w:t>
      </w:r>
      <w:r w:rsidR="000434ED" w:rsidRPr="00E43DA6">
        <w:rPr>
          <w:rFonts w:cs="Times New Roman"/>
        </w:rPr>
        <w:t xml:space="preserve">uthoritarian </w:t>
      </w:r>
      <w:r w:rsidR="00B2363A">
        <w:rPr>
          <w:rFonts w:cs="Times New Roman"/>
        </w:rPr>
        <w:t>g</w:t>
      </w:r>
      <w:r w:rsidR="000434ED" w:rsidRPr="00E43DA6">
        <w:rPr>
          <w:rFonts w:cs="Times New Roman"/>
        </w:rPr>
        <w:t xml:space="preserve">overnance in </w:t>
      </w:r>
      <w:r w:rsidR="00B2363A">
        <w:rPr>
          <w:rFonts w:cs="Times New Roman"/>
        </w:rPr>
        <w:t>e</w:t>
      </w:r>
      <w:r w:rsidR="000434ED" w:rsidRPr="00E43DA6">
        <w:rPr>
          <w:rFonts w:cs="Times New Roman"/>
        </w:rPr>
        <w:t xml:space="preserve">lectricity </w:t>
      </w:r>
      <w:r w:rsidR="00B2363A">
        <w:rPr>
          <w:rFonts w:cs="Times New Roman"/>
        </w:rPr>
        <w:t>p</w:t>
      </w:r>
      <w:r w:rsidR="000434ED" w:rsidRPr="00E43DA6">
        <w:rPr>
          <w:rFonts w:cs="Times New Roman"/>
        </w:rPr>
        <w:t xml:space="preserve">olicy: Understanding </w:t>
      </w:r>
      <w:r w:rsidR="00B2363A">
        <w:rPr>
          <w:rFonts w:cs="Times New Roman"/>
        </w:rPr>
        <w:t>p</w:t>
      </w:r>
      <w:r w:rsidR="000434ED" w:rsidRPr="00E43DA6">
        <w:rPr>
          <w:rFonts w:cs="Times New Roman"/>
        </w:rPr>
        <w:t xml:space="preserve">rogress, </w:t>
      </w:r>
      <w:r w:rsidR="00B2363A">
        <w:rPr>
          <w:rFonts w:cs="Times New Roman"/>
        </w:rPr>
        <w:t>i</w:t>
      </w:r>
      <w:r w:rsidR="000434ED" w:rsidRPr="00E43DA6">
        <w:rPr>
          <w:rFonts w:cs="Times New Roman"/>
        </w:rPr>
        <w:t xml:space="preserve">nconsistency and </w:t>
      </w:r>
      <w:r w:rsidR="00B2363A">
        <w:rPr>
          <w:rFonts w:cs="Times New Roman"/>
        </w:rPr>
        <w:t>s</w:t>
      </w:r>
      <w:r w:rsidR="000434ED" w:rsidRPr="00E43DA6">
        <w:rPr>
          <w:rFonts w:cs="Times New Roman"/>
        </w:rPr>
        <w:t>tagnation in Tanzania</w:t>
      </w:r>
      <w:r w:rsidR="003F399E" w:rsidRPr="00E43DA6">
        <w:rPr>
          <w:rFonts w:cs="Times New Roman"/>
        </w:rPr>
        <w:t>’</w:t>
      </w:r>
      <w:r w:rsidR="00B2363A">
        <w:rPr>
          <w:rFonts w:cs="Times New Roman"/>
        </w:rPr>
        <w:t>,</w:t>
      </w:r>
      <w:r w:rsidR="000434ED" w:rsidRPr="00E43DA6">
        <w:rPr>
          <w:rFonts w:cs="Times New Roman"/>
        </w:rPr>
        <w:t xml:space="preserve"> </w:t>
      </w:r>
      <w:r w:rsidR="000434ED" w:rsidRPr="00E43DA6">
        <w:rPr>
          <w:rFonts w:cs="Times New Roman"/>
          <w:i/>
          <w:iCs/>
        </w:rPr>
        <w:t>Energy Research &amp; Social Science</w:t>
      </w:r>
      <w:r w:rsidR="000434ED" w:rsidRPr="00E43DA6">
        <w:rPr>
          <w:rFonts w:cs="Times New Roman"/>
        </w:rPr>
        <w:t xml:space="preserve"> 80</w:t>
      </w:r>
      <w:r w:rsidR="006B2577" w:rsidRPr="00E43DA6">
        <w:rPr>
          <w:rFonts w:cs="Times New Roman"/>
        </w:rPr>
        <w:t xml:space="preserve">, 102209 </w:t>
      </w:r>
      <w:r w:rsidR="000434ED" w:rsidRPr="00E43DA6">
        <w:rPr>
          <w:rFonts w:cs="Times New Roman"/>
        </w:rPr>
        <w:t>(2021)</w:t>
      </w:r>
      <w:r w:rsidR="006B2577" w:rsidRPr="00E43DA6">
        <w:rPr>
          <w:rFonts w:cs="Times New Roman"/>
        </w:rPr>
        <w:t>.</w:t>
      </w:r>
    </w:p>
  </w:footnote>
  <w:footnote w:id="77">
    <w:p w14:paraId="7FFC064B" w14:textId="3F5100FB" w:rsidR="002C6CB0" w:rsidRPr="00E43DA6" w:rsidRDefault="002C6CB0" w:rsidP="00E43DA6">
      <w:pPr>
        <w:pStyle w:val="FootnoteText"/>
        <w:jc w:val="both"/>
        <w:rPr>
          <w:rFonts w:cs="Times New Roman"/>
        </w:rPr>
      </w:pPr>
      <w:r w:rsidRPr="00DE49DD">
        <w:rPr>
          <w:rStyle w:val="FootnoteReference"/>
          <w:rFonts w:cs="Times New Roman"/>
        </w:rPr>
        <w:footnoteRef/>
      </w:r>
      <w:r w:rsidRPr="00DE49DD">
        <w:rPr>
          <w:rFonts w:cs="Times New Roman"/>
        </w:rPr>
        <w:t xml:space="preserve"> </w:t>
      </w:r>
      <w:r w:rsidR="000434ED" w:rsidRPr="00DE49DD">
        <w:rPr>
          <w:rFonts w:cs="Times New Roman"/>
        </w:rPr>
        <w:t xml:space="preserve">Republic of Rwanda, </w:t>
      </w:r>
      <w:r w:rsidR="003F399E" w:rsidRPr="00DE49DD">
        <w:rPr>
          <w:rFonts w:cs="Times New Roman"/>
        </w:rPr>
        <w:t>‘</w:t>
      </w:r>
      <w:r w:rsidR="000434ED" w:rsidRPr="00DE49DD">
        <w:rPr>
          <w:rFonts w:cs="Times New Roman"/>
        </w:rPr>
        <w:t xml:space="preserve">National </w:t>
      </w:r>
      <w:r w:rsidR="00B2363A">
        <w:rPr>
          <w:rFonts w:cs="Times New Roman"/>
        </w:rPr>
        <w:t>e</w:t>
      </w:r>
      <w:r w:rsidR="000434ED" w:rsidRPr="00DE49DD">
        <w:rPr>
          <w:rFonts w:cs="Times New Roman"/>
        </w:rPr>
        <w:t xml:space="preserve">nergy </w:t>
      </w:r>
      <w:r w:rsidR="00B2363A">
        <w:rPr>
          <w:rFonts w:cs="Times New Roman"/>
        </w:rPr>
        <w:t>p</w:t>
      </w:r>
      <w:r w:rsidR="000434ED" w:rsidRPr="00DE49DD">
        <w:rPr>
          <w:rFonts w:cs="Times New Roman"/>
        </w:rPr>
        <w:t>olicy</w:t>
      </w:r>
      <w:r w:rsidR="003F399E" w:rsidRPr="00DE49DD">
        <w:rPr>
          <w:rFonts w:cs="Times New Roman"/>
        </w:rPr>
        <w:t>’</w:t>
      </w:r>
      <w:r w:rsidR="00B2363A">
        <w:rPr>
          <w:rFonts w:cs="Times New Roman"/>
        </w:rPr>
        <w:t>.</w:t>
      </w:r>
    </w:p>
  </w:footnote>
  <w:footnote w:id="78">
    <w:p w14:paraId="55B4192C" w14:textId="11F82A6B"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Republic of Rwanda, </w:t>
      </w:r>
      <w:r w:rsidR="003F399E" w:rsidRPr="00E43DA6">
        <w:rPr>
          <w:rFonts w:cs="Times New Roman"/>
        </w:rPr>
        <w:t>‘</w:t>
      </w:r>
      <w:r w:rsidR="000434ED" w:rsidRPr="00E43DA6">
        <w:rPr>
          <w:rFonts w:cs="Times New Roman"/>
        </w:rPr>
        <w:t xml:space="preserve">National </w:t>
      </w:r>
      <w:r w:rsidR="00B2363A">
        <w:rPr>
          <w:rFonts w:cs="Times New Roman"/>
        </w:rPr>
        <w:t>e</w:t>
      </w:r>
      <w:r w:rsidR="000434ED" w:rsidRPr="00E43DA6">
        <w:rPr>
          <w:rFonts w:cs="Times New Roman"/>
        </w:rPr>
        <w:t xml:space="preserve">nergy </w:t>
      </w:r>
      <w:r w:rsidR="00B2363A">
        <w:rPr>
          <w:rFonts w:cs="Times New Roman"/>
        </w:rPr>
        <w:t>p</w:t>
      </w:r>
      <w:r w:rsidR="000434ED" w:rsidRPr="00E43DA6">
        <w:rPr>
          <w:rFonts w:cs="Times New Roman"/>
        </w:rPr>
        <w:t xml:space="preserve">olicy and </w:t>
      </w:r>
      <w:r w:rsidR="00B2363A">
        <w:rPr>
          <w:rFonts w:cs="Times New Roman"/>
        </w:rPr>
        <w:t>s</w:t>
      </w:r>
      <w:r w:rsidR="000434ED" w:rsidRPr="00E43DA6">
        <w:rPr>
          <w:rFonts w:cs="Times New Roman"/>
        </w:rPr>
        <w:t>trategy</w:t>
      </w:r>
      <w:r w:rsidR="003F399E" w:rsidRPr="00E43DA6">
        <w:rPr>
          <w:rFonts w:cs="Times New Roman"/>
        </w:rPr>
        <w:t>’</w:t>
      </w:r>
      <w:r w:rsidR="00B2363A">
        <w:rPr>
          <w:rFonts w:cs="Times New Roman"/>
        </w:rPr>
        <w:t>,</w:t>
      </w:r>
      <w:r w:rsidR="000434ED" w:rsidRPr="00E43DA6">
        <w:rPr>
          <w:rFonts w:cs="Times New Roman"/>
        </w:rPr>
        <w:t xml:space="preserve"> </w:t>
      </w:r>
      <w:r w:rsidR="006B2577" w:rsidRPr="00E43DA6">
        <w:rPr>
          <w:rFonts w:cs="Times New Roman"/>
        </w:rPr>
        <w:t>p.</w:t>
      </w:r>
      <w:r w:rsidR="000434ED" w:rsidRPr="00E43DA6">
        <w:rPr>
          <w:rFonts w:cs="Times New Roman"/>
        </w:rPr>
        <w:t>6.</w:t>
      </w:r>
    </w:p>
  </w:footnote>
  <w:footnote w:id="79">
    <w:p w14:paraId="793680D3" w14:textId="411A0918"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Amnon Katz et al., </w:t>
      </w:r>
      <w:r w:rsidR="003F399E" w:rsidRPr="00E43DA6">
        <w:rPr>
          <w:rFonts w:cs="Times New Roman"/>
        </w:rPr>
        <w:t>‘</w:t>
      </w:r>
      <w:r w:rsidR="000434ED" w:rsidRPr="00E43DA6">
        <w:rPr>
          <w:rFonts w:cs="Times New Roman"/>
        </w:rPr>
        <w:t xml:space="preserve">Assessment of the </w:t>
      </w:r>
      <w:r w:rsidR="00B2363A">
        <w:rPr>
          <w:rFonts w:cs="Times New Roman"/>
        </w:rPr>
        <w:t>s</w:t>
      </w:r>
      <w:r w:rsidR="000434ED" w:rsidRPr="00E43DA6">
        <w:rPr>
          <w:rFonts w:cs="Times New Roman"/>
        </w:rPr>
        <w:t xml:space="preserve">tate of the </w:t>
      </w:r>
      <w:r w:rsidR="00B2363A">
        <w:rPr>
          <w:rFonts w:cs="Times New Roman"/>
        </w:rPr>
        <w:t>e</w:t>
      </w:r>
      <w:r w:rsidR="000434ED" w:rsidRPr="00E43DA6">
        <w:rPr>
          <w:rFonts w:cs="Times New Roman"/>
        </w:rPr>
        <w:t xml:space="preserve">lectricity </w:t>
      </w:r>
      <w:r w:rsidR="00B2363A">
        <w:rPr>
          <w:rFonts w:cs="Times New Roman"/>
        </w:rPr>
        <w:t>g</w:t>
      </w:r>
      <w:r w:rsidR="000434ED" w:rsidRPr="00E43DA6">
        <w:rPr>
          <w:rFonts w:cs="Times New Roman"/>
        </w:rPr>
        <w:t xml:space="preserve">eneration </w:t>
      </w:r>
      <w:r w:rsidR="00B2363A">
        <w:rPr>
          <w:rFonts w:cs="Times New Roman"/>
        </w:rPr>
        <w:t>s</w:t>
      </w:r>
      <w:r w:rsidR="000434ED" w:rsidRPr="00E43DA6">
        <w:rPr>
          <w:rFonts w:cs="Times New Roman"/>
        </w:rPr>
        <w:t xml:space="preserve">ystem in Rwanda: Least </w:t>
      </w:r>
      <w:r w:rsidR="00B2363A">
        <w:rPr>
          <w:rFonts w:cs="Times New Roman"/>
        </w:rPr>
        <w:t>c</w:t>
      </w:r>
      <w:r w:rsidR="000434ED" w:rsidRPr="00E43DA6">
        <w:rPr>
          <w:rFonts w:cs="Times New Roman"/>
        </w:rPr>
        <w:t xml:space="preserve">ost </w:t>
      </w:r>
      <w:r w:rsidR="00B2363A">
        <w:rPr>
          <w:rFonts w:cs="Times New Roman"/>
        </w:rPr>
        <w:t>p</w:t>
      </w:r>
      <w:r w:rsidR="000434ED" w:rsidRPr="00E43DA6">
        <w:rPr>
          <w:rFonts w:cs="Times New Roman"/>
        </w:rPr>
        <w:t xml:space="preserve">lanning until 2030 </w:t>
      </w:r>
      <w:r w:rsidR="00B2363A">
        <w:rPr>
          <w:rFonts w:cs="Times New Roman"/>
        </w:rPr>
        <w:t>i</w:t>
      </w:r>
      <w:r w:rsidR="000434ED" w:rsidRPr="00E43DA6">
        <w:rPr>
          <w:rFonts w:cs="Times New Roman"/>
        </w:rPr>
        <w:t xml:space="preserve">nterim </w:t>
      </w:r>
      <w:r w:rsidR="00B2363A">
        <w:rPr>
          <w:rFonts w:cs="Times New Roman"/>
        </w:rPr>
        <w:t>r</w:t>
      </w:r>
      <w:r w:rsidR="000434ED" w:rsidRPr="00E43DA6">
        <w:rPr>
          <w:rFonts w:cs="Times New Roman"/>
        </w:rPr>
        <w:t>eport</w:t>
      </w:r>
      <w:r w:rsidR="003F399E" w:rsidRPr="00E43DA6">
        <w:rPr>
          <w:rFonts w:cs="Times New Roman"/>
        </w:rPr>
        <w:t>’</w:t>
      </w:r>
      <w:r w:rsidR="000434ED" w:rsidRPr="00E43DA6">
        <w:rPr>
          <w:rFonts w:cs="Times New Roman"/>
        </w:rPr>
        <w:t xml:space="preserve"> (Israel Electric, </w:t>
      </w:r>
      <w:r w:rsidR="00B2363A">
        <w:rPr>
          <w:rFonts w:cs="Times New Roman"/>
        </w:rPr>
        <w:t xml:space="preserve">Haifa, </w:t>
      </w:r>
      <w:r w:rsidR="000434ED" w:rsidRPr="00E43DA6">
        <w:rPr>
          <w:rFonts w:cs="Times New Roman"/>
        </w:rPr>
        <w:t>2017).</w:t>
      </w:r>
    </w:p>
  </w:footnote>
  <w:footnote w:id="80">
    <w:p w14:paraId="49A8653E" w14:textId="659CB1BC"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with </w:t>
      </w:r>
      <w:r w:rsidR="003C1D66">
        <w:rPr>
          <w:rFonts w:cs="Times New Roman"/>
        </w:rPr>
        <w:t xml:space="preserve">Western </w:t>
      </w:r>
      <w:r w:rsidRPr="00E43DA6">
        <w:rPr>
          <w:rFonts w:cs="Times New Roman"/>
        </w:rPr>
        <w:t xml:space="preserve">donor, </w:t>
      </w:r>
      <w:r w:rsidR="00346CF5">
        <w:rPr>
          <w:rFonts w:cs="Times New Roman"/>
        </w:rPr>
        <w:t>Kigali, Rwan</w:t>
      </w:r>
      <w:r w:rsidR="000F2839">
        <w:rPr>
          <w:rFonts w:cs="Times New Roman"/>
        </w:rPr>
        <w:t>d</w:t>
      </w:r>
      <w:r w:rsidR="00346CF5">
        <w:rPr>
          <w:rFonts w:cs="Times New Roman"/>
        </w:rPr>
        <w:t xml:space="preserve">a, </w:t>
      </w:r>
      <w:r w:rsidRPr="00E43DA6">
        <w:rPr>
          <w:rFonts w:cs="Times New Roman"/>
        </w:rPr>
        <w:t xml:space="preserve">June 2018. </w:t>
      </w:r>
    </w:p>
  </w:footnote>
  <w:footnote w:id="81">
    <w:p w14:paraId="13020D61" w14:textId="3881E9E2" w:rsidR="00CA6501" w:rsidRPr="00E43DA6" w:rsidRDefault="00CA6501"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6B2577" w:rsidRPr="00E43DA6">
        <w:rPr>
          <w:rFonts w:cs="Times New Roman"/>
        </w:rPr>
        <w:t xml:space="preserve">World Bank, </w:t>
      </w:r>
      <w:r w:rsidR="003F399E" w:rsidRPr="00E43DA6">
        <w:rPr>
          <w:rFonts w:cs="Times New Roman"/>
        </w:rPr>
        <w:t>‘</w:t>
      </w:r>
      <w:r w:rsidR="000434ED" w:rsidRPr="00E43DA6">
        <w:rPr>
          <w:rFonts w:cs="Times New Roman"/>
        </w:rPr>
        <w:t xml:space="preserve">Rwanda - </w:t>
      </w:r>
      <w:r w:rsidR="00346CF5">
        <w:rPr>
          <w:rFonts w:cs="Times New Roman"/>
        </w:rPr>
        <w:t>e</w:t>
      </w:r>
      <w:r w:rsidR="000434ED" w:rsidRPr="00E43DA6">
        <w:rPr>
          <w:rFonts w:cs="Times New Roman"/>
        </w:rPr>
        <w:t xml:space="preserve">nergy </w:t>
      </w:r>
      <w:r w:rsidR="00346CF5">
        <w:rPr>
          <w:rFonts w:cs="Times New Roman"/>
        </w:rPr>
        <w:t>s</w:t>
      </w:r>
      <w:r w:rsidR="000434ED" w:rsidRPr="00E43DA6">
        <w:rPr>
          <w:rFonts w:cs="Times New Roman"/>
        </w:rPr>
        <w:t xml:space="preserve">ector </w:t>
      </w:r>
      <w:r w:rsidR="00346CF5">
        <w:rPr>
          <w:rFonts w:cs="Times New Roman"/>
        </w:rPr>
        <w:t>d</w:t>
      </w:r>
      <w:r w:rsidR="000434ED" w:rsidRPr="00E43DA6">
        <w:rPr>
          <w:rFonts w:cs="Times New Roman"/>
        </w:rPr>
        <w:t xml:space="preserve">evelopment </w:t>
      </w:r>
      <w:r w:rsidR="00346CF5">
        <w:rPr>
          <w:rFonts w:cs="Times New Roman"/>
        </w:rPr>
        <w:t>p</w:t>
      </w:r>
      <w:r w:rsidR="000434ED" w:rsidRPr="00E43DA6">
        <w:rPr>
          <w:rFonts w:cs="Times New Roman"/>
        </w:rPr>
        <w:t xml:space="preserve">olicy </w:t>
      </w:r>
      <w:r w:rsidR="00346CF5">
        <w:rPr>
          <w:rFonts w:cs="Times New Roman"/>
        </w:rPr>
        <w:t>l</w:t>
      </w:r>
      <w:r w:rsidR="000434ED" w:rsidRPr="00E43DA6">
        <w:rPr>
          <w:rFonts w:cs="Times New Roman"/>
        </w:rPr>
        <w:t xml:space="preserve">oan </w:t>
      </w:r>
      <w:r w:rsidR="00346CF5">
        <w:rPr>
          <w:rFonts w:cs="Times New Roman"/>
        </w:rPr>
        <w:t>p</w:t>
      </w:r>
      <w:r w:rsidR="000434ED" w:rsidRPr="00E43DA6">
        <w:rPr>
          <w:rFonts w:cs="Times New Roman"/>
        </w:rPr>
        <w:t>roject.</w:t>
      </w:r>
      <w:r w:rsidR="003F399E" w:rsidRPr="00E43DA6">
        <w:rPr>
          <w:rFonts w:cs="Times New Roman"/>
        </w:rPr>
        <w:t>’</w:t>
      </w:r>
    </w:p>
  </w:footnote>
  <w:footnote w:id="82">
    <w:p w14:paraId="3CE7723C" w14:textId="22444D22"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An argument made by several </w:t>
      </w:r>
      <w:r w:rsidR="003C1D66">
        <w:rPr>
          <w:rFonts w:cs="Times New Roman"/>
        </w:rPr>
        <w:t xml:space="preserve">Western </w:t>
      </w:r>
      <w:r w:rsidRPr="00E43DA6">
        <w:rPr>
          <w:rFonts w:cs="Times New Roman"/>
        </w:rPr>
        <w:t xml:space="preserve">donor and consultant interviewees, Kigali, </w:t>
      </w:r>
      <w:r w:rsidR="00346CF5">
        <w:rPr>
          <w:rFonts w:cs="Times New Roman"/>
        </w:rPr>
        <w:t xml:space="preserve">Rwanda, </w:t>
      </w:r>
      <w:r w:rsidRPr="00E43DA6">
        <w:rPr>
          <w:rFonts w:cs="Times New Roman"/>
        </w:rPr>
        <w:t>2015–16.</w:t>
      </w:r>
    </w:p>
  </w:footnote>
  <w:footnote w:id="83">
    <w:p w14:paraId="1616453C" w14:textId="7FF2C3B5"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Interviews, JICA staff and consultants, Kigali, </w:t>
      </w:r>
      <w:r w:rsidR="00346CF5">
        <w:rPr>
          <w:rFonts w:cs="Times New Roman"/>
        </w:rPr>
        <w:t xml:space="preserve">Rwanda, </w:t>
      </w:r>
      <w:r w:rsidRPr="00E43DA6">
        <w:rPr>
          <w:rFonts w:cs="Times New Roman"/>
        </w:rPr>
        <w:t xml:space="preserve">2016. </w:t>
      </w:r>
    </w:p>
  </w:footnote>
  <w:footnote w:id="84">
    <w:p w14:paraId="6F6AD5AD" w14:textId="3FE67552"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consultant, Kigali, </w:t>
      </w:r>
      <w:r w:rsidR="00346CF5">
        <w:rPr>
          <w:rFonts w:cs="Times New Roman"/>
        </w:rPr>
        <w:t xml:space="preserve">Rwanda, </w:t>
      </w:r>
      <w:r w:rsidRPr="00E43DA6">
        <w:rPr>
          <w:rFonts w:cs="Times New Roman"/>
        </w:rPr>
        <w:t>2018.</w:t>
      </w:r>
    </w:p>
  </w:footnote>
  <w:footnote w:id="85">
    <w:p w14:paraId="7094479A" w14:textId="25F58ED9"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Interviews, consultants to the Ministry of Infrastructure, </w:t>
      </w:r>
      <w:r w:rsidR="003B6343">
        <w:rPr>
          <w:rFonts w:cs="Times New Roman"/>
        </w:rPr>
        <w:t>OECD</w:t>
      </w:r>
      <w:r w:rsidR="003C1D66">
        <w:rPr>
          <w:rFonts w:cs="Times New Roman"/>
        </w:rPr>
        <w:t xml:space="preserve"> </w:t>
      </w:r>
      <w:r w:rsidRPr="00E43DA6">
        <w:rPr>
          <w:rFonts w:cs="Times New Roman"/>
        </w:rPr>
        <w:t>donor official</w:t>
      </w:r>
      <w:r w:rsidR="003B6343">
        <w:rPr>
          <w:rFonts w:cs="Times New Roman"/>
        </w:rPr>
        <w:t>s working on the energy sector</w:t>
      </w:r>
      <w:r w:rsidR="00145539">
        <w:rPr>
          <w:rFonts w:cs="Times New Roman"/>
        </w:rPr>
        <w:t xml:space="preserve">, </w:t>
      </w:r>
      <w:r w:rsidRPr="00E43DA6">
        <w:rPr>
          <w:rFonts w:cs="Times New Roman"/>
        </w:rPr>
        <w:t xml:space="preserve">Kigali, </w:t>
      </w:r>
      <w:r w:rsidR="00145539">
        <w:rPr>
          <w:rFonts w:cs="Times New Roman"/>
        </w:rPr>
        <w:t xml:space="preserve">Rwanda, </w:t>
      </w:r>
      <w:r w:rsidRPr="00E43DA6">
        <w:rPr>
          <w:rFonts w:cs="Times New Roman"/>
        </w:rPr>
        <w:t>2015-16</w:t>
      </w:r>
    </w:p>
  </w:footnote>
  <w:footnote w:id="86">
    <w:p w14:paraId="038BE598" w14:textId="099DA42D"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Republic of Rwanda, </w:t>
      </w:r>
      <w:r w:rsidR="000434ED" w:rsidRPr="00E43DA6">
        <w:rPr>
          <w:rFonts w:cs="Times New Roman"/>
          <w:i/>
          <w:iCs/>
        </w:rPr>
        <w:t>Rwanda Vision 2020</w:t>
      </w:r>
      <w:r w:rsidR="000434ED" w:rsidRPr="00E43DA6">
        <w:rPr>
          <w:rFonts w:cs="Times New Roman"/>
        </w:rPr>
        <w:t xml:space="preserve"> (M</w:t>
      </w:r>
      <w:r w:rsidR="006B2577" w:rsidRPr="00E43DA6">
        <w:rPr>
          <w:rFonts w:cs="Times New Roman"/>
        </w:rPr>
        <w:t>i</w:t>
      </w:r>
      <w:r w:rsidR="000434ED" w:rsidRPr="00E43DA6">
        <w:rPr>
          <w:rFonts w:cs="Times New Roman"/>
        </w:rPr>
        <w:t xml:space="preserve">nistry of Finance and Economic Planning, </w:t>
      </w:r>
      <w:r w:rsidR="006B2577" w:rsidRPr="00E43DA6">
        <w:rPr>
          <w:rFonts w:cs="Times New Roman"/>
        </w:rPr>
        <w:t xml:space="preserve">Kigali, </w:t>
      </w:r>
      <w:r w:rsidR="000434ED" w:rsidRPr="00E43DA6">
        <w:rPr>
          <w:rFonts w:cs="Times New Roman"/>
        </w:rPr>
        <w:t>2000).</w:t>
      </w:r>
    </w:p>
  </w:footnote>
  <w:footnote w:id="87">
    <w:p w14:paraId="28F3BB6E" w14:textId="47FD0E1E"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Dye, </w:t>
      </w:r>
      <w:r w:rsidR="003F399E" w:rsidRPr="00E43DA6">
        <w:rPr>
          <w:rFonts w:cs="Times New Roman"/>
        </w:rPr>
        <w:t>‘</w:t>
      </w:r>
      <w:r w:rsidR="000434ED" w:rsidRPr="00E43DA6">
        <w:rPr>
          <w:rFonts w:cs="Times New Roman"/>
        </w:rPr>
        <w:t xml:space="preserve">Ideology </w:t>
      </w:r>
      <w:r w:rsidR="001F1AE8">
        <w:rPr>
          <w:rFonts w:cs="Times New Roman"/>
        </w:rPr>
        <w:t>m</w:t>
      </w:r>
      <w:r w:rsidR="000434ED" w:rsidRPr="00E43DA6">
        <w:rPr>
          <w:rFonts w:cs="Times New Roman"/>
        </w:rPr>
        <w:t xml:space="preserve">atters: Political </w:t>
      </w:r>
      <w:r w:rsidR="001F1AE8">
        <w:rPr>
          <w:rFonts w:cs="Times New Roman"/>
        </w:rPr>
        <w:t>m</w:t>
      </w:r>
      <w:r w:rsidR="000434ED" w:rsidRPr="00E43DA6">
        <w:rPr>
          <w:rFonts w:cs="Times New Roman"/>
        </w:rPr>
        <w:t xml:space="preserve">achinations, </w:t>
      </w:r>
      <w:r w:rsidR="001F1AE8">
        <w:rPr>
          <w:rFonts w:cs="Times New Roman"/>
        </w:rPr>
        <w:t>m</w:t>
      </w:r>
      <w:r w:rsidR="000434ED" w:rsidRPr="00E43DA6">
        <w:rPr>
          <w:rFonts w:cs="Times New Roman"/>
        </w:rPr>
        <w:t xml:space="preserve">odernism, and </w:t>
      </w:r>
      <w:r w:rsidR="001F1AE8">
        <w:rPr>
          <w:rFonts w:cs="Times New Roman"/>
        </w:rPr>
        <w:t>m</w:t>
      </w:r>
      <w:r w:rsidR="000434ED" w:rsidRPr="00E43DA6">
        <w:rPr>
          <w:rFonts w:cs="Times New Roman"/>
        </w:rPr>
        <w:t xml:space="preserve">yopia in Rwanda’s </w:t>
      </w:r>
      <w:r w:rsidR="001F1AE8">
        <w:rPr>
          <w:rFonts w:cs="Times New Roman"/>
        </w:rPr>
        <w:t>e</w:t>
      </w:r>
      <w:r w:rsidR="000434ED" w:rsidRPr="00E43DA6">
        <w:rPr>
          <w:rFonts w:cs="Times New Roman"/>
        </w:rPr>
        <w:t xml:space="preserve">lectricity </w:t>
      </w:r>
      <w:r w:rsidR="001F1AE8">
        <w:rPr>
          <w:rFonts w:cs="Times New Roman"/>
        </w:rPr>
        <w:t>b</w:t>
      </w:r>
      <w:r w:rsidR="000434ED" w:rsidRPr="00E43DA6">
        <w:rPr>
          <w:rFonts w:cs="Times New Roman"/>
        </w:rPr>
        <w:t>oom</w:t>
      </w:r>
      <w:r w:rsidR="003F399E" w:rsidRPr="00E43DA6">
        <w:rPr>
          <w:rFonts w:cs="Times New Roman"/>
        </w:rPr>
        <w:t>’</w:t>
      </w:r>
      <w:r w:rsidR="001F1AE8">
        <w:rPr>
          <w:rFonts w:cs="Times New Roman"/>
        </w:rPr>
        <w:t>.</w:t>
      </w:r>
    </w:p>
  </w:footnote>
  <w:footnote w:id="88">
    <w:p w14:paraId="296A422E" w14:textId="25BD5058"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t>
      </w:r>
      <w:r w:rsidR="001F1AE8">
        <w:rPr>
          <w:rFonts w:cs="Times New Roman"/>
        </w:rPr>
        <w:t xml:space="preserve">government </w:t>
      </w:r>
      <w:r w:rsidRPr="00E43DA6">
        <w:rPr>
          <w:rFonts w:cs="Times New Roman"/>
        </w:rPr>
        <w:t xml:space="preserve">advisor, Kigali, </w:t>
      </w:r>
      <w:r w:rsidR="001F1AE8">
        <w:rPr>
          <w:rFonts w:cs="Times New Roman"/>
        </w:rPr>
        <w:t xml:space="preserve">Rwanda, </w:t>
      </w:r>
      <w:r w:rsidRPr="00E43DA6">
        <w:rPr>
          <w:rFonts w:cs="Times New Roman"/>
        </w:rPr>
        <w:t>June 2018.</w:t>
      </w:r>
    </w:p>
  </w:footnote>
  <w:footnote w:id="89">
    <w:p w14:paraId="6C79A2AB" w14:textId="04108566"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Interviews, former civil servants, Kigali, </w:t>
      </w:r>
      <w:r w:rsidR="001F1AE8">
        <w:rPr>
          <w:rFonts w:cs="Times New Roman"/>
        </w:rPr>
        <w:t xml:space="preserve">Rwanda, </w:t>
      </w:r>
      <w:r w:rsidRPr="00E43DA6">
        <w:rPr>
          <w:rFonts w:cs="Times New Roman"/>
        </w:rPr>
        <w:t xml:space="preserve">June 2018. </w:t>
      </w:r>
    </w:p>
  </w:footnote>
  <w:footnote w:id="90">
    <w:p w14:paraId="116270A9" w14:textId="34ACFA10"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former civil servant, Kigali, </w:t>
      </w:r>
      <w:r w:rsidR="001F1AE8">
        <w:rPr>
          <w:rFonts w:cs="Times New Roman"/>
        </w:rPr>
        <w:t xml:space="preserve">Rwanda, </w:t>
      </w:r>
      <w:r w:rsidRPr="00E43DA6">
        <w:rPr>
          <w:rFonts w:cs="Times New Roman"/>
        </w:rPr>
        <w:t>June 2018.</w:t>
      </w:r>
    </w:p>
  </w:footnote>
  <w:footnote w:id="91">
    <w:p w14:paraId="0888C4A9" w14:textId="65D0CC29"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t>
      </w:r>
      <w:r w:rsidR="001F1AE8">
        <w:rPr>
          <w:rFonts w:cs="Times New Roman"/>
        </w:rPr>
        <w:t xml:space="preserve">government </w:t>
      </w:r>
      <w:r w:rsidRPr="00E43DA6">
        <w:rPr>
          <w:rFonts w:cs="Times New Roman"/>
        </w:rPr>
        <w:t xml:space="preserve">advisor, Kigali, </w:t>
      </w:r>
      <w:r w:rsidR="001F1AE8">
        <w:rPr>
          <w:rFonts w:cs="Times New Roman"/>
        </w:rPr>
        <w:t xml:space="preserve">Rwanda, </w:t>
      </w:r>
      <w:r w:rsidRPr="00E43DA6">
        <w:rPr>
          <w:rFonts w:cs="Times New Roman"/>
        </w:rPr>
        <w:t>June 2018.</w:t>
      </w:r>
    </w:p>
  </w:footnote>
  <w:footnote w:id="92">
    <w:p w14:paraId="01ED42E4" w14:textId="6454DA8C"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t>
      </w:r>
      <w:r w:rsidR="001F1AE8">
        <w:rPr>
          <w:rFonts w:cs="Times New Roman"/>
        </w:rPr>
        <w:t xml:space="preserve">government </w:t>
      </w:r>
      <w:r w:rsidRPr="00E43DA6">
        <w:rPr>
          <w:rFonts w:cs="Times New Roman"/>
        </w:rPr>
        <w:t>advisor, Kigali,</w:t>
      </w:r>
      <w:r w:rsidR="001F1AE8">
        <w:rPr>
          <w:rFonts w:cs="Times New Roman"/>
        </w:rPr>
        <w:t xml:space="preserve"> Rwanda,</w:t>
      </w:r>
      <w:r w:rsidRPr="00E43DA6">
        <w:rPr>
          <w:rFonts w:cs="Times New Roman"/>
        </w:rPr>
        <w:t xml:space="preserve"> June 2018.</w:t>
      </w:r>
    </w:p>
  </w:footnote>
  <w:footnote w:id="93">
    <w:p w14:paraId="062BE0D9" w14:textId="630E2F2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Katz et al., </w:t>
      </w:r>
      <w:r w:rsidR="003F399E" w:rsidRPr="00E43DA6">
        <w:rPr>
          <w:rFonts w:cs="Times New Roman"/>
        </w:rPr>
        <w:t>‘</w:t>
      </w:r>
      <w:r w:rsidR="000434ED" w:rsidRPr="00E43DA6">
        <w:rPr>
          <w:rFonts w:cs="Times New Roman"/>
        </w:rPr>
        <w:t xml:space="preserve">Assessment of the </w:t>
      </w:r>
      <w:r w:rsidR="001F1AE8">
        <w:rPr>
          <w:rFonts w:cs="Times New Roman"/>
        </w:rPr>
        <w:t>s</w:t>
      </w:r>
      <w:r w:rsidR="000434ED" w:rsidRPr="00E43DA6">
        <w:rPr>
          <w:rFonts w:cs="Times New Roman"/>
        </w:rPr>
        <w:t xml:space="preserve">tate of the </w:t>
      </w:r>
      <w:r w:rsidR="001F1AE8">
        <w:rPr>
          <w:rFonts w:cs="Times New Roman"/>
        </w:rPr>
        <w:t>e</w:t>
      </w:r>
      <w:r w:rsidR="000434ED" w:rsidRPr="00E43DA6">
        <w:rPr>
          <w:rFonts w:cs="Times New Roman"/>
        </w:rPr>
        <w:t xml:space="preserve">lectricity </w:t>
      </w:r>
      <w:r w:rsidR="001F1AE8">
        <w:rPr>
          <w:rFonts w:cs="Times New Roman"/>
        </w:rPr>
        <w:t>g</w:t>
      </w:r>
      <w:r w:rsidR="000434ED" w:rsidRPr="00E43DA6">
        <w:rPr>
          <w:rFonts w:cs="Times New Roman"/>
        </w:rPr>
        <w:t xml:space="preserve">eneration </w:t>
      </w:r>
      <w:r w:rsidR="001F1AE8">
        <w:rPr>
          <w:rFonts w:cs="Times New Roman"/>
        </w:rPr>
        <w:t>s</w:t>
      </w:r>
      <w:r w:rsidR="000434ED" w:rsidRPr="00E43DA6">
        <w:rPr>
          <w:rFonts w:cs="Times New Roman"/>
        </w:rPr>
        <w:t>ystem in Rwanda,</w:t>
      </w:r>
      <w:r w:rsidR="003F399E" w:rsidRPr="00E43DA6">
        <w:rPr>
          <w:rFonts w:cs="Times New Roman"/>
        </w:rPr>
        <w:t>’</w:t>
      </w:r>
      <w:r w:rsidR="000434ED" w:rsidRPr="00E43DA6">
        <w:rPr>
          <w:rFonts w:cs="Times New Roman"/>
        </w:rPr>
        <w:t xml:space="preserve"> </w:t>
      </w:r>
      <w:r w:rsidR="006B2577" w:rsidRPr="00E43DA6">
        <w:rPr>
          <w:rFonts w:cs="Times New Roman"/>
        </w:rPr>
        <w:t>p.</w:t>
      </w:r>
      <w:r w:rsidR="000434ED" w:rsidRPr="00E43DA6">
        <w:rPr>
          <w:rFonts w:cs="Times New Roman"/>
        </w:rPr>
        <w:t>18.</w:t>
      </w:r>
    </w:p>
  </w:footnote>
  <w:footnote w:id="94">
    <w:p w14:paraId="5C5DAB44" w14:textId="31C5C9A7"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t>
      </w:r>
      <w:r w:rsidR="001F1AE8">
        <w:rPr>
          <w:rFonts w:cs="Times New Roman"/>
        </w:rPr>
        <w:t xml:space="preserve">consultant, </w:t>
      </w:r>
      <w:r w:rsidRPr="00E43DA6">
        <w:rPr>
          <w:rFonts w:cs="Times New Roman"/>
        </w:rPr>
        <w:t>Kigali,</w:t>
      </w:r>
      <w:r w:rsidR="001F1AE8">
        <w:rPr>
          <w:rFonts w:cs="Times New Roman"/>
        </w:rPr>
        <w:t xml:space="preserve"> Rwanda,</w:t>
      </w:r>
      <w:r w:rsidRPr="00E43DA6">
        <w:rPr>
          <w:rFonts w:cs="Times New Roman"/>
        </w:rPr>
        <w:t xml:space="preserve"> 2018.</w:t>
      </w:r>
    </w:p>
  </w:footnote>
  <w:footnote w:id="95">
    <w:p w14:paraId="108036A6" w14:textId="3B17D1EB"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A narrative confirmed by </w:t>
      </w:r>
      <w:r w:rsidR="001F1AE8">
        <w:rPr>
          <w:rFonts w:cs="Times New Roman"/>
        </w:rPr>
        <w:t xml:space="preserve">author </w:t>
      </w:r>
      <w:r w:rsidRPr="00E43DA6">
        <w:rPr>
          <w:rFonts w:cs="Times New Roman"/>
        </w:rPr>
        <w:t xml:space="preserve">observations in 2013. </w:t>
      </w:r>
    </w:p>
  </w:footnote>
  <w:footnote w:id="96">
    <w:p w14:paraId="21BD3887" w14:textId="22F0654B"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Ministry of Infrastructure Republic of Rwanda, </w:t>
      </w:r>
      <w:r w:rsidR="003F399E" w:rsidRPr="00E43DA6">
        <w:rPr>
          <w:rFonts w:cs="Times New Roman"/>
        </w:rPr>
        <w:t>‘</w:t>
      </w:r>
      <w:r w:rsidR="000434ED" w:rsidRPr="00E43DA6">
        <w:rPr>
          <w:rFonts w:cs="Times New Roman"/>
        </w:rPr>
        <w:t xml:space="preserve">Energy </w:t>
      </w:r>
      <w:r w:rsidR="001F1AE8">
        <w:rPr>
          <w:rFonts w:cs="Times New Roman"/>
        </w:rPr>
        <w:t>s</w:t>
      </w:r>
      <w:r w:rsidR="000434ED" w:rsidRPr="00E43DA6">
        <w:rPr>
          <w:rFonts w:cs="Times New Roman"/>
        </w:rPr>
        <w:t xml:space="preserve">ector </w:t>
      </w:r>
      <w:r w:rsidR="001F1AE8">
        <w:rPr>
          <w:rFonts w:cs="Times New Roman"/>
        </w:rPr>
        <w:t>s</w:t>
      </w:r>
      <w:r w:rsidR="000434ED" w:rsidRPr="00E43DA6">
        <w:rPr>
          <w:rFonts w:cs="Times New Roman"/>
        </w:rPr>
        <w:t xml:space="preserve">trategic </w:t>
      </w:r>
      <w:r w:rsidR="001F1AE8">
        <w:rPr>
          <w:rFonts w:cs="Times New Roman"/>
        </w:rPr>
        <w:t>p</w:t>
      </w:r>
      <w:r w:rsidR="000434ED" w:rsidRPr="00E43DA6">
        <w:rPr>
          <w:rFonts w:cs="Times New Roman"/>
        </w:rPr>
        <w:t>lan: 2018/19-2023/24</w:t>
      </w:r>
      <w:r w:rsidR="003F399E" w:rsidRPr="00E43DA6">
        <w:rPr>
          <w:rFonts w:cs="Times New Roman"/>
        </w:rPr>
        <w:t>’</w:t>
      </w:r>
      <w:r w:rsidR="000434ED" w:rsidRPr="00E43DA6">
        <w:rPr>
          <w:rFonts w:cs="Times New Roman"/>
        </w:rPr>
        <w:t xml:space="preserve"> (The Government of Rwanda, </w:t>
      </w:r>
      <w:r w:rsidR="006B2577" w:rsidRPr="00E43DA6">
        <w:rPr>
          <w:rFonts w:cs="Times New Roman"/>
        </w:rPr>
        <w:t>Kigali</w:t>
      </w:r>
      <w:r w:rsidR="001F1AE8">
        <w:rPr>
          <w:rFonts w:cs="Times New Roman"/>
        </w:rPr>
        <w:t>,</w:t>
      </w:r>
      <w:r w:rsidR="006B2577" w:rsidRPr="00E43DA6">
        <w:rPr>
          <w:rFonts w:cs="Times New Roman"/>
        </w:rPr>
        <w:t xml:space="preserve"> </w:t>
      </w:r>
      <w:r w:rsidR="000434ED" w:rsidRPr="00E43DA6">
        <w:rPr>
          <w:rFonts w:cs="Times New Roman"/>
        </w:rPr>
        <w:t xml:space="preserve">2018), </w:t>
      </w:r>
      <w:r w:rsidR="006B2577" w:rsidRPr="00E43DA6">
        <w:rPr>
          <w:rFonts w:cs="Times New Roman"/>
        </w:rPr>
        <w:t>p.</w:t>
      </w:r>
      <w:r w:rsidR="000434ED" w:rsidRPr="00E43DA6">
        <w:rPr>
          <w:rFonts w:cs="Times New Roman"/>
        </w:rPr>
        <w:t>10.</w:t>
      </w:r>
    </w:p>
  </w:footnote>
  <w:footnote w:id="97">
    <w:p w14:paraId="732E4BB0" w14:textId="396D9D9A"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6B2577" w:rsidRPr="000F2839">
        <w:rPr>
          <w:rFonts w:cs="Times New Roman"/>
          <w:i/>
          <w:iCs/>
        </w:rPr>
        <w:t>Ibid</w:t>
      </w:r>
      <w:r w:rsidR="006B2577" w:rsidRPr="00E43DA6">
        <w:rPr>
          <w:rFonts w:cs="Times New Roman"/>
        </w:rPr>
        <w:t>.</w:t>
      </w:r>
      <w:r w:rsidR="000434ED" w:rsidRPr="00E43DA6">
        <w:rPr>
          <w:rFonts w:cs="Times New Roman"/>
        </w:rPr>
        <w:t xml:space="preserve">, </w:t>
      </w:r>
      <w:r w:rsidR="006B2577" w:rsidRPr="00E43DA6">
        <w:rPr>
          <w:rFonts w:cs="Times New Roman"/>
        </w:rPr>
        <w:t>p.</w:t>
      </w:r>
      <w:r w:rsidR="000434ED" w:rsidRPr="00E43DA6">
        <w:rPr>
          <w:rFonts w:cs="Times New Roman"/>
        </w:rPr>
        <w:t>10.</w:t>
      </w:r>
    </w:p>
  </w:footnote>
  <w:footnote w:id="98">
    <w:p w14:paraId="521A8510" w14:textId="61963B91"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‘Retreat targets growth’, </w:t>
      </w:r>
      <w:r w:rsidRPr="00E43DA6">
        <w:rPr>
          <w:rFonts w:cs="Times New Roman"/>
          <w:i/>
        </w:rPr>
        <w:t>The New Times</w:t>
      </w:r>
      <w:r w:rsidR="001F1AE8">
        <w:rPr>
          <w:rFonts w:cs="Times New Roman"/>
          <w:i/>
        </w:rPr>
        <w:t xml:space="preserve"> </w:t>
      </w:r>
      <w:r w:rsidR="001F1AE8">
        <w:rPr>
          <w:rFonts w:cs="Times New Roman"/>
          <w:iCs/>
        </w:rPr>
        <w:t>(Kigali)</w:t>
      </w:r>
      <w:r w:rsidRPr="00E43DA6">
        <w:rPr>
          <w:rFonts w:cs="Times New Roman"/>
        </w:rPr>
        <w:t xml:space="preserve">, 5 March 2012. </w:t>
      </w:r>
    </w:p>
  </w:footnote>
  <w:footnote w:id="99">
    <w:p w14:paraId="5E6FA6D4" w14:textId="787DE7B2"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t>
      </w:r>
      <w:r w:rsidR="001F1AE8">
        <w:rPr>
          <w:rFonts w:cs="Times New Roman"/>
        </w:rPr>
        <w:t xml:space="preserve">civil servant, </w:t>
      </w:r>
      <w:r w:rsidRPr="00E43DA6">
        <w:rPr>
          <w:rFonts w:cs="Times New Roman"/>
        </w:rPr>
        <w:t>Kigali,</w:t>
      </w:r>
      <w:r w:rsidR="001F1AE8">
        <w:rPr>
          <w:rFonts w:cs="Times New Roman"/>
        </w:rPr>
        <w:t xml:space="preserve"> Rwanda,</w:t>
      </w:r>
      <w:r w:rsidRPr="00E43DA6">
        <w:rPr>
          <w:rFonts w:cs="Times New Roman"/>
        </w:rPr>
        <w:t xml:space="preserve"> June 2018. </w:t>
      </w:r>
    </w:p>
  </w:footnote>
  <w:footnote w:id="100">
    <w:p w14:paraId="7C60020E" w14:textId="49B1709B"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consultant, Kigali, </w:t>
      </w:r>
      <w:r w:rsidR="001F1AE8">
        <w:rPr>
          <w:rFonts w:cs="Times New Roman"/>
        </w:rPr>
        <w:t xml:space="preserve">Rwanda, </w:t>
      </w:r>
      <w:r w:rsidR="00483E08">
        <w:rPr>
          <w:rFonts w:cs="Times New Roman"/>
        </w:rPr>
        <w:t xml:space="preserve">June </w:t>
      </w:r>
      <w:r w:rsidRPr="00E43DA6">
        <w:rPr>
          <w:rFonts w:cs="Times New Roman"/>
        </w:rPr>
        <w:t>2018.</w:t>
      </w:r>
    </w:p>
  </w:footnote>
  <w:footnote w:id="101">
    <w:p w14:paraId="0A3BDAA3" w14:textId="077FBF68"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consultant, Kigali, </w:t>
      </w:r>
      <w:r w:rsidR="001F1AE8">
        <w:rPr>
          <w:rFonts w:cs="Times New Roman"/>
        </w:rPr>
        <w:t xml:space="preserve">Rwanda, </w:t>
      </w:r>
      <w:r w:rsidR="00483E08">
        <w:rPr>
          <w:rFonts w:cs="Times New Roman"/>
        </w:rPr>
        <w:t xml:space="preserve">June </w:t>
      </w:r>
      <w:r w:rsidRPr="00E43DA6">
        <w:rPr>
          <w:rFonts w:cs="Times New Roman"/>
        </w:rPr>
        <w:t>2018.</w:t>
      </w:r>
    </w:p>
  </w:footnote>
  <w:footnote w:id="102">
    <w:p w14:paraId="353F42F5" w14:textId="07B7AB00"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Following the 2016 law </w:t>
      </w:r>
      <w:r w:rsidRPr="00E85828">
        <w:rPr>
          <w:rFonts w:cs="Times New Roman"/>
        </w:rPr>
        <w:t>change</w:t>
      </w:r>
      <w:r w:rsidR="00E85828" w:rsidRPr="00E85828">
        <w:rPr>
          <w:rFonts w:cs="Times New Roman"/>
        </w:rPr>
        <w:t>. Interviews</w:t>
      </w:r>
      <w:r w:rsidR="001A6DF0" w:rsidRPr="00E85828">
        <w:rPr>
          <w:rFonts w:cs="Times New Roman"/>
        </w:rPr>
        <w:t xml:space="preserve"> in the Ministry of Infrastructure, Rwanda Energy Authority &amp; RDB, 2014, 2015, 2016, energy consultant, Kigali, </w:t>
      </w:r>
      <w:r w:rsidR="00145539">
        <w:rPr>
          <w:rFonts w:cs="Times New Roman"/>
        </w:rPr>
        <w:t xml:space="preserve">Rwanda, </w:t>
      </w:r>
      <w:r w:rsidR="001A6DF0" w:rsidRPr="00E85828">
        <w:rPr>
          <w:rFonts w:cs="Times New Roman"/>
        </w:rPr>
        <w:t xml:space="preserve">2018; </w:t>
      </w:r>
      <w:r w:rsidR="004B2586" w:rsidRPr="00E85828">
        <w:rPr>
          <w:rFonts w:cs="Times New Roman"/>
        </w:rPr>
        <w:t>R</w:t>
      </w:r>
      <w:r w:rsidRPr="00E85828">
        <w:rPr>
          <w:rFonts w:cs="Times New Roman"/>
        </w:rPr>
        <w:t>eviews of</w:t>
      </w:r>
      <w:r w:rsidR="004B2586" w:rsidRPr="00E85828">
        <w:rPr>
          <w:rFonts w:cs="Times New Roman"/>
        </w:rPr>
        <w:t xml:space="preserve"> government energy strategies and policy papers</w:t>
      </w:r>
      <w:r w:rsidRPr="00E85828">
        <w:rPr>
          <w:rFonts w:cs="Times New Roman"/>
        </w:rPr>
        <w:t>.</w:t>
      </w:r>
    </w:p>
  </w:footnote>
  <w:footnote w:id="103">
    <w:p w14:paraId="56F87D21" w14:textId="004A5B5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t>
      </w:r>
      <w:r w:rsidR="001F1AE8">
        <w:rPr>
          <w:rFonts w:cs="Times New Roman"/>
        </w:rPr>
        <w:t xml:space="preserve">RDB official, </w:t>
      </w:r>
      <w:r w:rsidRPr="00E43DA6">
        <w:rPr>
          <w:rFonts w:cs="Times New Roman"/>
        </w:rPr>
        <w:t>Kigali,</w:t>
      </w:r>
      <w:r w:rsidR="001F1AE8">
        <w:rPr>
          <w:rFonts w:cs="Times New Roman"/>
        </w:rPr>
        <w:t xml:space="preserve"> Rwanda,</w:t>
      </w:r>
      <w:r w:rsidRPr="00E43DA6">
        <w:rPr>
          <w:rFonts w:cs="Times New Roman"/>
        </w:rPr>
        <w:t xml:space="preserve"> 2018.</w:t>
      </w:r>
    </w:p>
  </w:footnote>
  <w:footnote w:id="104">
    <w:p w14:paraId="009B67E2" w14:textId="416F08E5"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RDB official, Kigali, </w:t>
      </w:r>
      <w:r w:rsidR="001F1AE8">
        <w:rPr>
          <w:rFonts w:cs="Times New Roman"/>
        </w:rPr>
        <w:t xml:space="preserve">Rwanda, </w:t>
      </w:r>
      <w:r w:rsidRPr="00E43DA6">
        <w:rPr>
          <w:rFonts w:cs="Times New Roman"/>
        </w:rPr>
        <w:t>2018.</w:t>
      </w:r>
    </w:p>
  </w:footnote>
  <w:footnote w:id="105">
    <w:p w14:paraId="64ECE9FE" w14:textId="27ECF806" w:rsidR="002C6CB0" w:rsidRPr="00E43DA6" w:rsidRDefault="002C6CB0"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6B2577" w:rsidRPr="00E43DA6">
        <w:rPr>
          <w:rFonts w:cs="Times New Roman"/>
          <w:i/>
          <w:iCs/>
        </w:rPr>
        <w:t>The Guardian</w:t>
      </w:r>
      <w:r w:rsidR="000434ED" w:rsidRPr="00E43DA6">
        <w:rPr>
          <w:rFonts w:cs="Times New Roman"/>
        </w:rPr>
        <w:t xml:space="preserve">, </w:t>
      </w:r>
      <w:r w:rsidR="003F399E" w:rsidRPr="00E43DA6">
        <w:rPr>
          <w:rFonts w:cs="Times New Roman"/>
        </w:rPr>
        <w:t>‘</w:t>
      </w:r>
      <w:r w:rsidR="000434ED" w:rsidRPr="00E43DA6">
        <w:rPr>
          <w:rFonts w:cs="Times New Roman"/>
        </w:rPr>
        <w:t xml:space="preserve">How Africa’s </w:t>
      </w:r>
      <w:r w:rsidR="001F1AE8">
        <w:rPr>
          <w:rFonts w:cs="Times New Roman"/>
        </w:rPr>
        <w:t>f</w:t>
      </w:r>
      <w:r w:rsidR="000434ED" w:rsidRPr="00E43DA6">
        <w:rPr>
          <w:rFonts w:cs="Times New Roman"/>
        </w:rPr>
        <w:t xml:space="preserve">astest </w:t>
      </w:r>
      <w:r w:rsidR="001F1AE8">
        <w:rPr>
          <w:rFonts w:cs="Times New Roman"/>
        </w:rPr>
        <w:t>s</w:t>
      </w:r>
      <w:r w:rsidR="000434ED" w:rsidRPr="00E43DA6">
        <w:rPr>
          <w:rFonts w:cs="Times New Roman"/>
        </w:rPr>
        <w:t xml:space="preserve">olar </w:t>
      </w:r>
      <w:r w:rsidR="001F1AE8">
        <w:rPr>
          <w:rFonts w:cs="Times New Roman"/>
        </w:rPr>
        <w:t>p</w:t>
      </w:r>
      <w:r w:rsidR="000434ED" w:rsidRPr="00E43DA6">
        <w:rPr>
          <w:rFonts w:cs="Times New Roman"/>
        </w:rPr>
        <w:t xml:space="preserve">ower </w:t>
      </w:r>
      <w:r w:rsidR="001F1AE8">
        <w:rPr>
          <w:rFonts w:cs="Times New Roman"/>
        </w:rPr>
        <w:t>p</w:t>
      </w:r>
      <w:r w:rsidR="000434ED" w:rsidRPr="00E43DA6">
        <w:rPr>
          <w:rFonts w:cs="Times New Roman"/>
        </w:rPr>
        <w:t xml:space="preserve">roject </w:t>
      </w:r>
      <w:r w:rsidR="001F1AE8">
        <w:rPr>
          <w:rFonts w:cs="Times New Roman"/>
        </w:rPr>
        <w:t>i</w:t>
      </w:r>
      <w:r w:rsidR="000434ED" w:rsidRPr="00E43DA6">
        <w:rPr>
          <w:rFonts w:cs="Times New Roman"/>
        </w:rPr>
        <w:t xml:space="preserve">s </w:t>
      </w:r>
      <w:r w:rsidR="001F1AE8">
        <w:rPr>
          <w:rFonts w:cs="Times New Roman"/>
        </w:rPr>
        <w:t>l</w:t>
      </w:r>
      <w:r w:rsidR="000434ED" w:rsidRPr="00E43DA6">
        <w:rPr>
          <w:rFonts w:cs="Times New Roman"/>
        </w:rPr>
        <w:t>ighting up Rwanda</w:t>
      </w:r>
      <w:r w:rsidR="003F399E" w:rsidRPr="00E43DA6">
        <w:rPr>
          <w:rFonts w:cs="Times New Roman"/>
        </w:rPr>
        <w:t>’</w:t>
      </w:r>
      <w:r w:rsidR="000434ED" w:rsidRPr="00E43DA6">
        <w:rPr>
          <w:rFonts w:cs="Times New Roman"/>
        </w:rPr>
        <w:t xml:space="preserve">, </w:t>
      </w:r>
      <w:r w:rsidR="006B2577" w:rsidRPr="00E43DA6">
        <w:rPr>
          <w:rFonts w:cs="Times New Roman"/>
        </w:rPr>
        <w:t xml:space="preserve">23 </w:t>
      </w:r>
      <w:r w:rsidR="000434ED" w:rsidRPr="00E43DA6">
        <w:rPr>
          <w:rFonts w:cs="Times New Roman"/>
        </w:rPr>
        <w:t>November 2015</w:t>
      </w:r>
      <w:r w:rsidR="000434ED" w:rsidRPr="00E43DA6">
        <w:rPr>
          <w:rFonts w:cs="Times New Roman"/>
          <w:lang w:val="en-US"/>
        </w:rPr>
        <w:t>.</w:t>
      </w:r>
    </w:p>
  </w:footnote>
  <w:footnote w:id="106">
    <w:p w14:paraId="6FD9AB82" w14:textId="07FE11B1"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RDB official, Kigali, </w:t>
      </w:r>
      <w:r w:rsidR="001F1AE8">
        <w:rPr>
          <w:rFonts w:cs="Times New Roman"/>
        </w:rPr>
        <w:t xml:space="preserve">Rwanda, </w:t>
      </w:r>
      <w:r w:rsidRPr="00E43DA6">
        <w:rPr>
          <w:rFonts w:cs="Times New Roman"/>
        </w:rPr>
        <w:t>2018.</w:t>
      </w:r>
    </w:p>
  </w:footnote>
  <w:footnote w:id="107">
    <w:p w14:paraId="15E549CF" w14:textId="36FF557C"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consultant, </w:t>
      </w:r>
      <w:r w:rsidR="001F1AE8">
        <w:rPr>
          <w:rFonts w:cs="Times New Roman"/>
        </w:rPr>
        <w:t xml:space="preserve">Kigali, Rwanda, </w:t>
      </w:r>
      <w:r w:rsidRPr="00E43DA6">
        <w:rPr>
          <w:rFonts w:cs="Times New Roman"/>
        </w:rPr>
        <w:t>2016.</w:t>
      </w:r>
    </w:p>
  </w:footnote>
  <w:footnote w:id="108">
    <w:p w14:paraId="0AFA7C12" w14:textId="2CD077B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We thank Alvaro Lara and Sidney Wakaba for sharing th</w:t>
      </w:r>
      <w:r w:rsidR="00145539">
        <w:rPr>
          <w:rFonts w:cs="Times New Roman"/>
        </w:rPr>
        <w:t>is</w:t>
      </w:r>
      <w:r w:rsidRPr="00E43DA6">
        <w:rPr>
          <w:rFonts w:cs="Times New Roman"/>
        </w:rPr>
        <w:t xml:space="preserve"> data.</w:t>
      </w:r>
    </w:p>
  </w:footnote>
  <w:footnote w:id="109">
    <w:p w14:paraId="46767B28" w14:textId="775A24DC"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O</w:t>
      </w:r>
      <w:r w:rsidR="001F1AE8">
        <w:rPr>
          <w:rFonts w:cs="Times New Roman"/>
        </w:rPr>
        <w:t xml:space="preserve">ffice of the </w:t>
      </w:r>
      <w:r w:rsidR="000434ED" w:rsidRPr="00E43DA6">
        <w:rPr>
          <w:rFonts w:cs="Times New Roman"/>
        </w:rPr>
        <w:t>A</w:t>
      </w:r>
      <w:r w:rsidR="001F1AE8">
        <w:rPr>
          <w:rFonts w:cs="Times New Roman"/>
        </w:rPr>
        <w:t xml:space="preserve">uditor </w:t>
      </w:r>
      <w:r w:rsidR="000434ED" w:rsidRPr="00E43DA6">
        <w:rPr>
          <w:rFonts w:cs="Times New Roman"/>
        </w:rPr>
        <w:t>G</w:t>
      </w:r>
      <w:r w:rsidR="001F1AE8">
        <w:rPr>
          <w:rFonts w:cs="Times New Roman"/>
        </w:rPr>
        <w:t>eneral (OAG)</w:t>
      </w:r>
      <w:r w:rsidR="000434ED" w:rsidRPr="00E43DA6">
        <w:rPr>
          <w:rFonts w:cs="Times New Roman"/>
        </w:rPr>
        <w:t xml:space="preserve">, </w:t>
      </w:r>
      <w:r w:rsidR="003F399E" w:rsidRPr="00E43DA6">
        <w:rPr>
          <w:rFonts w:cs="Times New Roman"/>
        </w:rPr>
        <w:t>‘</w:t>
      </w:r>
      <w:r w:rsidR="000434ED" w:rsidRPr="00E43DA6">
        <w:rPr>
          <w:rFonts w:cs="Times New Roman"/>
        </w:rPr>
        <w:t xml:space="preserve">Report of the Auditor General of State Finances for the </w:t>
      </w:r>
      <w:r w:rsidR="001F1AE8">
        <w:rPr>
          <w:rFonts w:cs="Times New Roman"/>
        </w:rPr>
        <w:t>y</w:t>
      </w:r>
      <w:r w:rsidR="000434ED" w:rsidRPr="00E43DA6">
        <w:rPr>
          <w:rFonts w:cs="Times New Roman"/>
        </w:rPr>
        <w:t xml:space="preserve">ear </w:t>
      </w:r>
      <w:r w:rsidR="001F1AE8">
        <w:rPr>
          <w:rFonts w:cs="Times New Roman"/>
        </w:rPr>
        <w:t>e</w:t>
      </w:r>
      <w:r w:rsidR="000434ED" w:rsidRPr="00E43DA6">
        <w:rPr>
          <w:rFonts w:cs="Times New Roman"/>
        </w:rPr>
        <w:t>nded 20 June 2017</w:t>
      </w:r>
      <w:r w:rsidR="003F399E" w:rsidRPr="00E43DA6">
        <w:rPr>
          <w:rFonts w:cs="Times New Roman"/>
        </w:rPr>
        <w:t>’</w:t>
      </w:r>
      <w:r w:rsidR="000434ED" w:rsidRPr="00E43DA6">
        <w:rPr>
          <w:rFonts w:cs="Times New Roman"/>
        </w:rPr>
        <w:t xml:space="preserve"> (</w:t>
      </w:r>
      <w:r w:rsidR="001F1AE8">
        <w:rPr>
          <w:rFonts w:cs="Times New Roman"/>
        </w:rPr>
        <w:t>OAG</w:t>
      </w:r>
      <w:r w:rsidR="000434ED" w:rsidRPr="00E43DA6">
        <w:rPr>
          <w:rFonts w:cs="Times New Roman"/>
        </w:rPr>
        <w:t xml:space="preserve">, </w:t>
      </w:r>
      <w:r w:rsidR="006B2577" w:rsidRPr="00E43DA6">
        <w:rPr>
          <w:rFonts w:cs="Times New Roman"/>
        </w:rPr>
        <w:t>Kigali</w:t>
      </w:r>
      <w:r w:rsidR="000434ED" w:rsidRPr="00E43DA6">
        <w:rPr>
          <w:rFonts w:cs="Times New Roman"/>
        </w:rPr>
        <w:t>,</w:t>
      </w:r>
      <w:r w:rsidR="001F1AE8">
        <w:rPr>
          <w:rFonts w:cs="Times New Roman"/>
        </w:rPr>
        <w:t xml:space="preserve"> Rwanda,</w:t>
      </w:r>
      <w:r w:rsidR="000434ED" w:rsidRPr="00E43DA6">
        <w:rPr>
          <w:rFonts w:cs="Times New Roman"/>
        </w:rPr>
        <w:t xml:space="preserve"> 2018).</w:t>
      </w:r>
    </w:p>
  </w:footnote>
  <w:footnote w:id="110">
    <w:p w14:paraId="4A5F8559" w14:textId="026D053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with former civil servant, </w:t>
      </w:r>
      <w:r w:rsidR="001F1AE8">
        <w:rPr>
          <w:rFonts w:cs="Times New Roman"/>
        </w:rPr>
        <w:t xml:space="preserve">Kigali, Rwanda, </w:t>
      </w:r>
      <w:r w:rsidRPr="00E43DA6">
        <w:rPr>
          <w:rFonts w:cs="Times New Roman"/>
        </w:rPr>
        <w:t>June 2018.</w:t>
      </w:r>
    </w:p>
  </w:footnote>
  <w:footnote w:id="111">
    <w:p w14:paraId="4D8B7CAD" w14:textId="6BFFC880"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Multiple interviews with consultants and civil servants, </w:t>
      </w:r>
      <w:r w:rsidR="001F1AE8">
        <w:rPr>
          <w:rFonts w:cs="Times New Roman"/>
        </w:rPr>
        <w:t xml:space="preserve">Kigali, Rwanda, </w:t>
      </w:r>
      <w:r w:rsidRPr="00E43DA6">
        <w:rPr>
          <w:rFonts w:cs="Times New Roman"/>
        </w:rPr>
        <w:t>June–July 2018.</w:t>
      </w:r>
    </w:p>
  </w:footnote>
  <w:footnote w:id="112">
    <w:p w14:paraId="7B3ACE6A" w14:textId="6A56CBBC"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Interviews, </w:t>
      </w:r>
      <w:r w:rsidR="00941784">
        <w:rPr>
          <w:rFonts w:cs="Times New Roman"/>
        </w:rPr>
        <w:t>s</w:t>
      </w:r>
      <w:r w:rsidRPr="00E43DA6">
        <w:rPr>
          <w:rFonts w:cs="Times New Roman"/>
        </w:rPr>
        <w:t xml:space="preserve">enior </w:t>
      </w:r>
      <w:r w:rsidR="00941784">
        <w:rPr>
          <w:rFonts w:cs="Times New Roman"/>
        </w:rPr>
        <w:t>o</w:t>
      </w:r>
      <w:r w:rsidRPr="00E43DA6">
        <w:rPr>
          <w:rFonts w:cs="Times New Roman"/>
        </w:rPr>
        <w:t xml:space="preserve">fficials, Rwanda Environmental Organisation, </w:t>
      </w:r>
      <w:r w:rsidR="00941784">
        <w:rPr>
          <w:rFonts w:cs="Times New Roman"/>
        </w:rPr>
        <w:t xml:space="preserve">Kigali, Rwanda, </w:t>
      </w:r>
      <w:r w:rsidRPr="00E43DA6">
        <w:rPr>
          <w:rFonts w:cs="Times New Roman"/>
        </w:rPr>
        <w:t xml:space="preserve">2016 </w:t>
      </w:r>
    </w:p>
  </w:footnote>
  <w:footnote w:id="113">
    <w:p w14:paraId="575E4F0B" w14:textId="05D7694A"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Republic of Rwanda, </w:t>
      </w:r>
      <w:r w:rsidR="003F399E" w:rsidRPr="00E43DA6">
        <w:rPr>
          <w:rFonts w:cs="Times New Roman"/>
        </w:rPr>
        <w:t>‘</w:t>
      </w:r>
      <w:r w:rsidR="000434ED" w:rsidRPr="00E43DA6">
        <w:rPr>
          <w:rFonts w:cs="Times New Roman"/>
        </w:rPr>
        <w:t xml:space="preserve">Energy </w:t>
      </w:r>
      <w:r w:rsidR="00941784">
        <w:rPr>
          <w:rFonts w:cs="Times New Roman"/>
        </w:rPr>
        <w:t>s</w:t>
      </w:r>
      <w:r w:rsidR="000434ED" w:rsidRPr="00E43DA6">
        <w:rPr>
          <w:rFonts w:cs="Times New Roman"/>
        </w:rPr>
        <w:t xml:space="preserve">ector </w:t>
      </w:r>
      <w:r w:rsidR="00941784">
        <w:rPr>
          <w:rFonts w:cs="Times New Roman"/>
        </w:rPr>
        <w:t>s</w:t>
      </w:r>
      <w:r w:rsidR="000434ED" w:rsidRPr="00E43DA6">
        <w:rPr>
          <w:rFonts w:cs="Times New Roman"/>
        </w:rPr>
        <w:t xml:space="preserve">trategic </w:t>
      </w:r>
      <w:r w:rsidR="00941784">
        <w:rPr>
          <w:rFonts w:cs="Times New Roman"/>
        </w:rPr>
        <w:t>p</w:t>
      </w:r>
      <w:r w:rsidR="000434ED" w:rsidRPr="00E43DA6">
        <w:rPr>
          <w:rFonts w:cs="Times New Roman"/>
        </w:rPr>
        <w:t>lan: 2018/19-2023/24</w:t>
      </w:r>
      <w:r w:rsidR="003F399E" w:rsidRPr="00E43DA6">
        <w:rPr>
          <w:rFonts w:cs="Times New Roman"/>
        </w:rPr>
        <w:t>’</w:t>
      </w:r>
      <w:r w:rsidR="00941784">
        <w:rPr>
          <w:rFonts w:cs="Times New Roman"/>
        </w:rPr>
        <w:t>,</w:t>
      </w:r>
      <w:r w:rsidR="000434ED" w:rsidRPr="00E43DA6">
        <w:rPr>
          <w:rFonts w:cs="Times New Roman"/>
        </w:rPr>
        <w:t xml:space="preserve"> </w:t>
      </w:r>
      <w:r w:rsidR="006B2577" w:rsidRPr="00E43DA6">
        <w:rPr>
          <w:rFonts w:cs="Times New Roman"/>
        </w:rPr>
        <w:t>p.</w:t>
      </w:r>
      <w:r w:rsidR="000434ED" w:rsidRPr="00E43DA6">
        <w:rPr>
          <w:rFonts w:cs="Times New Roman"/>
        </w:rPr>
        <w:t>24.</w:t>
      </w:r>
    </w:p>
  </w:footnote>
  <w:footnote w:id="114">
    <w:p w14:paraId="1832555F" w14:textId="63C1A499"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Interview, </w:t>
      </w:r>
      <w:r w:rsidR="00941784">
        <w:rPr>
          <w:rFonts w:cs="Times New Roman"/>
        </w:rPr>
        <w:t xml:space="preserve">consultant, </w:t>
      </w:r>
      <w:r w:rsidRPr="00E43DA6">
        <w:rPr>
          <w:rFonts w:cs="Times New Roman"/>
        </w:rPr>
        <w:t>Kigali,</w:t>
      </w:r>
      <w:r w:rsidR="00941784">
        <w:rPr>
          <w:rFonts w:cs="Times New Roman"/>
        </w:rPr>
        <w:t xml:space="preserve"> Rwanda,</w:t>
      </w:r>
      <w:r w:rsidRPr="00E43DA6">
        <w:rPr>
          <w:rFonts w:cs="Times New Roman"/>
        </w:rPr>
        <w:t xml:space="preserve"> June 2018. </w:t>
      </w:r>
    </w:p>
  </w:footnote>
  <w:footnote w:id="115">
    <w:p w14:paraId="5E01DD59" w14:textId="5B19493A"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0434ED" w:rsidRPr="00E43DA6">
        <w:rPr>
          <w:rFonts w:cs="Times New Roman"/>
        </w:rPr>
        <w:t xml:space="preserve">EU, </w:t>
      </w:r>
      <w:r w:rsidR="003F399E" w:rsidRPr="00E43DA6">
        <w:rPr>
          <w:rFonts w:cs="Times New Roman"/>
        </w:rPr>
        <w:t>‘</w:t>
      </w:r>
      <w:r w:rsidR="000434ED" w:rsidRPr="00E43DA6">
        <w:rPr>
          <w:rFonts w:cs="Times New Roman"/>
        </w:rPr>
        <w:t xml:space="preserve">Annex 1 of the Commission </w:t>
      </w:r>
      <w:r w:rsidR="00941784">
        <w:rPr>
          <w:rFonts w:cs="Times New Roman"/>
        </w:rPr>
        <w:t>d</w:t>
      </w:r>
      <w:r w:rsidR="000434ED" w:rsidRPr="00E43DA6">
        <w:rPr>
          <w:rFonts w:cs="Times New Roman"/>
        </w:rPr>
        <w:t xml:space="preserve">ecision on the Annual Action Programme 2015 in </w:t>
      </w:r>
      <w:r w:rsidR="00941784">
        <w:rPr>
          <w:rFonts w:cs="Times New Roman"/>
        </w:rPr>
        <w:t>f</w:t>
      </w:r>
      <w:r w:rsidR="000434ED" w:rsidRPr="00E43DA6">
        <w:rPr>
          <w:rFonts w:cs="Times New Roman"/>
        </w:rPr>
        <w:t xml:space="preserve">avour of Rwanda to </w:t>
      </w:r>
      <w:r w:rsidR="00941784">
        <w:rPr>
          <w:rFonts w:cs="Times New Roman"/>
        </w:rPr>
        <w:t>b</w:t>
      </w:r>
      <w:r w:rsidR="000434ED" w:rsidRPr="00E43DA6">
        <w:rPr>
          <w:rFonts w:cs="Times New Roman"/>
        </w:rPr>
        <w:t xml:space="preserve">e </w:t>
      </w:r>
      <w:r w:rsidR="00941784">
        <w:rPr>
          <w:rFonts w:cs="Times New Roman"/>
        </w:rPr>
        <w:t>f</w:t>
      </w:r>
      <w:r w:rsidR="000434ED" w:rsidRPr="00E43DA6">
        <w:rPr>
          <w:rFonts w:cs="Times New Roman"/>
        </w:rPr>
        <w:t xml:space="preserve">inanced from the 11th European Development Fund: Action </w:t>
      </w:r>
      <w:r w:rsidR="00941784">
        <w:rPr>
          <w:rFonts w:cs="Times New Roman"/>
        </w:rPr>
        <w:t>d</w:t>
      </w:r>
      <w:r w:rsidR="000434ED" w:rsidRPr="00E43DA6">
        <w:rPr>
          <w:rFonts w:cs="Times New Roman"/>
        </w:rPr>
        <w:t xml:space="preserve">ocument for ‘Sector Reform Contract (SRC) to </w:t>
      </w:r>
      <w:r w:rsidR="00941784">
        <w:rPr>
          <w:rFonts w:cs="Times New Roman"/>
        </w:rPr>
        <w:t>i</w:t>
      </w:r>
      <w:r w:rsidR="000434ED" w:rsidRPr="00E43DA6">
        <w:rPr>
          <w:rFonts w:cs="Times New Roman"/>
        </w:rPr>
        <w:t xml:space="preserve">ncrease </w:t>
      </w:r>
      <w:r w:rsidR="00941784">
        <w:rPr>
          <w:rFonts w:cs="Times New Roman"/>
        </w:rPr>
        <w:t>p</w:t>
      </w:r>
      <w:r w:rsidR="000434ED" w:rsidRPr="00E43DA6">
        <w:rPr>
          <w:rFonts w:cs="Times New Roman"/>
        </w:rPr>
        <w:t xml:space="preserve">erformance of Rwanda’s </w:t>
      </w:r>
      <w:r w:rsidR="00941784">
        <w:rPr>
          <w:rFonts w:cs="Times New Roman"/>
        </w:rPr>
        <w:t>e</w:t>
      </w:r>
      <w:r w:rsidR="000434ED" w:rsidRPr="00E43DA6">
        <w:rPr>
          <w:rFonts w:cs="Times New Roman"/>
        </w:rPr>
        <w:t xml:space="preserve">nergy </w:t>
      </w:r>
      <w:r w:rsidR="00941784">
        <w:rPr>
          <w:rFonts w:cs="Times New Roman"/>
        </w:rPr>
        <w:t>s</w:t>
      </w:r>
      <w:r w:rsidR="000434ED" w:rsidRPr="00E43DA6">
        <w:rPr>
          <w:rFonts w:cs="Times New Roman"/>
        </w:rPr>
        <w:t xml:space="preserve">ector and </w:t>
      </w:r>
      <w:r w:rsidR="00941784">
        <w:rPr>
          <w:rFonts w:cs="Times New Roman"/>
        </w:rPr>
        <w:t>d</w:t>
      </w:r>
      <w:r w:rsidR="000434ED" w:rsidRPr="00E43DA6">
        <w:rPr>
          <w:rFonts w:cs="Times New Roman"/>
        </w:rPr>
        <w:t xml:space="preserve">evelop the </w:t>
      </w:r>
      <w:r w:rsidR="00941784">
        <w:rPr>
          <w:rFonts w:cs="Times New Roman"/>
        </w:rPr>
        <w:t>c</w:t>
      </w:r>
      <w:r w:rsidR="000434ED" w:rsidRPr="00E43DA6">
        <w:rPr>
          <w:rFonts w:cs="Times New Roman"/>
        </w:rPr>
        <w:t xml:space="preserve">orresponding </w:t>
      </w:r>
      <w:r w:rsidR="00941784">
        <w:rPr>
          <w:rFonts w:cs="Times New Roman"/>
        </w:rPr>
        <w:t>i</w:t>
      </w:r>
      <w:r w:rsidR="000434ED" w:rsidRPr="00E43DA6">
        <w:rPr>
          <w:rFonts w:cs="Times New Roman"/>
        </w:rPr>
        <w:t xml:space="preserve">nstitutional </w:t>
      </w:r>
      <w:r w:rsidR="00941784">
        <w:rPr>
          <w:rFonts w:cs="Times New Roman"/>
        </w:rPr>
        <w:t>c</w:t>
      </w:r>
      <w:r w:rsidR="000434ED" w:rsidRPr="00E43DA6">
        <w:rPr>
          <w:rFonts w:cs="Times New Roman"/>
        </w:rPr>
        <w:t>apacities’</w:t>
      </w:r>
      <w:r w:rsidR="003F399E" w:rsidRPr="00E43DA6">
        <w:rPr>
          <w:rFonts w:cs="Times New Roman"/>
        </w:rPr>
        <w:t>’</w:t>
      </w:r>
      <w:r w:rsidR="000434ED" w:rsidRPr="00E43DA6">
        <w:rPr>
          <w:rFonts w:cs="Times New Roman"/>
        </w:rPr>
        <w:t xml:space="preserve"> (European Union, </w:t>
      </w:r>
      <w:r w:rsidR="006B2577" w:rsidRPr="00E43DA6">
        <w:rPr>
          <w:rFonts w:cs="Times New Roman"/>
        </w:rPr>
        <w:t xml:space="preserve">Brussels, </w:t>
      </w:r>
      <w:r w:rsidR="000434ED" w:rsidRPr="00E43DA6">
        <w:rPr>
          <w:rFonts w:cs="Times New Roman"/>
        </w:rPr>
        <w:t>2015</w:t>
      </w:r>
      <w:r w:rsidR="006B2577" w:rsidRPr="00E43DA6">
        <w:rPr>
          <w:rFonts w:cs="Times New Roman"/>
        </w:rPr>
        <w:t>)</w:t>
      </w:r>
      <w:r w:rsidR="000434ED" w:rsidRPr="00E43DA6">
        <w:rPr>
          <w:rFonts w:cs="Times New Roman"/>
        </w:rPr>
        <w:t>.</w:t>
      </w:r>
    </w:p>
  </w:footnote>
  <w:footnote w:id="116">
    <w:p w14:paraId="0895963F" w14:textId="7A1B456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World Bank,</w:t>
      </w:r>
      <w:r w:rsidR="002712C2" w:rsidRPr="00E43DA6">
        <w:rPr>
          <w:rFonts w:cs="Times New Roman"/>
        </w:rPr>
        <w:t xml:space="preserve"> </w:t>
      </w:r>
      <w:r w:rsidR="002712C2" w:rsidRPr="00E43DA6">
        <w:rPr>
          <w:rFonts w:cs="Times New Roman"/>
          <w:i/>
          <w:iCs/>
        </w:rPr>
        <w:t xml:space="preserve">Rwanda - </w:t>
      </w:r>
      <w:r w:rsidR="00941784">
        <w:rPr>
          <w:rFonts w:cs="Times New Roman"/>
          <w:i/>
          <w:iCs/>
        </w:rPr>
        <w:t>e</w:t>
      </w:r>
      <w:r w:rsidR="002712C2" w:rsidRPr="00E43DA6">
        <w:rPr>
          <w:rFonts w:cs="Times New Roman"/>
          <w:i/>
          <w:iCs/>
        </w:rPr>
        <w:t xml:space="preserve">lectricity </w:t>
      </w:r>
      <w:r w:rsidR="00941784">
        <w:rPr>
          <w:rFonts w:cs="Times New Roman"/>
          <w:i/>
          <w:iCs/>
        </w:rPr>
        <w:t>s</w:t>
      </w:r>
      <w:r w:rsidR="002712C2" w:rsidRPr="00E43DA6">
        <w:rPr>
          <w:rFonts w:cs="Times New Roman"/>
          <w:i/>
          <w:iCs/>
        </w:rPr>
        <w:t xml:space="preserve">ector </w:t>
      </w:r>
      <w:r w:rsidR="00941784">
        <w:rPr>
          <w:rFonts w:cs="Times New Roman"/>
          <w:i/>
          <w:iCs/>
        </w:rPr>
        <w:t>s</w:t>
      </w:r>
      <w:r w:rsidR="002712C2" w:rsidRPr="00E43DA6">
        <w:rPr>
          <w:rFonts w:cs="Times New Roman"/>
          <w:i/>
          <w:iCs/>
        </w:rPr>
        <w:t xml:space="preserve">trengthening </w:t>
      </w:r>
      <w:r w:rsidR="00941784">
        <w:rPr>
          <w:rFonts w:cs="Times New Roman"/>
          <w:i/>
          <w:iCs/>
        </w:rPr>
        <w:t>p</w:t>
      </w:r>
      <w:r w:rsidR="002712C2" w:rsidRPr="00E43DA6">
        <w:rPr>
          <w:rFonts w:cs="Times New Roman"/>
          <w:i/>
          <w:iCs/>
        </w:rPr>
        <w:t>roject</w:t>
      </w:r>
      <w:r w:rsidRPr="00E43DA6">
        <w:rPr>
          <w:rFonts w:cs="Times New Roman"/>
        </w:rPr>
        <w:t xml:space="preserve"> </w:t>
      </w:r>
      <w:r w:rsidR="002712C2" w:rsidRPr="00E43DA6">
        <w:rPr>
          <w:rFonts w:cs="Times New Roman"/>
        </w:rPr>
        <w:t>(World Bank, Washington D</w:t>
      </w:r>
      <w:r w:rsidR="00941784">
        <w:rPr>
          <w:rFonts w:cs="Times New Roman"/>
        </w:rPr>
        <w:t>.</w:t>
      </w:r>
      <w:r w:rsidR="002712C2" w:rsidRPr="00E43DA6">
        <w:rPr>
          <w:rFonts w:cs="Times New Roman"/>
        </w:rPr>
        <w:t>C</w:t>
      </w:r>
      <w:r w:rsidR="00941784">
        <w:rPr>
          <w:rFonts w:cs="Times New Roman"/>
        </w:rPr>
        <w:t>.</w:t>
      </w:r>
      <w:r w:rsidR="002712C2" w:rsidRPr="00E43DA6">
        <w:rPr>
          <w:rFonts w:cs="Times New Roman"/>
        </w:rPr>
        <w:t xml:space="preserve">, </w:t>
      </w:r>
      <w:r w:rsidRPr="00E43DA6">
        <w:rPr>
          <w:rFonts w:cs="Times New Roman"/>
        </w:rPr>
        <w:t>2015</w:t>
      </w:r>
      <w:r w:rsidR="002712C2" w:rsidRPr="00E43DA6">
        <w:rPr>
          <w:rFonts w:cs="Times New Roman"/>
        </w:rPr>
        <w:t>).</w:t>
      </w:r>
    </w:p>
  </w:footnote>
  <w:footnote w:id="117">
    <w:p w14:paraId="6DB1AC7A" w14:textId="0343AE6F"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3F399E" w:rsidRPr="00E43DA6">
        <w:rPr>
          <w:rFonts w:cs="Times New Roman"/>
        </w:rPr>
        <w:t>‘</w:t>
      </w:r>
      <w:r w:rsidRPr="00E43DA6">
        <w:rPr>
          <w:rFonts w:cs="Times New Roman"/>
        </w:rPr>
        <w:t>Businesses count losses as erratic power supply takes toll</w:t>
      </w:r>
      <w:r w:rsidR="003F399E" w:rsidRPr="00E43DA6">
        <w:rPr>
          <w:rFonts w:cs="Times New Roman"/>
        </w:rPr>
        <w:t>’</w:t>
      </w:r>
      <w:r w:rsidRPr="00E43DA6">
        <w:rPr>
          <w:rFonts w:cs="Times New Roman"/>
        </w:rPr>
        <w:t xml:space="preserve">, </w:t>
      </w:r>
      <w:r w:rsidRPr="00E43DA6">
        <w:rPr>
          <w:rFonts w:cs="Times New Roman"/>
          <w:i/>
          <w:iCs/>
        </w:rPr>
        <w:t>The New Times</w:t>
      </w:r>
      <w:r w:rsidR="00941784">
        <w:rPr>
          <w:rFonts w:cs="Times New Roman"/>
          <w:i/>
          <w:iCs/>
        </w:rPr>
        <w:t xml:space="preserve"> </w:t>
      </w:r>
      <w:r w:rsidR="00941784">
        <w:rPr>
          <w:rFonts w:cs="Times New Roman"/>
        </w:rPr>
        <w:t>(Kigali)</w:t>
      </w:r>
      <w:r w:rsidRPr="00E43DA6">
        <w:rPr>
          <w:rFonts w:cs="Times New Roman"/>
        </w:rPr>
        <w:t>, 26</w:t>
      </w:r>
      <w:r w:rsidR="006B2577" w:rsidRPr="00E43DA6">
        <w:rPr>
          <w:rFonts w:cs="Times New Roman"/>
        </w:rPr>
        <w:t xml:space="preserve"> February </w:t>
      </w:r>
      <w:r w:rsidRPr="00E43DA6">
        <w:rPr>
          <w:rFonts w:cs="Times New Roman"/>
        </w:rPr>
        <w:t>2013.</w:t>
      </w:r>
    </w:p>
  </w:footnote>
  <w:footnote w:id="118">
    <w:p w14:paraId="5432A9FF" w14:textId="2B8EEC2E" w:rsidR="002C6CB0" w:rsidRPr="00E43DA6" w:rsidRDefault="002C6CB0"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w:t>
      </w:r>
      <w:r w:rsidR="003F399E" w:rsidRPr="00E43DA6">
        <w:rPr>
          <w:rFonts w:cs="Times New Roman"/>
        </w:rPr>
        <w:t>‘</w:t>
      </w:r>
      <w:r w:rsidR="00A23188" w:rsidRPr="00E43DA6">
        <w:rPr>
          <w:rFonts w:cs="Times New Roman"/>
        </w:rPr>
        <w:t>Editorial</w:t>
      </w:r>
      <w:r w:rsidRPr="00E43DA6">
        <w:rPr>
          <w:rFonts w:cs="Times New Roman"/>
        </w:rPr>
        <w:t xml:space="preserve">: Rwanda can’t afford another </w:t>
      </w:r>
      <w:proofErr w:type="spellStart"/>
      <w:r w:rsidRPr="00E43DA6">
        <w:rPr>
          <w:rFonts w:cs="Times New Roman"/>
        </w:rPr>
        <w:t>Gishoma</w:t>
      </w:r>
      <w:proofErr w:type="spellEnd"/>
      <w:r w:rsidRPr="00E43DA6">
        <w:rPr>
          <w:rFonts w:cs="Times New Roman"/>
        </w:rPr>
        <w:t>-like saga</w:t>
      </w:r>
      <w:r w:rsidR="003F399E" w:rsidRPr="00E43DA6">
        <w:rPr>
          <w:rFonts w:cs="Times New Roman"/>
        </w:rPr>
        <w:t>’</w:t>
      </w:r>
      <w:r w:rsidRPr="00E43DA6">
        <w:rPr>
          <w:rFonts w:cs="Times New Roman"/>
        </w:rPr>
        <w:t xml:space="preserve">, </w:t>
      </w:r>
      <w:r w:rsidRPr="00E43DA6">
        <w:rPr>
          <w:rFonts w:cs="Times New Roman"/>
          <w:i/>
          <w:iCs/>
        </w:rPr>
        <w:t>The New Times</w:t>
      </w:r>
      <w:r w:rsidR="00941784">
        <w:rPr>
          <w:rFonts w:cs="Times New Roman"/>
          <w:i/>
          <w:iCs/>
        </w:rPr>
        <w:t xml:space="preserve"> </w:t>
      </w:r>
      <w:r w:rsidR="00941784">
        <w:rPr>
          <w:rFonts w:cs="Times New Roman"/>
        </w:rPr>
        <w:t>(Kigali)</w:t>
      </w:r>
      <w:r w:rsidRPr="00E43DA6">
        <w:rPr>
          <w:rFonts w:cs="Times New Roman"/>
        </w:rPr>
        <w:t xml:space="preserve">, </w:t>
      </w:r>
      <w:r w:rsidR="003F399E" w:rsidRPr="00E43DA6">
        <w:rPr>
          <w:rFonts w:cs="Times New Roman"/>
        </w:rPr>
        <w:t>5</w:t>
      </w:r>
      <w:r w:rsidR="006B2577" w:rsidRPr="00E43DA6">
        <w:rPr>
          <w:rFonts w:cs="Times New Roman"/>
        </w:rPr>
        <w:t xml:space="preserve"> March </w:t>
      </w:r>
      <w:r w:rsidR="003F399E" w:rsidRPr="00E43DA6">
        <w:rPr>
          <w:rFonts w:cs="Times New Roman"/>
        </w:rPr>
        <w:t>2015.</w:t>
      </w:r>
    </w:p>
  </w:footnote>
  <w:footnote w:id="119">
    <w:p w14:paraId="4E12FE37" w14:textId="69FFCB9A" w:rsidR="00420F24" w:rsidRPr="00E43DA6" w:rsidRDefault="00420F24" w:rsidP="00E43DA6">
      <w:pPr>
        <w:pStyle w:val="FootnoteText"/>
        <w:jc w:val="both"/>
        <w:rPr>
          <w:rFonts w:cs="Times New Roman"/>
        </w:rPr>
      </w:pPr>
      <w:r w:rsidRPr="00E43DA6">
        <w:rPr>
          <w:rStyle w:val="FootnoteReference"/>
          <w:rFonts w:cs="Times New Roman"/>
        </w:rPr>
        <w:footnoteRef/>
      </w:r>
      <w:r w:rsidRPr="00E43DA6">
        <w:rPr>
          <w:rFonts w:cs="Times New Roman"/>
        </w:rPr>
        <w:t xml:space="preserve"> Charlie Robertson, </w:t>
      </w:r>
      <w:proofErr w:type="gramStart"/>
      <w:r w:rsidRPr="00E43DA6">
        <w:rPr>
          <w:rFonts w:cs="Times New Roman"/>
          <w:i/>
          <w:iCs/>
        </w:rPr>
        <w:t>The</w:t>
      </w:r>
      <w:proofErr w:type="gramEnd"/>
      <w:r w:rsidRPr="00E43DA6">
        <w:rPr>
          <w:rFonts w:cs="Times New Roman"/>
          <w:i/>
          <w:iCs/>
        </w:rPr>
        <w:t xml:space="preserve"> </w:t>
      </w:r>
      <w:r w:rsidR="00941784">
        <w:rPr>
          <w:rFonts w:cs="Times New Roman"/>
          <w:i/>
          <w:iCs/>
        </w:rPr>
        <w:t>t</w:t>
      </w:r>
      <w:r w:rsidRPr="00E43DA6">
        <w:rPr>
          <w:rFonts w:cs="Times New Roman"/>
          <w:i/>
          <w:iCs/>
        </w:rPr>
        <w:t>ime-</w:t>
      </w:r>
      <w:r w:rsidR="00941784">
        <w:rPr>
          <w:rFonts w:cs="Times New Roman"/>
          <w:i/>
          <w:iCs/>
        </w:rPr>
        <w:t>t</w:t>
      </w:r>
      <w:r w:rsidRPr="00E43DA6">
        <w:rPr>
          <w:rFonts w:cs="Times New Roman"/>
          <w:i/>
          <w:iCs/>
        </w:rPr>
        <w:t xml:space="preserve">ravelling </w:t>
      </w:r>
      <w:r w:rsidR="00941784">
        <w:rPr>
          <w:rFonts w:cs="Times New Roman"/>
          <w:i/>
          <w:iCs/>
        </w:rPr>
        <w:t>e</w:t>
      </w:r>
      <w:r w:rsidRPr="00E43DA6">
        <w:rPr>
          <w:rFonts w:cs="Times New Roman"/>
          <w:i/>
          <w:iCs/>
        </w:rPr>
        <w:t xml:space="preserve">conomist: Why </w:t>
      </w:r>
      <w:r w:rsidR="00941784">
        <w:rPr>
          <w:rFonts w:cs="Times New Roman"/>
          <w:i/>
          <w:iCs/>
        </w:rPr>
        <w:t>e</w:t>
      </w:r>
      <w:r w:rsidRPr="00E43DA6">
        <w:rPr>
          <w:rFonts w:cs="Times New Roman"/>
          <w:i/>
          <w:iCs/>
        </w:rPr>
        <w:t xml:space="preserve">ducation, </w:t>
      </w:r>
      <w:r w:rsidR="00941784">
        <w:rPr>
          <w:rFonts w:cs="Times New Roman"/>
          <w:i/>
          <w:iCs/>
        </w:rPr>
        <w:t>e</w:t>
      </w:r>
      <w:r w:rsidRPr="00E43DA6">
        <w:rPr>
          <w:rFonts w:cs="Times New Roman"/>
          <w:i/>
          <w:iCs/>
        </w:rPr>
        <w:t xml:space="preserve">lectricity and </w:t>
      </w:r>
      <w:r w:rsidR="00941784">
        <w:rPr>
          <w:rFonts w:cs="Times New Roman"/>
          <w:i/>
          <w:iCs/>
        </w:rPr>
        <w:t>f</w:t>
      </w:r>
      <w:r w:rsidRPr="00E43DA6">
        <w:rPr>
          <w:rFonts w:cs="Times New Roman"/>
          <w:i/>
          <w:iCs/>
        </w:rPr>
        <w:t xml:space="preserve">ertility </w:t>
      </w:r>
      <w:r w:rsidR="00941784">
        <w:rPr>
          <w:rFonts w:cs="Times New Roman"/>
          <w:i/>
          <w:iCs/>
        </w:rPr>
        <w:t>a</w:t>
      </w:r>
      <w:r w:rsidRPr="00E43DA6">
        <w:rPr>
          <w:rFonts w:cs="Times New Roman"/>
          <w:i/>
          <w:iCs/>
        </w:rPr>
        <w:t xml:space="preserve">re </w:t>
      </w:r>
      <w:r w:rsidR="00941784">
        <w:rPr>
          <w:rFonts w:cs="Times New Roman"/>
          <w:i/>
          <w:iCs/>
        </w:rPr>
        <w:t>k</w:t>
      </w:r>
      <w:r w:rsidRPr="00E43DA6">
        <w:rPr>
          <w:rFonts w:cs="Times New Roman"/>
          <w:i/>
          <w:iCs/>
        </w:rPr>
        <w:t xml:space="preserve">ey to </w:t>
      </w:r>
      <w:r w:rsidR="00941784">
        <w:rPr>
          <w:rFonts w:cs="Times New Roman"/>
          <w:i/>
          <w:iCs/>
        </w:rPr>
        <w:t>e</w:t>
      </w:r>
      <w:r w:rsidRPr="00E43DA6">
        <w:rPr>
          <w:rFonts w:cs="Times New Roman"/>
          <w:i/>
          <w:iCs/>
        </w:rPr>
        <w:t xml:space="preserve">scaping </w:t>
      </w:r>
      <w:r w:rsidR="00941784">
        <w:rPr>
          <w:rFonts w:cs="Times New Roman"/>
          <w:i/>
          <w:iCs/>
        </w:rPr>
        <w:t>p</w:t>
      </w:r>
      <w:r w:rsidRPr="00E43DA6">
        <w:rPr>
          <w:rFonts w:cs="Times New Roman"/>
          <w:i/>
          <w:iCs/>
        </w:rPr>
        <w:t>overty</w:t>
      </w:r>
      <w:r w:rsidRPr="00E43DA6">
        <w:rPr>
          <w:rFonts w:cs="Times New Roman"/>
        </w:rPr>
        <w:t xml:space="preserve">, (Palgrave Macmillan, </w:t>
      </w:r>
      <w:r w:rsidR="00941784">
        <w:rPr>
          <w:rFonts w:cs="Times New Roman"/>
        </w:rPr>
        <w:t xml:space="preserve">London, </w:t>
      </w:r>
      <w:r w:rsidRPr="00E43DA6">
        <w:rPr>
          <w:rFonts w:cs="Times New Roman"/>
        </w:rPr>
        <w:t>2022), p.66-81</w:t>
      </w:r>
      <w:r w:rsidR="00941784">
        <w:rPr>
          <w:rFonts w:cs="Times New Roman"/>
        </w:rPr>
        <w:t>.</w:t>
      </w:r>
    </w:p>
  </w:footnote>
  <w:footnote w:id="120">
    <w:p w14:paraId="1637FCD0" w14:textId="5637D461" w:rsidR="003821AD" w:rsidRPr="00E43DA6" w:rsidRDefault="003821AD"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A030A4" w:rsidRPr="00E43DA6">
        <w:rPr>
          <w:rFonts w:cs="Times New Roman"/>
        </w:rPr>
        <w:t xml:space="preserve">Dye, </w:t>
      </w:r>
      <w:r w:rsidR="003F399E" w:rsidRPr="00E43DA6">
        <w:rPr>
          <w:rFonts w:cs="Times New Roman"/>
        </w:rPr>
        <w:t>‘</w:t>
      </w:r>
      <w:r w:rsidR="00A030A4" w:rsidRPr="00E43DA6">
        <w:rPr>
          <w:rFonts w:cs="Times New Roman"/>
        </w:rPr>
        <w:t xml:space="preserve">Ideology </w:t>
      </w:r>
      <w:proofErr w:type="gramStart"/>
      <w:r w:rsidR="00941784">
        <w:rPr>
          <w:rFonts w:cs="Times New Roman"/>
        </w:rPr>
        <w:t>m</w:t>
      </w:r>
      <w:r w:rsidR="00A030A4" w:rsidRPr="00E43DA6">
        <w:rPr>
          <w:rFonts w:cs="Times New Roman"/>
        </w:rPr>
        <w:t>atters</w:t>
      </w:r>
      <w:r w:rsidR="003F399E" w:rsidRPr="00E43DA6">
        <w:rPr>
          <w:rFonts w:cs="Times New Roman"/>
        </w:rPr>
        <w:t>’</w:t>
      </w:r>
      <w:proofErr w:type="gramEnd"/>
      <w:r w:rsidR="008E0786">
        <w:rPr>
          <w:rFonts w:cs="Times New Roman"/>
        </w:rPr>
        <w:t>.</w:t>
      </w:r>
    </w:p>
  </w:footnote>
  <w:footnote w:id="121">
    <w:p w14:paraId="69E53D73" w14:textId="3DD354EA" w:rsidR="00C05789" w:rsidRPr="00E43DA6" w:rsidRDefault="00C05789"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BF2ECF" w:rsidRPr="00E43DA6">
        <w:rPr>
          <w:rFonts w:cs="Times New Roman"/>
        </w:rPr>
        <w:t xml:space="preserve">Williams, </w:t>
      </w:r>
      <w:r w:rsidR="003F399E" w:rsidRPr="00E43DA6">
        <w:rPr>
          <w:rFonts w:cs="Times New Roman"/>
        </w:rPr>
        <w:t>‘</w:t>
      </w:r>
      <w:r w:rsidR="00BF2ECF" w:rsidRPr="00E43DA6">
        <w:rPr>
          <w:rFonts w:cs="Times New Roman"/>
        </w:rPr>
        <w:t xml:space="preserve">The </w:t>
      </w:r>
      <w:r w:rsidR="008E0786">
        <w:rPr>
          <w:rFonts w:cs="Times New Roman"/>
        </w:rPr>
        <w:t>p</w:t>
      </w:r>
      <w:r w:rsidR="00BF2ECF" w:rsidRPr="00E43DA6">
        <w:rPr>
          <w:rFonts w:cs="Times New Roman"/>
        </w:rPr>
        <w:t xml:space="preserve">olitical </w:t>
      </w:r>
      <w:r w:rsidR="008E0786">
        <w:rPr>
          <w:rFonts w:cs="Times New Roman"/>
        </w:rPr>
        <w:t>e</w:t>
      </w:r>
      <w:r w:rsidR="00BF2ECF" w:rsidRPr="00E43DA6">
        <w:rPr>
          <w:rFonts w:cs="Times New Roman"/>
        </w:rPr>
        <w:t xml:space="preserve">conomy of </w:t>
      </w:r>
      <w:r w:rsidR="008E0786">
        <w:rPr>
          <w:rFonts w:cs="Times New Roman"/>
        </w:rPr>
        <w:t>p</w:t>
      </w:r>
      <w:r w:rsidR="00BF2ECF" w:rsidRPr="00E43DA6">
        <w:rPr>
          <w:rFonts w:cs="Times New Roman"/>
        </w:rPr>
        <w:t xml:space="preserve">rimary </w:t>
      </w:r>
      <w:r w:rsidR="008E0786">
        <w:rPr>
          <w:rFonts w:cs="Times New Roman"/>
        </w:rPr>
        <w:t>e</w:t>
      </w:r>
      <w:r w:rsidR="00BF2ECF" w:rsidRPr="00E43DA6">
        <w:rPr>
          <w:rFonts w:cs="Times New Roman"/>
        </w:rPr>
        <w:t>ducation</w:t>
      </w:r>
      <w:r w:rsidR="003F399E" w:rsidRPr="00E43DA6">
        <w:rPr>
          <w:rFonts w:cs="Times New Roman"/>
        </w:rPr>
        <w:t>’</w:t>
      </w:r>
      <w:r w:rsidR="008E0786">
        <w:rPr>
          <w:rFonts w:cs="Times New Roman"/>
        </w:rPr>
        <w:t>,</w:t>
      </w:r>
      <w:r w:rsidR="00BF2ECF" w:rsidRPr="00E43DA6">
        <w:rPr>
          <w:rFonts w:cs="Times New Roman"/>
        </w:rPr>
        <w:t xml:space="preserve"> </w:t>
      </w:r>
      <w:r w:rsidR="002712C2" w:rsidRPr="00E43DA6">
        <w:rPr>
          <w:rFonts w:cs="Times New Roman"/>
        </w:rPr>
        <w:t>p</w:t>
      </w:r>
      <w:r w:rsidR="008E0786">
        <w:rPr>
          <w:rFonts w:cs="Times New Roman"/>
        </w:rPr>
        <w:t>p</w:t>
      </w:r>
      <w:r w:rsidR="002712C2" w:rsidRPr="00E43DA6">
        <w:rPr>
          <w:rFonts w:cs="Times New Roman"/>
        </w:rPr>
        <w:t>.</w:t>
      </w:r>
      <w:r w:rsidR="008E0786">
        <w:rPr>
          <w:rFonts w:cs="Times New Roman"/>
        </w:rPr>
        <w:t xml:space="preserve"> </w:t>
      </w:r>
      <w:r w:rsidR="00BF2ECF" w:rsidRPr="00E43DA6">
        <w:rPr>
          <w:rFonts w:cs="Times New Roman"/>
        </w:rPr>
        <w:t>555</w:t>
      </w:r>
      <w:r w:rsidR="002712C2" w:rsidRPr="00E43DA6">
        <w:rPr>
          <w:rFonts w:cs="Times New Roman"/>
        </w:rPr>
        <w:t>-</w:t>
      </w:r>
      <w:r w:rsidR="00BF2ECF" w:rsidRPr="00E43DA6">
        <w:rPr>
          <w:rFonts w:cs="Times New Roman"/>
        </w:rPr>
        <w:t>557.</w:t>
      </w:r>
    </w:p>
  </w:footnote>
  <w:footnote w:id="122">
    <w:p w14:paraId="52BA3F1F" w14:textId="644E1CB4" w:rsidR="00C05789" w:rsidRPr="00E43DA6" w:rsidRDefault="00C05789"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002712C2" w:rsidRPr="000F2839">
        <w:rPr>
          <w:rFonts w:cs="Times New Roman"/>
          <w:i/>
          <w:iCs/>
          <w:noProof/>
        </w:rPr>
        <w:t>Ibid</w:t>
      </w:r>
      <w:r w:rsidR="002712C2" w:rsidRPr="00E43DA6">
        <w:rPr>
          <w:rFonts w:cs="Times New Roman"/>
          <w:noProof/>
        </w:rPr>
        <w:t>.</w:t>
      </w:r>
      <w:r w:rsidRPr="00E43DA6">
        <w:rPr>
          <w:rFonts w:cs="Times New Roman"/>
          <w:noProof/>
        </w:rPr>
        <w:t xml:space="preserve">, </w:t>
      </w:r>
      <w:r w:rsidR="002712C2" w:rsidRPr="00E43DA6">
        <w:rPr>
          <w:rFonts w:cs="Times New Roman"/>
          <w:noProof/>
        </w:rPr>
        <w:t>p.</w:t>
      </w:r>
      <w:r w:rsidRPr="00E43DA6">
        <w:rPr>
          <w:rFonts w:cs="Times New Roman"/>
          <w:noProof/>
        </w:rPr>
        <w:t>559.</w:t>
      </w:r>
    </w:p>
  </w:footnote>
  <w:footnote w:id="123">
    <w:p w14:paraId="4E1463E6" w14:textId="141F9E4A" w:rsidR="00C05789" w:rsidRPr="00E43DA6" w:rsidRDefault="00C05789"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Sebastian Heinen, </w:t>
      </w:r>
      <w:r w:rsidR="003F399E" w:rsidRPr="00E43DA6">
        <w:rPr>
          <w:rFonts w:cs="Times New Roman"/>
        </w:rPr>
        <w:t>‘</w:t>
      </w:r>
      <w:r w:rsidRPr="00E43DA6">
        <w:rPr>
          <w:rFonts w:cs="Times New Roman"/>
        </w:rPr>
        <w:t xml:space="preserve">Rwanda’s </w:t>
      </w:r>
      <w:r w:rsidR="008E0786">
        <w:rPr>
          <w:rFonts w:cs="Times New Roman"/>
        </w:rPr>
        <w:t>a</w:t>
      </w:r>
      <w:r w:rsidRPr="00E43DA6">
        <w:rPr>
          <w:rFonts w:cs="Times New Roman"/>
        </w:rPr>
        <w:t xml:space="preserve">gricultural </w:t>
      </w:r>
      <w:r w:rsidR="008E0786">
        <w:rPr>
          <w:rFonts w:cs="Times New Roman"/>
        </w:rPr>
        <w:t>t</w:t>
      </w:r>
      <w:r w:rsidRPr="00E43DA6">
        <w:rPr>
          <w:rFonts w:cs="Times New Roman"/>
        </w:rPr>
        <w:t xml:space="preserve">ransformation </w:t>
      </w:r>
      <w:r w:rsidR="008E0786">
        <w:rPr>
          <w:rFonts w:cs="Times New Roman"/>
        </w:rPr>
        <w:t>r</w:t>
      </w:r>
      <w:r w:rsidRPr="00E43DA6">
        <w:rPr>
          <w:rFonts w:cs="Times New Roman"/>
        </w:rPr>
        <w:t xml:space="preserve">evisited: Stagnating </w:t>
      </w:r>
      <w:r w:rsidR="008E0786">
        <w:rPr>
          <w:rFonts w:cs="Times New Roman"/>
        </w:rPr>
        <w:t>f</w:t>
      </w:r>
      <w:r w:rsidRPr="00E43DA6">
        <w:rPr>
          <w:rFonts w:cs="Times New Roman"/>
        </w:rPr>
        <w:t xml:space="preserve">ood </w:t>
      </w:r>
      <w:r w:rsidR="008E0786">
        <w:rPr>
          <w:rFonts w:cs="Times New Roman"/>
        </w:rPr>
        <w:t>p</w:t>
      </w:r>
      <w:r w:rsidRPr="00E43DA6">
        <w:rPr>
          <w:rFonts w:cs="Times New Roman"/>
        </w:rPr>
        <w:t xml:space="preserve">roduction, </w:t>
      </w:r>
      <w:r w:rsidR="008E0786">
        <w:rPr>
          <w:rFonts w:cs="Times New Roman"/>
        </w:rPr>
        <w:t>s</w:t>
      </w:r>
      <w:r w:rsidRPr="00E43DA6">
        <w:rPr>
          <w:rFonts w:cs="Times New Roman"/>
        </w:rPr>
        <w:t xml:space="preserve">ystematic </w:t>
      </w:r>
      <w:r w:rsidR="008E0786">
        <w:rPr>
          <w:rFonts w:cs="Times New Roman"/>
        </w:rPr>
        <w:t>o</w:t>
      </w:r>
      <w:r w:rsidRPr="00E43DA6">
        <w:rPr>
          <w:rFonts w:cs="Times New Roman"/>
        </w:rPr>
        <w:t xml:space="preserve">verestimation, and a </w:t>
      </w:r>
      <w:r w:rsidR="008E0786">
        <w:rPr>
          <w:rFonts w:cs="Times New Roman"/>
        </w:rPr>
        <w:t>f</w:t>
      </w:r>
      <w:r w:rsidRPr="00E43DA6">
        <w:rPr>
          <w:rFonts w:cs="Times New Roman"/>
        </w:rPr>
        <w:t xml:space="preserve">lawed </w:t>
      </w:r>
      <w:r w:rsidR="008E0786">
        <w:rPr>
          <w:rFonts w:cs="Times New Roman"/>
        </w:rPr>
        <w:t>p</w:t>
      </w:r>
      <w:r w:rsidRPr="00E43DA6">
        <w:rPr>
          <w:rFonts w:cs="Times New Roman"/>
        </w:rPr>
        <w:t xml:space="preserve">erformance </w:t>
      </w:r>
      <w:r w:rsidR="008E0786">
        <w:rPr>
          <w:rFonts w:cs="Times New Roman"/>
        </w:rPr>
        <w:t>c</w:t>
      </w:r>
      <w:r w:rsidRPr="00E43DA6">
        <w:rPr>
          <w:rFonts w:cs="Times New Roman"/>
        </w:rPr>
        <w:t xml:space="preserve">ontract </w:t>
      </w:r>
      <w:r w:rsidR="008E0786">
        <w:rPr>
          <w:rFonts w:cs="Times New Roman"/>
        </w:rPr>
        <w:t>s</w:t>
      </w:r>
      <w:r w:rsidRPr="00E43DA6">
        <w:rPr>
          <w:rFonts w:cs="Times New Roman"/>
        </w:rPr>
        <w:t>ystem</w:t>
      </w:r>
      <w:r w:rsidR="003F399E" w:rsidRPr="00E43DA6">
        <w:rPr>
          <w:rFonts w:cs="Times New Roman"/>
        </w:rPr>
        <w:t>’</w:t>
      </w:r>
      <w:r w:rsidRPr="00E43DA6">
        <w:rPr>
          <w:rFonts w:cs="Times New Roman"/>
        </w:rPr>
        <w:t xml:space="preserve"> </w:t>
      </w:r>
      <w:r w:rsidRPr="00E43DA6">
        <w:rPr>
          <w:rFonts w:cs="Times New Roman"/>
          <w:i/>
          <w:iCs/>
        </w:rPr>
        <w:t>Journal of Development Studies</w:t>
      </w:r>
      <w:r w:rsidRPr="00E43DA6">
        <w:rPr>
          <w:rFonts w:cs="Times New Roman"/>
        </w:rPr>
        <w:t xml:space="preserve"> 58, 10 (2022)</w:t>
      </w:r>
      <w:r w:rsidR="002712C2" w:rsidRPr="00E43DA6">
        <w:rPr>
          <w:rFonts w:cs="Times New Roman"/>
        </w:rPr>
        <w:t>, pp. 2044-2064, p.</w:t>
      </w:r>
      <w:r w:rsidRPr="00E43DA6">
        <w:rPr>
          <w:rFonts w:cs="Times New Roman"/>
        </w:rPr>
        <w:t>2058.</w:t>
      </w:r>
    </w:p>
  </w:footnote>
  <w:footnote w:id="124">
    <w:p w14:paraId="12C46267" w14:textId="6C83AF80" w:rsidR="00352D71" w:rsidRPr="00E10DC5" w:rsidRDefault="00352D71"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Stefan </w:t>
      </w:r>
      <w:proofErr w:type="spellStart"/>
      <w:r w:rsidRPr="00E43DA6">
        <w:rPr>
          <w:rFonts w:cs="Times New Roman"/>
        </w:rPr>
        <w:t>Dercon</w:t>
      </w:r>
      <w:proofErr w:type="spellEnd"/>
      <w:r w:rsidRPr="00E43DA6">
        <w:rPr>
          <w:rFonts w:cs="Times New Roman"/>
        </w:rPr>
        <w:t xml:space="preserve">, </w:t>
      </w:r>
      <w:r w:rsidR="00F27E1D" w:rsidRPr="00E10DC5">
        <w:rPr>
          <w:rFonts w:cs="Times New Roman"/>
          <w:i/>
          <w:iCs/>
        </w:rPr>
        <w:t>Gambling on development</w:t>
      </w:r>
      <w:r w:rsidR="00F27E1D" w:rsidRPr="00E43DA6">
        <w:rPr>
          <w:rFonts w:cs="Times New Roman"/>
        </w:rPr>
        <w:t>.</w:t>
      </w:r>
    </w:p>
  </w:footnote>
  <w:footnote w:id="125">
    <w:p w14:paraId="0801FF49" w14:textId="2A5B5960" w:rsidR="00FB2D68" w:rsidRPr="00E10DC5" w:rsidRDefault="00FB2D68"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Nicholas Westcott</w:t>
      </w:r>
      <w:r w:rsidR="008E0786">
        <w:rPr>
          <w:rFonts w:cs="Times New Roman"/>
        </w:rPr>
        <w:t>,</w:t>
      </w:r>
      <w:r w:rsidRPr="00E43DA6">
        <w:rPr>
          <w:rFonts w:cs="Times New Roman"/>
        </w:rPr>
        <w:t xml:space="preserve"> I</w:t>
      </w:r>
      <w:r w:rsidRPr="00E10DC5">
        <w:rPr>
          <w:rFonts w:cs="Times New Roman"/>
          <w:i/>
          <w:iCs/>
        </w:rPr>
        <w:t xml:space="preserve">mperialism and </w:t>
      </w:r>
      <w:r w:rsidR="008E0786">
        <w:rPr>
          <w:rFonts w:cs="Times New Roman"/>
          <w:i/>
          <w:iCs/>
        </w:rPr>
        <w:t>d</w:t>
      </w:r>
      <w:r w:rsidRPr="00E10DC5">
        <w:rPr>
          <w:rFonts w:cs="Times New Roman"/>
          <w:i/>
          <w:iCs/>
        </w:rPr>
        <w:t xml:space="preserve">evelopment: The East African </w:t>
      </w:r>
      <w:r w:rsidR="008E0786">
        <w:rPr>
          <w:rFonts w:cs="Times New Roman"/>
          <w:i/>
          <w:iCs/>
        </w:rPr>
        <w:t>g</w:t>
      </w:r>
      <w:r w:rsidRPr="00E10DC5">
        <w:rPr>
          <w:rFonts w:cs="Times New Roman"/>
          <w:i/>
          <w:iCs/>
        </w:rPr>
        <w:t xml:space="preserve">roundnut </w:t>
      </w:r>
      <w:r w:rsidR="008E0786">
        <w:rPr>
          <w:rFonts w:cs="Times New Roman"/>
          <w:i/>
          <w:iCs/>
        </w:rPr>
        <w:t>s</w:t>
      </w:r>
      <w:r w:rsidRPr="00E10DC5">
        <w:rPr>
          <w:rFonts w:cs="Times New Roman"/>
          <w:i/>
          <w:iCs/>
        </w:rPr>
        <w:t xml:space="preserve">cheme and Its </w:t>
      </w:r>
      <w:r w:rsidR="008E0786">
        <w:rPr>
          <w:rFonts w:cs="Times New Roman"/>
          <w:i/>
          <w:iCs/>
        </w:rPr>
        <w:t>l</w:t>
      </w:r>
      <w:r w:rsidRPr="00E10DC5">
        <w:rPr>
          <w:rFonts w:cs="Times New Roman"/>
          <w:i/>
          <w:iCs/>
        </w:rPr>
        <w:t>egacy</w:t>
      </w:r>
      <w:r w:rsidRPr="00E43DA6">
        <w:rPr>
          <w:rFonts w:cs="Times New Roman"/>
        </w:rPr>
        <w:t xml:space="preserve"> (Boydell and Brewer, </w:t>
      </w:r>
      <w:r w:rsidR="008E0786">
        <w:rPr>
          <w:rFonts w:cs="Times New Roman"/>
        </w:rPr>
        <w:t xml:space="preserve">Rochester, NY, </w:t>
      </w:r>
      <w:r w:rsidRPr="00E43DA6">
        <w:rPr>
          <w:rFonts w:cs="Times New Roman"/>
        </w:rPr>
        <w:t>2020).</w:t>
      </w:r>
    </w:p>
  </w:footnote>
  <w:footnote w:id="126">
    <w:p w14:paraId="6D151103" w14:textId="3918B644" w:rsidR="00FB2D68" w:rsidRPr="00E10DC5" w:rsidRDefault="00FB2D68" w:rsidP="00E43DA6">
      <w:pPr>
        <w:pStyle w:val="FootnoteText"/>
        <w:jc w:val="both"/>
        <w:rPr>
          <w:rFonts w:cs="Times New Roman"/>
          <w:lang w:val="en-US"/>
        </w:rPr>
      </w:pPr>
      <w:r w:rsidRPr="00E43DA6">
        <w:rPr>
          <w:rStyle w:val="FootnoteReference"/>
          <w:rFonts w:cs="Times New Roman"/>
        </w:rPr>
        <w:footnoteRef/>
      </w:r>
      <w:r w:rsidRPr="00E43DA6">
        <w:rPr>
          <w:rFonts w:cs="Times New Roman"/>
        </w:rPr>
        <w:t xml:space="preserve"> </w:t>
      </w:r>
      <w:r w:rsidRPr="00E10DC5">
        <w:rPr>
          <w:rFonts w:cs="Times New Roman"/>
          <w:i/>
          <w:iCs/>
        </w:rPr>
        <w:t>Ibid.</w:t>
      </w:r>
      <w:r w:rsidRPr="00E43DA6">
        <w:rPr>
          <w:rFonts w:cs="Times New Roman"/>
        </w:rPr>
        <w:t>, p.165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080"/>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C55697"/>
    <w:multiLevelType w:val="hybridMultilevel"/>
    <w:tmpl w:val="244CE964"/>
    <w:lvl w:ilvl="0" w:tplc="4F54A4A6">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1362425"/>
    <w:multiLevelType w:val="hybridMultilevel"/>
    <w:tmpl w:val="64DE0D18"/>
    <w:lvl w:ilvl="0" w:tplc="8E689BC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A02A23"/>
    <w:multiLevelType w:val="hybridMultilevel"/>
    <w:tmpl w:val="ECF632F8"/>
    <w:lvl w:ilvl="0" w:tplc="A38221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8487042">
    <w:abstractNumId w:val="2"/>
  </w:num>
  <w:num w:numId="2" w16cid:durableId="1205560697">
    <w:abstractNumId w:val="1"/>
  </w:num>
  <w:num w:numId="3" w16cid:durableId="398290045">
    <w:abstractNumId w:val="3"/>
  </w:num>
  <w:num w:numId="4" w16cid:durableId="126368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56"/>
    <w:rsid w:val="0000213A"/>
    <w:rsid w:val="00003A52"/>
    <w:rsid w:val="00021EFB"/>
    <w:rsid w:val="00022BF1"/>
    <w:rsid w:val="000301D5"/>
    <w:rsid w:val="0003112C"/>
    <w:rsid w:val="0004068B"/>
    <w:rsid w:val="0004295D"/>
    <w:rsid w:val="000434ED"/>
    <w:rsid w:val="000439FD"/>
    <w:rsid w:val="00054E96"/>
    <w:rsid w:val="00055A0C"/>
    <w:rsid w:val="00056915"/>
    <w:rsid w:val="00061086"/>
    <w:rsid w:val="000637F1"/>
    <w:rsid w:val="00066ED5"/>
    <w:rsid w:val="00087709"/>
    <w:rsid w:val="0009030F"/>
    <w:rsid w:val="000975F3"/>
    <w:rsid w:val="000A0F91"/>
    <w:rsid w:val="000B2B39"/>
    <w:rsid w:val="000B2FC6"/>
    <w:rsid w:val="000D0630"/>
    <w:rsid w:val="000D0BAC"/>
    <w:rsid w:val="000D0D67"/>
    <w:rsid w:val="000D18CE"/>
    <w:rsid w:val="000E19F1"/>
    <w:rsid w:val="000E1F55"/>
    <w:rsid w:val="000E360B"/>
    <w:rsid w:val="000E5A9A"/>
    <w:rsid w:val="000F2839"/>
    <w:rsid w:val="000F5C78"/>
    <w:rsid w:val="000F634F"/>
    <w:rsid w:val="000F698E"/>
    <w:rsid w:val="000F7270"/>
    <w:rsid w:val="0010007C"/>
    <w:rsid w:val="00104F73"/>
    <w:rsid w:val="001064D6"/>
    <w:rsid w:val="00114147"/>
    <w:rsid w:val="0011681D"/>
    <w:rsid w:val="001179DC"/>
    <w:rsid w:val="00121A01"/>
    <w:rsid w:val="00123E16"/>
    <w:rsid w:val="00130BD9"/>
    <w:rsid w:val="001369B3"/>
    <w:rsid w:val="00140203"/>
    <w:rsid w:val="00142839"/>
    <w:rsid w:val="00145539"/>
    <w:rsid w:val="001469B9"/>
    <w:rsid w:val="00147771"/>
    <w:rsid w:val="001507EA"/>
    <w:rsid w:val="0015597A"/>
    <w:rsid w:val="0016167F"/>
    <w:rsid w:val="001666A4"/>
    <w:rsid w:val="001807C6"/>
    <w:rsid w:val="00185DDB"/>
    <w:rsid w:val="00186524"/>
    <w:rsid w:val="001905AC"/>
    <w:rsid w:val="001935BA"/>
    <w:rsid w:val="001A6D86"/>
    <w:rsid w:val="001A6DF0"/>
    <w:rsid w:val="001B15F6"/>
    <w:rsid w:val="001B70C8"/>
    <w:rsid w:val="001B74DF"/>
    <w:rsid w:val="001B78BF"/>
    <w:rsid w:val="001D23C9"/>
    <w:rsid w:val="001D6425"/>
    <w:rsid w:val="001F1AE8"/>
    <w:rsid w:val="001F1E37"/>
    <w:rsid w:val="001F2304"/>
    <w:rsid w:val="00206D30"/>
    <w:rsid w:val="00211F12"/>
    <w:rsid w:val="002146AA"/>
    <w:rsid w:val="00215633"/>
    <w:rsid w:val="00233413"/>
    <w:rsid w:val="00236A1C"/>
    <w:rsid w:val="00240442"/>
    <w:rsid w:val="002441A5"/>
    <w:rsid w:val="00244A17"/>
    <w:rsid w:val="00244E9C"/>
    <w:rsid w:val="0024665D"/>
    <w:rsid w:val="002510FC"/>
    <w:rsid w:val="00252721"/>
    <w:rsid w:val="002539C9"/>
    <w:rsid w:val="002625B4"/>
    <w:rsid w:val="00262613"/>
    <w:rsid w:val="00264081"/>
    <w:rsid w:val="002712C2"/>
    <w:rsid w:val="002746BD"/>
    <w:rsid w:val="002800A9"/>
    <w:rsid w:val="00281226"/>
    <w:rsid w:val="0028162C"/>
    <w:rsid w:val="002824C0"/>
    <w:rsid w:val="00282C8D"/>
    <w:rsid w:val="0028332A"/>
    <w:rsid w:val="00284E81"/>
    <w:rsid w:val="00295C70"/>
    <w:rsid w:val="002A3E3B"/>
    <w:rsid w:val="002C025B"/>
    <w:rsid w:val="002C6CB0"/>
    <w:rsid w:val="002D2EF2"/>
    <w:rsid w:val="002D4A02"/>
    <w:rsid w:val="002D5F05"/>
    <w:rsid w:val="002D69CD"/>
    <w:rsid w:val="002D70F0"/>
    <w:rsid w:val="002D7C3B"/>
    <w:rsid w:val="002E2FD6"/>
    <w:rsid w:val="002F3BE2"/>
    <w:rsid w:val="002F5E45"/>
    <w:rsid w:val="002F7F51"/>
    <w:rsid w:val="003015BF"/>
    <w:rsid w:val="00301E35"/>
    <w:rsid w:val="0030443C"/>
    <w:rsid w:val="00315E90"/>
    <w:rsid w:val="00323903"/>
    <w:rsid w:val="00325AB8"/>
    <w:rsid w:val="00333167"/>
    <w:rsid w:val="003331A0"/>
    <w:rsid w:val="00344538"/>
    <w:rsid w:val="00345AB3"/>
    <w:rsid w:val="00346CF5"/>
    <w:rsid w:val="0035003C"/>
    <w:rsid w:val="00351864"/>
    <w:rsid w:val="00352D71"/>
    <w:rsid w:val="00353EE1"/>
    <w:rsid w:val="003554DD"/>
    <w:rsid w:val="0035636C"/>
    <w:rsid w:val="00356FE1"/>
    <w:rsid w:val="00357410"/>
    <w:rsid w:val="0036660E"/>
    <w:rsid w:val="003668CF"/>
    <w:rsid w:val="003821AD"/>
    <w:rsid w:val="00382E01"/>
    <w:rsid w:val="00385545"/>
    <w:rsid w:val="003858F6"/>
    <w:rsid w:val="00387BDD"/>
    <w:rsid w:val="00395C1A"/>
    <w:rsid w:val="003B6343"/>
    <w:rsid w:val="003C06CE"/>
    <w:rsid w:val="003C1D66"/>
    <w:rsid w:val="003C225C"/>
    <w:rsid w:val="003C33DF"/>
    <w:rsid w:val="003D1500"/>
    <w:rsid w:val="003D57EE"/>
    <w:rsid w:val="003D698D"/>
    <w:rsid w:val="003E0C41"/>
    <w:rsid w:val="003E3FEB"/>
    <w:rsid w:val="003F0886"/>
    <w:rsid w:val="003F0C24"/>
    <w:rsid w:val="003F399E"/>
    <w:rsid w:val="003F39BD"/>
    <w:rsid w:val="003F4816"/>
    <w:rsid w:val="003F5AD2"/>
    <w:rsid w:val="00401C21"/>
    <w:rsid w:val="00406B02"/>
    <w:rsid w:val="00410F97"/>
    <w:rsid w:val="0041366B"/>
    <w:rsid w:val="00413E35"/>
    <w:rsid w:val="004157E3"/>
    <w:rsid w:val="00420F24"/>
    <w:rsid w:val="004302CE"/>
    <w:rsid w:val="0043616E"/>
    <w:rsid w:val="0043759A"/>
    <w:rsid w:val="00440234"/>
    <w:rsid w:val="0044533E"/>
    <w:rsid w:val="00453953"/>
    <w:rsid w:val="00456AEC"/>
    <w:rsid w:val="00466BB2"/>
    <w:rsid w:val="004749FB"/>
    <w:rsid w:val="00483BAB"/>
    <w:rsid w:val="00483E08"/>
    <w:rsid w:val="00485E47"/>
    <w:rsid w:val="00491A9D"/>
    <w:rsid w:val="004936B7"/>
    <w:rsid w:val="00497738"/>
    <w:rsid w:val="004A0AE9"/>
    <w:rsid w:val="004A3135"/>
    <w:rsid w:val="004A5DA3"/>
    <w:rsid w:val="004B2586"/>
    <w:rsid w:val="004B4BFD"/>
    <w:rsid w:val="004C2DFB"/>
    <w:rsid w:val="004C58CF"/>
    <w:rsid w:val="004C7762"/>
    <w:rsid w:val="004C7C6C"/>
    <w:rsid w:val="004D6AE3"/>
    <w:rsid w:val="004E056E"/>
    <w:rsid w:val="004F0E27"/>
    <w:rsid w:val="004F2BB5"/>
    <w:rsid w:val="004F6169"/>
    <w:rsid w:val="00500659"/>
    <w:rsid w:val="00500EAC"/>
    <w:rsid w:val="0050411E"/>
    <w:rsid w:val="00520A2B"/>
    <w:rsid w:val="00520A46"/>
    <w:rsid w:val="00520BB0"/>
    <w:rsid w:val="005216E9"/>
    <w:rsid w:val="0052314C"/>
    <w:rsid w:val="00524047"/>
    <w:rsid w:val="00534C1F"/>
    <w:rsid w:val="00542C48"/>
    <w:rsid w:val="00543737"/>
    <w:rsid w:val="00545633"/>
    <w:rsid w:val="0055432C"/>
    <w:rsid w:val="00557BED"/>
    <w:rsid w:val="00561A99"/>
    <w:rsid w:val="0056761B"/>
    <w:rsid w:val="005727B3"/>
    <w:rsid w:val="00573FCC"/>
    <w:rsid w:val="00586429"/>
    <w:rsid w:val="00590037"/>
    <w:rsid w:val="00591BEE"/>
    <w:rsid w:val="005960E1"/>
    <w:rsid w:val="005A708A"/>
    <w:rsid w:val="005B145C"/>
    <w:rsid w:val="005B62F7"/>
    <w:rsid w:val="005C01C0"/>
    <w:rsid w:val="005C36F4"/>
    <w:rsid w:val="005C480D"/>
    <w:rsid w:val="005D7E67"/>
    <w:rsid w:val="005E4E75"/>
    <w:rsid w:val="005F20C2"/>
    <w:rsid w:val="005F2B26"/>
    <w:rsid w:val="005F652D"/>
    <w:rsid w:val="00604FB7"/>
    <w:rsid w:val="0060559C"/>
    <w:rsid w:val="00607185"/>
    <w:rsid w:val="00612B2C"/>
    <w:rsid w:val="00614A8D"/>
    <w:rsid w:val="00617818"/>
    <w:rsid w:val="006246F5"/>
    <w:rsid w:val="00631FA3"/>
    <w:rsid w:val="0063552D"/>
    <w:rsid w:val="00635984"/>
    <w:rsid w:val="0064065F"/>
    <w:rsid w:val="00654F40"/>
    <w:rsid w:val="0065567B"/>
    <w:rsid w:val="00667415"/>
    <w:rsid w:val="00682706"/>
    <w:rsid w:val="00685633"/>
    <w:rsid w:val="00692A22"/>
    <w:rsid w:val="006949F3"/>
    <w:rsid w:val="006A1E68"/>
    <w:rsid w:val="006A3660"/>
    <w:rsid w:val="006A39DE"/>
    <w:rsid w:val="006A3F74"/>
    <w:rsid w:val="006A7C8B"/>
    <w:rsid w:val="006A7FD8"/>
    <w:rsid w:val="006B2577"/>
    <w:rsid w:val="006B5B9E"/>
    <w:rsid w:val="006B6EE4"/>
    <w:rsid w:val="006C1DEF"/>
    <w:rsid w:val="006C33E5"/>
    <w:rsid w:val="006C691D"/>
    <w:rsid w:val="006C7ABF"/>
    <w:rsid w:val="006D6478"/>
    <w:rsid w:val="006E19D9"/>
    <w:rsid w:val="006F2857"/>
    <w:rsid w:val="006F28E2"/>
    <w:rsid w:val="00701EF5"/>
    <w:rsid w:val="007116A7"/>
    <w:rsid w:val="007139AB"/>
    <w:rsid w:val="0071427B"/>
    <w:rsid w:val="00717DBD"/>
    <w:rsid w:val="007262D7"/>
    <w:rsid w:val="0073252A"/>
    <w:rsid w:val="00733BEA"/>
    <w:rsid w:val="007369F7"/>
    <w:rsid w:val="00737D6C"/>
    <w:rsid w:val="00753D3C"/>
    <w:rsid w:val="0076310E"/>
    <w:rsid w:val="007667EC"/>
    <w:rsid w:val="00772FE3"/>
    <w:rsid w:val="0077575E"/>
    <w:rsid w:val="00776B80"/>
    <w:rsid w:val="007947DB"/>
    <w:rsid w:val="007A2DE5"/>
    <w:rsid w:val="007B1F89"/>
    <w:rsid w:val="007B25DA"/>
    <w:rsid w:val="007D22A5"/>
    <w:rsid w:val="007D598A"/>
    <w:rsid w:val="007D7536"/>
    <w:rsid w:val="007E55C7"/>
    <w:rsid w:val="00803DB5"/>
    <w:rsid w:val="00806B2D"/>
    <w:rsid w:val="00814ED4"/>
    <w:rsid w:val="00815EBA"/>
    <w:rsid w:val="00826626"/>
    <w:rsid w:val="008379D8"/>
    <w:rsid w:val="00840913"/>
    <w:rsid w:val="008436F0"/>
    <w:rsid w:val="00844797"/>
    <w:rsid w:val="008462FA"/>
    <w:rsid w:val="008469C2"/>
    <w:rsid w:val="00851599"/>
    <w:rsid w:val="008568D3"/>
    <w:rsid w:val="0086280E"/>
    <w:rsid w:val="00864EBF"/>
    <w:rsid w:val="00867456"/>
    <w:rsid w:val="00871AFA"/>
    <w:rsid w:val="00874BFE"/>
    <w:rsid w:val="008772B5"/>
    <w:rsid w:val="00884D23"/>
    <w:rsid w:val="00890B30"/>
    <w:rsid w:val="00895139"/>
    <w:rsid w:val="008A5EF1"/>
    <w:rsid w:val="008A6076"/>
    <w:rsid w:val="008B134F"/>
    <w:rsid w:val="008B235B"/>
    <w:rsid w:val="008B551D"/>
    <w:rsid w:val="008B5DC6"/>
    <w:rsid w:val="008B6FCD"/>
    <w:rsid w:val="008B7E28"/>
    <w:rsid w:val="008C0475"/>
    <w:rsid w:val="008C4C32"/>
    <w:rsid w:val="008D0788"/>
    <w:rsid w:val="008D5014"/>
    <w:rsid w:val="008D7CC2"/>
    <w:rsid w:val="008E0786"/>
    <w:rsid w:val="008E2316"/>
    <w:rsid w:val="008E2CF6"/>
    <w:rsid w:val="008E4144"/>
    <w:rsid w:val="008E56BD"/>
    <w:rsid w:val="008F142A"/>
    <w:rsid w:val="008F50D5"/>
    <w:rsid w:val="00903897"/>
    <w:rsid w:val="00920619"/>
    <w:rsid w:val="00920D2E"/>
    <w:rsid w:val="009238A5"/>
    <w:rsid w:val="00923C2E"/>
    <w:rsid w:val="009308D9"/>
    <w:rsid w:val="00932F2E"/>
    <w:rsid w:val="0093394A"/>
    <w:rsid w:val="00941784"/>
    <w:rsid w:val="00947A31"/>
    <w:rsid w:val="009563B9"/>
    <w:rsid w:val="009672A6"/>
    <w:rsid w:val="009726F1"/>
    <w:rsid w:val="0097491D"/>
    <w:rsid w:val="009762AD"/>
    <w:rsid w:val="00980A3D"/>
    <w:rsid w:val="00991092"/>
    <w:rsid w:val="009A52CC"/>
    <w:rsid w:val="009A73D0"/>
    <w:rsid w:val="009B3162"/>
    <w:rsid w:val="009B404A"/>
    <w:rsid w:val="009B5C78"/>
    <w:rsid w:val="009D3613"/>
    <w:rsid w:val="009E0CB1"/>
    <w:rsid w:val="009E7ECF"/>
    <w:rsid w:val="009F6394"/>
    <w:rsid w:val="00A009BA"/>
    <w:rsid w:val="00A029E4"/>
    <w:rsid w:val="00A030A4"/>
    <w:rsid w:val="00A0648E"/>
    <w:rsid w:val="00A10C9E"/>
    <w:rsid w:val="00A11E95"/>
    <w:rsid w:val="00A12FEA"/>
    <w:rsid w:val="00A14648"/>
    <w:rsid w:val="00A161FC"/>
    <w:rsid w:val="00A20089"/>
    <w:rsid w:val="00A23188"/>
    <w:rsid w:val="00A3052A"/>
    <w:rsid w:val="00A310D7"/>
    <w:rsid w:val="00A3162B"/>
    <w:rsid w:val="00A31B2F"/>
    <w:rsid w:val="00A408E1"/>
    <w:rsid w:val="00A43726"/>
    <w:rsid w:val="00A45B86"/>
    <w:rsid w:val="00A46356"/>
    <w:rsid w:val="00A47EDF"/>
    <w:rsid w:val="00A50C6F"/>
    <w:rsid w:val="00A5632F"/>
    <w:rsid w:val="00A570F5"/>
    <w:rsid w:val="00A62CDD"/>
    <w:rsid w:val="00A66F17"/>
    <w:rsid w:val="00A67AD6"/>
    <w:rsid w:val="00A72383"/>
    <w:rsid w:val="00A802C0"/>
    <w:rsid w:val="00A825A2"/>
    <w:rsid w:val="00A8470B"/>
    <w:rsid w:val="00A8489F"/>
    <w:rsid w:val="00A878B8"/>
    <w:rsid w:val="00A96730"/>
    <w:rsid w:val="00AA1887"/>
    <w:rsid w:val="00AA1FB1"/>
    <w:rsid w:val="00AA2C3F"/>
    <w:rsid w:val="00AA7757"/>
    <w:rsid w:val="00AA79A5"/>
    <w:rsid w:val="00AB2078"/>
    <w:rsid w:val="00AC26F9"/>
    <w:rsid w:val="00AC4888"/>
    <w:rsid w:val="00AC4B33"/>
    <w:rsid w:val="00AD08B0"/>
    <w:rsid w:val="00AD36C5"/>
    <w:rsid w:val="00AD3DA0"/>
    <w:rsid w:val="00AD7E27"/>
    <w:rsid w:val="00AE3CA6"/>
    <w:rsid w:val="00AE789C"/>
    <w:rsid w:val="00AF2460"/>
    <w:rsid w:val="00AF5583"/>
    <w:rsid w:val="00B01252"/>
    <w:rsid w:val="00B0192A"/>
    <w:rsid w:val="00B0417D"/>
    <w:rsid w:val="00B12D58"/>
    <w:rsid w:val="00B14AC9"/>
    <w:rsid w:val="00B17788"/>
    <w:rsid w:val="00B21BA8"/>
    <w:rsid w:val="00B2363A"/>
    <w:rsid w:val="00B23D32"/>
    <w:rsid w:val="00B2446E"/>
    <w:rsid w:val="00B375D7"/>
    <w:rsid w:val="00B43A39"/>
    <w:rsid w:val="00B500C8"/>
    <w:rsid w:val="00B50488"/>
    <w:rsid w:val="00B530A0"/>
    <w:rsid w:val="00B6010E"/>
    <w:rsid w:val="00B635F9"/>
    <w:rsid w:val="00B64EC6"/>
    <w:rsid w:val="00B741A3"/>
    <w:rsid w:val="00B77520"/>
    <w:rsid w:val="00B77E11"/>
    <w:rsid w:val="00B84447"/>
    <w:rsid w:val="00B95ABF"/>
    <w:rsid w:val="00B96EB8"/>
    <w:rsid w:val="00B97B1C"/>
    <w:rsid w:val="00BA089A"/>
    <w:rsid w:val="00BA4039"/>
    <w:rsid w:val="00BB350B"/>
    <w:rsid w:val="00BC2452"/>
    <w:rsid w:val="00BC33F1"/>
    <w:rsid w:val="00BC626E"/>
    <w:rsid w:val="00BC64C9"/>
    <w:rsid w:val="00BC7034"/>
    <w:rsid w:val="00BD388F"/>
    <w:rsid w:val="00BD4D7B"/>
    <w:rsid w:val="00BD51E6"/>
    <w:rsid w:val="00BD6A10"/>
    <w:rsid w:val="00BF2ECF"/>
    <w:rsid w:val="00BF6DFC"/>
    <w:rsid w:val="00C014A5"/>
    <w:rsid w:val="00C05789"/>
    <w:rsid w:val="00C14D66"/>
    <w:rsid w:val="00C1602D"/>
    <w:rsid w:val="00C25FD3"/>
    <w:rsid w:val="00C37E90"/>
    <w:rsid w:val="00C60AB0"/>
    <w:rsid w:val="00C72495"/>
    <w:rsid w:val="00C72C0F"/>
    <w:rsid w:val="00C73609"/>
    <w:rsid w:val="00C87A78"/>
    <w:rsid w:val="00C90E4F"/>
    <w:rsid w:val="00CA0631"/>
    <w:rsid w:val="00CA2CE6"/>
    <w:rsid w:val="00CA33FF"/>
    <w:rsid w:val="00CA518B"/>
    <w:rsid w:val="00CA6501"/>
    <w:rsid w:val="00CB34EE"/>
    <w:rsid w:val="00CB6392"/>
    <w:rsid w:val="00CB656D"/>
    <w:rsid w:val="00CB6B3E"/>
    <w:rsid w:val="00CD04AB"/>
    <w:rsid w:val="00CD7B5A"/>
    <w:rsid w:val="00CE6C89"/>
    <w:rsid w:val="00CF134B"/>
    <w:rsid w:val="00CF1648"/>
    <w:rsid w:val="00CF3D0E"/>
    <w:rsid w:val="00CF4F1F"/>
    <w:rsid w:val="00CF684F"/>
    <w:rsid w:val="00D04781"/>
    <w:rsid w:val="00D0717B"/>
    <w:rsid w:val="00D07184"/>
    <w:rsid w:val="00D07F28"/>
    <w:rsid w:val="00D10AE1"/>
    <w:rsid w:val="00D10D73"/>
    <w:rsid w:val="00D139C6"/>
    <w:rsid w:val="00D224EF"/>
    <w:rsid w:val="00D23EA3"/>
    <w:rsid w:val="00D3217F"/>
    <w:rsid w:val="00D33792"/>
    <w:rsid w:val="00D337CB"/>
    <w:rsid w:val="00D33E74"/>
    <w:rsid w:val="00D3504A"/>
    <w:rsid w:val="00D36BB3"/>
    <w:rsid w:val="00D36ED8"/>
    <w:rsid w:val="00D4081C"/>
    <w:rsid w:val="00D46A04"/>
    <w:rsid w:val="00D475DD"/>
    <w:rsid w:val="00D52B84"/>
    <w:rsid w:val="00D55194"/>
    <w:rsid w:val="00D568A6"/>
    <w:rsid w:val="00D60300"/>
    <w:rsid w:val="00D65D52"/>
    <w:rsid w:val="00D715CD"/>
    <w:rsid w:val="00D71ED2"/>
    <w:rsid w:val="00D72BA7"/>
    <w:rsid w:val="00D7578B"/>
    <w:rsid w:val="00D76CC4"/>
    <w:rsid w:val="00D83E21"/>
    <w:rsid w:val="00D86238"/>
    <w:rsid w:val="00D87948"/>
    <w:rsid w:val="00D903F8"/>
    <w:rsid w:val="00D962DB"/>
    <w:rsid w:val="00DA0FC0"/>
    <w:rsid w:val="00DA2B06"/>
    <w:rsid w:val="00DB1653"/>
    <w:rsid w:val="00DB7605"/>
    <w:rsid w:val="00DC08B7"/>
    <w:rsid w:val="00DC1BA2"/>
    <w:rsid w:val="00DC475E"/>
    <w:rsid w:val="00DD592F"/>
    <w:rsid w:val="00DE223C"/>
    <w:rsid w:val="00DE32CE"/>
    <w:rsid w:val="00DE49DD"/>
    <w:rsid w:val="00DF3306"/>
    <w:rsid w:val="00DF4E03"/>
    <w:rsid w:val="00DF68E9"/>
    <w:rsid w:val="00E0255D"/>
    <w:rsid w:val="00E036A5"/>
    <w:rsid w:val="00E10DC5"/>
    <w:rsid w:val="00E119CC"/>
    <w:rsid w:val="00E15B43"/>
    <w:rsid w:val="00E15F76"/>
    <w:rsid w:val="00E205A2"/>
    <w:rsid w:val="00E2755C"/>
    <w:rsid w:val="00E32BB4"/>
    <w:rsid w:val="00E35127"/>
    <w:rsid w:val="00E401A1"/>
    <w:rsid w:val="00E415ED"/>
    <w:rsid w:val="00E43DA6"/>
    <w:rsid w:val="00E5382D"/>
    <w:rsid w:val="00E54586"/>
    <w:rsid w:val="00E55CAE"/>
    <w:rsid w:val="00E70075"/>
    <w:rsid w:val="00E77C49"/>
    <w:rsid w:val="00E85828"/>
    <w:rsid w:val="00E87A72"/>
    <w:rsid w:val="00E926DA"/>
    <w:rsid w:val="00E929A9"/>
    <w:rsid w:val="00E935E1"/>
    <w:rsid w:val="00E96224"/>
    <w:rsid w:val="00EA53F6"/>
    <w:rsid w:val="00EA6197"/>
    <w:rsid w:val="00EB15F7"/>
    <w:rsid w:val="00EC0069"/>
    <w:rsid w:val="00EC0CBF"/>
    <w:rsid w:val="00ED4712"/>
    <w:rsid w:val="00ED511D"/>
    <w:rsid w:val="00ED70AD"/>
    <w:rsid w:val="00EE2F27"/>
    <w:rsid w:val="00EE3222"/>
    <w:rsid w:val="00EE586D"/>
    <w:rsid w:val="00EF78F0"/>
    <w:rsid w:val="00F0116C"/>
    <w:rsid w:val="00F04F9F"/>
    <w:rsid w:val="00F10353"/>
    <w:rsid w:val="00F21988"/>
    <w:rsid w:val="00F23AA6"/>
    <w:rsid w:val="00F27E1D"/>
    <w:rsid w:val="00F3401F"/>
    <w:rsid w:val="00F348F9"/>
    <w:rsid w:val="00F369C6"/>
    <w:rsid w:val="00F375B5"/>
    <w:rsid w:val="00F4343D"/>
    <w:rsid w:val="00F81572"/>
    <w:rsid w:val="00F84094"/>
    <w:rsid w:val="00F859ED"/>
    <w:rsid w:val="00F86A5C"/>
    <w:rsid w:val="00F91054"/>
    <w:rsid w:val="00F93A28"/>
    <w:rsid w:val="00FA33A2"/>
    <w:rsid w:val="00FB2D68"/>
    <w:rsid w:val="00FB3F69"/>
    <w:rsid w:val="00FE02BB"/>
    <w:rsid w:val="00FE3EC3"/>
    <w:rsid w:val="00FE668C"/>
    <w:rsid w:val="00FF2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B6E5"/>
  <w15:docId w15:val="{21E2AE0B-AF6C-3F4A-AF44-3F619090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8F"/>
    <w:pPr>
      <w:spacing w:after="0" w:line="240" w:lineRule="auto"/>
    </w:pPr>
    <w:rPr>
      <w:rFonts w:ascii="Times New Roman" w:hAnsi="Times New Roman"/>
      <w:sz w:val="24"/>
      <w:szCs w:val="24"/>
      <w:lang w:eastAsia="en-GB"/>
    </w:rPr>
  </w:style>
  <w:style w:type="paragraph" w:styleId="Heading1">
    <w:name w:val="heading 1"/>
    <w:basedOn w:val="Normal"/>
    <w:next w:val="Normal"/>
    <w:link w:val="Heading1Char"/>
    <w:uiPriority w:val="9"/>
    <w:qFormat/>
    <w:rsid w:val="00BD388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88F"/>
    <w:pPr>
      <w:ind w:left="720"/>
      <w:contextualSpacing/>
    </w:pPr>
  </w:style>
  <w:style w:type="paragraph" w:styleId="FootnoteText">
    <w:name w:val="footnote text"/>
    <w:aliases w:val="Footnote Text Char Char Char Char,FA,FA Fußnotentext,Footnote Text Char Char,Footnote Text Char Char Char Char Char Char,Footnote Text Char Char Char,Footnote Text Char Char Char Char Char,Footnote Text Char2 Char,FA3,FA FuÛnotentext"/>
    <w:basedOn w:val="Normal"/>
    <w:link w:val="FootnoteTextChar"/>
    <w:uiPriority w:val="99"/>
    <w:unhideWhenUsed/>
    <w:qFormat/>
    <w:rsid w:val="00BD388F"/>
    <w:rPr>
      <w:sz w:val="20"/>
      <w:szCs w:val="20"/>
    </w:rPr>
  </w:style>
  <w:style w:type="character" w:customStyle="1" w:styleId="FootnoteTextChar">
    <w:name w:val="Footnote Text Char"/>
    <w:aliases w:val="Footnote Text Char Char Char Char Char1,FA Char,FA Fußnotentext Char,Footnote Text Char Char Char1,Footnote Text Char Char Char Char Char Char Char,Footnote Text Char Char Char Char1,Footnote Text Char Char Char Char Char Char1"/>
    <w:basedOn w:val="DefaultParagraphFont"/>
    <w:link w:val="FootnoteText"/>
    <w:uiPriority w:val="99"/>
    <w:rsid w:val="00BD388F"/>
    <w:rPr>
      <w:rFonts w:ascii="Times New Roman" w:hAnsi="Times New Roman"/>
      <w:sz w:val="20"/>
      <w:szCs w:val="20"/>
      <w:lang w:eastAsia="en-GB"/>
    </w:rPr>
  </w:style>
  <w:style w:type="character" w:styleId="FootnoteReference">
    <w:name w:val="footnote reference"/>
    <w:aliases w:val="ftref,FNRefe,BVI fnr,Ref,de nota al pie,16 Point,Superscript 6 Point,Appel note de bas de page,referencia nota al pie,Footnote Reference Number,Fodnotehenvisning,Footnote Reference1,EN Footnote Reference,fr"/>
    <w:basedOn w:val="DefaultParagraphFont"/>
    <w:link w:val="BVIfnrCarCarCarCarChar"/>
    <w:uiPriority w:val="99"/>
    <w:unhideWhenUsed/>
    <w:qFormat/>
    <w:rsid w:val="00BD388F"/>
    <w:rPr>
      <w:vertAlign w:val="superscript"/>
    </w:rPr>
  </w:style>
  <w:style w:type="paragraph" w:customStyle="1" w:styleId="Caption1">
    <w:name w:val="Caption1"/>
    <w:basedOn w:val="Normal"/>
    <w:next w:val="Normal"/>
    <w:uiPriority w:val="35"/>
    <w:semiHidden/>
    <w:unhideWhenUsed/>
    <w:rsid w:val="00BD388F"/>
    <w:pPr>
      <w:spacing w:after="200"/>
    </w:pPr>
    <w:rPr>
      <w:rFonts w:ascii="Calibri" w:eastAsia="Times New Roman" w:hAnsi="Calibri" w:cs="Skia"/>
      <w:i/>
      <w:iCs/>
      <w:color w:val="44546A"/>
      <w:sz w:val="18"/>
      <w:szCs w:val="18"/>
    </w:rPr>
  </w:style>
  <w:style w:type="paragraph" w:customStyle="1" w:styleId="BVIfnrCarCarCarCarChar">
    <w:name w:val="BVI fnr Car Car Car Car Char"/>
    <w:basedOn w:val="Normal"/>
    <w:link w:val="FootnoteReference"/>
    <w:uiPriority w:val="99"/>
    <w:rsid w:val="00BD388F"/>
    <w:pPr>
      <w:spacing w:line="240" w:lineRule="exact"/>
      <w:jc w:val="both"/>
    </w:pPr>
    <w:rPr>
      <w:rFonts w:asciiTheme="minorHAnsi" w:hAnsiTheme="minorHAnsi"/>
      <w:sz w:val="22"/>
      <w:szCs w:val="22"/>
      <w:vertAlign w:val="superscript"/>
      <w:lang w:eastAsia="en-US"/>
    </w:rPr>
  </w:style>
  <w:style w:type="character" w:customStyle="1" w:styleId="Heading1Char">
    <w:name w:val="Heading 1 Char"/>
    <w:basedOn w:val="DefaultParagraphFont"/>
    <w:link w:val="Heading1"/>
    <w:uiPriority w:val="9"/>
    <w:rsid w:val="00BD388F"/>
    <w:rPr>
      <w:rFonts w:asciiTheme="majorHAnsi" w:eastAsiaTheme="majorEastAsia" w:hAnsiTheme="majorHAnsi" w:cstheme="majorBidi"/>
      <w:color w:val="2F5496" w:themeColor="accent1" w:themeShade="BF"/>
      <w:sz w:val="32"/>
      <w:szCs w:val="32"/>
      <w:lang w:eastAsia="en-GB"/>
    </w:rPr>
  </w:style>
  <w:style w:type="paragraph" w:styleId="Caption">
    <w:name w:val="caption"/>
    <w:basedOn w:val="Normal"/>
    <w:next w:val="Normal"/>
    <w:uiPriority w:val="35"/>
    <w:unhideWhenUsed/>
    <w:qFormat/>
    <w:rsid w:val="00BD388F"/>
    <w:pPr>
      <w:spacing w:after="200"/>
    </w:pPr>
    <w:rPr>
      <w:rFonts w:ascii="Calibri" w:eastAsia="Times New Roman" w:hAnsi="Calibri" w:cs="Skia"/>
      <w:i/>
      <w:iCs/>
      <w:color w:val="44546A" w:themeColor="text2"/>
      <w:sz w:val="18"/>
      <w:szCs w:val="18"/>
    </w:rPr>
  </w:style>
  <w:style w:type="paragraph" w:styleId="Title">
    <w:name w:val="Title"/>
    <w:basedOn w:val="Normal"/>
    <w:next w:val="Normal"/>
    <w:link w:val="TitleChar"/>
    <w:uiPriority w:val="10"/>
    <w:qFormat/>
    <w:rsid w:val="00BD38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88F"/>
    <w:rPr>
      <w:rFonts w:asciiTheme="majorHAnsi" w:eastAsiaTheme="majorEastAsia" w:hAnsiTheme="majorHAnsi" w:cstheme="majorBidi"/>
      <w:spacing w:val="-10"/>
      <w:kern w:val="28"/>
      <w:sz w:val="56"/>
      <w:szCs w:val="56"/>
      <w:lang w:eastAsia="en-GB"/>
    </w:rPr>
  </w:style>
  <w:style w:type="character" w:styleId="Emphasis">
    <w:name w:val="Emphasis"/>
    <w:basedOn w:val="DefaultParagraphFont"/>
    <w:uiPriority w:val="20"/>
    <w:qFormat/>
    <w:rsid w:val="00BD388F"/>
    <w:rPr>
      <w:i/>
      <w:iCs/>
    </w:rPr>
  </w:style>
  <w:style w:type="paragraph" w:styleId="Revision">
    <w:name w:val="Revision"/>
    <w:hidden/>
    <w:uiPriority w:val="99"/>
    <w:semiHidden/>
    <w:rsid w:val="002C6CB0"/>
    <w:pPr>
      <w:spacing w:after="0" w:line="240" w:lineRule="auto"/>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315E90"/>
    <w:rPr>
      <w:sz w:val="16"/>
      <w:szCs w:val="16"/>
    </w:rPr>
  </w:style>
  <w:style w:type="paragraph" w:styleId="CommentText">
    <w:name w:val="annotation text"/>
    <w:basedOn w:val="Normal"/>
    <w:link w:val="CommentTextChar"/>
    <w:uiPriority w:val="99"/>
    <w:unhideWhenUsed/>
    <w:rsid w:val="00315E90"/>
    <w:rPr>
      <w:sz w:val="20"/>
      <w:szCs w:val="20"/>
    </w:rPr>
  </w:style>
  <w:style w:type="character" w:customStyle="1" w:styleId="CommentTextChar">
    <w:name w:val="Comment Text Char"/>
    <w:basedOn w:val="DefaultParagraphFont"/>
    <w:link w:val="CommentText"/>
    <w:uiPriority w:val="99"/>
    <w:rsid w:val="00315E90"/>
    <w:rPr>
      <w:rFonts w:ascii="Times New Roman"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15E90"/>
    <w:rPr>
      <w:b/>
      <w:bCs/>
    </w:rPr>
  </w:style>
  <w:style w:type="character" w:customStyle="1" w:styleId="CommentSubjectChar">
    <w:name w:val="Comment Subject Char"/>
    <w:basedOn w:val="CommentTextChar"/>
    <w:link w:val="CommentSubject"/>
    <w:uiPriority w:val="99"/>
    <w:semiHidden/>
    <w:rsid w:val="00315E90"/>
    <w:rPr>
      <w:rFonts w:ascii="Times New Roman" w:hAnsi="Times New Roman"/>
      <w:b/>
      <w:bCs/>
      <w:sz w:val="20"/>
      <w:szCs w:val="20"/>
      <w:lang w:eastAsia="en-GB"/>
    </w:rPr>
  </w:style>
  <w:style w:type="paragraph" w:customStyle="1" w:styleId="Bibliographie1">
    <w:name w:val="Bibliographie1"/>
    <w:basedOn w:val="Normal"/>
    <w:link w:val="BibliographyCar"/>
    <w:rsid w:val="003D57EE"/>
    <w:pPr>
      <w:ind w:left="720" w:hanging="720"/>
    </w:pPr>
  </w:style>
  <w:style w:type="character" w:customStyle="1" w:styleId="BibliographyCar">
    <w:name w:val="Bibliography Car"/>
    <w:basedOn w:val="FootnoteTextChar"/>
    <w:link w:val="Bibliographie1"/>
    <w:rsid w:val="003D57EE"/>
    <w:rPr>
      <w:rFonts w:ascii="Times New Roman" w:hAnsi="Times New Roman"/>
      <w:sz w:val="24"/>
      <w:szCs w:val="24"/>
      <w:lang w:eastAsia="en-GB"/>
    </w:rPr>
  </w:style>
  <w:style w:type="table" w:styleId="TableGrid">
    <w:name w:val="Table Grid"/>
    <w:basedOn w:val="TableNormal"/>
    <w:uiPriority w:val="39"/>
    <w:rsid w:val="00A1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12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12F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styleId="111111">
    <w:name w:val="Outline List 2"/>
    <w:basedOn w:val="NoList"/>
    <w:uiPriority w:val="99"/>
    <w:semiHidden/>
    <w:unhideWhenUsed/>
    <w:rsid w:val="00244E9C"/>
    <w:pPr>
      <w:numPr>
        <w:numId w:val="4"/>
      </w:numPr>
    </w:pPr>
  </w:style>
  <w:style w:type="paragraph" w:styleId="Footer">
    <w:name w:val="footer"/>
    <w:basedOn w:val="Normal"/>
    <w:link w:val="FooterChar"/>
    <w:uiPriority w:val="99"/>
    <w:unhideWhenUsed/>
    <w:rsid w:val="00E15B43"/>
    <w:pPr>
      <w:tabs>
        <w:tab w:val="center" w:pos="4536"/>
        <w:tab w:val="right" w:pos="9072"/>
      </w:tabs>
    </w:pPr>
  </w:style>
  <w:style w:type="character" w:customStyle="1" w:styleId="FooterChar">
    <w:name w:val="Footer Char"/>
    <w:basedOn w:val="DefaultParagraphFont"/>
    <w:link w:val="Footer"/>
    <w:uiPriority w:val="99"/>
    <w:rsid w:val="00E15B43"/>
    <w:rPr>
      <w:rFonts w:ascii="Times New Roman" w:hAnsi="Times New Roman"/>
      <w:sz w:val="24"/>
      <w:szCs w:val="24"/>
      <w:lang w:eastAsia="en-GB"/>
    </w:rPr>
  </w:style>
  <w:style w:type="character" w:styleId="PageNumber">
    <w:name w:val="page number"/>
    <w:basedOn w:val="DefaultParagraphFont"/>
    <w:uiPriority w:val="99"/>
    <w:semiHidden/>
    <w:unhideWhenUsed/>
    <w:rsid w:val="00E15B43"/>
  </w:style>
  <w:style w:type="character" w:styleId="Hyperlink">
    <w:name w:val="Hyperlink"/>
    <w:basedOn w:val="DefaultParagraphFont"/>
    <w:uiPriority w:val="99"/>
    <w:unhideWhenUsed/>
    <w:rsid w:val="00ED511D"/>
    <w:rPr>
      <w:color w:val="0563C1" w:themeColor="hyperlink"/>
      <w:u w:val="single"/>
    </w:rPr>
  </w:style>
  <w:style w:type="character" w:styleId="UnresolvedMention">
    <w:name w:val="Unresolved Mention"/>
    <w:basedOn w:val="DefaultParagraphFont"/>
    <w:uiPriority w:val="99"/>
    <w:semiHidden/>
    <w:unhideWhenUsed/>
    <w:rsid w:val="00ED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77371">
      <w:bodyDiv w:val="1"/>
      <w:marLeft w:val="0"/>
      <w:marRight w:val="0"/>
      <w:marTop w:val="0"/>
      <w:marBottom w:val="0"/>
      <w:divBdr>
        <w:top w:val="none" w:sz="0" w:space="0" w:color="auto"/>
        <w:left w:val="none" w:sz="0" w:space="0" w:color="auto"/>
        <w:bottom w:val="none" w:sz="0" w:space="0" w:color="auto"/>
        <w:right w:val="none" w:sz="0" w:space="0" w:color="auto"/>
      </w:divBdr>
    </w:div>
    <w:div w:id="198594743">
      <w:bodyDiv w:val="1"/>
      <w:marLeft w:val="0"/>
      <w:marRight w:val="0"/>
      <w:marTop w:val="0"/>
      <w:marBottom w:val="0"/>
      <w:divBdr>
        <w:top w:val="none" w:sz="0" w:space="0" w:color="auto"/>
        <w:left w:val="none" w:sz="0" w:space="0" w:color="auto"/>
        <w:bottom w:val="none" w:sz="0" w:space="0" w:color="auto"/>
        <w:right w:val="none" w:sz="0" w:space="0" w:color="auto"/>
      </w:divBdr>
    </w:div>
    <w:div w:id="621763511">
      <w:bodyDiv w:val="1"/>
      <w:marLeft w:val="0"/>
      <w:marRight w:val="0"/>
      <w:marTop w:val="0"/>
      <w:marBottom w:val="0"/>
      <w:divBdr>
        <w:top w:val="none" w:sz="0" w:space="0" w:color="auto"/>
        <w:left w:val="none" w:sz="0" w:space="0" w:color="auto"/>
        <w:bottom w:val="none" w:sz="0" w:space="0" w:color="auto"/>
        <w:right w:val="none" w:sz="0" w:space="0" w:color="auto"/>
      </w:divBdr>
    </w:div>
    <w:div w:id="630134714">
      <w:bodyDiv w:val="1"/>
      <w:marLeft w:val="0"/>
      <w:marRight w:val="0"/>
      <w:marTop w:val="0"/>
      <w:marBottom w:val="0"/>
      <w:divBdr>
        <w:top w:val="none" w:sz="0" w:space="0" w:color="auto"/>
        <w:left w:val="none" w:sz="0" w:space="0" w:color="auto"/>
        <w:bottom w:val="none" w:sz="0" w:space="0" w:color="auto"/>
        <w:right w:val="none" w:sz="0" w:space="0" w:color="auto"/>
      </w:divBdr>
    </w:div>
    <w:div w:id="641933744">
      <w:bodyDiv w:val="1"/>
      <w:marLeft w:val="0"/>
      <w:marRight w:val="0"/>
      <w:marTop w:val="0"/>
      <w:marBottom w:val="0"/>
      <w:divBdr>
        <w:top w:val="none" w:sz="0" w:space="0" w:color="auto"/>
        <w:left w:val="none" w:sz="0" w:space="0" w:color="auto"/>
        <w:bottom w:val="none" w:sz="0" w:space="0" w:color="auto"/>
        <w:right w:val="none" w:sz="0" w:space="0" w:color="auto"/>
      </w:divBdr>
    </w:div>
    <w:div w:id="706640096">
      <w:bodyDiv w:val="1"/>
      <w:marLeft w:val="0"/>
      <w:marRight w:val="0"/>
      <w:marTop w:val="0"/>
      <w:marBottom w:val="0"/>
      <w:divBdr>
        <w:top w:val="none" w:sz="0" w:space="0" w:color="auto"/>
        <w:left w:val="none" w:sz="0" w:space="0" w:color="auto"/>
        <w:bottom w:val="none" w:sz="0" w:space="0" w:color="auto"/>
        <w:right w:val="none" w:sz="0" w:space="0" w:color="auto"/>
      </w:divBdr>
    </w:div>
    <w:div w:id="771507784">
      <w:bodyDiv w:val="1"/>
      <w:marLeft w:val="0"/>
      <w:marRight w:val="0"/>
      <w:marTop w:val="0"/>
      <w:marBottom w:val="0"/>
      <w:divBdr>
        <w:top w:val="none" w:sz="0" w:space="0" w:color="auto"/>
        <w:left w:val="none" w:sz="0" w:space="0" w:color="auto"/>
        <w:bottom w:val="none" w:sz="0" w:space="0" w:color="auto"/>
        <w:right w:val="none" w:sz="0" w:space="0" w:color="auto"/>
      </w:divBdr>
    </w:div>
    <w:div w:id="903878745">
      <w:bodyDiv w:val="1"/>
      <w:marLeft w:val="0"/>
      <w:marRight w:val="0"/>
      <w:marTop w:val="0"/>
      <w:marBottom w:val="0"/>
      <w:divBdr>
        <w:top w:val="none" w:sz="0" w:space="0" w:color="auto"/>
        <w:left w:val="none" w:sz="0" w:space="0" w:color="auto"/>
        <w:bottom w:val="none" w:sz="0" w:space="0" w:color="auto"/>
        <w:right w:val="none" w:sz="0" w:space="0" w:color="auto"/>
      </w:divBdr>
      <w:divsChild>
        <w:div w:id="1586570921">
          <w:marLeft w:val="0"/>
          <w:marRight w:val="0"/>
          <w:marTop w:val="0"/>
          <w:marBottom w:val="0"/>
          <w:divBdr>
            <w:top w:val="none" w:sz="0" w:space="0" w:color="auto"/>
            <w:left w:val="none" w:sz="0" w:space="0" w:color="auto"/>
            <w:bottom w:val="none" w:sz="0" w:space="0" w:color="auto"/>
            <w:right w:val="none" w:sz="0" w:space="0" w:color="auto"/>
          </w:divBdr>
          <w:divsChild>
            <w:div w:id="312956680">
              <w:marLeft w:val="0"/>
              <w:marRight w:val="0"/>
              <w:marTop w:val="0"/>
              <w:marBottom w:val="0"/>
              <w:divBdr>
                <w:top w:val="none" w:sz="0" w:space="0" w:color="auto"/>
                <w:left w:val="none" w:sz="0" w:space="0" w:color="auto"/>
                <w:bottom w:val="none" w:sz="0" w:space="0" w:color="auto"/>
                <w:right w:val="none" w:sz="0" w:space="0" w:color="auto"/>
              </w:divBdr>
              <w:divsChild>
                <w:div w:id="8498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993">
      <w:bodyDiv w:val="1"/>
      <w:marLeft w:val="0"/>
      <w:marRight w:val="0"/>
      <w:marTop w:val="0"/>
      <w:marBottom w:val="0"/>
      <w:divBdr>
        <w:top w:val="none" w:sz="0" w:space="0" w:color="auto"/>
        <w:left w:val="none" w:sz="0" w:space="0" w:color="auto"/>
        <w:bottom w:val="none" w:sz="0" w:space="0" w:color="auto"/>
        <w:right w:val="none" w:sz="0" w:space="0" w:color="auto"/>
      </w:divBdr>
    </w:div>
    <w:div w:id="1021055491">
      <w:bodyDiv w:val="1"/>
      <w:marLeft w:val="0"/>
      <w:marRight w:val="0"/>
      <w:marTop w:val="0"/>
      <w:marBottom w:val="0"/>
      <w:divBdr>
        <w:top w:val="none" w:sz="0" w:space="0" w:color="auto"/>
        <w:left w:val="none" w:sz="0" w:space="0" w:color="auto"/>
        <w:bottom w:val="none" w:sz="0" w:space="0" w:color="auto"/>
        <w:right w:val="none" w:sz="0" w:space="0" w:color="auto"/>
      </w:divBdr>
    </w:div>
    <w:div w:id="1261372704">
      <w:bodyDiv w:val="1"/>
      <w:marLeft w:val="0"/>
      <w:marRight w:val="0"/>
      <w:marTop w:val="0"/>
      <w:marBottom w:val="0"/>
      <w:divBdr>
        <w:top w:val="none" w:sz="0" w:space="0" w:color="auto"/>
        <w:left w:val="none" w:sz="0" w:space="0" w:color="auto"/>
        <w:bottom w:val="none" w:sz="0" w:space="0" w:color="auto"/>
        <w:right w:val="none" w:sz="0" w:space="0" w:color="auto"/>
      </w:divBdr>
    </w:div>
    <w:div w:id="1318025203">
      <w:bodyDiv w:val="1"/>
      <w:marLeft w:val="0"/>
      <w:marRight w:val="0"/>
      <w:marTop w:val="0"/>
      <w:marBottom w:val="0"/>
      <w:divBdr>
        <w:top w:val="none" w:sz="0" w:space="0" w:color="auto"/>
        <w:left w:val="none" w:sz="0" w:space="0" w:color="auto"/>
        <w:bottom w:val="none" w:sz="0" w:space="0" w:color="auto"/>
        <w:right w:val="none" w:sz="0" w:space="0" w:color="auto"/>
      </w:divBdr>
      <w:divsChild>
        <w:div w:id="1807312752">
          <w:marLeft w:val="0"/>
          <w:marRight w:val="0"/>
          <w:marTop w:val="0"/>
          <w:marBottom w:val="0"/>
          <w:divBdr>
            <w:top w:val="none" w:sz="0" w:space="0" w:color="auto"/>
            <w:left w:val="none" w:sz="0" w:space="0" w:color="auto"/>
            <w:bottom w:val="none" w:sz="0" w:space="0" w:color="auto"/>
            <w:right w:val="none" w:sz="0" w:space="0" w:color="auto"/>
          </w:divBdr>
          <w:divsChild>
            <w:div w:id="1802723080">
              <w:marLeft w:val="0"/>
              <w:marRight w:val="0"/>
              <w:marTop w:val="0"/>
              <w:marBottom w:val="0"/>
              <w:divBdr>
                <w:top w:val="none" w:sz="0" w:space="0" w:color="auto"/>
                <w:left w:val="none" w:sz="0" w:space="0" w:color="auto"/>
                <w:bottom w:val="none" w:sz="0" w:space="0" w:color="auto"/>
                <w:right w:val="none" w:sz="0" w:space="0" w:color="auto"/>
              </w:divBdr>
              <w:divsChild>
                <w:div w:id="14425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27932">
      <w:bodyDiv w:val="1"/>
      <w:marLeft w:val="0"/>
      <w:marRight w:val="0"/>
      <w:marTop w:val="0"/>
      <w:marBottom w:val="0"/>
      <w:divBdr>
        <w:top w:val="none" w:sz="0" w:space="0" w:color="auto"/>
        <w:left w:val="none" w:sz="0" w:space="0" w:color="auto"/>
        <w:bottom w:val="none" w:sz="0" w:space="0" w:color="auto"/>
        <w:right w:val="none" w:sz="0" w:space="0" w:color="auto"/>
      </w:divBdr>
    </w:div>
    <w:div w:id="1517309727">
      <w:bodyDiv w:val="1"/>
      <w:marLeft w:val="0"/>
      <w:marRight w:val="0"/>
      <w:marTop w:val="0"/>
      <w:marBottom w:val="0"/>
      <w:divBdr>
        <w:top w:val="none" w:sz="0" w:space="0" w:color="auto"/>
        <w:left w:val="none" w:sz="0" w:space="0" w:color="auto"/>
        <w:bottom w:val="none" w:sz="0" w:space="0" w:color="auto"/>
        <w:right w:val="none" w:sz="0" w:space="0" w:color="auto"/>
      </w:divBdr>
    </w:div>
    <w:div w:id="1774014737">
      <w:bodyDiv w:val="1"/>
      <w:marLeft w:val="0"/>
      <w:marRight w:val="0"/>
      <w:marTop w:val="0"/>
      <w:marBottom w:val="0"/>
      <w:divBdr>
        <w:top w:val="none" w:sz="0" w:space="0" w:color="auto"/>
        <w:left w:val="none" w:sz="0" w:space="0" w:color="auto"/>
        <w:bottom w:val="none" w:sz="0" w:space="0" w:color="auto"/>
        <w:right w:val="none" w:sz="0" w:space="0" w:color="auto"/>
      </w:divBdr>
    </w:div>
    <w:div w:id="1868371928">
      <w:bodyDiv w:val="1"/>
      <w:marLeft w:val="0"/>
      <w:marRight w:val="0"/>
      <w:marTop w:val="0"/>
      <w:marBottom w:val="0"/>
      <w:divBdr>
        <w:top w:val="none" w:sz="0" w:space="0" w:color="auto"/>
        <w:left w:val="none" w:sz="0" w:space="0" w:color="auto"/>
        <w:bottom w:val="none" w:sz="0" w:space="0" w:color="auto"/>
        <w:right w:val="none" w:sz="0" w:space="0" w:color="auto"/>
      </w:divBdr>
      <w:divsChild>
        <w:div w:id="465196324">
          <w:marLeft w:val="0"/>
          <w:marRight w:val="0"/>
          <w:marTop w:val="0"/>
          <w:marBottom w:val="0"/>
          <w:divBdr>
            <w:top w:val="none" w:sz="0" w:space="0" w:color="auto"/>
            <w:left w:val="none" w:sz="0" w:space="0" w:color="auto"/>
            <w:bottom w:val="none" w:sz="0" w:space="0" w:color="auto"/>
            <w:right w:val="none" w:sz="0" w:space="0" w:color="auto"/>
          </w:divBdr>
          <w:divsChild>
            <w:div w:id="54473162">
              <w:marLeft w:val="0"/>
              <w:marRight w:val="0"/>
              <w:marTop w:val="0"/>
              <w:marBottom w:val="0"/>
              <w:divBdr>
                <w:top w:val="none" w:sz="0" w:space="0" w:color="auto"/>
                <w:left w:val="none" w:sz="0" w:space="0" w:color="auto"/>
                <w:bottom w:val="none" w:sz="0" w:space="0" w:color="auto"/>
                <w:right w:val="none" w:sz="0" w:space="0" w:color="auto"/>
              </w:divBdr>
              <w:divsChild>
                <w:div w:id="186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9350">
      <w:bodyDiv w:val="1"/>
      <w:marLeft w:val="0"/>
      <w:marRight w:val="0"/>
      <w:marTop w:val="0"/>
      <w:marBottom w:val="0"/>
      <w:divBdr>
        <w:top w:val="none" w:sz="0" w:space="0" w:color="auto"/>
        <w:left w:val="none" w:sz="0" w:space="0" w:color="auto"/>
        <w:bottom w:val="none" w:sz="0" w:space="0" w:color="auto"/>
        <w:right w:val="none" w:sz="0" w:space="0" w:color="auto"/>
      </w:divBdr>
    </w:div>
    <w:div w:id="1999846975">
      <w:bodyDiv w:val="1"/>
      <w:marLeft w:val="0"/>
      <w:marRight w:val="0"/>
      <w:marTop w:val="0"/>
      <w:marBottom w:val="0"/>
      <w:divBdr>
        <w:top w:val="none" w:sz="0" w:space="0" w:color="auto"/>
        <w:left w:val="none" w:sz="0" w:space="0" w:color="auto"/>
        <w:bottom w:val="none" w:sz="0" w:space="0" w:color="auto"/>
        <w:right w:val="none" w:sz="0" w:space="0" w:color="auto"/>
      </w:divBdr>
    </w:div>
    <w:div w:id="2006205546">
      <w:bodyDiv w:val="1"/>
      <w:marLeft w:val="0"/>
      <w:marRight w:val="0"/>
      <w:marTop w:val="0"/>
      <w:marBottom w:val="0"/>
      <w:divBdr>
        <w:top w:val="none" w:sz="0" w:space="0" w:color="auto"/>
        <w:left w:val="none" w:sz="0" w:space="0" w:color="auto"/>
        <w:bottom w:val="none" w:sz="0" w:space="0" w:color="auto"/>
        <w:right w:val="none" w:sz="0" w:space="0" w:color="auto"/>
      </w:divBdr>
    </w:div>
    <w:div w:id="207299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jd530\Dropbox\PC\Documents\Oxford\Research\Rwanda\Energy%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jd530\Dropbox\PC\Documents\Oxford\Research\Rwanda\Energy%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jd530\Dropbox\PC\Documents\Oxford\Research\Rwanda\Energy%20Sta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Installed Electricity Generation in Rwanda (MW)</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5203497607491802E-2"/>
          <c:y val="9.5915336480654825E-2"/>
          <c:w val="0.93102244900951625"/>
          <c:h val="0.68209045633922305"/>
        </c:manualLayout>
      </c:layout>
      <c:lineChart>
        <c:grouping val="standard"/>
        <c:varyColors val="0"/>
        <c:ser>
          <c:idx val="0"/>
          <c:order val="0"/>
          <c:tx>
            <c:v>MW</c:v>
          </c:tx>
          <c:spPr>
            <a:ln w="28575" cap="rnd">
              <a:solidFill>
                <a:schemeClr val="accent1"/>
              </a:solidFill>
              <a:round/>
            </a:ln>
            <a:effectLst/>
          </c:spPr>
          <c:marker>
            <c:symbol val="none"/>
          </c:marker>
          <c:cat>
            <c:strRef>
              <c:f>(Sheet1!$J$3,Sheet1!$J$5:$J$64,Sheet1!$J$67:$J$73)</c:f>
              <c:strCache>
                <c:ptCount val="68"/>
                <c:pt idx="0">
                  <c:v>1957</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pt idx="59">
                  <c:v>2017</c:v>
                </c:pt>
                <c:pt idx="60">
                  <c:v>2018</c:v>
                </c:pt>
                <c:pt idx="61">
                  <c:v>2021</c:v>
                </c:pt>
                <c:pt idx="62">
                  <c:v>2022</c:v>
                </c:pt>
                <c:pt idx="63">
                  <c:v>*2023</c:v>
                </c:pt>
                <c:pt idx="64">
                  <c:v>*2024</c:v>
                </c:pt>
                <c:pt idx="65">
                  <c:v>*2025</c:v>
                </c:pt>
                <c:pt idx="66">
                  <c:v>*2026</c:v>
                </c:pt>
                <c:pt idx="67">
                  <c:v>2030 Planned</c:v>
                </c:pt>
              </c:strCache>
              <c:extLst/>
            </c:strRef>
          </c:cat>
          <c:val>
            <c:numRef>
              <c:f>(Sheet1!$K$2,Sheet1!$K$4:$K$63,Sheet1!$K$66:$K$73)</c:f>
              <c:numCache>
                <c:formatCode>General</c:formatCode>
                <c:ptCount val="69"/>
                <c:pt idx="1">
                  <c:v>16.45</c:v>
                </c:pt>
                <c:pt idx="2">
                  <c:v>16.45</c:v>
                </c:pt>
                <c:pt idx="3">
                  <c:v>16.45</c:v>
                </c:pt>
                <c:pt idx="4">
                  <c:v>16.45</c:v>
                </c:pt>
                <c:pt idx="5">
                  <c:v>16.45</c:v>
                </c:pt>
                <c:pt idx="6">
                  <c:v>16.45</c:v>
                </c:pt>
                <c:pt idx="7">
                  <c:v>16.45</c:v>
                </c:pt>
                <c:pt idx="8">
                  <c:v>16.45</c:v>
                </c:pt>
                <c:pt idx="9">
                  <c:v>16.45</c:v>
                </c:pt>
                <c:pt idx="10">
                  <c:v>16.45</c:v>
                </c:pt>
                <c:pt idx="11">
                  <c:v>16.45</c:v>
                </c:pt>
                <c:pt idx="12">
                  <c:v>16.45</c:v>
                </c:pt>
                <c:pt idx="13">
                  <c:v>16.45</c:v>
                </c:pt>
                <c:pt idx="14">
                  <c:v>16.45</c:v>
                </c:pt>
                <c:pt idx="15">
                  <c:v>16.45</c:v>
                </c:pt>
                <c:pt idx="16">
                  <c:v>16.45</c:v>
                </c:pt>
                <c:pt idx="17">
                  <c:v>16.45</c:v>
                </c:pt>
                <c:pt idx="18">
                  <c:v>16.45</c:v>
                </c:pt>
                <c:pt idx="19">
                  <c:v>16.45</c:v>
                </c:pt>
                <c:pt idx="20">
                  <c:v>16.45</c:v>
                </c:pt>
                <c:pt idx="21">
                  <c:v>16.45</c:v>
                </c:pt>
                <c:pt idx="22">
                  <c:v>16.45</c:v>
                </c:pt>
                <c:pt idx="23">
                  <c:v>16.45</c:v>
                </c:pt>
                <c:pt idx="24">
                  <c:v>16.45</c:v>
                </c:pt>
                <c:pt idx="25">
                  <c:v>28.45</c:v>
                </c:pt>
                <c:pt idx="26">
                  <c:v>28.45</c:v>
                </c:pt>
                <c:pt idx="27">
                  <c:v>30.25</c:v>
                </c:pt>
                <c:pt idx="28">
                  <c:v>30.25</c:v>
                </c:pt>
                <c:pt idx="29">
                  <c:v>30.25</c:v>
                </c:pt>
                <c:pt idx="30">
                  <c:v>30.25</c:v>
                </c:pt>
                <c:pt idx="31">
                  <c:v>30.25</c:v>
                </c:pt>
                <c:pt idx="32">
                  <c:v>42.25</c:v>
                </c:pt>
                <c:pt idx="33">
                  <c:v>42.25</c:v>
                </c:pt>
                <c:pt idx="34">
                  <c:v>42.25</c:v>
                </c:pt>
                <c:pt idx="35">
                  <c:v>42.25</c:v>
                </c:pt>
                <c:pt idx="36">
                  <c:v>42.25</c:v>
                </c:pt>
                <c:pt idx="37">
                  <c:v>42.25</c:v>
                </c:pt>
                <c:pt idx="38">
                  <c:v>42.25</c:v>
                </c:pt>
                <c:pt idx="39">
                  <c:v>42.25</c:v>
                </c:pt>
                <c:pt idx="40">
                  <c:v>42.25</c:v>
                </c:pt>
                <c:pt idx="41">
                  <c:v>42.25</c:v>
                </c:pt>
                <c:pt idx="42">
                  <c:v>42.25</c:v>
                </c:pt>
                <c:pt idx="43">
                  <c:v>42.25</c:v>
                </c:pt>
                <c:pt idx="44">
                  <c:v>42.25</c:v>
                </c:pt>
                <c:pt idx="45">
                  <c:v>42.25</c:v>
                </c:pt>
                <c:pt idx="46">
                  <c:v>42.25</c:v>
                </c:pt>
                <c:pt idx="47">
                  <c:v>50.05</c:v>
                </c:pt>
                <c:pt idx="48">
                  <c:v>60.05</c:v>
                </c:pt>
                <c:pt idx="49">
                  <c:v>65.05</c:v>
                </c:pt>
                <c:pt idx="50">
                  <c:v>65.150000000000006</c:v>
                </c:pt>
                <c:pt idx="51">
                  <c:v>68.45</c:v>
                </c:pt>
                <c:pt idx="52">
                  <c:v>78.650000000000006</c:v>
                </c:pt>
                <c:pt idx="53">
                  <c:v>88.140000000000015</c:v>
                </c:pt>
                <c:pt idx="54">
                  <c:v>96.260000000000019</c:v>
                </c:pt>
                <c:pt idx="55">
                  <c:v>97.56</c:v>
                </c:pt>
                <c:pt idx="56">
                  <c:v>102.49000000000001</c:v>
                </c:pt>
                <c:pt idx="57">
                  <c:v>146.69000000000003</c:v>
                </c:pt>
                <c:pt idx="58">
                  <c:v>181.84000000000003</c:v>
                </c:pt>
                <c:pt idx="59">
                  <c:v>201.34000000000003</c:v>
                </c:pt>
                <c:pt idx="60">
                  <c:v>244.64000000000001</c:v>
                </c:pt>
                <c:pt idx="61">
                  <c:v>264.61800000000005</c:v>
                </c:pt>
                <c:pt idx="62">
                  <c:v>264.61800000000005</c:v>
                </c:pt>
                <c:pt idx="63">
                  <c:v>299.61800000000005</c:v>
                </c:pt>
                <c:pt idx="64">
                  <c:v>432.96600000000001</c:v>
                </c:pt>
                <c:pt idx="65">
                  <c:v>444.02600000000007</c:v>
                </c:pt>
                <c:pt idx="66">
                  <c:v>490.42600000000004</c:v>
                </c:pt>
                <c:pt idx="67">
                  <c:v>498.32600000000002</c:v>
                </c:pt>
                <c:pt idx="68">
                  <c:v>550.65600000000006</c:v>
                </c:pt>
              </c:numCache>
              <c:extLst/>
            </c:numRef>
          </c:val>
          <c:smooth val="0"/>
          <c:extLst>
            <c:ext xmlns:c16="http://schemas.microsoft.com/office/drawing/2014/chart" uri="{C3380CC4-5D6E-409C-BE32-E72D297353CC}">
              <c16:uniqueId val="{00000000-3A36-45FA-BF1F-3C9D43D45DDF}"/>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410755984"/>
        <c:axId val="410757952"/>
        <c:extLst/>
      </c:lineChart>
      <c:catAx>
        <c:axId val="41075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757952"/>
        <c:crosses val="autoZero"/>
        <c:auto val="1"/>
        <c:lblAlgn val="ctr"/>
        <c:lblOffset val="100"/>
        <c:noMultiLvlLbl val="0"/>
      </c:catAx>
      <c:valAx>
        <c:axId val="410757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755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Government</a:t>
            </a:r>
            <a:r>
              <a:rPr lang="en-GB" baseline="0"/>
              <a:t> vs Private-Sector Owned MegaWatts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Sheet1!$O$1</c:f>
              <c:strCache>
                <c:ptCount val="1"/>
                <c:pt idx="0">
                  <c:v>Government-owned generation </c:v>
                </c:pt>
              </c:strCache>
            </c:strRef>
          </c:tx>
          <c:spPr>
            <a:ln w="28575" cap="rnd">
              <a:solidFill>
                <a:schemeClr val="accent1"/>
              </a:solidFill>
              <a:round/>
            </a:ln>
            <a:effectLst/>
          </c:spPr>
          <c:marker>
            <c:symbol val="none"/>
          </c:marker>
          <c:cat>
            <c:strRef>
              <c:f>Sheet1!$N$3:$N$72</c:f>
              <c:strCach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strCache>
              <c:extLst/>
            </c:strRef>
          </c:cat>
          <c:val>
            <c:numRef>
              <c:f>Sheet1!$O$2:$O$72</c:f>
              <c:numCache>
                <c:formatCode>General</c:formatCode>
                <c:ptCount val="27"/>
                <c:pt idx="0">
                  <c:v>41.95</c:v>
                </c:pt>
                <c:pt idx="1">
                  <c:v>41.95</c:v>
                </c:pt>
                <c:pt idx="2">
                  <c:v>41.95</c:v>
                </c:pt>
                <c:pt idx="3">
                  <c:v>41.95</c:v>
                </c:pt>
                <c:pt idx="4">
                  <c:v>41.95</c:v>
                </c:pt>
                <c:pt idx="5">
                  <c:v>49.75</c:v>
                </c:pt>
                <c:pt idx="6">
                  <c:v>49.75</c:v>
                </c:pt>
                <c:pt idx="7">
                  <c:v>49.75</c:v>
                </c:pt>
                <c:pt idx="8">
                  <c:v>49.75</c:v>
                </c:pt>
                <c:pt idx="9">
                  <c:v>73.349999999999994</c:v>
                </c:pt>
                <c:pt idx="10">
                  <c:v>73.349999999999994</c:v>
                </c:pt>
                <c:pt idx="11">
                  <c:v>73.349999999999994</c:v>
                </c:pt>
                <c:pt idx="12">
                  <c:v>73.349999999999994</c:v>
                </c:pt>
                <c:pt idx="13">
                  <c:v>73.949999999999989</c:v>
                </c:pt>
                <c:pt idx="14">
                  <c:v>73.949999999999989</c:v>
                </c:pt>
                <c:pt idx="15">
                  <c:v>101.94999999999999</c:v>
                </c:pt>
                <c:pt idx="16">
                  <c:v>101.94999999999999</c:v>
                </c:pt>
                <c:pt idx="17">
                  <c:v>116.94999999999999</c:v>
                </c:pt>
                <c:pt idx="18">
                  <c:v>116.94999999999999</c:v>
                </c:pt>
                <c:pt idx="19">
                  <c:v>116.94999999999999</c:v>
                </c:pt>
                <c:pt idx="20">
                  <c:v>116.94999999999999</c:v>
                </c:pt>
                <c:pt idx="21">
                  <c:v>116.94999999999999</c:v>
                </c:pt>
                <c:pt idx="22">
                  <c:v>116.94999999999999</c:v>
                </c:pt>
                <c:pt idx="23">
                  <c:v>116.94999999999999</c:v>
                </c:pt>
                <c:pt idx="24">
                  <c:v>143.64999999999998</c:v>
                </c:pt>
                <c:pt idx="25">
                  <c:v>143.64999999999998</c:v>
                </c:pt>
                <c:pt idx="26">
                  <c:v>143.64999999999998</c:v>
                </c:pt>
              </c:numCache>
              <c:extLst/>
            </c:numRef>
          </c:val>
          <c:smooth val="0"/>
          <c:extLst>
            <c:ext xmlns:c16="http://schemas.microsoft.com/office/drawing/2014/chart" uri="{C3380CC4-5D6E-409C-BE32-E72D297353CC}">
              <c16:uniqueId val="{00000000-BD2D-4126-834F-D1E6B3E9C0E7}"/>
            </c:ext>
          </c:extLst>
        </c:ser>
        <c:ser>
          <c:idx val="1"/>
          <c:order val="1"/>
          <c:tx>
            <c:strRef>
              <c:f>Sheet1!$P$1</c:f>
              <c:strCache>
                <c:ptCount val="1"/>
                <c:pt idx="0">
                  <c:v>Generation under PPAs</c:v>
                </c:pt>
              </c:strCache>
            </c:strRef>
          </c:tx>
          <c:spPr>
            <a:ln w="28575" cap="rnd">
              <a:solidFill>
                <a:schemeClr val="accent2"/>
              </a:solidFill>
              <a:round/>
            </a:ln>
            <a:effectLst/>
          </c:spPr>
          <c:marker>
            <c:symbol val="none"/>
          </c:marker>
          <c:cat>
            <c:strRef>
              <c:f>Sheet1!$N$3:$N$72</c:f>
              <c:strCache>
                <c:ptCount val="2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strCache>
              <c:extLst/>
            </c:strRef>
          </c:cat>
          <c:val>
            <c:numRef>
              <c:f>Sheet1!$P$2:$P$72</c:f>
              <c:numCache>
                <c:formatCode>General</c:formatCode>
                <c:ptCount val="27"/>
                <c:pt idx="0">
                  <c:v>0</c:v>
                </c:pt>
                <c:pt idx="1">
                  <c:v>0</c:v>
                </c:pt>
                <c:pt idx="2">
                  <c:v>0</c:v>
                </c:pt>
                <c:pt idx="3">
                  <c:v>0</c:v>
                </c:pt>
                <c:pt idx="4">
                  <c:v>0</c:v>
                </c:pt>
                <c:pt idx="5">
                  <c:v>0</c:v>
                </c:pt>
                <c:pt idx="6">
                  <c:v>10</c:v>
                </c:pt>
                <c:pt idx="7">
                  <c:v>15</c:v>
                </c:pt>
                <c:pt idx="8">
                  <c:v>15.1</c:v>
                </c:pt>
                <c:pt idx="9">
                  <c:v>15.1</c:v>
                </c:pt>
                <c:pt idx="10">
                  <c:v>10.299999999999999</c:v>
                </c:pt>
                <c:pt idx="11">
                  <c:v>14.79</c:v>
                </c:pt>
                <c:pt idx="12">
                  <c:v>22.91</c:v>
                </c:pt>
                <c:pt idx="13">
                  <c:v>23.61</c:v>
                </c:pt>
                <c:pt idx="14">
                  <c:v>28.54</c:v>
                </c:pt>
                <c:pt idx="15">
                  <c:v>44.739999999999995</c:v>
                </c:pt>
                <c:pt idx="16">
                  <c:v>79.889999999999986</c:v>
                </c:pt>
                <c:pt idx="17">
                  <c:v>84.389999999999986</c:v>
                </c:pt>
                <c:pt idx="18">
                  <c:v>127.68999999999998</c:v>
                </c:pt>
                <c:pt idx="19">
                  <c:v>130.29</c:v>
                </c:pt>
                <c:pt idx="20">
                  <c:v>130.73999999999998</c:v>
                </c:pt>
                <c:pt idx="21">
                  <c:v>147.66799999999998</c:v>
                </c:pt>
                <c:pt idx="22">
                  <c:v>147.66799999999998</c:v>
                </c:pt>
                <c:pt idx="23">
                  <c:v>182.66799999999998</c:v>
                </c:pt>
                <c:pt idx="24">
                  <c:v>289.31600000000003</c:v>
                </c:pt>
                <c:pt idx="25">
                  <c:v>300.37600000000003</c:v>
                </c:pt>
                <c:pt idx="26">
                  <c:v>346.77600000000001</c:v>
                </c:pt>
              </c:numCache>
              <c:extLst/>
            </c:numRef>
          </c:val>
          <c:smooth val="0"/>
          <c:extLst>
            <c:ext xmlns:c16="http://schemas.microsoft.com/office/drawing/2014/chart" uri="{C3380CC4-5D6E-409C-BE32-E72D297353CC}">
              <c16:uniqueId val="{00000001-BD2D-4126-834F-D1E6B3E9C0E7}"/>
            </c:ext>
          </c:extLst>
        </c:ser>
        <c:dLbls>
          <c:showLegendKey val="0"/>
          <c:showVal val="0"/>
          <c:showCatName val="0"/>
          <c:showSerName val="0"/>
          <c:showPercent val="0"/>
          <c:showBubbleSize val="0"/>
        </c:dLbls>
        <c:smooth val="0"/>
        <c:axId val="455038960"/>
        <c:axId val="455041912"/>
      </c:lineChart>
      <c:catAx>
        <c:axId val="45503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041912"/>
        <c:crosses val="autoZero"/>
        <c:auto val="1"/>
        <c:lblAlgn val="ctr"/>
        <c:lblOffset val="100"/>
        <c:noMultiLvlLbl val="0"/>
      </c:catAx>
      <c:valAx>
        <c:axId val="455041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03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en-GB" sz="1400" b="0"/>
              <a:t> Generation Capacity in Rwanda by Technology (MW)</a:t>
            </a:r>
          </a:p>
        </c:rich>
      </c:tx>
      <c:layout>
        <c:manualLayout>
          <c:xMode val="edge"/>
          <c:yMode val="edge"/>
          <c:x val="9.3928650565034341E-2"/>
          <c:y val="1.795701890766839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4"/>
          <c:order val="0"/>
          <c:tx>
            <c:v>Peat</c:v>
          </c:tx>
          <c:spPr>
            <a:solidFill>
              <a:schemeClr val="tx1"/>
            </a:solidFill>
            <a:ln>
              <a:noFill/>
            </a:ln>
            <a:effectLst>
              <a:outerShdw blurRad="57150" dist="19050" dir="5400000" algn="ctr" rotWithShape="0">
                <a:srgbClr val="000000">
                  <a:alpha val="63000"/>
                </a:srgbClr>
              </a:outerShdw>
            </a:effectLst>
          </c:spPr>
          <c:invertIfNegative val="0"/>
          <c:cat>
            <c:strRef>
              <c:f>Sheet1!$J$56:$J$72</c:f>
              <c:strCach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strCache>
              <c:extLst/>
            </c:strRef>
          </c:cat>
          <c:val>
            <c:numRef>
              <c:f>Sheet1!$E$56:$E$72</c:f>
              <c:numCache>
                <c:formatCode>General</c:formatCode>
                <c:ptCount val="17"/>
                <c:pt idx="0">
                  <c:v>0</c:v>
                </c:pt>
                <c:pt idx="1">
                  <c:v>0</c:v>
                </c:pt>
                <c:pt idx="2">
                  <c:v>0</c:v>
                </c:pt>
                <c:pt idx="3">
                  <c:v>0</c:v>
                </c:pt>
                <c:pt idx="4">
                  <c:v>0</c:v>
                </c:pt>
                <c:pt idx="5">
                  <c:v>0</c:v>
                </c:pt>
                <c:pt idx="6">
                  <c:v>15</c:v>
                </c:pt>
                <c:pt idx="7">
                  <c:v>15</c:v>
                </c:pt>
                <c:pt idx="8">
                  <c:v>15</c:v>
                </c:pt>
                <c:pt idx="9">
                  <c:v>15</c:v>
                </c:pt>
                <c:pt idx="10">
                  <c:v>15</c:v>
                </c:pt>
                <c:pt idx="11">
                  <c:v>15</c:v>
                </c:pt>
                <c:pt idx="12">
                  <c:v>50</c:v>
                </c:pt>
                <c:pt idx="13">
                  <c:v>95</c:v>
                </c:pt>
                <c:pt idx="14">
                  <c:v>95</c:v>
                </c:pt>
                <c:pt idx="15">
                  <c:v>95</c:v>
                </c:pt>
                <c:pt idx="16">
                  <c:v>95</c:v>
                </c:pt>
              </c:numCache>
              <c:extLst/>
            </c:numRef>
          </c:val>
          <c:extLst>
            <c:ext xmlns:c16="http://schemas.microsoft.com/office/drawing/2014/chart" uri="{C3380CC4-5D6E-409C-BE32-E72D297353CC}">
              <c16:uniqueId val="{00000000-DC3F-4321-AD4F-C15872FA69DE}"/>
            </c:ext>
          </c:extLst>
        </c:ser>
        <c:ser>
          <c:idx val="1"/>
          <c:order val="1"/>
          <c:tx>
            <c:v>Solar</c:v>
          </c:tx>
          <c:spPr>
            <a:solidFill>
              <a:srgbClr val="FFFF00"/>
            </a:solidFill>
            <a:ln>
              <a:noFill/>
            </a:ln>
            <a:effectLst>
              <a:outerShdw blurRad="57150" dist="19050" dir="5400000" algn="ctr" rotWithShape="0">
                <a:srgbClr val="000000">
                  <a:alpha val="63000"/>
                </a:srgbClr>
              </a:outerShdw>
            </a:effectLst>
          </c:spPr>
          <c:invertIfNegative val="0"/>
          <c:cat>
            <c:strRef>
              <c:f>Sheet1!$J$56:$J$72</c:f>
              <c:strCach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strCache>
              <c:extLst/>
            </c:strRef>
          </c:cat>
          <c:val>
            <c:numRef>
              <c:f>Sheet1!$G$56:$G$72</c:f>
              <c:numCache>
                <c:formatCode>General</c:formatCode>
                <c:ptCount val="17"/>
                <c:pt idx="0">
                  <c:v>0</c:v>
                </c:pt>
                <c:pt idx="1">
                  <c:v>0</c:v>
                </c:pt>
                <c:pt idx="2">
                  <c:v>0</c:v>
                </c:pt>
                <c:pt idx="3">
                  <c:v>0</c:v>
                </c:pt>
                <c:pt idx="4">
                  <c:v>0</c:v>
                </c:pt>
                <c:pt idx="5">
                  <c:v>8.75</c:v>
                </c:pt>
                <c:pt idx="6">
                  <c:v>8.75</c:v>
                </c:pt>
                <c:pt idx="7">
                  <c:v>12.05</c:v>
                </c:pt>
                <c:pt idx="8">
                  <c:v>12.05</c:v>
                </c:pt>
                <c:pt idx="9">
                  <c:v>12.05</c:v>
                </c:pt>
                <c:pt idx="10">
                  <c:v>12.05</c:v>
                </c:pt>
                <c:pt idx="11">
                  <c:v>12.05</c:v>
                </c:pt>
                <c:pt idx="12">
                  <c:v>12.05</c:v>
                </c:pt>
                <c:pt idx="13">
                  <c:v>12.05</c:v>
                </c:pt>
                <c:pt idx="14">
                  <c:v>12.05</c:v>
                </c:pt>
                <c:pt idx="15">
                  <c:v>12.05</c:v>
                </c:pt>
                <c:pt idx="16">
                  <c:v>12.05</c:v>
                </c:pt>
              </c:numCache>
              <c:extLst/>
            </c:numRef>
          </c:val>
          <c:extLst>
            <c:ext xmlns:c16="http://schemas.microsoft.com/office/drawing/2014/chart" uri="{C3380CC4-5D6E-409C-BE32-E72D297353CC}">
              <c16:uniqueId val="{00000001-DC3F-4321-AD4F-C15872FA69DE}"/>
            </c:ext>
          </c:extLst>
        </c:ser>
        <c:ser>
          <c:idx val="0"/>
          <c:order val="2"/>
          <c:tx>
            <c:v>Methane</c:v>
          </c:tx>
          <c:spPr>
            <a:solidFill>
              <a:srgbClr val="FFC000"/>
            </a:solidFill>
            <a:ln>
              <a:noFill/>
            </a:ln>
            <a:effectLst>
              <a:outerShdw blurRad="57150" dist="19050" dir="5400000" algn="ctr" rotWithShape="0">
                <a:srgbClr val="000000">
                  <a:alpha val="63000"/>
                </a:srgbClr>
              </a:outerShdw>
            </a:effectLst>
          </c:spPr>
          <c:invertIfNegative val="0"/>
          <c:cat>
            <c:strRef>
              <c:f>Sheet1!$J$56:$J$72</c:f>
              <c:strCach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strCache>
              <c:extLst/>
            </c:strRef>
          </c:cat>
          <c:val>
            <c:numRef>
              <c:f>Sheet1!$F$56:$F$72</c:f>
              <c:numCache>
                <c:formatCode>General</c:formatCode>
                <c:ptCount val="17"/>
                <c:pt idx="0">
                  <c:v>3.6</c:v>
                </c:pt>
                <c:pt idx="1">
                  <c:v>3.6</c:v>
                </c:pt>
                <c:pt idx="2">
                  <c:v>3.6</c:v>
                </c:pt>
                <c:pt idx="3">
                  <c:v>3.6</c:v>
                </c:pt>
                <c:pt idx="4">
                  <c:v>3.6</c:v>
                </c:pt>
                <c:pt idx="5">
                  <c:v>30</c:v>
                </c:pt>
                <c:pt idx="6">
                  <c:v>30</c:v>
                </c:pt>
                <c:pt idx="7">
                  <c:v>30</c:v>
                </c:pt>
                <c:pt idx="8">
                  <c:v>30</c:v>
                </c:pt>
                <c:pt idx="9">
                  <c:v>30</c:v>
                </c:pt>
                <c:pt idx="10">
                  <c:v>30</c:v>
                </c:pt>
                <c:pt idx="11">
                  <c:v>30</c:v>
                </c:pt>
                <c:pt idx="12">
                  <c:v>30</c:v>
                </c:pt>
                <c:pt idx="13">
                  <c:v>86</c:v>
                </c:pt>
                <c:pt idx="14">
                  <c:v>86</c:v>
                </c:pt>
                <c:pt idx="15">
                  <c:v>86</c:v>
                </c:pt>
                <c:pt idx="16">
                  <c:v>86</c:v>
                </c:pt>
              </c:numCache>
              <c:extLst/>
            </c:numRef>
          </c:val>
          <c:extLst>
            <c:ext xmlns:c16="http://schemas.microsoft.com/office/drawing/2014/chart" uri="{C3380CC4-5D6E-409C-BE32-E72D297353CC}">
              <c16:uniqueId val="{00000002-DC3F-4321-AD4F-C15872FA69DE}"/>
            </c:ext>
          </c:extLst>
        </c:ser>
        <c:ser>
          <c:idx val="2"/>
          <c:order val="3"/>
          <c:tx>
            <c:v>Liquid Fossil Fuel</c:v>
          </c:tx>
          <c:spPr>
            <a:solidFill>
              <a:srgbClr val="FF0000"/>
            </a:solidFill>
            <a:ln>
              <a:noFill/>
            </a:ln>
            <a:effectLst>
              <a:outerShdw blurRad="57150" dist="19050" dir="5400000" algn="ctr" rotWithShape="0">
                <a:srgbClr val="000000">
                  <a:alpha val="63000"/>
                </a:srgbClr>
              </a:outerShdw>
            </a:effectLst>
          </c:spPr>
          <c:invertIfNegative val="0"/>
          <c:cat>
            <c:strRef>
              <c:f>Sheet1!$J$56:$J$72</c:f>
              <c:strCach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strCache>
              <c:extLst/>
            </c:strRef>
          </c:cat>
          <c:val>
            <c:numRef>
              <c:f>Sheet1!$H$56:$H$72</c:f>
              <c:numCache>
                <c:formatCode>General</c:formatCode>
                <c:ptCount val="17"/>
                <c:pt idx="0">
                  <c:v>32.799999999999997</c:v>
                </c:pt>
                <c:pt idx="1">
                  <c:v>32.799999999999997</c:v>
                </c:pt>
                <c:pt idx="2">
                  <c:v>32.799999999999997</c:v>
                </c:pt>
                <c:pt idx="3">
                  <c:v>32.799999999999997</c:v>
                </c:pt>
                <c:pt idx="4">
                  <c:v>32.799999999999997</c:v>
                </c:pt>
                <c:pt idx="5">
                  <c:v>32.799999999999997</c:v>
                </c:pt>
                <c:pt idx="6">
                  <c:v>32.799999999999997</c:v>
                </c:pt>
                <c:pt idx="7">
                  <c:v>72.8</c:v>
                </c:pt>
                <c:pt idx="8">
                  <c:v>72.8</c:v>
                </c:pt>
                <c:pt idx="9">
                  <c:v>72.8</c:v>
                </c:pt>
                <c:pt idx="10">
                  <c:v>72.8</c:v>
                </c:pt>
                <c:pt idx="11">
                  <c:v>72.8</c:v>
                </c:pt>
                <c:pt idx="12">
                  <c:v>72.8</c:v>
                </c:pt>
                <c:pt idx="13">
                  <c:v>72.8</c:v>
                </c:pt>
                <c:pt idx="14">
                  <c:v>72.8</c:v>
                </c:pt>
                <c:pt idx="15">
                  <c:v>72.8</c:v>
                </c:pt>
                <c:pt idx="16">
                  <c:v>72.8</c:v>
                </c:pt>
              </c:numCache>
              <c:extLst/>
            </c:numRef>
          </c:val>
          <c:extLst>
            <c:ext xmlns:c16="http://schemas.microsoft.com/office/drawing/2014/chart" uri="{C3380CC4-5D6E-409C-BE32-E72D297353CC}">
              <c16:uniqueId val="{00000003-DC3F-4321-AD4F-C15872FA69DE}"/>
            </c:ext>
          </c:extLst>
        </c:ser>
        <c:ser>
          <c:idx val="3"/>
          <c:order val="4"/>
          <c:tx>
            <c:v>Hydropower</c:v>
          </c:tx>
          <c:spPr>
            <a:solidFill>
              <a:srgbClr val="00B0F0"/>
            </a:solidFill>
            <a:ln>
              <a:noFill/>
            </a:ln>
            <a:effectLst>
              <a:outerShdw blurRad="57150" dist="19050" dir="5400000" algn="ctr" rotWithShape="0">
                <a:srgbClr val="000000">
                  <a:alpha val="63000"/>
                </a:srgbClr>
              </a:outerShdw>
            </a:effectLst>
          </c:spPr>
          <c:invertIfNegative val="0"/>
          <c:cat>
            <c:strRef>
              <c:f>Sheet1!$J$56:$J$72</c:f>
              <c:strCach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strCache>
              <c:extLst/>
            </c:strRef>
          </c:cat>
          <c:val>
            <c:numRef>
              <c:f>Sheet1!$I$56:$I$72</c:f>
              <c:numCache>
                <c:formatCode>General</c:formatCode>
                <c:ptCount val="17"/>
                <c:pt idx="0">
                  <c:v>51.740000000000009</c:v>
                </c:pt>
                <c:pt idx="1">
                  <c:v>59.860000000000014</c:v>
                </c:pt>
                <c:pt idx="2">
                  <c:v>61.160000000000011</c:v>
                </c:pt>
                <c:pt idx="3">
                  <c:v>66.090000000000018</c:v>
                </c:pt>
                <c:pt idx="4">
                  <c:v>110.29000000000002</c:v>
                </c:pt>
                <c:pt idx="5">
                  <c:v>110.29000000000002</c:v>
                </c:pt>
                <c:pt idx="6">
                  <c:v>114.79000000000002</c:v>
                </c:pt>
                <c:pt idx="7">
                  <c:v>114.79000000000002</c:v>
                </c:pt>
                <c:pt idx="8">
                  <c:v>117.39000000000001</c:v>
                </c:pt>
                <c:pt idx="9">
                  <c:v>117.84000000000002</c:v>
                </c:pt>
                <c:pt idx="10">
                  <c:v>134.76800000000003</c:v>
                </c:pt>
                <c:pt idx="11">
                  <c:v>134.76800000000003</c:v>
                </c:pt>
                <c:pt idx="12">
                  <c:v>134.76800000000003</c:v>
                </c:pt>
                <c:pt idx="13">
                  <c:v>167.11600000000001</c:v>
                </c:pt>
                <c:pt idx="14">
                  <c:v>178.17600000000002</c:v>
                </c:pt>
                <c:pt idx="15">
                  <c:v>224.57600000000002</c:v>
                </c:pt>
                <c:pt idx="16">
                  <c:v>232.47600000000003</c:v>
                </c:pt>
              </c:numCache>
              <c:extLst/>
            </c:numRef>
          </c:val>
          <c:extLst>
            <c:ext xmlns:c16="http://schemas.microsoft.com/office/drawing/2014/chart" uri="{C3380CC4-5D6E-409C-BE32-E72D297353CC}">
              <c16:uniqueId val="{00000004-DC3F-4321-AD4F-C15872FA69DE}"/>
            </c:ext>
          </c:extLst>
        </c:ser>
        <c:dLbls>
          <c:showLegendKey val="0"/>
          <c:showVal val="0"/>
          <c:showCatName val="0"/>
          <c:showSerName val="0"/>
          <c:showPercent val="0"/>
          <c:showBubbleSize val="0"/>
        </c:dLbls>
        <c:gapWidth val="269"/>
        <c:overlap val="100"/>
        <c:axId val="554658280"/>
        <c:axId val="554660576"/>
      </c:barChart>
      <c:lineChart>
        <c:grouping val="standard"/>
        <c:varyColors val="0"/>
        <c:ser>
          <c:idx val="5"/>
          <c:order val="5"/>
          <c:tx>
            <c:strRef>
              <c:f>Sheet1!$Z$130</c:f>
              <c:strCache>
                <c:ptCount val="1"/>
                <c:pt idx="0">
                  <c:v>2016 Median Scenario Forecast (MW Peak) </c:v>
                </c:pt>
              </c:strCache>
            </c:strRef>
          </c:tx>
          <c:spPr>
            <a:ln w="34925" cap="rnd">
              <a:solidFill>
                <a:srgbClr val="002060"/>
              </a:solidFill>
              <a:round/>
            </a:ln>
            <a:effectLst/>
          </c:spPr>
          <c:marker>
            <c:symbol val="none"/>
          </c:marker>
          <c:cat>
            <c:strLit>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extLst>
                <c:ext xmlns:c15="http://schemas.microsoft.com/office/drawing/2012/chart" uri="{02D57815-91ED-43cb-92C2-25804820EDAC}">
                  <c15:autoCat val="1"/>
                </c:ext>
              </c:extLst>
            </c:strLit>
          </c:cat>
          <c:val>
            <c:numRef>
              <c:f>Sheet1!$T$56:$T$72</c:f>
              <c:numCache>
                <c:formatCode>General</c:formatCode>
                <c:ptCount val="17"/>
                <c:pt idx="6">
                  <c:v>119</c:v>
                </c:pt>
                <c:pt idx="7">
                  <c:v>131</c:v>
                </c:pt>
                <c:pt idx="8">
                  <c:v>144</c:v>
                </c:pt>
                <c:pt idx="9">
                  <c:v>158</c:v>
                </c:pt>
                <c:pt idx="10">
                  <c:v>174</c:v>
                </c:pt>
                <c:pt idx="11">
                  <c:v>192</c:v>
                </c:pt>
                <c:pt idx="12">
                  <c:v>211</c:v>
                </c:pt>
                <c:pt idx="13">
                  <c:v>232</c:v>
                </c:pt>
                <c:pt idx="14">
                  <c:v>255</c:v>
                </c:pt>
                <c:pt idx="15">
                  <c:v>281</c:v>
                </c:pt>
                <c:pt idx="16">
                  <c:v>309</c:v>
                </c:pt>
              </c:numCache>
              <c:extLst/>
            </c:numRef>
          </c:val>
          <c:smooth val="0"/>
          <c:extLst>
            <c:ext xmlns:c16="http://schemas.microsoft.com/office/drawing/2014/chart" uri="{C3380CC4-5D6E-409C-BE32-E72D297353CC}">
              <c16:uniqueId val="{00000005-DC3F-4321-AD4F-C15872FA69DE}"/>
            </c:ext>
          </c:extLst>
        </c:ser>
        <c:dLbls>
          <c:showLegendKey val="0"/>
          <c:showVal val="0"/>
          <c:showCatName val="0"/>
          <c:showSerName val="0"/>
          <c:showPercent val="0"/>
          <c:showBubbleSize val="0"/>
        </c:dLbls>
        <c:marker val="1"/>
        <c:smooth val="0"/>
        <c:axId val="554658280"/>
        <c:axId val="554660576"/>
      </c:lineChart>
      <c:catAx>
        <c:axId val="554658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660576"/>
        <c:crosses val="autoZero"/>
        <c:auto val="1"/>
        <c:lblAlgn val="ctr"/>
        <c:lblOffset val="100"/>
        <c:noMultiLvlLbl val="0"/>
      </c:catAx>
      <c:valAx>
        <c:axId val="55466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658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197E-A9B8-4D15-B7E6-ABD93113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8354</Words>
  <Characters>47624</Characters>
  <Application>Microsoft Office Word</Application>
  <DocSecurity>0</DocSecurity>
  <Lines>396</Lines>
  <Paragraphs>111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Barnaby Dye</dc:creator>
  <cp:keywords/>
  <dc:description/>
  <cp:lastModifiedBy>Barnaby Dye</cp:lastModifiedBy>
  <cp:revision>2</cp:revision>
  <dcterms:created xsi:type="dcterms:W3CDTF">2024-08-12T21:36:00Z</dcterms:created>
  <dcterms:modified xsi:type="dcterms:W3CDTF">2024-08-12T21:36:00Z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zotero-version="6.0.28"&gt;&lt;session id="iTlFrOzw"/&gt;&lt;style id="http://www.zotero.org/styles/chicago-fullnote-bibliography" locale="en-US" hasBibliography="1" bibliographyStyleHasBeenSet="1"/&gt;&lt;prefs&gt;&lt;pref name="noteType" value="1"/&gt;&lt;pref</vt:lpwstr>
  </property>
  <property fmtid="{D5CDD505-2E9C-101B-9397-08002B2CF9AE}" pid="3" name="ZOTERO_PREF_2">
    <vt:lpwstr> name="fieldType" value="Field"/&gt;&lt;/prefs&gt;&lt;/data&gt;</vt:lpwstr>
  </property>
</Properties>
</file>