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DF06F" w14:textId="2E0C3686" w:rsidR="007A75CC" w:rsidRPr="00724CA2" w:rsidRDefault="007A75CC" w:rsidP="007A75CC">
      <w:pPr>
        <w:spacing w:afterLines="50" w:after="120" w:line="480" w:lineRule="auto"/>
        <w:jc w:val="center"/>
        <w:rPr>
          <w:rFonts w:ascii="Times New Roman" w:hAnsi="Times New Roman" w:cs="Times New Roman"/>
          <w:b/>
          <w:color w:val="000000" w:themeColor="text1"/>
          <w:sz w:val="24"/>
          <w:szCs w:val="24"/>
        </w:rPr>
      </w:pPr>
      <w:r w:rsidRPr="00724CA2">
        <w:rPr>
          <w:rFonts w:ascii="Times New Roman" w:hAnsi="Times New Roman" w:cs="Times New Roman"/>
          <w:b/>
          <w:color w:val="000000" w:themeColor="text1"/>
          <w:sz w:val="24"/>
          <w:szCs w:val="24"/>
        </w:rPr>
        <w:t xml:space="preserve">Does Mutual Fund </w:t>
      </w:r>
      <w:r w:rsidR="006D5E93" w:rsidRPr="00724CA2">
        <w:rPr>
          <w:rFonts w:ascii="Times New Roman" w:hAnsi="Times New Roman" w:cs="Times New Roman"/>
          <w:b/>
          <w:color w:val="000000" w:themeColor="text1"/>
          <w:sz w:val="24"/>
          <w:szCs w:val="24"/>
        </w:rPr>
        <w:t xml:space="preserve">Ownership </w:t>
      </w:r>
      <w:r w:rsidRPr="00724CA2">
        <w:rPr>
          <w:rFonts w:ascii="Times New Roman" w:hAnsi="Times New Roman" w:cs="Times New Roman"/>
          <w:b/>
          <w:color w:val="000000" w:themeColor="text1"/>
          <w:sz w:val="24"/>
          <w:szCs w:val="24"/>
        </w:rPr>
        <w:t>Increase Corporate Environmental Spending?</w:t>
      </w:r>
    </w:p>
    <w:p w14:paraId="7D64E41A" w14:textId="77777777" w:rsidR="000A75B6" w:rsidRPr="00724CA2" w:rsidRDefault="000A75B6" w:rsidP="000A75B6">
      <w:pPr>
        <w:spacing w:afterLines="50" w:after="120" w:line="480" w:lineRule="auto"/>
        <w:jc w:val="center"/>
        <w:rPr>
          <w:rFonts w:ascii="Times New Roman" w:hAnsi="Times New Roman" w:cs="Times New Roman"/>
          <w:color w:val="000000" w:themeColor="text1"/>
          <w:spacing w:val="-1"/>
          <w:sz w:val="24"/>
          <w:szCs w:val="24"/>
          <w:lang w:eastAsia="zh-CN"/>
        </w:rPr>
      </w:pPr>
    </w:p>
    <w:p w14:paraId="4BE9170C" w14:textId="77777777" w:rsidR="007A75CC" w:rsidRPr="00724CA2" w:rsidRDefault="007A75CC" w:rsidP="007A75CC">
      <w:pPr>
        <w:spacing w:afterLines="50" w:after="120" w:line="480" w:lineRule="auto"/>
        <w:jc w:val="center"/>
        <w:rPr>
          <w:rFonts w:ascii="Times New Roman" w:hAnsi="Times New Roman" w:cs="Times New Roman"/>
          <w:b/>
          <w:color w:val="000000" w:themeColor="text1"/>
          <w:sz w:val="24"/>
          <w:szCs w:val="24"/>
        </w:rPr>
      </w:pPr>
      <w:r w:rsidRPr="00724CA2">
        <w:rPr>
          <w:rFonts w:ascii="Times New Roman" w:eastAsia="Times New Roman" w:hAnsi="Times New Roman" w:cs="Times New Roman"/>
          <w:b/>
          <w:color w:val="000000" w:themeColor="text1"/>
          <w:sz w:val="24"/>
          <w:szCs w:val="24"/>
        </w:rPr>
        <w:t>Abstract</w:t>
      </w:r>
    </w:p>
    <w:p w14:paraId="48260625" w14:textId="4CA2F240" w:rsidR="007A75CC" w:rsidRPr="00724CA2" w:rsidRDefault="008B7882" w:rsidP="00BF0D32">
      <w:pPr>
        <w:spacing w:afterLines="50" w:after="120" w:line="480" w:lineRule="auto"/>
        <w:jc w:val="both"/>
        <w:rPr>
          <w:rFonts w:ascii="Times New Roman" w:hAnsi="Times New Roman" w:cs="Times New Roman"/>
          <w:color w:val="000000" w:themeColor="text1"/>
          <w:sz w:val="24"/>
          <w:szCs w:val="24"/>
        </w:rPr>
      </w:pPr>
      <w:r w:rsidRPr="008B7882">
        <w:rPr>
          <w:rFonts w:ascii="Times New Roman" w:hAnsi="Times New Roman" w:cs="Times New Roman"/>
          <w:color w:val="000000" w:themeColor="text1"/>
          <w:sz w:val="24"/>
          <w:szCs w:val="24"/>
        </w:rPr>
        <w:t>This paper examines how mutual fund ownership influences corporate environmental spending, and the channels through which this impact operates. Using a unique hand collected dataset of Chinese listed companies between 2011 and 2018, we report mutual fund investment is associated with significantly increased corporate environmental spending. This influence is moderated by institutional factors including state-owned enterprises and stronger legal environments. We also assess the environmental awareness associated with environmental spending through examining the number of ‘green’ questions raised by investors and the ‘green’ credentials of board members. Moreover, we find that mutual funds with green investment objectives have significantly increased corporate environmental spending levels. We conclude mutual find ownership has a positive influence on environmental spending and should be encouraged within China</w:t>
      </w:r>
      <w:r w:rsidR="00C169CA" w:rsidRPr="00724CA2">
        <w:rPr>
          <w:rFonts w:ascii="Times New Roman" w:hAnsi="Times New Roman" w:cs="Times New Roman"/>
          <w:color w:val="000000" w:themeColor="text1"/>
          <w:sz w:val="24"/>
          <w:szCs w:val="24"/>
        </w:rPr>
        <w:t>.</w:t>
      </w:r>
    </w:p>
    <w:p w14:paraId="200687A0" w14:textId="77777777" w:rsidR="00657501" w:rsidRPr="00724CA2" w:rsidRDefault="00657501" w:rsidP="00BF0D32">
      <w:pPr>
        <w:spacing w:afterLines="50" w:after="120" w:line="480" w:lineRule="auto"/>
        <w:jc w:val="both"/>
        <w:rPr>
          <w:rFonts w:ascii="Times New Roman" w:hAnsi="Times New Roman" w:cs="Times New Roman"/>
          <w:color w:val="000000" w:themeColor="text1"/>
          <w:sz w:val="24"/>
          <w:szCs w:val="24"/>
        </w:rPr>
      </w:pPr>
    </w:p>
    <w:p w14:paraId="5008339B" w14:textId="77777777" w:rsidR="00BF0D32" w:rsidRPr="00724CA2" w:rsidRDefault="00BF0D32" w:rsidP="00BF0D32">
      <w:pPr>
        <w:spacing w:afterLines="50" w:after="120" w:line="480" w:lineRule="auto"/>
        <w:jc w:val="both"/>
        <w:rPr>
          <w:rFonts w:ascii="Times New Roman" w:hAnsi="Times New Roman" w:cs="Times New Roman"/>
          <w:color w:val="000000" w:themeColor="text1"/>
          <w:sz w:val="24"/>
          <w:szCs w:val="24"/>
        </w:rPr>
      </w:pPr>
    </w:p>
    <w:p w14:paraId="4374E384" w14:textId="00517528" w:rsidR="00855F26" w:rsidRPr="00724CA2" w:rsidRDefault="00855F26" w:rsidP="00BF0D32">
      <w:pPr>
        <w:spacing w:afterLines="50" w:after="120" w:line="480" w:lineRule="auto"/>
        <w:jc w:val="both"/>
        <w:rPr>
          <w:rFonts w:ascii="Times New Roman" w:hAnsi="Times New Roman" w:cs="Times New Roman"/>
          <w:color w:val="000000" w:themeColor="text1"/>
          <w:sz w:val="24"/>
          <w:szCs w:val="24"/>
        </w:rPr>
      </w:pPr>
      <w:r w:rsidRPr="00724CA2">
        <w:rPr>
          <w:rFonts w:ascii="Times New Roman" w:hAnsi="Times New Roman" w:cs="Times New Roman"/>
          <w:b/>
          <w:color w:val="000000" w:themeColor="text1"/>
          <w:sz w:val="24"/>
          <w:szCs w:val="24"/>
        </w:rPr>
        <w:t xml:space="preserve">Keywords: </w:t>
      </w:r>
      <w:bookmarkStart w:id="0" w:name="_Hlk113379191"/>
      <w:r w:rsidR="00022FBA" w:rsidRPr="00724CA2">
        <w:rPr>
          <w:rFonts w:ascii="Times New Roman" w:hAnsi="Times New Roman" w:cs="Times New Roman"/>
          <w:color w:val="000000" w:themeColor="text1"/>
          <w:sz w:val="24"/>
          <w:szCs w:val="24"/>
        </w:rPr>
        <w:t xml:space="preserve">Mutual fund; Environmental spending; State-owned enterprises; Legal environment; Green </w:t>
      </w:r>
      <w:r w:rsidR="001925CF" w:rsidRPr="00724CA2">
        <w:rPr>
          <w:rFonts w:ascii="Times New Roman" w:hAnsi="Times New Roman" w:cs="Times New Roman"/>
          <w:color w:val="000000" w:themeColor="text1"/>
          <w:sz w:val="24"/>
          <w:szCs w:val="24"/>
        </w:rPr>
        <w:t>business</w:t>
      </w:r>
      <w:r w:rsidR="00022FBA" w:rsidRPr="00724CA2">
        <w:rPr>
          <w:rFonts w:ascii="Times New Roman" w:hAnsi="Times New Roman" w:cs="Times New Roman"/>
          <w:color w:val="000000" w:themeColor="text1"/>
          <w:sz w:val="24"/>
          <w:szCs w:val="24"/>
        </w:rPr>
        <w:t>; China</w:t>
      </w:r>
      <w:r w:rsidRPr="00724CA2">
        <w:rPr>
          <w:rFonts w:ascii="Times New Roman" w:hAnsi="Times New Roman" w:cs="Times New Roman"/>
          <w:color w:val="000000" w:themeColor="text1"/>
          <w:sz w:val="24"/>
          <w:szCs w:val="24"/>
        </w:rPr>
        <w:t xml:space="preserve">. </w:t>
      </w:r>
      <w:bookmarkEnd w:id="0"/>
    </w:p>
    <w:p w14:paraId="24302002" w14:textId="58D6899A" w:rsidR="001B387D" w:rsidRPr="00724CA2" w:rsidRDefault="007A75CC" w:rsidP="007A75CC">
      <w:pPr>
        <w:spacing w:afterLines="100" w:after="240" w:line="360" w:lineRule="auto"/>
        <w:jc w:val="center"/>
        <w:rPr>
          <w:rFonts w:ascii="Times New Roman" w:hAnsi="Times New Roman" w:cs="Times New Roman"/>
          <w:b/>
          <w:color w:val="000000" w:themeColor="text1"/>
          <w:sz w:val="24"/>
          <w:szCs w:val="24"/>
        </w:rPr>
      </w:pPr>
      <w:r w:rsidRPr="00724CA2">
        <w:rPr>
          <w:rFonts w:ascii="Times New Roman" w:hAnsi="Times New Roman" w:cs="Times New Roman"/>
          <w:b/>
          <w:color w:val="000000" w:themeColor="text1"/>
          <w:sz w:val="24"/>
          <w:szCs w:val="24"/>
        </w:rPr>
        <w:br w:type="page"/>
      </w:r>
    </w:p>
    <w:p w14:paraId="5A5B60A2" w14:textId="3D6D2BD1" w:rsidR="005D3052" w:rsidRPr="00724CA2" w:rsidRDefault="00BD741A" w:rsidP="00D57F40">
      <w:pPr>
        <w:spacing w:afterLines="100" w:after="240" w:line="360" w:lineRule="auto"/>
        <w:jc w:val="center"/>
        <w:rPr>
          <w:rFonts w:ascii="Times New Roman" w:hAnsi="Times New Roman" w:cs="Times New Roman"/>
          <w:b/>
          <w:color w:val="000000" w:themeColor="text1"/>
          <w:sz w:val="24"/>
          <w:szCs w:val="24"/>
        </w:rPr>
      </w:pPr>
      <w:r w:rsidRPr="00724CA2">
        <w:rPr>
          <w:rFonts w:ascii="Times New Roman" w:hAnsi="Times New Roman" w:cs="Times New Roman"/>
          <w:b/>
          <w:color w:val="000000" w:themeColor="text1"/>
          <w:sz w:val="24"/>
          <w:szCs w:val="24"/>
        </w:rPr>
        <w:lastRenderedPageBreak/>
        <w:t>Does Mutual Fund</w:t>
      </w:r>
      <w:r w:rsidR="006D5E93" w:rsidRPr="00724CA2">
        <w:rPr>
          <w:rFonts w:ascii="Times New Roman" w:hAnsi="Times New Roman" w:cs="Times New Roman"/>
          <w:b/>
          <w:color w:val="000000" w:themeColor="text1"/>
          <w:sz w:val="24"/>
          <w:szCs w:val="24"/>
        </w:rPr>
        <w:t xml:space="preserve"> Ownership</w:t>
      </w:r>
      <w:r w:rsidRPr="00724CA2">
        <w:rPr>
          <w:rFonts w:ascii="Times New Roman" w:hAnsi="Times New Roman" w:cs="Times New Roman"/>
          <w:b/>
          <w:color w:val="000000" w:themeColor="text1"/>
          <w:sz w:val="24"/>
          <w:szCs w:val="24"/>
        </w:rPr>
        <w:t xml:space="preserve"> Increase Corporate Environmental Spending?</w:t>
      </w:r>
    </w:p>
    <w:p w14:paraId="7900831B" w14:textId="6EC1CAD9" w:rsidR="003B7154" w:rsidRPr="00724CA2" w:rsidRDefault="00750C2E" w:rsidP="00750C2E">
      <w:pPr>
        <w:spacing w:afterLines="50" w:after="120" w:line="480" w:lineRule="auto"/>
        <w:jc w:val="both"/>
        <w:rPr>
          <w:rFonts w:ascii="Times New Roman" w:hAnsi="Times New Roman" w:cs="Times New Roman"/>
          <w:b/>
          <w:color w:val="000000" w:themeColor="text1"/>
          <w:sz w:val="24"/>
          <w:szCs w:val="24"/>
        </w:rPr>
      </w:pPr>
      <w:r w:rsidRPr="00724CA2">
        <w:rPr>
          <w:rFonts w:ascii="Times New Roman" w:hAnsi="Times New Roman" w:cs="Times New Roman"/>
          <w:b/>
          <w:color w:val="000000" w:themeColor="text1"/>
          <w:sz w:val="24"/>
          <w:szCs w:val="24"/>
        </w:rPr>
        <w:t xml:space="preserve">1.  </w:t>
      </w:r>
      <w:r w:rsidRPr="00724CA2">
        <w:rPr>
          <w:rFonts w:ascii="Times New Roman" w:hAnsi="Times New Roman" w:cs="Times New Roman"/>
          <w:b/>
          <w:color w:val="000000" w:themeColor="text1"/>
          <w:sz w:val="24"/>
          <w:szCs w:val="24"/>
        </w:rPr>
        <w:tab/>
      </w:r>
      <w:r w:rsidR="00762E45" w:rsidRPr="00724CA2">
        <w:rPr>
          <w:rFonts w:ascii="Times New Roman" w:hAnsi="Times New Roman" w:cs="Times New Roman"/>
          <w:b/>
          <w:color w:val="000000" w:themeColor="text1"/>
          <w:sz w:val="24"/>
          <w:szCs w:val="24"/>
        </w:rPr>
        <w:t>Introduction</w:t>
      </w:r>
    </w:p>
    <w:p w14:paraId="6DD1220C" w14:textId="441754C1" w:rsidR="0054701C" w:rsidRPr="00724CA2" w:rsidRDefault="003B7154" w:rsidP="005D0460">
      <w:pPr>
        <w:spacing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The role of institutional investors</w:t>
      </w:r>
      <w:r w:rsidRPr="00724CA2">
        <w:rPr>
          <w:color w:val="000000" w:themeColor="text1"/>
        </w:rPr>
        <w:t xml:space="preserve"> </w:t>
      </w:r>
      <w:r w:rsidRPr="00724CA2">
        <w:rPr>
          <w:rFonts w:ascii="Times New Roman" w:hAnsi="Times New Roman" w:cs="Times New Roman"/>
          <w:color w:val="000000" w:themeColor="text1"/>
          <w:sz w:val="24"/>
          <w:szCs w:val="24"/>
        </w:rPr>
        <w:t xml:space="preserve">has been described as the most powerful financial mechanism for </w:t>
      </w:r>
      <w:r w:rsidR="0021050B" w:rsidRPr="00724CA2">
        <w:rPr>
          <w:rFonts w:ascii="Times New Roman" w:hAnsi="Times New Roman" w:cs="Times New Roman"/>
          <w:color w:val="000000" w:themeColor="text1"/>
          <w:sz w:val="24"/>
          <w:szCs w:val="24"/>
        </w:rPr>
        <w:t>altering corporations’ environmental decision</w:t>
      </w:r>
      <w:r w:rsidR="00937C7D" w:rsidRPr="00724CA2">
        <w:rPr>
          <w:rFonts w:ascii="Times New Roman" w:hAnsi="Times New Roman" w:cs="Times New Roman"/>
          <w:color w:val="000000" w:themeColor="text1"/>
          <w:sz w:val="24"/>
          <w:szCs w:val="24"/>
        </w:rPr>
        <w:t xml:space="preserve"> making</w:t>
      </w:r>
      <w:r w:rsidRPr="00724CA2">
        <w:rPr>
          <w:rFonts w:ascii="Times New Roman" w:hAnsi="Times New Roman" w:cs="Times New Roman"/>
          <w:color w:val="000000" w:themeColor="text1"/>
          <w:sz w:val="24"/>
          <w:szCs w:val="24"/>
        </w:rPr>
        <w:t xml:space="preserve"> (Stroebel and Wurgler</w:t>
      </w:r>
      <w:r w:rsidR="00B879B4" w:rsidRPr="00724CA2">
        <w:rPr>
          <w:rFonts w:ascii="Times New Roman" w:hAnsi="Times New Roman" w:cs="Times New Roman"/>
          <w:color w:val="000000" w:themeColor="text1"/>
          <w:sz w:val="24"/>
          <w:szCs w:val="24"/>
        </w:rPr>
        <w:t>,</w:t>
      </w:r>
      <w:r w:rsidRPr="00724CA2">
        <w:rPr>
          <w:rFonts w:ascii="Times New Roman" w:hAnsi="Times New Roman" w:cs="Times New Roman"/>
          <w:color w:val="000000" w:themeColor="text1"/>
          <w:sz w:val="24"/>
          <w:szCs w:val="24"/>
        </w:rPr>
        <w:t xml:space="preserve"> 2021). </w:t>
      </w:r>
      <w:r w:rsidR="0074004A" w:rsidRPr="00724CA2">
        <w:rPr>
          <w:rFonts w:ascii="Times New Roman" w:hAnsi="Times New Roman" w:cs="Times New Roman"/>
          <w:color w:val="000000" w:themeColor="text1"/>
          <w:sz w:val="24"/>
          <w:szCs w:val="24"/>
        </w:rPr>
        <w:t xml:space="preserve">This study examines </w:t>
      </w:r>
      <w:r w:rsidR="0021050B" w:rsidRPr="00724CA2">
        <w:rPr>
          <w:rFonts w:ascii="Times New Roman" w:hAnsi="Times New Roman" w:cs="Times New Roman"/>
          <w:color w:val="000000" w:themeColor="text1"/>
          <w:sz w:val="24"/>
          <w:szCs w:val="24"/>
        </w:rPr>
        <w:t xml:space="preserve">the influence of mutual funds on </w:t>
      </w:r>
      <w:r w:rsidR="00FE3EBE" w:rsidRPr="00724CA2">
        <w:rPr>
          <w:rFonts w:ascii="Times New Roman" w:hAnsi="Times New Roman" w:cs="Times New Roman"/>
          <w:color w:val="000000" w:themeColor="text1"/>
          <w:sz w:val="24"/>
          <w:szCs w:val="24"/>
        </w:rPr>
        <w:t>t</w:t>
      </w:r>
      <w:r w:rsidR="0074004A" w:rsidRPr="00724CA2">
        <w:rPr>
          <w:rFonts w:ascii="Times New Roman" w:hAnsi="Times New Roman" w:cs="Times New Roman"/>
          <w:color w:val="000000" w:themeColor="text1"/>
          <w:sz w:val="24"/>
          <w:szCs w:val="24"/>
        </w:rPr>
        <w:t xml:space="preserve">he </w:t>
      </w:r>
      <w:r w:rsidR="006B0977" w:rsidRPr="00724CA2">
        <w:rPr>
          <w:rFonts w:ascii="Times New Roman" w:hAnsi="Times New Roman" w:cs="Times New Roman"/>
          <w:color w:val="000000" w:themeColor="text1"/>
          <w:sz w:val="24"/>
          <w:szCs w:val="24"/>
        </w:rPr>
        <w:t>environmental spending</w:t>
      </w:r>
      <w:r w:rsidR="00052EE7" w:rsidRPr="00724CA2">
        <w:rPr>
          <w:rFonts w:ascii="Times New Roman" w:hAnsi="Times New Roman" w:cs="Times New Roman"/>
          <w:color w:val="000000" w:themeColor="text1"/>
          <w:sz w:val="24"/>
          <w:szCs w:val="24"/>
        </w:rPr>
        <w:t xml:space="preserve"> </w:t>
      </w:r>
      <w:r w:rsidR="0070607B" w:rsidRPr="00724CA2">
        <w:rPr>
          <w:rFonts w:ascii="Times New Roman" w:hAnsi="Times New Roman" w:cs="Times New Roman"/>
          <w:color w:val="000000" w:themeColor="text1"/>
          <w:sz w:val="24"/>
          <w:szCs w:val="24"/>
        </w:rPr>
        <w:t xml:space="preserve">undertaken by </w:t>
      </w:r>
      <w:r w:rsidR="00052EE7" w:rsidRPr="00724CA2">
        <w:rPr>
          <w:rFonts w:ascii="Times New Roman" w:hAnsi="Times New Roman" w:cs="Times New Roman"/>
          <w:color w:val="000000" w:themeColor="text1"/>
          <w:sz w:val="24"/>
          <w:szCs w:val="24"/>
        </w:rPr>
        <w:t>C</w:t>
      </w:r>
      <w:r w:rsidR="0074004A" w:rsidRPr="00724CA2">
        <w:rPr>
          <w:rFonts w:ascii="Times New Roman" w:hAnsi="Times New Roman" w:cs="Times New Roman"/>
          <w:color w:val="000000" w:themeColor="text1"/>
          <w:sz w:val="24"/>
          <w:szCs w:val="24"/>
        </w:rPr>
        <w:t xml:space="preserve">hinese listed companies between 2011 </w:t>
      </w:r>
      <w:r w:rsidR="00FD5E38" w:rsidRPr="00724CA2">
        <w:rPr>
          <w:rFonts w:ascii="Times New Roman" w:hAnsi="Times New Roman" w:cs="Times New Roman"/>
          <w:color w:val="000000" w:themeColor="text1"/>
          <w:sz w:val="24"/>
          <w:szCs w:val="24"/>
        </w:rPr>
        <w:t>and</w:t>
      </w:r>
      <w:r w:rsidR="0074004A" w:rsidRPr="00724CA2">
        <w:rPr>
          <w:rFonts w:ascii="Times New Roman" w:hAnsi="Times New Roman" w:cs="Times New Roman"/>
          <w:color w:val="000000" w:themeColor="text1"/>
          <w:sz w:val="24"/>
          <w:szCs w:val="24"/>
        </w:rPr>
        <w:t xml:space="preserve"> 2018. </w:t>
      </w:r>
      <w:r w:rsidR="00BA4D85" w:rsidRPr="00724CA2">
        <w:rPr>
          <w:rFonts w:ascii="Times New Roman" w:hAnsi="Times New Roman" w:cs="Times New Roman"/>
          <w:color w:val="000000" w:themeColor="text1"/>
          <w:sz w:val="24"/>
          <w:szCs w:val="24"/>
        </w:rPr>
        <w:t xml:space="preserve">We </w:t>
      </w:r>
      <w:r w:rsidR="00037F6C" w:rsidRPr="00724CA2">
        <w:rPr>
          <w:rFonts w:ascii="Times New Roman" w:hAnsi="Times New Roman" w:cs="Times New Roman"/>
          <w:color w:val="000000" w:themeColor="text1"/>
          <w:sz w:val="24"/>
          <w:szCs w:val="24"/>
        </w:rPr>
        <w:t>focus on environmental</w:t>
      </w:r>
      <w:r w:rsidR="009678B8" w:rsidRPr="00724CA2">
        <w:rPr>
          <w:rFonts w:ascii="Times New Roman" w:hAnsi="Times New Roman" w:cs="Times New Roman"/>
          <w:color w:val="000000" w:themeColor="text1"/>
          <w:sz w:val="24"/>
          <w:szCs w:val="24"/>
        </w:rPr>
        <w:t xml:space="preserve"> spending </w:t>
      </w:r>
      <w:r w:rsidR="00037F6C" w:rsidRPr="00724CA2">
        <w:rPr>
          <w:rFonts w:ascii="Times New Roman" w:hAnsi="Times New Roman" w:cs="Times New Roman"/>
          <w:color w:val="000000" w:themeColor="text1"/>
          <w:sz w:val="24"/>
          <w:szCs w:val="24"/>
        </w:rPr>
        <w:t xml:space="preserve">as this </w:t>
      </w:r>
      <w:r w:rsidR="00BA2001" w:rsidRPr="00724CA2">
        <w:rPr>
          <w:rFonts w:ascii="Times New Roman" w:hAnsi="Times New Roman" w:cs="Times New Roman"/>
          <w:color w:val="000000" w:themeColor="text1"/>
          <w:sz w:val="24"/>
          <w:szCs w:val="24"/>
        </w:rPr>
        <w:t>metric q</w:t>
      </w:r>
      <w:r w:rsidR="009678B8" w:rsidRPr="00724CA2">
        <w:rPr>
          <w:rFonts w:ascii="Times New Roman" w:hAnsi="Times New Roman" w:cs="Times New Roman"/>
          <w:color w:val="000000" w:themeColor="text1"/>
          <w:sz w:val="24"/>
          <w:szCs w:val="24"/>
        </w:rPr>
        <w:t xml:space="preserve">uantifies the environmental intensity of an industry encompassing the </w:t>
      </w:r>
      <w:r w:rsidR="00E03515" w:rsidRPr="00724CA2">
        <w:rPr>
          <w:rFonts w:ascii="Times New Roman" w:hAnsi="Times New Roman" w:cs="Times New Roman"/>
          <w:color w:val="000000" w:themeColor="text1"/>
          <w:sz w:val="24"/>
          <w:szCs w:val="24"/>
        </w:rPr>
        <w:t xml:space="preserve">corporate </w:t>
      </w:r>
      <w:r w:rsidR="009678B8" w:rsidRPr="00724CA2">
        <w:rPr>
          <w:rFonts w:ascii="Times New Roman" w:hAnsi="Times New Roman" w:cs="Times New Roman"/>
          <w:color w:val="000000" w:themeColor="text1"/>
          <w:sz w:val="24"/>
          <w:szCs w:val="24"/>
        </w:rPr>
        <w:t xml:space="preserve">spending undertaken to alleviate the environmental costs </w:t>
      </w:r>
      <w:r w:rsidR="005833BB" w:rsidRPr="00724CA2">
        <w:rPr>
          <w:rFonts w:ascii="Times New Roman" w:hAnsi="Times New Roman" w:cs="Times New Roman"/>
          <w:color w:val="000000" w:themeColor="text1"/>
          <w:sz w:val="24"/>
          <w:szCs w:val="24"/>
        </w:rPr>
        <w:t>arising</w:t>
      </w:r>
      <w:r w:rsidR="009678B8" w:rsidRPr="00724CA2">
        <w:rPr>
          <w:rFonts w:ascii="Times New Roman" w:hAnsi="Times New Roman" w:cs="Times New Roman"/>
          <w:color w:val="000000" w:themeColor="text1"/>
          <w:sz w:val="24"/>
          <w:szCs w:val="24"/>
        </w:rPr>
        <w:t xml:space="preserve"> </w:t>
      </w:r>
      <w:r w:rsidR="005833BB" w:rsidRPr="00724CA2">
        <w:rPr>
          <w:rFonts w:ascii="Times New Roman" w:hAnsi="Times New Roman" w:cs="Times New Roman"/>
          <w:color w:val="000000" w:themeColor="text1"/>
          <w:sz w:val="24"/>
          <w:szCs w:val="24"/>
        </w:rPr>
        <w:t xml:space="preserve">from </w:t>
      </w:r>
      <w:r w:rsidR="00E03515" w:rsidRPr="00724CA2">
        <w:rPr>
          <w:rFonts w:ascii="Times New Roman" w:hAnsi="Times New Roman" w:cs="Times New Roman"/>
          <w:color w:val="000000" w:themeColor="text1"/>
          <w:sz w:val="24"/>
          <w:szCs w:val="24"/>
        </w:rPr>
        <w:t xml:space="preserve">a firms' </w:t>
      </w:r>
      <w:r w:rsidR="009678B8" w:rsidRPr="00724CA2">
        <w:rPr>
          <w:rFonts w:ascii="Times New Roman" w:hAnsi="Times New Roman" w:cs="Times New Roman"/>
          <w:color w:val="000000" w:themeColor="text1"/>
          <w:sz w:val="24"/>
          <w:szCs w:val="24"/>
        </w:rPr>
        <w:t>actions (Drobetz</w:t>
      </w:r>
      <w:r w:rsidR="006B504B" w:rsidRPr="00724CA2">
        <w:rPr>
          <w:rFonts w:ascii="Times New Roman" w:hAnsi="Times New Roman" w:cs="Times New Roman"/>
          <w:color w:val="000000" w:themeColor="text1"/>
          <w:sz w:val="24"/>
          <w:szCs w:val="24"/>
        </w:rPr>
        <w:t xml:space="preserve"> </w:t>
      </w:r>
      <w:r w:rsidR="009678B8" w:rsidRPr="00724CA2">
        <w:rPr>
          <w:rFonts w:ascii="Times New Roman" w:hAnsi="Times New Roman" w:cs="Times New Roman"/>
          <w:color w:val="000000" w:themeColor="text1"/>
          <w:sz w:val="24"/>
          <w:szCs w:val="24"/>
        </w:rPr>
        <w:t>et al</w:t>
      </w:r>
      <w:r w:rsidR="00163183" w:rsidRPr="00724CA2">
        <w:rPr>
          <w:rFonts w:ascii="Times New Roman" w:hAnsi="Times New Roman" w:cs="Times New Roman"/>
          <w:color w:val="000000" w:themeColor="text1"/>
          <w:sz w:val="24"/>
          <w:szCs w:val="24"/>
        </w:rPr>
        <w:t>.,</w:t>
      </w:r>
      <w:r w:rsidR="009678B8" w:rsidRPr="00724CA2">
        <w:rPr>
          <w:rFonts w:ascii="Times New Roman" w:hAnsi="Times New Roman" w:cs="Times New Roman"/>
          <w:color w:val="000000" w:themeColor="text1"/>
          <w:sz w:val="24"/>
          <w:szCs w:val="24"/>
        </w:rPr>
        <w:t xml:space="preserve"> 202</w:t>
      </w:r>
      <w:r w:rsidR="001F2A1B">
        <w:rPr>
          <w:rFonts w:ascii="Times New Roman" w:hAnsi="Times New Roman" w:cs="Times New Roman"/>
          <w:color w:val="000000" w:themeColor="text1"/>
          <w:sz w:val="24"/>
          <w:szCs w:val="24"/>
        </w:rPr>
        <w:t>4</w:t>
      </w:r>
      <w:r w:rsidR="009678B8" w:rsidRPr="00724CA2">
        <w:rPr>
          <w:rFonts w:ascii="Times New Roman" w:hAnsi="Times New Roman" w:cs="Times New Roman"/>
          <w:color w:val="000000" w:themeColor="text1"/>
          <w:sz w:val="24"/>
          <w:szCs w:val="24"/>
        </w:rPr>
        <w:t xml:space="preserve">). </w:t>
      </w:r>
      <w:r w:rsidR="001A0E6D" w:rsidRPr="00724CA2">
        <w:rPr>
          <w:rFonts w:ascii="Times New Roman" w:hAnsi="Times New Roman" w:cs="Times New Roman"/>
          <w:color w:val="000000" w:themeColor="text1"/>
          <w:sz w:val="24"/>
          <w:szCs w:val="24"/>
        </w:rPr>
        <w:t>Due to the heterogeneity of institutional investor</w:t>
      </w:r>
      <w:r w:rsidR="00EE2C7A" w:rsidRPr="00724CA2">
        <w:rPr>
          <w:rFonts w:ascii="Times New Roman" w:hAnsi="Times New Roman" w:cs="Times New Roman"/>
          <w:color w:val="000000" w:themeColor="text1"/>
          <w:sz w:val="24"/>
          <w:szCs w:val="24"/>
        </w:rPr>
        <w:t xml:space="preserve"> behaviour </w:t>
      </w:r>
      <w:r w:rsidR="001A0E6D" w:rsidRPr="00724CA2">
        <w:rPr>
          <w:rFonts w:ascii="Times New Roman" w:hAnsi="Times New Roman" w:cs="Times New Roman"/>
          <w:color w:val="000000" w:themeColor="text1"/>
          <w:sz w:val="24"/>
          <w:szCs w:val="24"/>
        </w:rPr>
        <w:t xml:space="preserve">(García-Sánchez et al., 2020) we consider </w:t>
      </w:r>
      <w:r w:rsidR="00BB33F3" w:rsidRPr="00724CA2">
        <w:rPr>
          <w:rFonts w:ascii="Times New Roman" w:hAnsi="Times New Roman" w:cs="Times New Roman"/>
          <w:color w:val="000000" w:themeColor="text1"/>
          <w:sz w:val="24"/>
          <w:szCs w:val="24"/>
        </w:rPr>
        <w:t xml:space="preserve">a single </w:t>
      </w:r>
      <w:r w:rsidR="00BA2001" w:rsidRPr="00724CA2">
        <w:rPr>
          <w:rFonts w:ascii="Times New Roman" w:hAnsi="Times New Roman" w:cs="Times New Roman"/>
          <w:color w:val="000000" w:themeColor="text1"/>
          <w:sz w:val="24"/>
          <w:szCs w:val="24"/>
        </w:rPr>
        <w:t>class of institutional investment</w:t>
      </w:r>
      <w:r w:rsidR="00BB33F3" w:rsidRPr="00724CA2">
        <w:rPr>
          <w:rFonts w:ascii="Times New Roman" w:hAnsi="Times New Roman" w:cs="Times New Roman"/>
          <w:color w:val="000000" w:themeColor="text1"/>
          <w:sz w:val="24"/>
          <w:szCs w:val="24"/>
        </w:rPr>
        <w:t>.</w:t>
      </w:r>
    </w:p>
    <w:p w14:paraId="573B0A00" w14:textId="3590C574" w:rsidR="00D16FA5" w:rsidRPr="00724CA2" w:rsidRDefault="006C7D0A" w:rsidP="005D0460">
      <w:pPr>
        <w:spacing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Th</w:t>
      </w:r>
      <w:r w:rsidR="00E57BDA" w:rsidRPr="00724CA2">
        <w:rPr>
          <w:rFonts w:ascii="Times New Roman" w:hAnsi="Times New Roman" w:cs="Times New Roman"/>
          <w:color w:val="000000" w:themeColor="text1"/>
          <w:sz w:val="24"/>
          <w:szCs w:val="24"/>
        </w:rPr>
        <w:t>e</w:t>
      </w:r>
      <w:r w:rsidRPr="00724CA2">
        <w:rPr>
          <w:rFonts w:ascii="Times New Roman" w:hAnsi="Times New Roman" w:cs="Times New Roman"/>
          <w:color w:val="000000" w:themeColor="text1"/>
          <w:sz w:val="24"/>
          <w:szCs w:val="24"/>
        </w:rPr>
        <w:t xml:space="preserve"> link between mutual funds and corporate environmental </w:t>
      </w:r>
      <w:r w:rsidR="008016FD" w:rsidRPr="00724CA2">
        <w:rPr>
          <w:rFonts w:ascii="Times New Roman" w:hAnsi="Times New Roman" w:cs="Times New Roman"/>
          <w:color w:val="000000" w:themeColor="text1"/>
          <w:sz w:val="24"/>
          <w:szCs w:val="24"/>
        </w:rPr>
        <w:t>spending</w:t>
      </w:r>
      <w:r w:rsidRPr="00724CA2">
        <w:rPr>
          <w:rFonts w:ascii="Times New Roman" w:hAnsi="Times New Roman" w:cs="Times New Roman"/>
          <w:color w:val="000000" w:themeColor="text1"/>
          <w:sz w:val="24"/>
          <w:szCs w:val="24"/>
        </w:rPr>
        <w:t xml:space="preserve"> decisions is assumed to occur through an isomorphic process whereby </w:t>
      </w:r>
      <w:r w:rsidR="00937C7D" w:rsidRPr="00724CA2">
        <w:rPr>
          <w:rFonts w:ascii="Times New Roman" w:hAnsi="Times New Roman" w:cs="Times New Roman"/>
          <w:color w:val="000000" w:themeColor="text1"/>
          <w:sz w:val="24"/>
          <w:szCs w:val="24"/>
        </w:rPr>
        <w:t xml:space="preserve">these </w:t>
      </w:r>
      <w:r w:rsidRPr="00724CA2">
        <w:rPr>
          <w:rFonts w:ascii="Times New Roman" w:hAnsi="Times New Roman" w:cs="Times New Roman"/>
          <w:color w:val="000000" w:themeColor="text1"/>
          <w:sz w:val="24"/>
          <w:szCs w:val="24"/>
        </w:rPr>
        <w:t xml:space="preserve">institutional investors transmit environmental </w:t>
      </w:r>
      <w:r w:rsidR="00EE2C7A" w:rsidRPr="00724CA2">
        <w:rPr>
          <w:rFonts w:ascii="Times New Roman" w:hAnsi="Times New Roman" w:cs="Times New Roman"/>
          <w:color w:val="000000" w:themeColor="text1"/>
          <w:sz w:val="24"/>
          <w:szCs w:val="24"/>
        </w:rPr>
        <w:t>awareness</w:t>
      </w:r>
      <w:r w:rsidRPr="00724CA2">
        <w:rPr>
          <w:rFonts w:ascii="Times New Roman" w:hAnsi="Times New Roman" w:cs="Times New Roman"/>
          <w:color w:val="000000" w:themeColor="text1"/>
          <w:sz w:val="24"/>
          <w:szCs w:val="24"/>
        </w:rPr>
        <w:t xml:space="preserve"> to the </w:t>
      </w:r>
      <w:r w:rsidR="00A142E1">
        <w:rPr>
          <w:rFonts w:ascii="Times New Roman" w:hAnsi="Times New Roman" w:cs="Times New Roman"/>
          <w:color w:val="000000" w:themeColor="text1"/>
          <w:sz w:val="24"/>
          <w:szCs w:val="24"/>
        </w:rPr>
        <w:t xml:space="preserve">shareholders or </w:t>
      </w:r>
      <w:r w:rsidRPr="00724CA2">
        <w:rPr>
          <w:rFonts w:ascii="Times New Roman" w:hAnsi="Times New Roman" w:cs="Times New Roman"/>
          <w:color w:val="000000" w:themeColor="text1"/>
          <w:sz w:val="24"/>
          <w:szCs w:val="24"/>
        </w:rPr>
        <w:t xml:space="preserve">boards of their beneficiaries and ultimately altering environmental spending decisions (Dyck et al., 2019). </w:t>
      </w:r>
      <w:r w:rsidR="006404C0" w:rsidRPr="00724CA2">
        <w:rPr>
          <w:rFonts w:ascii="Times New Roman" w:hAnsi="Times New Roman" w:cs="Times New Roman"/>
          <w:color w:val="000000" w:themeColor="text1"/>
          <w:sz w:val="24"/>
          <w:szCs w:val="24"/>
        </w:rPr>
        <w:t xml:space="preserve">Using a unique hand collected dataset of environmental </w:t>
      </w:r>
      <w:r w:rsidR="00084B67" w:rsidRPr="00724CA2">
        <w:rPr>
          <w:rFonts w:ascii="Times New Roman" w:hAnsi="Times New Roman" w:cs="Times New Roman"/>
          <w:color w:val="000000" w:themeColor="text1"/>
          <w:sz w:val="24"/>
          <w:szCs w:val="24"/>
        </w:rPr>
        <w:t xml:space="preserve">expenditure </w:t>
      </w:r>
      <w:r w:rsidR="006404C0" w:rsidRPr="00724CA2">
        <w:rPr>
          <w:rFonts w:ascii="Times New Roman" w:hAnsi="Times New Roman" w:cs="Times New Roman"/>
          <w:color w:val="000000" w:themeColor="text1"/>
          <w:sz w:val="24"/>
          <w:szCs w:val="24"/>
        </w:rPr>
        <w:t>incorporating sewage discharge, cleaning, landscaping, greening and environmental protection (Meng and Zhang</w:t>
      </w:r>
      <w:r w:rsidR="003C6769" w:rsidRPr="00724CA2">
        <w:rPr>
          <w:rFonts w:ascii="Times New Roman" w:hAnsi="Times New Roman" w:cs="Times New Roman"/>
          <w:color w:val="000000" w:themeColor="text1"/>
          <w:sz w:val="24"/>
          <w:szCs w:val="24"/>
        </w:rPr>
        <w:t>,</w:t>
      </w:r>
      <w:r w:rsidR="006404C0" w:rsidRPr="00724CA2">
        <w:rPr>
          <w:rFonts w:ascii="Times New Roman" w:hAnsi="Times New Roman" w:cs="Times New Roman"/>
          <w:color w:val="000000" w:themeColor="text1"/>
          <w:sz w:val="24"/>
          <w:szCs w:val="24"/>
        </w:rPr>
        <w:t xml:space="preserve"> 2022), w</w:t>
      </w:r>
      <w:r w:rsidR="003C6769" w:rsidRPr="00724CA2">
        <w:rPr>
          <w:rFonts w:ascii="Times New Roman" w:hAnsi="Times New Roman" w:cs="Times New Roman"/>
          <w:color w:val="000000" w:themeColor="text1"/>
          <w:sz w:val="24"/>
          <w:szCs w:val="24"/>
        </w:rPr>
        <w:t>e</w:t>
      </w:r>
      <w:r w:rsidR="006404C0" w:rsidRPr="00724CA2">
        <w:rPr>
          <w:rFonts w:ascii="Times New Roman" w:hAnsi="Times New Roman" w:cs="Times New Roman"/>
          <w:color w:val="000000" w:themeColor="text1"/>
          <w:sz w:val="24"/>
          <w:szCs w:val="24"/>
        </w:rPr>
        <w:t xml:space="preserve"> report mutual fund investment is positively related with corporate environmental spending. </w:t>
      </w:r>
      <w:r w:rsidRPr="00724CA2">
        <w:rPr>
          <w:rFonts w:ascii="Times New Roman" w:hAnsi="Times New Roman" w:cs="Times New Roman"/>
          <w:color w:val="000000" w:themeColor="text1"/>
          <w:sz w:val="24"/>
          <w:szCs w:val="24"/>
        </w:rPr>
        <w:t>We apply an institutional theoretical framework (DiMaggio and Powell, 1983</w:t>
      </w:r>
      <w:r w:rsidR="003C6769" w:rsidRPr="00724CA2">
        <w:rPr>
          <w:rFonts w:ascii="Times New Roman" w:hAnsi="Times New Roman" w:cs="Times New Roman"/>
          <w:color w:val="000000" w:themeColor="text1"/>
          <w:sz w:val="24"/>
          <w:szCs w:val="24"/>
        </w:rPr>
        <w:t>,</w:t>
      </w:r>
      <w:r w:rsidRPr="00724CA2">
        <w:rPr>
          <w:rFonts w:ascii="Times New Roman" w:hAnsi="Times New Roman" w:cs="Times New Roman"/>
          <w:color w:val="000000" w:themeColor="text1"/>
          <w:sz w:val="24"/>
          <w:szCs w:val="24"/>
        </w:rPr>
        <w:t xml:space="preserve"> Jennings and Zandbergen, 1995</w:t>
      </w:r>
      <w:r w:rsidR="003C6769" w:rsidRPr="00724CA2">
        <w:rPr>
          <w:rFonts w:ascii="Times New Roman" w:hAnsi="Times New Roman" w:cs="Times New Roman"/>
          <w:color w:val="000000" w:themeColor="text1"/>
          <w:sz w:val="24"/>
          <w:szCs w:val="24"/>
        </w:rPr>
        <w:t>,</w:t>
      </w:r>
      <w:r w:rsidRPr="00724CA2">
        <w:rPr>
          <w:rFonts w:ascii="Times New Roman" w:hAnsi="Times New Roman" w:cs="Times New Roman"/>
          <w:color w:val="000000" w:themeColor="text1"/>
          <w:sz w:val="24"/>
          <w:szCs w:val="24"/>
        </w:rPr>
        <w:t xml:space="preserve"> Sahasranamam et al., 2022) to examine the channels through which this environmental influence is transmitted to firms. </w:t>
      </w:r>
      <w:r w:rsidR="00CF4610" w:rsidRPr="00724CA2">
        <w:rPr>
          <w:rFonts w:ascii="Times New Roman" w:hAnsi="Times New Roman" w:cs="Times New Roman"/>
          <w:color w:val="000000" w:themeColor="text1"/>
          <w:sz w:val="24"/>
          <w:szCs w:val="24"/>
        </w:rPr>
        <w:t>As green finance is a socially constructed concept</w:t>
      </w:r>
      <w:r w:rsidR="00FD5E38" w:rsidRPr="00724CA2">
        <w:rPr>
          <w:rFonts w:ascii="Times New Roman" w:hAnsi="Times New Roman" w:cs="Times New Roman"/>
          <w:color w:val="000000" w:themeColor="text1"/>
          <w:sz w:val="24"/>
          <w:szCs w:val="24"/>
        </w:rPr>
        <w:t>,</w:t>
      </w:r>
      <w:r w:rsidR="00CF4610" w:rsidRPr="00724CA2">
        <w:rPr>
          <w:rFonts w:ascii="Times New Roman" w:hAnsi="Times New Roman" w:cs="Times New Roman"/>
          <w:color w:val="000000" w:themeColor="text1"/>
          <w:sz w:val="24"/>
          <w:szCs w:val="24"/>
        </w:rPr>
        <w:t xml:space="preserve"> </w:t>
      </w:r>
      <w:r w:rsidR="00FD028A" w:rsidRPr="00724CA2">
        <w:rPr>
          <w:rFonts w:ascii="Times New Roman" w:hAnsi="Times New Roman" w:cs="Times New Roman"/>
          <w:color w:val="000000" w:themeColor="text1"/>
          <w:sz w:val="24"/>
          <w:szCs w:val="24"/>
        </w:rPr>
        <w:t xml:space="preserve">and </w:t>
      </w:r>
      <w:r w:rsidR="00CF4610" w:rsidRPr="00724CA2">
        <w:rPr>
          <w:rFonts w:ascii="Times New Roman" w:hAnsi="Times New Roman" w:cs="Times New Roman"/>
          <w:color w:val="000000" w:themeColor="text1"/>
          <w:sz w:val="24"/>
          <w:szCs w:val="24"/>
        </w:rPr>
        <w:t xml:space="preserve">often used as an ambiguous ‘catch all’ term, (Bénabou and Tirole, 2010), multiple institutional factors may </w:t>
      </w:r>
      <w:r w:rsidR="00FD5E38" w:rsidRPr="00724CA2">
        <w:rPr>
          <w:rFonts w:ascii="Times New Roman" w:hAnsi="Times New Roman" w:cs="Times New Roman"/>
          <w:color w:val="000000" w:themeColor="text1"/>
          <w:sz w:val="24"/>
          <w:szCs w:val="24"/>
        </w:rPr>
        <w:t>affect</w:t>
      </w:r>
      <w:r w:rsidR="00CF4610" w:rsidRPr="00724CA2">
        <w:rPr>
          <w:rFonts w:ascii="Times New Roman" w:hAnsi="Times New Roman" w:cs="Times New Roman"/>
          <w:color w:val="000000" w:themeColor="text1"/>
          <w:sz w:val="24"/>
          <w:szCs w:val="24"/>
        </w:rPr>
        <w:t xml:space="preserve"> </w:t>
      </w:r>
      <w:r w:rsidR="00EE2C7A" w:rsidRPr="00724CA2">
        <w:rPr>
          <w:rFonts w:ascii="Times New Roman" w:hAnsi="Times New Roman" w:cs="Times New Roman"/>
          <w:color w:val="000000" w:themeColor="text1"/>
          <w:sz w:val="24"/>
          <w:szCs w:val="24"/>
        </w:rPr>
        <w:t>its</w:t>
      </w:r>
      <w:r w:rsidR="00CF4610" w:rsidRPr="00724CA2">
        <w:rPr>
          <w:rFonts w:ascii="Times New Roman" w:hAnsi="Times New Roman" w:cs="Times New Roman"/>
          <w:color w:val="000000" w:themeColor="text1"/>
          <w:sz w:val="24"/>
          <w:szCs w:val="24"/>
        </w:rPr>
        <w:t xml:space="preserve"> dissemination. </w:t>
      </w:r>
      <w:r w:rsidRPr="00724CA2">
        <w:rPr>
          <w:rFonts w:ascii="Times New Roman" w:hAnsi="Times New Roman" w:cs="Times New Roman"/>
          <w:color w:val="000000" w:themeColor="text1"/>
          <w:sz w:val="24"/>
          <w:szCs w:val="24"/>
        </w:rPr>
        <w:t xml:space="preserve">We assume institutions are symbolic systems, containing representational, constitutive, and normative rules (Jennings and Zandbergen, 1995). </w:t>
      </w:r>
    </w:p>
    <w:p w14:paraId="2BA533AE" w14:textId="34A49107" w:rsidR="008C1DAE" w:rsidRPr="00724CA2" w:rsidRDefault="006C7D0A" w:rsidP="005D0460">
      <w:pPr>
        <w:spacing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lastRenderedPageBreak/>
        <w:t xml:space="preserve">The factors influencing this process include whether a firms’ board, management or owners are orientated towards ensuring sustainable outcomes. </w:t>
      </w:r>
      <w:r w:rsidR="00D010FD" w:rsidRPr="00724CA2">
        <w:rPr>
          <w:rFonts w:ascii="Times New Roman" w:hAnsi="Times New Roman" w:cs="Times New Roman"/>
          <w:color w:val="000000" w:themeColor="text1"/>
          <w:sz w:val="24"/>
          <w:szCs w:val="24"/>
        </w:rPr>
        <w:t>We report m</w:t>
      </w:r>
      <w:r w:rsidR="00E401BA" w:rsidRPr="00724CA2">
        <w:rPr>
          <w:rFonts w:ascii="Times New Roman" w:hAnsi="Times New Roman" w:cs="Times New Roman"/>
          <w:color w:val="000000" w:themeColor="text1"/>
          <w:sz w:val="24"/>
          <w:szCs w:val="24"/>
        </w:rPr>
        <w:t xml:space="preserve">utual </w:t>
      </w:r>
      <w:r w:rsidR="00D010FD" w:rsidRPr="00724CA2">
        <w:rPr>
          <w:rFonts w:ascii="Times New Roman" w:hAnsi="Times New Roman" w:cs="Times New Roman"/>
          <w:color w:val="000000" w:themeColor="text1"/>
          <w:sz w:val="24"/>
          <w:szCs w:val="24"/>
        </w:rPr>
        <w:t>fund investment e</w:t>
      </w:r>
      <w:r w:rsidR="00E401BA" w:rsidRPr="00724CA2">
        <w:rPr>
          <w:rFonts w:ascii="Times New Roman" w:hAnsi="Times New Roman" w:cs="Times New Roman"/>
          <w:color w:val="000000" w:themeColor="text1"/>
          <w:sz w:val="24"/>
          <w:szCs w:val="24"/>
        </w:rPr>
        <w:t xml:space="preserve">nhances environmental </w:t>
      </w:r>
      <w:r w:rsidR="00A60000" w:rsidRPr="00724CA2">
        <w:rPr>
          <w:rFonts w:ascii="Times New Roman" w:hAnsi="Times New Roman" w:cs="Times New Roman"/>
          <w:color w:val="000000" w:themeColor="text1"/>
          <w:sz w:val="24"/>
          <w:szCs w:val="24"/>
        </w:rPr>
        <w:t>awareness</w:t>
      </w:r>
      <w:r w:rsidR="00E401BA" w:rsidRPr="00724CA2">
        <w:rPr>
          <w:rFonts w:ascii="Times New Roman" w:hAnsi="Times New Roman" w:cs="Times New Roman"/>
          <w:color w:val="000000" w:themeColor="text1"/>
          <w:sz w:val="24"/>
          <w:szCs w:val="24"/>
        </w:rPr>
        <w:t xml:space="preserve">, quantified by the ‘green’ credentials of board members and the number of environmentally motivated questions raised by investors at annual general meetings (hereafter AGMs). </w:t>
      </w:r>
      <w:r w:rsidRPr="00724CA2">
        <w:rPr>
          <w:rFonts w:ascii="Times New Roman" w:hAnsi="Times New Roman" w:cs="Times New Roman"/>
          <w:color w:val="000000" w:themeColor="text1"/>
          <w:sz w:val="24"/>
          <w:szCs w:val="24"/>
        </w:rPr>
        <w:t xml:space="preserve">We also examine </w:t>
      </w:r>
      <w:r w:rsidR="00C35AAD" w:rsidRPr="00724CA2">
        <w:rPr>
          <w:rFonts w:ascii="Times New Roman" w:hAnsi="Times New Roman" w:cs="Times New Roman"/>
          <w:color w:val="000000" w:themeColor="text1"/>
          <w:sz w:val="24"/>
          <w:szCs w:val="24"/>
        </w:rPr>
        <w:t xml:space="preserve">the stringency of </w:t>
      </w:r>
      <w:r w:rsidR="00B821A4" w:rsidRPr="00724CA2">
        <w:rPr>
          <w:rFonts w:ascii="Times New Roman" w:hAnsi="Times New Roman" w:cs="Times New Roman"/>
          <w:color w:val="000000" w:themeColor="text1"/>
          <w:sz w:val="24"/>
          <w:szCs w:val="24"/>
        </w:rPr>
        <w:t xml:space="preserve">the legal environment in which </w:t>
      </w:r>
      <w:r w:rsidR="004128A0" w:rsidRPr="00724CA2">
        <w:rPr>
          <w:rFonts w:ascii="Times New Roman" w:hAnsi="Times New Roman" w:cs="Times New Roman"/>
          <w:color w:val="000000" w:themeColor="text1"/>
          <w:sz w:val="24"/>
          <w:szCs w:val="24"/>
        </w:rPr>
        <w:t>firms</w:t>
      </w:r>
      <w:r w:rsidR="00B821A4" w:rsidRPr="00724CA2">
        <w:rPr>
          <w:rFonts w:ascii="Times New Roman" w:hAnsi="Times New Roman" w:cs="Times New Roman"/>
          <w:color w:val="000000" w:themeColor="text1"/>
          <w:sz w:val="24"/>
          <w:szCs w:val="24"/>
        </w:rPr>
        <w:t xml:space="preserve"> operate</w:t>
      </w:r>
      <w:r w:rsidR="004128A0" w:rsidRPr="00724CA2">
        <w:rPr>
          <w:rFonts w:ascii="Times New Roman" w:hAnsi="Times New Roman" w:cs="Times New Roman"/>
          <w:color w:val="000000" w:themeColor="text1"/>
          <w:sz w:val="24"/>
          <w:szCs w:val="24"/>
        </w:rPr>
        <w:t xml:space="preserve">, </w:t>
      </w:r>
      <w:r w:rsidR="00794925" w:rsidRPr="00724CA2">
        <w:rPr>
          <w:rFonts w:ascii="Times New Roman" w:hAnsi="Times New Roman" w:cs="Times New Roman"/>
          <w:color w:val="000000" w:themeColor="text1"/>
          <w:sz w:val="24"/>
          <w:szCs w:val="24"/>
        </w:rPr>
        <w:t xml:space="preserve">and the </w:t>
      </w:r>
      <w:r w:rsidR="00801BAB" w:rsidRPr="00724CA2">
        <w:rPr>
          <w:rFonts w:ascii="Times New Roman" w:hAnsi="Times New Roman" w:cs="Times New Roman"/>
          <w:color w:val="000000" w:themeColor="text1"/>
          <w:sz w:val="24"/>
          <w:szCs w:val="24"/>
        </w:rPr>
        <w:t xml:space="preserve">influence </w:t>
      </w:r>
      <w:r w:rsidR="00794925" w:rsidRPr="00724CA2">
        <w:rPr>
          <w:rFonts w:ascii="Times New Roman" w:hAnsi="Times New Roman" w:cs="Times New Roman"/>
          <w:color w:val="000000" w:themeColor="text1"/>
          <w:sz w:val="24"/>
          <w:szCs w:val="24"/>
        </w:rPr>
        <w:t xml:space="preserve">of this institutional </w:t>
      </w:r>
      <w:r w:rsidR="00D01602" w:rsidRPr="00724CA2">
        <w:rPr>
          <w:rFonts w:ascii="Times New Roman" w:hAnsi="Times New Roman" w:cs="Times New Roman"/>
          <w:color w:val="000000" w:themeColor="text1"/>
          <w:sz w:val="24"/>
          <w:szCs w:val="24"/>
        </w:rPr>
        <w:t xml:space="preserve">factor over </w:t>
      </w:r>
      <w:r w:rsidRPr="00724CA2">
        <w:rPr>
          <w:rFonts w:ascii="Times New Roman" w:hAnsi="Times New Roman" w:cs="Times New Roman"/>
          <w:color w:val="000000" w:themeColor="text1"/>
          <w:sz w:val="24"/>
          <w:szCs w:val="24"/>
        </w:rPr>
        <w:t xml:space="preserve">environmental </w:t>
      </w:r>
      <w:r w:rsidR="005D4EDB" w:rsidRPr="00724CA2">
        <w:rPr>
          <w:rFonts w:ascii="Times New Roman" w:hAnsi="Times New Roman" w:cs="Times New Roman"/>
          <w:color w:val="000000" w:themeColor="text1"/>
          <w:sz w:val="24"/>
          <w:szCs w:val="24"/>
        </w:rPr>
        <w:t>spending</w:t>
      </w:r>
      <w:r w:rsidRPr="00724CA2">
        <w:rPr>
          <w:rFonts w:ascii="Times New Roman" w:hAnsi="Times New Roman" w:cs="Times New Roman"/>
          <w:color w:val="000000" w:themeColor="text1"/>
          <w:sz w:val="24"/>
          <w:szCs w:val="24"/>
        </w:rPr>
        <w:t xml:space="preserve"> </w:t>
      </w:r>
      <w:r w:rsidR="00D01602" w:rsidRPr="00724CA2">
        <w:rPr>
          <w:rFonts w:ascii="Times New Roman" w:hAnsi="Times New Roman" w:cs="Times New Roman"/>
          <w:color w:val="000000" w:themeColor="text1"/>
          <w:sz w:val="24"/>
          <w:szCs w:val="24"/>
        </w:rPr>
        <w:t>decisions</w:t>
      </w:r>
      <w:r w:rsidR="0034773B" w:rsidRPr="00724CA2">
        <w:rPr>
          <w:rFonts w:ascii="Times New Roman" w:hAnsi="Times New Roman" w:cs="Times New Roman"/>
          <w:color w:val="000000" w:themeColor="text1"/>
          <w:sz w:val="24"/>
          <w:szCs w:val="24"/>
        </w:rPr>
        <w:t>.</w:t>
      </w:r>
      <w:r w:rsidR="00D01602" w:rsidRPr="00724CA2">
        <w:rPr>
          <w:rFonts w:ascii="Times New Roman" w:hAnsi="Times New Roman" w:cs="Times New Roman"/>
          <w:color w:val="000000" w:themeColor="text1"/>
          <w:sz w:val="24"/>
          <w:szCs w:val="24"/>
        </w:rPr>
        <w:t xml:space="preserve"> </w:t>
      </w:r>
      <w:r w:rsidRPr="00724CA2">
        <w:rPr>
          <w:rFonts w:ascii="Times New Roman" w:hAnsi="Times New Roman" w:cs="Times New Roman"/>
          <w:color w:val="000000" w:themeColor="text1"/>
          <w:sz w:val="24"/>
          <w:szCs w:val="24"/>
        </w:rPr>
        <w:t xml:space="preserve">Similarly, we assess if </w:t>
      </w:r>
      <w:r w:rsidR="00581EC3" w:rsidRPr="00724CA2">
        <w:rPr>
          <w:rFonts w:ascii="Times New Roman" w:hAnsi="Times New Roman" w:cs="Times New Roman"/>
          <w:color w:val="000000" w:themeColor="text1"/>
          <w:sz w:val="24"/>
          <w:szCs w:val="24"/>
        </w:rPr>
        <w:t xml:space="preserve">environmental spending is </w:t>
      </w:r>
      <w:r w:rsidRPr="00724CA2">
        <w:rPr>
          <w:rFonts w:ascii="Times New Roman" w:hAnsi="Times New Roman" w:cs="Times New Roman"/>
          <w:color w:val="000000" w:themeColor="text1"/>
          <w:sz w:val="24"/>
          <w:szCs w:val="24"/>
        </w:rPr>
        <w:t xml:space="preserve">affected by </w:t>
      </w:r>
      <w:r w:rsidR="00581EC3" w:rsidRPr="00724CA2">
        <w:rPr>
          <w:rFonts w:ascii="Times New Roman" w:hAnsi="Times New Roman" w:cs="Times New Roman"/>
          <w:color w:val="000000" w:themeColor="text1"/>
          <w:sz w:val="24"/>
          <w:szCs w:val="24"/>
        </w:rPr>
        <w:t xml:space="preserve">whether the </w:t>
      </w:r>
      <w:r w:rsidRPr="00724CA2">
        <w:rPr>
          <w:rFonts w:ascii="Times New Roman" w:hAnsi="Times New Roman" w:cs="Times New Roman"/>
          <w:color w:val="000000" w:themeColor="text1"/>
          <w:sz w:val="24"/>
          <w:szCs w:val="24"/>
        </w:rPr>
        <w:t>firm</w:t>
      </w:r>
      <w:r w:rsidR="007C3540" w:rsidRPr="00724CA2">
        <w:rPr>
          <w:rFonts w:ascii="Times New Roman" w:hAnsi="Times New Roman" w:cs="Times New Roman"/>
          <w:color w:val="000000" w:themeColor="text1"/>
          <w:sz w:val="24"/>
          <w:szCs w:val="24"/>
        </w:rPr>
        <w:t xml:space="preserve"> is owned by</w:t>
      </w:r>
      <w:r w:rsidRPr="00724CA2">
        <w:rPr>
          <w:rFonts w:ascii="Times New Roman" w:hAnsi="Times New Roman" w:cs="Times New Roman"/>
          <w:color w:val="000000" w:themeColor="text1"/>
          <w:sz w:val="24"/>
          <w:szCs w:val="24"/>
        </w:rPr>
        <w:t xml:space="preserve"> the state </w:t>
      </w:r>
      <w:r w:rsidR="007C3540" w:rsidRPr="00724CA2">
        <w:rPr>
          <w:rFonts w:ascii="Times New Roman" w:hAnsi="Times New Roman" w:cs="Times New Roman"/>
          <w:color w:val="000000" w:themeColor="text1"/>
          <w:sz w:val="24"/>
          <w:szCs w:val="24"/>
        </w:rPr>
        <w:t>or</w:t>
      </w:r>
      <w:r w:rsidR="0035256E" w:rsidRPr="00724CA2">
        <w:rPr>
          <w:rFonts w:ascii="Times New Roman" w:hAnsi="Times New Roman" w:cs="Times New Roman"/>
          <w:color w:val="000000" w:themeColor="text1"/>
          <w:sz w:val="24"/>
          <w:szCs w:val="24"/>
        </w:rPr>
        <w:t xml:space="preserve"> </w:t>
      </w:r>
      <w:r w:rsidR="00291568" w:rsidRPr="00724CA2">
        <w:rPr>
          <w:rFonts w:ascii="Times New Roman" w:hAnsi="Times New Roman" w:cs="Times New Roman"/>
          <w:color w:val="000000" w:themeColor="text1"/>
          <w:sz w:val="24"/>
          <w:szCs w:val="24"/>
        </w:rPr>
        <w:t xml:space="preserve">state agency </w:t>
      </w:r>
      <w:r w:rsidRPr="00724CA2">
        <w:rPr>
          <w:rFonts w:ascii="Times New Roman" w:hAnsi="Times New Roman" w:cs="Times New Roman"/>
          <w:color w:val="000000" w:themeColor="text1"/>
          <w:sz w:val="24"/>
          <w:szCs w:val="24"/>
        </w:rPr>
        <w:t>(Xu et al</w:t>
      </w:r>
      <w:r w:rsidR="009649DD" w:rsidRPr="00724CA2">
        <w:rPr>
          <w:rFonts w:ascii="Times New Roman" w:hAnsi="Times New Roman" w:cs="Times New Roman"/>
          <w:color w:val="000000" w:themeColor="text1"/>
          <w:sz w:val="24"/>
          <w:szCs w:val="24"/>
        </w:rPr>
        <w:t>.,</w:t>
      </w:r>
      <w:r w:rsidRPr="00724CA2">
        <w:rPr>
          <w:rFonts w:ascii="Times New Roman" w:hAnsi="Times New Roman" w:cs="Times New Roman"/>
          <w:color w:val="000000" w:themeColor="text1"/>
          <w:sz w:val="24"/>
          <w:szCs w:val="24"/>
        </w:rPr>
        <w:t xml:space="preserve"> 2023).</w:t>
      </w:r>
      <w:r w:rsidR="00F33C76" w:rsidRPr="00724CA2">
        <w:rPr>
          <w:rFonts w:ascii="Times New Roman" w:hAnsi="Times New Roman" w:cs="Times New Roman"/>
          <w:color w:val="000000" w:themeColor="text1"/>
          <w:sz w:val="24"/>
          <w:szCs w:val="24"/>
        </w:rPr>
        <w:t xml:space="preserve"> </w:t>
      </w:r>
      <w:r w:rsidR="0034773B" w:rsidRPr="00724CA2">
        <w:rPr>
          <w:rFonts w:ascii="Times New Roman" w:hAnsi="Times New Roman" w:cs="Times New Roman"/>
          <w:color w:val="000000" w:themeColor="text1"/>
          <w:sz w:val="24"/>
          <w:szCs w:val="24"/>
        </w:rPr>
        <w:t>B</w:t>
      </w:r>
      <w:r w:rsidR="00F33C76" w:rsidRPr="00724CA2">
        <w:rPr>
          <w:rFonts w:ascii="Times New Roman" w:hAnsi="Times New Roman" w:cs="Times New Roman"/>
          <w:color w:val="000000" w:themeColor="text1"/>
          <w:sz w:val="24"/>
          <w:szCs w:val="24"/>
        </w:rPr>
        <w:t>oth factors p</w:t>
      </w:r>
      <w:r w:rsidR="009605FB" w:rsidRPr="00724CA2">
        <w:rPr>
          <w:rFonts w:ascii="Times New Roman" w:hAnsi="Times New Roman" w:cs="Times New Roman"/>
          <w:color w:val="000000" w:themeColor="text1"/>
          <w:sz w:val="24"/>
          <w:szCs w:val="24"/>
        </w:rPr>
        <w:t>lay a significant moderating role in the relationship between mutual fund</w:t>
      </w:r>
      <w:r w:rsidR="00BC1821" w:rsidRPr="00724CA2">
        <w:rPr>
          <w:rFonts w:ascii="Times New Roman" w:hAnsi="Times New Roman" w:cs="Times New Roman"/>
          <w:color w:val="000000" w:themeColor="text1"/>
          <w:sz w:val="24"/>
          <w:szCs w:val="24"/>
        </w:rPr>
        <w:t xml:space="preserve"> ownership</w:t>
      </w:r>
      <w:r w:rsidR="009605FB" w:rsidRPr="00724CA2">
        <w:rPr>
          <w:rFonts w:ascii="Times New Roman" w:hAnsi="Times New Roman" w:cs="Times New Roman"/>
          <w:color w:val="000000" w:themeColor="text1"/>
          <w:sz w:val="24"/>
          <w:szCs w:val="24"/>
        </w:rPr>
        <w:t xml:space="preserve"> and corporate environmental spending. </w:t>
      </w:r>
      <w:r w:rsidR="008C1DAE" w:rsidRPr="00724CA2">
        <w:rPr>
          <w:rFonts w:ascii="Times New Roman" w:hAnsi="Times New Roman" w:cs="Times New Roman"/>
          <w:color w:val="000000" w:themeColor="text1"/>
          <w:sz w:val="24"/>
          <w:szCs w:val="24"/>
        </w:rPr>
        <w:t>These results are robust to the mutual f</w:t>
      </w:r>
      <w:r w:rsidR="00730D71" w:rsidRPr="00724CA2">
        <w:rPr>
          <w:rFonts w:ascii="Times New Roman" w:hAnsi="Times New Roman" w:cs="Times New Roman"/>
          <w:color w:val="000000" w:themeColor="text1"/>
          <w:sz w:val="24"/>
          <w:szCs w:val="24"/>
        </w:rPr>
        <w:t>und</w:t>
      </w:r>
      <w:r w:rsidR="00380D02" w:rsidRPr="00724CA2">
        <w:rPr>
          <w:rFonts w:ascii="Times New Roman" w:hAnsi="Times New Roman" w:cs="Times New Roman"/>
          <w:color w:val="000000" w:themeColor="text1"/>
          <w:sz w:val="24"/>
          <w:szCs w:val="24"/>
        </w:rPr>
        <w:t>s</w:t>
      </w:r>
      <w:r w:rsidR="007D3629" w:rsidRPr="00724CA2">
        <w:rPr>
          <w:rFonts w:ascii="Times New Roman" w:hAnsi="Times New Roman" w:cs="Times New Roman"/>
          <w:color w:val="000000" w:themeColor="text1"/>
          <w:sz w:val="24"/>
          <w:szCs w:val="24"/>
        </w:rPr>
        <w:t>’</w:t>
      </w:r>
      <w:r w:rsidR="00380D02" w:rsidRPr="00724CA2">
        <w:rPr>
          <w:rFonts w:ascii="Times New Roman" w:hAnsi="Times New Roman" w:cs="Times New Roman"/>
          <w:color w:val="000000" w:themeColor="text1"/>
          <w:sz w:val="24"/>
          <w:szCs w:val="24"/>
        </w:rPr>
        <w:t xml:space="preserve"> investment objectives</w:t>
      </w:r>
      <w:r w:rsidR="008C1DAE" w:rsidRPr="00724CA2">
        <w:rPr>
          <w:rFonts w:ascii="Times New Roman" w:hAnsi="Times New Roman" w:cs="Times New Roman"/>
          <w:color w:val="000000" w:themeColor="text1"/>
          <w:sz w:val="24"/>
          <w:szCs w:val="24"/>
        </w:rPr>
        <w:t xml:space="preserve">, </w:t>
      </w:r>
      <w:r w:rsidR="007D3629" w:rsidRPr="00724CA2">
        <w:rPr>
          <w:rFonts w:ascii="Times New Roman" w:hAnsi="Times New Roman" w:cs="Times New Roman"/>
          <w:color w:val="000000" w:themeColor="text1"/>
          <w:sz w:val="24"/>
          <w:szCs w:val="24"/>
        </w:rPr>
        <w:t xml:space="preserve">firm </w:t>
      </w:r>
      <w:r w:rsidR="00730D71" w:rsidRPr="00724CA2">
        <w:rPr>
          <w:rFonts w:ascii="Times New Roman" w:hAnsi="Times New Roman" w:cs="Times New Roman"/>
          <w:color w:val="000000" w:themeColor="text1"/>
          <w:sz w:val="24"/>
          <w:szCs w:val="24"/>
        </w:rPr>
        <w:t>size</w:t>
      </w:r>
      <w:r w:rsidR="005D4EDB" w:rsidRPr="00724CA2">
        <w:rPr>
          <w:rFonts w:ascii="Times New Roman" w:hAnsi="Times New Roman" w:cs="Times New Roman"/>
          <w:color w:val="000000" w:themeColor="text1"/>
          <w:sz w:val="24"/>
          <w:szCs w:val="24"/>
        </w:rPr>
        <w:t>,</w:t>
      </w:r>
      <w:r w:rsidR="00730D71" w:rsidRPr="00724CA2">
        <w:rPr>
          <w:rFonts w:ascii="Times New Roman" w:hAnsi="Times New Roman" w:cs="Times New Roman"/>
          <w:color w:val="000000" w:themeColor="text1"/>
          <w:sz w:val="24"/>
          <w:szCs w:val="24"/>
        </w:rPr>
        <w:t xml:space="preserve"> and alternative measures of environment</w:t>
      </w:r>
      <w:r w:rsidR="00E6462A" w:rsidRPr="00724CA2">
        <w:rPr>
          <w:rFonts w:ascii="Times New Roman" w:hAnsi="Times New Roman" w:cs="Times New Roman"/>
          <w:color w:val="000000" w:themeColor="text1"/>
          <w:sz w:val="24"/>
          <w:szCs w:val="24"/>
        </w:rPr>
        <w:t>al</w:t>
      </w:r>
      <w:r w:rsidR="00730D71" w:rsidRPr="00724CA2">
        <w:rPr>
          <w:rFonts w:ascii="Times New Roman" w:hAnsi="Times New Roman" w:cs="Times New Roman"/>
          <w:color w:val="000000" w:themeColor="text1"/>
          <w:sz w:val="24"/>
          <w:szCs w:val="24"/>
        </w:rPr>
        <w:t xml:space="preserve"> spending. </w:t>
      </w:r>
      <w:r w:rsidR="009E552D" w:rsidRPr="009E552D">
        <w:rPr>
          <w:rFonts w:ascii="Times New Roman" w:hAnsi="Times New Roman" w:cs="Times New Roman"/>
          <w:color w:val="000000" w:themeColor="text1"/>
          <w:sz w:val="24"/>
          <w:szCs w:val="24"/>
        </w:rPr>
        <w:t>We also examine the influence of Qualified Foreign Institutional Investors (QFII) and the presence of grey institutions on environmental spending</w:t>
      </w:r>
      <w:r w:rsidR="004E1856" w:rsidRPr="00724CA2">
        <w:rPr>
          <w:rFonts w:ascii="Times New Roman" w:hAnsi="Times New Roman" w:cs="Times New Roman"/>
          <w:color w:val="000000" w:themeColor="text1"/>
          <w:sz w:val="24"/>
          <w:szCs w:val="24"/>
        </w:rPr>
        <w:t xml:space="preserve">.  </w:t>
      </w:r>
      <w:r w:rsidR="00F755C8" w:rsidRPr="00724CA2">
        <w:rPr>
          <w:rFonts w:ascii="Times New Roman" w:hAnsi="Times New Roman" w:cs="Times New Roman"/>
          <w:color w:val="000000" w:themeColor="text1"/>
          <w:sz w:val="24"/>
          <w:szCs w:val="24"/>
        </w:rPr>
        <w:t xml:space="preserve"> </w:t>
      </w:r>
    </w:p>
    <w:p w14:paraId="40E4E6F0" w14:textId="5EA6E69C" w:rsidR="00432B26" w:rsidRPr="00724CA2" w:rsidRDefault="002700C7" w:rsidP="005D0460">
      <w:pPr>
        <w:autoSpaceDE w:val="0"/>
        <w:autoSpaceDN w:val="0"/>
        <w:adjustRightInd w:val="0"/>
        <w:spacing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Th</w:t>
      </w:r>
      <w:r w:rsidR="005D4EDB" w:rsidRPr="00724CA2">
        <w:rPr>
          <w:rFonts w:ascii="Times New Roman" w:hAnsi="Times New Roman" w:cs="Times New Roman"/>
          <w:color w:val="000000" w:themeColor="text1"/>
          <w:sz w:val="24"/>
          <w:szCs w:val="24"/>
        </w:rPr>
        <w:t>is</w:t>
      </w:r>
      <w:r w:rsidRPr="00724CA2">
        <w:rPr>
          <w:rFonts w:ascii="Times New Roman" w:hAnsi="Times New Roman" w:cs="Times New Roman"/>
          <w:color w:val="000000" w:themeColor="text1"/>
          <w:sz w:val="24"/>
          <w:szCs w:val="24"/>
        </w:rPr>
        <w:t xml:space="preserve"> examination of environmental spending compliments </w:t>
      </w:r>
      <w:r w:rsidR="00CB3F9E" w:rsidRPr="00724CA2">
        <w:rPr>
          <w:rFonts w:ascii="Times New Roman" w:hAnsi="Times New Roman" w:cs="Times New Roman"/>
          <w:color w:val="000000" w:themeColor="text1"/>
          <w:sz w:val="24"/>
          <w:szCs w:val="24"/>
        </w:rPr>
        <w:t xml:space="preserve">multiple studies </w:t>
      </w:r>
      <w:r w:rsidRPr="00724CA2">
        <w:rPr>
          <w:rFonts w:ascii="Times New Roman" w:hAnsi="Times New Roman" w:cs="Times New Roman"/>
          <w:color w:val="000000" w:themeColor="text1"/>
          <w:sz w:val="24"/>
          <w:szCs w:val="24"/>
        </w:rPr>
        <w:t xml:space="preserve">examining </w:t>
      </w:r>
      <w:r w:rsidR="001C15F5" w:rsidRPr="00724CA2">
        <w:rPr>
          <w:rFonts w:ascii="Times New Roman" w:hAnsi="Times New Roman" w:cs="Times New Roman"/>
          <w:color w:val="000000" w:themeColor="text1"/>
          <w:sz w:val="24"/>
          <w:szCs w:val="24"/>
        </w:rPr>
        <w:t xml:space="preserve">the </w:t>
      </w:r>
      <w:r w:rsidR="008B399B" w:rsidRPr="00724CA2">
        <w:rPr>
          <w:rFonts w:ascii="Times New Roman" w:hAnsi="Times New Roman" w:cs="Times New Roman"/>
          <w:color w:val="000000" w:themeColor="text1"/>
          <w:sz w:val="24"/>
          <w:szCs w:val="24"/>
        </w:rPr>
        <w:t xml:space="preserve">link between institutional ownership and </w:t>
      </w:r>
      <w:r w:rsidR="00296F01" w:rsidRPr="00296F01">
        <w:rPr>
          <w:rFonts w:ascii="Times New Roman" w:hAnsi="Times New Roman" w:cs="Times New Roman"/>
          <w:color w:val="000000" w:themeColor="text1"/>
          <w:sz w:val="24"/>
          <w:szCs w:val="24"/>
        </w:rPr>
        <w:t xml:space="preserve">Environmental, Social, and Governance </w:t>
      </w:r>
      <w:r w:rsidR="00296F01">
        <w:rPr>
          <w:rFonts w:ascii="Times New Roman" w:hAnsi="Times New Roman" w:cs="Times New Roman"/>
          <w:color w:val="000000" w:themeColor="text1"/>
          <w:sz w:val="24"/>
          <w:szCs w:val="24"/>
        </w:rPr>
        <w:t>(</w:t>
      </w:r>
      <w:r w:rsidR="007E2EC3" w:rsidRPr="00724CA2">
        <w:rPr>
          <w:rFonts w:ascii="Times New Roman" w:hAnsi="Times New Roman" w:cs="Times New Roman"/>
          <w:color w:val="000000" w:themeColor="text1"/>
          <w:sz w:val="24"/>
          <w:szCs w:val="24"/>
        </w:rPr>
        <w:t>ESG</w:t>
      </w:r>
      <w:r w:rsidR="00296F01">
        <w:rPr>
          <w:rFonts w:ascii="Times New Roman" w:hAnsi="Times New Roman" w:cs="Times New Roman"/>
          <w:color w:val="000000" w:themeColor="text1"/>
          <w:sz w:val="24"/>
          <w:szCs w:val="24"/>
        </w:rPr>
        <w:t>)</w:t>
      </w:r>
      <w:r w:rsidR="007E2EC3" w:rsidRPr="00724CA2">
        <w:rPr>
          <w:rFonts w:ascii="Times New Roman" w:hAnsi="Times New Roman" w:cs="Times New Roman"/>
          <w:color w:val="000000" w:themeColor="text1"/>
          <w:sz w:val="24"/>
          <w:szCs w:val="24"/>
        </w:rPr>
        <w:t>/</w:t>
      </w:r>
      <w:r w:rsidR="00296F01" w:rsidRPr="00296F01">
        <w:t xml:space="preserve"> </w:t>
      </w:r>
      <w:r w:rsidR="00296F01" w:rsidRPr="00296F01">
        <w:rPr>
          <w:rFonts w:ascii="Times New Roman" w:hAnsi="Times New Roman" w:cs="Times New Roman"/>
          <w:color w:val="000000" w:themeColor="text1"/>
          <w:sz w:val="24"/>
          <w:szCs w:val="24"/>
        </w:rPr>
        <w:t xml:space="preserve">Corporate Social Responsibility </w:t>
      </w:r>
      <w:r w:rsidR="00296F01">
        <w:rPr>
          <w:rFonts w:ascii="Times New Roman" w:hAnsi="Times New Roman" w:cs="Times New Roman"/>
          <w:color w:val="000000" w:themeColor="text1"/>
          <w:sz w:val="24"/>
          <w:szCs w:val="24"/>
        </w:rPr>
        <w:t>(</w:t>
      </w:r>
      <w:r w:rsidR="007E2EC3" w:rsidRPr="00724CA2">
        <w:rPr>
          <w:rFonts w:ascii="Times New Roman" w:hAnsi="Times New Roman" w:cs="Times New Roman"/>
          <w:color w:val="000000" w:themeColor="text1"/>
          <w:sz w:val="24"/>
          <w:szCs w:val="24"/>
        </w:rPr>
        <w:t>CSR</w:t>
      </w:r>
      <w:r w:rsidR="00296F01">
        <w:rPr>
          <w:rFonts w:ascii="Times New Roman" w:hAnsi="Times New Roman" w:cs="Times New Roman"/>
          <w:color w:val="000000" w:themeColor="text1"/>
          <w:sz w:val="24"/>
          <w:szCs w:val="24"/>
        </w:rPr>
        <w:t>)</w:t>
      </w:r>
      <w:r w:rsidR="007E2EC3" w:rsidRPr="00724CA2">
        <w:rPr>
          <w:rFonts w:ascii="Times New Roman" w:hAnsi="Times New Roman" w:cs="Times New Roman"/>
          <w:color w:val="000000" w:themeColor="text1"/>
          <w:sz w:val="24"/>
          <w:szCs w:val="24"/>
        </w:rPr>
        <w:t xml:space="preserve"> </w:t>
      </w:r>
      <w:r w:rsidR="00CB3F9E" w:rsidRPr="00724CA2">
        <w:rPr>
          <w:rFonts w:ascii="Times New Roman" w:hAnsi="Times New Roman" w:cs="Times New Roman"/>
          <w:color w:val="000000" w:themeColor="text1"/>
          <w:sz w:val="24"/>
          <w:szCs w:val="24"/>
        </w:rPr>
        <w:t xml:space="preserve">indices </w:t>
      </w:r>
      <w:r w:rsidR="006C1208" w:rsidRPr="00724CA2">
        <w:rPr>
          <w:rFonts w:ascii="Times New Roman" w:hAnsi="Times New Roman" w:cs="Times New Roman"/>
          <w:color w:val="000000" w:themeColor="text1"/>
          <w:sz w:val="24"/>
          <w:szCs w:val="24"/>
        </w:rPr>
        <w:t>(</w:t>
      </w:r>
      <w:r w:rsidR="005732EE" w:rsidRPr="00724CA2">
        <w:rPr>
          <w:rFonts w:ascii="Times New Roman" w:hAnsi="Times New Roman" w:cs="Times New Roman"/>
          <w:color w:val="000000" w:themeColor="text1"/>
          <w:sz w:val="24"/>
          <w:szCs w:val="24"/>
        </w:rPr>
        <w:t xml:space="preserve">e.g. </w:t>
      </w:r>
      <w:r w:rsidR="00F152A9" w:rsidRPr="00724CA2">
        <w:rPr>
          <w:rFonts w:ascii="Times New Roman" w:hAnsi="Times New Roman" w:cs="Times New Roman"/>
          <w:color w:val="000000" w:themeColor="text1"/>
          <w:sz w:val="24"/>
          <w:szCs w:val="24"/>
        </w:rPr>
        <w:t xml:space="preserve">Alda, </w:t>
      </w:r>
      <w:r w:rsidR="00A007CE" w:rsidRPr="00724CA2">
        <w:rPr>
          <w:rFonts w:ascii="Times New Roman" w:hAnsi="Times New Roman" w:cs="Times New Roman"/>
          <w:color w:val="000000" w:themeColor="text1"/>
          <w:sz w:val="24"/>
          <w:szCs w:val="24"/>
        </w:rPr>
        <w:t>2018</w:t>
      </w:r>
      <w:r w:rsidR="003C6769" w:rsidRPr="00724CA2">
        <w:rPr>
          <w:rFonts w:ascii="Times New Roman" w:hAnsi="Times New Roman" w:cs="Times New Roman"/>
          <w:color w:val="000000" w:themeColor="text1"/>
          <w:sz w:val="24"/>
          <w:szCs w:val="24"/>
        </w:rPr>
        <w:t>,</w:t>
      </w:r>
      <w:r w:rsidR="0065662B" w:rsidRPr="00724CA2">
        <w:rPr>
          <w:color w:val="000000" w:themeColor="text1"/>
        </w:rPr>
        <w:t xml:space="preserve"> </w:t>
      </w:r>
      <w:r w:rsidR="0065662B" w:rsidRPr="00724CA2">
        <w:rPr>
          <w:rFonts w:ascii="Times New Roman" w:hAnsi="Times New Roman" w:cs="Times New Roman"/>
          <w:color w:val="000000" w:themeColor="text1"/>
          <w:sz w:val="24"/>
          <w:szCs w:val="24"/>
        </w:rPr>
        <w:t>Aluchna et al</w:t>
      </w:r>
      <w:r w:rsidR="00954B0B" w:rsidRPr="00724CA2">
        <w:rPr>
          <w:rFonts w:ascii="Times New Roman" w:hAnsi="Times New Roman" w:cs="Times New Roman"/>
          <w:color w:val="000000" w:themeColor="text1"/>
          <w:sz w:val="24"/>
          <w:szCs w:val="24"/>
        </w:rPr>
        <w:t>.,</w:t>
      </w:r>
      <w:r w:rsidR="0065662B" w:rsidRPr="00724CA2">
        <w:rPr>
          <w:rFonts w:ascii="Times New Roman" w:hAnsi="Times New Roman" w:cs="Times New Roman"/>
          <w:color w:val="000000" w:themeColor="text1"/>
          <w:sz w:val="24"/>
          <w:szCs w:val="24"/>
        </w:rPr>
        <w:t xml:space="preserve"> 2022,</w:t>
      </w:r>
      <w:r w:rsidR="00A007CE" w:rsidRPr="00724CA2">
        <w:rPr>
          <w:rFonts w:ascii="Times New Roman" w:hAnsi="Times New Roman" w:cs="Times New Roman"/>
          <w:color w:val="000000" w:themeColor="text1"/>
          <w:sz w:val="24"/>
          <w:szCs w:val="24"/>
        </w:rPr>
        <w:t xml:space="preserve"> </w:t>
      </w:r>
      <w:r w:rsidR="008C759F" w:rsidRPr="00724CA2">
        <w:rPr>
          <w:rFonts w:ascii="Times New Roman" w:hAnsi="Times New Roman" w:cs="Times New Roman"/>
          <w:color w:val="000000" w:themeColor="text1"/>
          <w:sz w:val="24"/>
          <w:szCs w:val="24"/>
        </w:rPr>
        <w:t>Cheng et al., 2022</w:t>
      </w:r>
      <w:r w:rsidR="003C6769" w:rsidRPr="00724CA2">
        <w:rPr>
          <w:rFonts w:ascii="Times New Roman" w:hAnsi="Times New Roman" w:cs="Times New Roman"/>
          <w:color w:val="000000" w:themeColor="text1"/>
          <w:sz w:val="24"/>
          <w:szCs w:val="24"/>
        </w:rPr>
        <w:t>,</w:t>
      </w:r>
      <w:r w:rsidR="00331AEC" w:rsidRPr="00724CA2">
        <w:rPr>
          <w:rFonts w:ascii="Times New Roman" w:hAnsi="Times New Roman" w:cs="Times New Roman"/>
          <w:color w:val="000000" w:themeColor="text1"/>
          <w:sz w:val="24"/>
          <w:szCs w:val="24"/>
        </w:rPr>
        <w:t xml:space="preserve"> </w:t>
      </w:r>
      <w:r w:rsidR="005732EE" w:rsidRPr="00724CA2">
        <w:rPr>
          <w:rFonts w:ascii="Times New Roman" w:hAnsi="Times New Roman" w:cs="Times New Roman"/>
          <w:color w:val="000000" w:themeColor="text1"/>
          <w:sz w:val="24"/>
          <w:szCs w:val="24"/>
        </w:rPr>
        <w:t>Erhemjamts and Haung</w:t>
      </w:r>
      <w:r w:rsidR="003C6769" w:rsidRPr="00724CA2">
        <w:rPr>
          <w:rFonts w:ascii="Times New Roman" w:hAnsi="Times New Roman" w:cs="Times New Roman"/>
          <w:color w:val="000000" w:themeColor="text1"/>
          <w:sz w:val="24"/>
          <w:szCs w:val="24"/>
        </w:rPr>
        <w:t>,</w:t>
      </w:r>
      <w:r w:rsidR="005732EE" w:rsidRPr="00724CA2">
        <w:rPr>
          <w:rFonts w:ascii="Times New Roman" w:hAnsi="Times New Roman" w:cs="Times New Roman"/>
          <w:color w:val="000000" w:themeColor="text1"/>
          <w:sz w:val="24"/>
          <w:szCs w:val="24"/>
        </w:rPr>
        <w:t xml:space="preserve"> 2019</w:t>
      </w:r>
      <w:r w:rsidR="003C6769" w:rsidRPr="00724CA2">
        <w:rPr>
          <w:rFonts w:ascii="Times New Roman" w:hAnsi="Times New Roman" w:cs="Times New Roman"/>
          <w:color w:val="000000" w:themeColor="text1"/>
          <w:sz w:val="24"/>
          <w:szCs w:val="24"/>
        </w:rPr>
        <w:t>,</w:t>
      </w:r>
      <w:r w:rsidR="008B399B" w:rsidRPr="00724CA2">
        <w:rPr>
          <w:rFonts w:ascii="Times New Roman" w:hAnsi="Times New Roman" w:cs="Times New Roman"/>
          <w:color w:val="000000" w:themeColor="text1"/>
          <w:sz w:val="24"/>
          <w:szCs w:val="24"/>
        </w:rPr>
        <w:t xml:space="preserve"> Harjoto et al., 2017</w:t>
      </w:r>
      <w:r w:rsidR="003C6769" w:rsidRPr="00724CA2">
        <w:rPr>
          <w:rFonts w:ascii="Times New Roman" w:hAnsi="Times New Roman" w:cs="Times New Roman"/>
          <w:color w:val="000000" w:themeColor="text1"/>
          <w:sz w:val="24"/>
          <w:szCs w:val="24"/>
        </w:rPr>
        <w:t>,</w:t>
      </w:r>
      <w:r w:rsidR="008B399B" w:rsidRPr="00724CA2">
        <w:rPr>
          <w:rFonts w:ascii="Times New Roman" w:hAnsi="Times New Roman" w:cs="Times New Roman"/>
          <w:color w:val="000000" w:themeColor="text1"/>
          <w:sz w:val="24"/>
          <w:szCs w:val="24"/>
        </w:rPr>
        <w:t xml:space="preserve"> </w:t>
      </w:r>
      <w:r w:rsidR="007D57E9" w:rsidRPr="00724CA2">
        <w:rPr>
          <w:rFonts w:ascii="Times New Roman" w:hAnsi="Times New Roman" w:cs="Times New Roman"/>
          <w:color w:val="000000" w:themeColor="text1"/>
          <w:sz w:val="24"/>
          <w:szCs w:val="24"/>
        </w:rPr>
        <w:t xml:space="preserve"> </w:t>
      </w:r>
      <w:r w:rsidR="00BC05A7" w:rsidRPr="00724CA2">
        <w:rPr>
          <w:rFonts w:ascii="Times New Roman" w:hAnsi="Times New Roman" w:cs="Times New Roman"/>
          <w:color w:val="000000" w:themeColor="text1"/>
          <w:sz w:val="24"/>
          <w:szCs w:val="24"/>
        </w:rPr>
        <w:t>Jia et al., 2022</w:t>
      </w:r>
      <w:r w:rsidR="003346D0" w:rsidRPr="00724CA2">
        <w:rPr>
          <w:rFonts w:ascii="Times New Roman" w:hAnsi="Times New Roman" w:cs="Times New Roman"/>
          <w:color w:val="000000" w:themeColor="text1"/>
          <w:sz w:val="24"/>
          <w:szCs w:val="24"/>
        </w:rPr>
        <w:t xml:space="preserve">, </w:t>
      </w:r>
      <w:r w:rsidR="00381710" w:rsidRPr="00724CA2">
        <w:rPr>
          <w:rFonts w:ascii="Times New Roman" w:hAnsi="Times New Roman" w:cs="Times New Roman"/>
          <w:color w:val="000000" w:themeColor="text1"/>
          <w:sz w:val="24"/>
          <w:szCs w:val="24"/>
        </w:rPr>
        <w:t xml:space="preserve">Jin et al., 2024, </w:t>
      </w:r>
      <w:r w:rsidR="00085499" w:rsidRPr="00724CA2">
        <w:rPr>
          <w:rFonts w:ascii="Times New Roman" w:hAnsi="Times New Roman" w:cs="Times New Roman"/>
          <w:color w:val="000000" w:themeColor="text1"/>
          <w:sz w:val="24"/>
          <w:szCs w:val="24"/>
        </w:rPr>
        <w:t xml:space="preserve">Li et al., 2021,  </w:t>
      </w:r>
      <w:r w:rsidR="000D23A4" w:rsidRPr="00724CA2">
        <w:rPr>
          <w:rFonts w:ascii="Times New Roman" w:hAnsi="Times New Roman" w:cs="Times New Roman"/>
          <w:color w:val="000000" w:themeColor="text1"/>
          <w:sz w:val="24"/>
          <w:szCs w:val="24"/>
        </w:rPr>
        <w:t>McGuniness et al</w:t>
      </w:r>
      <w:r w:rsidR="003C6769" w:rsidRPr="00724CA2">
        <w:rPr>
          <w:rFonts w:ascii="Times New Roman" w:hAnsi="Times New Roman" w:cs="Times New Roman"/>
          <w:color w:val="000000" w:themeColor="text1"/>
          <w:sz w:val="24"/>
          <w:szCs w:val="24"/>
        </w:rPr>
        <w:t>.,</w:t>
      </w:r>
      <w:r w:rsidR="000D23A4" w:rsidRPr="00724CA2">
        <w:rPr>
          <w:rFonts w:ascii="Times New Roman" w:hAnsi="Times New Roman" w:cs="Times New Roman"/>
          <w:color w:val="000000" w:themeColor="text1"/>
          <w:sz w:val="24"/>
          <w:szCs w:val="24"/>
        </w:rPr>
        <w:t xml:space="preserve"> 2017</w:t>
      </w:r>
      <w:r w:rsidR="003C6769" w:rsidRPr="00724CA2">
        <w:rPr>
          <w:rFonts w:ascii="Times New Roman" w:hAnsi="Times New Roman" w:cs="Times New Roman"/>
          <w:color w:val="000000" w:themeColor="text1"/>
          <w:sz w:val="24"/>
          <w:szCs w:val="24"/>
        </w:rPr>
        <w:t>,</w:t>
      </w:r>
      <w:r w:rsidR="000D23A4" w:rsidRPr="00724CA2">
        <w:rPr>
          <w:rFonts w:ascii="Times New Roman" w:hAnsi="Times New Roman" w:cs="Times New Roman"/>
          <w:color w:val="000000" w:themeColor="text1"/>
          <w:sz w:val="24"/>
          <w:szCs w:val="24"/>
        </w:rPr>
        <w:t xml:space="preserve"> </w:t>
      </w:r>
      <w:r w:rsidR="00702450" w:rsidRPr="00724CA2">
        <w:rPr>
          <w:rFonts w:ascii="Times New Roman" w:hAnsi="Times New Roman" w:cs="Times New Roman"/>
          <w:color w:val="000000" w:themeColor="text1"/>
          <w:sz w:val="24"/>
          <w:szCs w:val="24"/>
        </w:rPr>
        <w:t>Nofsinger et al</w:t>
      </w:r>
      <w:r w:rsidR="003C6769" w:rsidRPr="00724CA2">
        <w:rPr>
          <w:rFonts w:ascii="Times New Roman" w:hAnsi="Times New Roman" w:cs="Times New Roman"/>
          <w:color w:val="000000" w:themeColor="text1"/>
          <w:sz w:val="24"/>
          <w:szCs w:val="24"/>
        </w:rPr>
        <w:t>.,</w:t>
      </w:r>
      <w:r w:rsidR="00702450" w:rsidRPr="00724CA2">
        <w:rPr>
          <w:rFonts w:ascii="Times New Roman" w:hAnsi="Times New Roman" w:cs="Times New Roman"/>
          <w:color w:val="000000" w:themeColor="text1"/>
          <w:sz w:val="24"/>
          <w:szCs w:val="24"/>
        </w:rPr>
        <w:t xml:space="preserve"> 2019</w:t>
      </w:r>
      <w:r w:rsidR="003C6769" w:rsidRPr="00724CA2">
        <w:rPr>
          <w:rFonts w:ascii="Times New Roman" w:hAnsi="Times New Roman" w:cs="Times New Roman"/>
          <w:color w:val="000000" w:themeColor="text1"/>
          <w:sz w:val="24"/>
          <w:szCs w:val="24"/>
        </w:rPr>
        <w:t>,</w:t>
      </w:r>
      <w:r w:rsidR="00EF343B" w:rsidRPr="00724CA2">
        <w:rPr>
          <w:rFonts w:ascii="Times New Roman" w:hAnsi="Times New Roman" w:cs="Times New Roman"/>
          <w:color w:val="000000" w:themeColor="text1"/>
          <w:sz w:val="24"/>
          <w:szCs w:val="24"/>
        </w:rPr>
        <w:t xml:space="preserve"> </w:t>
      </w:r>
      <w:r w:rsidR="00960AAB" w:rsidRPr="00724CA2">
        <w:rPr>
          <w:rFonts w:ascii="Times New Roman" w:hAnsi="Times New Roman" w:cs="Times New Roman"/>
          <w:color w:val="000000" w:themeColor="text1"/>
          <w:sz w:val="24"/>
          <w:szCs w:val="24"/>
        </w:rPr>
        <w:t xml:space="preserve">Utza et al., 2015, </w:t>
      </w:r>
      <w:r w:rsidR="000D23A4" w:rsidRPr="00724CA2">
        <w:rPr>
          <w:rFonts w:ascii="Times New Roman" w:hAnsi="Times New Roman" w:cs="Times New Roman"/>
          <w:color w:val="000000" w:themeColor="text1"/>
          <w:sz w:val="24"/>
          <w:szCs w:val="24"/>
        </w:rPr>
        <w:t>Yahia et al</w:t>
      </w:r>
      <w:r w:rsidR="003C6769" w:rsidRPr="00724CA2">
        <w:rPr>
          <w:rFonts w:ascii="Times New Roman" w:hAnsi="Times New Roman" w:cs="Times New Roman"/>
          <w:color w:val="000000" w:themeColor="text1"/>
          <w:sz w:val="24"/>
          <w:szCs w:val="24"/>
        </w:rPr>
        <w:t>.,</w:t>
      </w:r>
      <w:r w:rsidR="000D23A4" w:rsidRPr="00724CA2">
        <w:rPr>
          <w:rFonts w:ascii="Times New Roman" w:hAnsi="Times New Roman" w:cs="Times New Roman"/>
          <w:color w:val="000000" w:themeColor="text1"/>
          <w:sz w:val="24"/>
          <w:szCs w:val="24"/>
        </w:rPr>
        <w:t xml:space="preserve"> 2023</w:t>
      </w:r>
      <w:r w:rsidR="003C6769" w:rsidRPr="00724CA2">
        <w:rPr>
          <w:rFonts w:ascii="Times New Roman" w:hAnsi="Times New Roman" w:cs="Times New Roman"/>
          <w:color w:val="000000" w:themeColor="text1"/>
          <w:sz w:val="24"/>
          <w:szCs w:val="24"/>
        </w:rPr>
        <w:t>,</w:t>
      </w:r>
      <w:r w:rsidR="000D23A4" w:rsidRPr="00724CA2">
        <w:rPr>
          <w:rFonts w:ascii="Times New Roman" w:hAnsi="Times New Roman" w:cs="Times New Roman"/>
          <w:color w:val="000000" w:themeColor="text1"/>
          <w:sz w:val="24"/>
          <w:szCs w:val="24"/>
        </w:rPr>
        <w:t xml:space="preserve"> </w:t>
      </w:r>
      <w:r w:rsidR="00023C68" w:rsidRPr="00724CA2">
        <w:rPr>
          <w:rFonts w:ascii="Times New Roman" w:hAnsi="Times New Roman" w:cs="Times New Roman"/>
          <w:color w:val="000000" w:themeColor="text1"/>
          <w:sz w:val="24"/>
          <w:szCs w:val="24"/>
        </w:rPr>
        <w:t>Yan et al</w:t>
      </w:r>
      <w:r w:rsidR="003C6769" w:rsidRPr="00724CA2">
        <w:rPr>
          <w:rFonts w:ascii="Times New Roman" w:hAnsi="Times New Roman" w:cs="Times New Roman"/>
          <w:color w:val="000000" w:themeColor="text1"/>
          <w:sz w:val="24"/>
          <w:szCs w:val="24"/>
        </w:rPr>
        <w:t>.,</w:t>
      </w:r>
      <w:r w:rsidR="00023C68" w:rsidRPr="00724CA2">
        <w:rPr>
          <w:rFonts w:ascii="Times New Roman" w:hAnsi="Times New Roman" w:cs="Times New Roman"/>
          <w:color w:val="000000" w:themeColor="text1"/>
          <w:sz w:val="24"/>
          <w:szCs w:val="24"/>
        </w:rPr>
        <w:t xml:space="preserve"> 2021</w:t>
      </w:r>
      <w:r w:rsidR="006C1208" w:rsidRPr="00724CA2">
        <w:rPr>
          <w:rFonts w:ascii="Times New Roman" w:hAnsi="Times New Roman" w:cs="Times New Roman"/>
          <w:color w:val="000000" w:themeColor="text1"/>
          <w:sz w:val="24"/>
          <w:szCs w:val="24"/>
        </w:rPr>
        <w:t>)</w:t>
      </w:r>
      <w:r w:rsidRPr="00724CA2">
        <w:rPr>
          <w:rFonts w:ascii="Times New Roman" w:hAnsi="Times New Roman" w:cs="Times New Roman"/>
          <w:color w:val="000000" w:themeColor="text1"/>
          <w:sz w:val="24"/>
          <w:szCs w:val="24"/>
        </w:rPr>
        <w:t>. T</w:t>
      </w:r>
      <w:r w:rsidR="00557F94" w:rsidRPr="00724CA2">
        <w:rPr>
          <w:rFonts w:ascii="Times New Roman" w:hAnsi="Times New Roman" w:cs="Times New Roman"/>
          <w:color w:val="000000" w:themeColor="text1"/>
          <w:sz w:val="24"/>
          <w:szCs w:val="24"/>
        </w:rPr>
        <w:t>hese</w:t>
      </w:r>
      <w:r w:rsidR="004901AE" w:rsidRPr="00724CA2">
        <w:rPr>
          <w:rFonts w:ascii="Times New Roman" w:hAnsi="Times New Roman" w:cs="Times New Roman"/>
          <w:color w:val="000000" w:themeColor="text1"/>
          <w:sz w:val="24"/>
          <w:szCs w:val="24"/>
        </w:rPr>
        <w:t xml:space="preserve"> synthetic </w:t>
      </w:r>
      <w:r w:rsidR="007C3CA2" w:rsidRPr="00724CA2">
        <w:rPr>
          <w:rFonts w:ascii="Times New Roman" w:hAnsi="Times New Roman" w:cs="Times New Roman"/>
          <w:color w:val="000000" w:themeColor="text1"/>
          <w:sz w:val="24"/>
          <w:szCs w:val="24"/>
        </w:rPr>
        <w:t xml:space="preserve">CSR/ESG </w:t>
      </w:r>
      <w:r w:rsidR="004901AE" w:rsidRPr="00724CA2">
        <w:rPr>
          <w:rFonts w:ascii="Times New Roman" w:hAnsi="Times New Roman" w:cs="Times New Roman"/>
          <w:color w:val="000000" w:themeColor="text1"/>
          <w:sz w:val="24"/>
          <w:szCs w:val="24"/>
        </w:rPr>
        <w:t xml:space="preserve">indices </w:t>
      </w:r>
      <w:r w:rsidR="00557F94" w:rsidRPr="00724CA2">
        <w:rPr>
          <w:rFonts w:ascii="Times New Roman" w:hAnsi="Times New Roman" w:cs="Times New Roman"/>
          <w:color w:val="000000" w:themeColor="text1"/>
          <w:sz w:val="24"/>
          <w:szCs w:val="24"/>
        </w:rPr>
        <w:t xml:space="preserve">are </w:t>
      </w:r>
      <w:r w:rsidR="004901AE" w:rsidRPr="00724CA2">
        <w:rPr>
          <w:rFonts w:ascii="Times New Roman" w:hAnsi="Times New Roman" w:cs="Times New Roman"/>
          <w:color w:val="000000" w:themeColor="text1"/>
          <w:sz w:val="24"/>
          <w:szCs w:val="24"/>
        </w:rPr>
        <w:t xml:space="preserve">constructed using a diversity of methodologies and economic </w:t>
      </w:r>
      <w:r w:rsidR="00B528F3" w:rsidRPr="00724CA2">
        <w:rPr>
          <w:rFonts w:ascii="Times New Roman" w:hAnsi="Times New Roman" w:cs="Times New Roman"/>
          <w:color w:val="000000" w:themeColor="text1"/>
          <w:sz w:val="24"/>
          <w:szCs w:val="24"/>
        </w:rPr>
        <w:t xml:space="preserve">and </w:t>
      </w:r>
      <w:r w:rsidR="00F535C4" w:rsidRPr="00724CA2">
        <w:rPr>
          <w:rFonts w:ascii="Times New Roman" w:hAnsi="Times New Roman" w:cs="Times New Roman"/>
          <w:color w:val="000000" w:themeColor="text1"/>
          <w:sz w:val="24"/>
          <w:szCs w:val="24"/>
        </w:rPr>
        <w:t>social</w:t>
      </w:r>
      <w:r w:rsidR="00B528F3" w:rsidRPr="00724CA2">
        <w:rPr>
          <w:rFonts w:ascii="Times New Roman" w:hAnsi="Times New Roman" w:cs="Times New Roman"/>
          <w:color w:val="000000" w:themeColor="text1"/>
          <w:sz w:val="24"/>
          <w:szCs w:val="24"/>
        </w:rPr>
        <w:t xml:space="preserve"> </w:t>
      </w:r>
      <w:r w:rsidR="004901AE" w:rsidRPr="00724CA2">
        <w:rPr>
          <w:rFonts w:ascii="Times New Roman" w:hAnsi="Times New Roman" w:cs="Times New Roman"/>
          <w:color w:val="000000" w:themeColor="text1"/>
          <w:sz w:val="24"/>
          <w:szCs w:val="24"/>
        </w:rPr>
        <w:t>criteria (Escrig-Olmedo</w:t>
      </w:r>
      <w:r w:rsidR="005544C7" w:rsidRPr="00724CA2">
        <w:rPr>
          <w:rFonts w:ascii="Times New Roman" w:hAnsi="Times New Roman" w:cs="Times New Roman"/>
          <w:color w:val="000000" w:themeColor="text1"/>
          <w:sz w:val="24"/>
          <w:szCs w:val="24"/>
        </w:rPr>
        <w:t>,</w:t>
      </w:r>
      <w:r w:rsidR="004901AE" w:rsidRPr="00724CA2">
        <w:rPr>
          <w:rFonts w:ascii="Times New Roman" w:hAnsi="Times New Roman" w:cs="Times New Roman"/>
          <w:color w:val="000000" w:themeColor="text1"/>
          <w:sz w:val="24"/>
          <w:szCs w:val="24"/>
        </w:rPr>
        <w:t xml:space="preserve"> 2014</w:t>
      </w:r>
      <w:r w:rsidR="005544C7" w:rsidRPr="00724CA2">
        <w:rPr>
          <w:rFonts w:ascii="Times New Roman" w:hAnsi="Times New Roman" w:cs="Times New Roman"/>
          <w:color w:val="000000" w:themeColor="text1"/>
          <w:sz w:val="24"/>
          <w:szCs w:val="24"/>
        </w:rPr>
        <w:t>, Velte, 2022</w:t>
      </w:r>
      <w:r w:rsidR="004901AE" w:rsidRPr="00724CA2">
        <w:rPr>
          <w:rFonts w:ascii="Times New Roman" w:hAnsi="Times New Roman" w:cs="Times New Roman"/>
          <w:color w:val="000000" w:themeColor="text1"/>
          <w:sz w:val="24"/>
          <w:szCs w:val="24"/>
        </w:rPr>
        <w:t>)</w:t>
      </w:r>
      <w:r w:rsidRPr="00724CA2">
        <w:rPr>
          <w:rFonts w:ascii="Times New Roman" w:hAnsi="Times New Roman" w:cs="Times New Roman"/>
          <w:color w:val="000000" w:themeColor="text1"/>
          <w:sz w:val="24"/>
          <w:szCs w:val="24"/>
        </w:rPr>
        <w:t xml:space="preserve"> and u</w:t>
      </w:r>
      <w:r w:rsidR="004901AE" w:rsidRPr="00724CA2">
        <w:rPr>
          <w:rFonts w:ascii="Times New Roman" w:hAnsi="Times New Roman" w:cs="Times New Roman"/>
          <w:color w:val="000000" w:themeColor="text1"/>
          <w:sz w:val="24"/>
          <w:szCs w:val="24"/>
        </w:rPr>
        <w:t xml:space="preserve">nsurprisingly diverge </w:t>
      </w:r>
      <w:r w:rsidR="004F36D6" w:rsidRPr="00724CA2">
        <w:rPr>
          <w:rFonts w:ascii="Times New Roman" w:hAnsi="Times New Roman" w:cs="Times New Roman"/>
          <w:color w:val="000000" w:themeColor="text1"/>
          <w:sz w:val="24"/>
          <w:szCs w:val="24"/>
        </w:rPr>
        <w:t xml:space="preserve">significantly </w:t>
      </w:r>
      <w:r w:rsidR="003569CC" w:rsidRPr="00724CA2">
        <w:rPr>
          <w:rFonts w:ascii="Times New Roman" w:hAnsi="Times New Roman" w:cs="Times New Roman"/>
          <w:color w:val="000000" w:themeColor="text1"/>
          <w:sz w:val="24"/>
          <w:szCs w:val="24"/>
        </w:rPr>
        <w:t xml:space="preserve">from each other </w:t>
      </w:r>
      <w:r w:rsidR="004901AE" w:rsidRPr="00724CA2">
        <w:rPr>
          <w:rFonts w:ascii="Times New Roman" w:hAnsi="Times New Roman" w:cs="Times New Roman"/>
          <w:color w:val="000000" w:themeColor="text1"/>
          <w:sz w:val="24"/>
          <w:szCs w:val="24"/>
        </w:rPr>
        <w:t>(Avramov et al</w:t>
      </w:r>
      <w:r w:rsidR="009A5075" w:rsidRPr="00724CA2">
        <w:rPr>
          <w:rFonts w:ascii="Times New Roman" w:hAnsi="Times New Roman" w:cs="Times New Roman"/>
          <w:color w:val="000000" w:themeColor="text1"/>
          <w:sz w:val="24"/>
          <w:szCs w:val="24"/>
        </w:rPr>
        <w:t>.,</w:t>
      </w:r>
      <w:r w:rsidR="004901AE" w:rsidRPr="00724CA2">
        <w:rPr>
          <w:rFonts w:ascii="Times New Roman" w:hAnsi="Times New Roman" w:cs="Times New Roman"/>
          <w:color w:val="000000" w:themeColor="text1"/>
          <w:sz w:val="24"/>
          <w:szCs w:val="24"/>
        </w:rPr>
        <w:t xml:space="preserve"> 2022, Berg, et al</w:t>
      </w:r>
      <w:r w:rsidR="009A5075" w:rsidRPr="00724CA2">
        <w:rPr>
          <w:rFonts w:ascii="Times New Roman" w:hAnsi="Times New Roman" w:cs="Times New Roman"/>
          <w:color w:val="000000" w:themeColor="text1"/>
          <w:sz w:val="24"/>
          <w:szCs w:val="24"/>
        </w:rPr>
        <w:t>.,</w:t>
      </w:r>
      <w:r w:rsidR="004901AE" w:rsidRPr="00724CA2">
        <w:rPr>
          <w:rFonts w:ascii="Times New Roman" w:hAnsi="Times New Roman" w:cs="Times New Roman"/>
          <w:color w:val="000000" w:themeColor="text1"/>
          <w:sz w:val="24"/>
          <w:szCs w:val="24"/>
        </w:rPr>
        <w:t xml:space="preserve"> 2022, Serafeim and Yoon</w:t>
      </w:r>
      <w:r w:rsidR="009A5075" w:rsidRPr="00724CA2">
        <w:rPr>
          <w:rFonts w:ascii="Times New Roman" w:hAnsi="Times New Roman" w:cs="Times New Roman"/>
          <w:color w:val="000000" w:themeColor="text1"/>
          <w:sz w:val="24"/>
          <w:szCs w:val="24"/>
        </w:rPr>
        <w:t>,</w:t>
      </w:r>
      <w:r w:rsidR="004901AE" w:rsidRPr="00724CA2">
        <w:rPr>
          <w:rFonts w:ascii="Times New Roman" w:hAnsi="Times New Roman" w:cs="Times New Roman"/>
          <w:color w:val="000000" w:themeColor="text1"/>
          <w:sz w:val="24"/>
          <w:szCs w:val="24"/>
        </w:rPr>
        <w:t xml:space="preserve"> 2023</w:t>
      </w:r>
      <w:r w:rsidR="007A6A09" w:rsidRPr="00724CA2">
        <w:rPr>
          <w:rFonts w:ascii="Times New Roman" w:hAnsi="Times New Roman" w:cs="Times New Roman"/>
          <w:color w:val="000000" w:themeColor="text1"/>
          <w:sz w:val="24"/>
          <w:szCs w:val="24"/>
        </w:rPr>
        <w:t>, Tan and Pan</w:t>
      </w:r>
      <w:r w:rsidR="009A5075" w:rsidRPr="00724CA2">
        <w:rPr>
          <w:rFonts w:ascii="Times New Roman" w:hAnsi="Times New Roman" w:cs="Times New Roman"/>
          <w:color w:val="000000" w:themeColor="text1"/>
          <w:sz w:val="24"/>
          <w:szCs w:val="24"/>
        </w:rPr>
        <w:t>,</w:t>
      </w:r>
      <w:r w:rsidR="007A6A09" w:rsidRPr="00724CA2">
        <w:rPr>
          <w:rFonts w:ascii="Times New Roman" w:hAnsi="Times New Roman" w:cs="Times New Roman"/>
          <w:color w:val="000000" w:themeColor="text1"/>
          <w:sz w:val="24"/>
          <w:szCs w:val="24"/>
        </w:rPr>
        <w:t xml:space="preserve"> 2023</w:t>
      </w:r>
      <w:r w:rsidR="00BB71AC" w:rsidRPr="00724CA2">
        <w:rPr>
          <w:rFonts w:ascii="Times New Roman" w:hAnsi="Times New Roman" w:cs="Times New Roman"/>
          <w:color w:val="000000" w:themeColor="text1"/>
          <w:sz w:val="24"/>
          <w:szCs w:val="24"/>
        </w:rPr>
        <w:t>, Wang et al</w:t>
      </w:r>
      <w:r w:rsidR="00B7036B" w:rsidRPr="00724CA2">
        <w:rPr>
          <w:rFonts w:ascii="Times New Roman" w:hAnsi="Times New Roman" w:cs="Times New Roman"/>
          <w:color w:val="000000" w:themeColor="text1"/>
          <w:sz w:val="24"/>
          <w:szCs w:val="24"/>
        </w:rPr>
        <w:t>.,</w:t>
      </w:r>
      <w:r w:rsidR="00BB71AC" w:rsidRPr="00724CA2">
        <w:rPr>
          <w:rFonts w:ascii="Times New Roman" w:hAnsi="Times New Roman" w:cs="Times New Roman"/>
          <w:color w:val="000000" w:themeColor="text1"/>
          <w:sz w:val="24"/>
          <w:szCs w:val="24"/>
        </w:rPr>
        <w:t xml:space="preserve"> 2023</w:t>
      </w:r>
      <w:r w:rsidR="004901AE" w:rsidRPr="00724CA2">
        <w:rPr>
          <w:rFonts w:ascii="Times New Roman" w:hAnsi="Times New Roman" w:cs="Times New Roman"/>
          <w:color w:val="000000" w:themeColor="text1"/>
          <w:sz w:val="24"/>
          <w:szCs w:val="24"/>
        </w:rPr>
        <w:t>)</w:t>
      </w:r>
      <w:r w:rsidR="0035256E" w:rsidRPr="00724CA2">
        <w:rPr>
          <w:rFonts w:ascii="Times New Roman" w:hAnsi="Times New Roman" w:cs="Times New Roman"/>
          <w:color w:val="000000" w:themeColor="text1"/>
          <w:sz w:val="24"/>
          <w:szCs w:val="24"/>
        </w:rPr>
        <w:t>.</w:t>
      </w:r>
      <w:r w:rsidR="004901AE" w:rsidRPr="00724CA2">
        <w:rPr>
          <w:rFonts w:ascii="Times New Roman" w:hAnsi="Times New Roman" w:cs="Times New Roman"/>
          <w:color w:val="000000" w:themeColor="text1"/>
          <w:sz w:val="24"/>
          <w:szCs w:val="24"/>
        </w:rPr>
        <w:t xml:space="preserve"> </w:t>
      </w:r>
      <w:r w:rsidR="00E90C36" w:rsidRPr="00724CA2">
        <w:rPr>
          <w:rFonts w:ascii="Times New Roman" w:hAnsi="Times New Roman" w:cs="Times New Roman"/>
          <w:color w:val="000000" w:themeColor="text1"/>
          <w:sz w:val="24"/>
          <w:szCs w:val="24"/>
        </w:rPr>
        <w:t>Indeed, CSR and ESG metrics are only moderately correlated with corporate environmental spending</w:t>
      </w:r>
      <w:r w:rsidR="002359D0" w:rsidRPr="00724CA2">
        <w:rPr>
          <w:rFonts w:ascii="Times New Roman" w:hAnsi="Times New Roman" w:cs="Times New Roman"/>
          <w:color w:val="000000" w:themeColor="text1"/>
          <w:sz w:val="24"/>
          <w:szCs w:val="24"/>
        </w:rPr>
        <w:t xml:space="preserve"> </w:t>
      </w:r>
      <w:r w:rsidR="00E90C36" w:rsidRPr="00724CA2">
        <w:rPr>
          <w:rFonts w:ascii="Times New Roman" w:hAnsi="Times New Roman" w:cs="Times New Roman"/>
          <w:color w:val="000000" w:themeColor="text1"/>
          <w:sz w:val="24"/>
          <w:szCs w:val="24"/>
        </w:rPr>
        <w:t>(Freiberg et al</w:t>
      </w:r>
      <w:r w:rsidR="009A5075" w:rsidRPr="00724CA2">
        <w:rPr>
          <w:rFonts w:ascii="Times New Roman" w:hAnsi="Times New Roman" w:cs="Times New Roman"/>
          <w:color w:val="000000" w:themeColor="text1"/>
          <w:sz w:val="24"/>
          <w:szCs w:val="24"/>
        </w:rPr>
        <w:t>.,</w:t>
      </w:r>
      <w:r w:rsidR="00E90C36" w:rsidRPr="00724CA2">
        <w:rPr>
          <w:rFonts w:ascii="Times New Roman" w:hAnsi="Times New Roman" w:cs="Times New Roman"/>
          <w:color w:val="000000" w:themeColor="text1"/>
          <w:sz w:val="24"/>
          <w:szCs w:val="24"/>
        </w:rPr>
        <w:t xml:space="preserve"> 2021)</w:t>
      </w:r>
      <w:r w:rsidR="00402F72" w:rsidRPr="00724CA2">
        <w:rPr>
          <w:rFonts w:ascii="Times New Roman" w:hAnsi="Times New Roman" w:cs="Times New Roman"/>
          <w:color w:val="000000" w:themeColor="text1"/>
          <w:sz w:val="24"/>
          <w:szCs w:val="24"/>
        </w:rPr>
        <w:t xml:space="preserve"> and </w:t>
      </w:r>
      <w:r w:rsidR="0034773B" w:rsidRPr="00724CA2">
        <w:rPr>
          <w:rFonts w:ascii="Times New Roman" w:hAnsi="Times New Roman" w:cs="Times New Roman"/>
          <w:color w:val="000000" w:themeColor="text1"/>
          <w:sz w:val="24"/>
          <w:szCs w:val="24"/>
        </w:rPr>
        <w:t xml:space="preserve">can </w:t>
      </w:r>
      <w:r w:rsidR="00402F72" w:rsidRPr="00724CA2">
        <w:rPr>
          <w:rFonts w:ascii="Times New Roman" w:hAnsi="Times New Roman" w:cs="Times New Roman"/>
          <w:color w:val="000000" w:themeColor="text1"/>
          <w:sz w:val="24"/>
          <w:szCs w:val="24"/>
        </w:rPr>
        <w:t>suffer from a lack of accuracy and reliability (Jonsdottir et al</w:t>
      </w:r>
      <w:r w:rsidR="00B7036B" w:rsidRPr="00724CA2">
        <w:rPr>
          <w:rFonts w:ascii="Times New Roman" w:hAnsi="Times New Roman" w:cs="Times New Roman"/>
          <w:color w:val="000000" w:themeColor="text1"/>
          <w:sz w:val="24"/>
          <w:szCs w:val="24"/>
        </w:rPr>
        <w:t>.,</w:t>
      </w:r>
      <w:r w:rsidR="00402F72" w:rsidRPr="00724CA2">
        <w:rPr>
          <w:rFonts w:ascii="Times New Roman" w:hAnsi="Times New Roman" w:cs="Times New Roman"/>
          <w:color w:val="000000" w:themeColor="text1"/>
          <w:sz w:val="24"/>
          <w:szCs w:val="24"/>
        </w:rPr>
        <w:t xml:space="preserve"> 2022).</w:t>
      </w:r>
      <w:r w:rsidR="00B7036B" w:rsidRPr="00724CA2">
        <w:rPr>
          <w:rFonts w:ascii="Times New Roman" w:hAnsi="Times New Roman" w:cs="Times New Roman"/>
          <w:color w:val="000000" w:themeColor="text1"/>
          <w:sz w:val="24"/>
          <w:szCs w:val="24"/>
        </w:rPr>
        <w:t xml:space="preserve"> Predictably</w:t>
      </w:r>
      <w:r w:rsidR="00426996" w:rsidRPr="00724CA2">
        <w:rPr>
          <w:rFonts w:ascii="Times New Roman" w:hAnsi="Times New Roman" w:cs="Times New Roman"/>
          <w:color w:val="000000" w:themeColor="text1"/>
          <w:sz w:val="24"/>
          <w:szCs w:val="24"/>
        </w:rPr>
        <w:t xml:space="preserve"> </w:t>
      </w:r>
      <w:r w:rsidR="009460CC" w:rsidRPr="00724CA2">
        <w:rPr>
          <w:rFonts w:ascii="Times New Roman" w:hAnsi="Times New Roman" w:cs="Times New Roman"/>
          <w:color w:val="000000" w:themeColor="text1"/>
          <w:sz w:val="24"/>
          <w:szCs w:val="24"/>
        </w:rPr>
        <w:t xml:space="preserve">many studies </w:t>
      </w:r>
      <w:r w:rsidR="00401ADE" w:rsidRPr="00724CA2">
        <w:rPr>
          <w:rFonts w:ascii="Times New Roman" w:hAnsi="Times New Roman" w:cs="Times New Roman"/>
          <w:color w:val="000000" w:themeColor="text1"/>
          <w:sz w:val="24"/>
          <w:szCs w:val="24"/>
        </w:rPr>
        <w:t xml:space="preserve">have </w:t>
      </w:r>
      <w:r w:rsidR="00426996" w:rsidRPr="00724CA2">
        <w:rPr>
          <w:rFonts w:ascii="Times New Roman" w:hAnsi="Times New Roman" w:cs="Times New Roman"/>
          <w:color w:val="000000" w:themeColor="text1"/>
          <w:sz w:val="24"/>
          <w:szCs w:val="24"/>
        </w:rPr>
        <w:t>employed</w:t>
      </w:r>
      <w:r w:rsidR="00401ADE" w:rsidRPr="00724CA2">
        <w:rPr>
          <w:rFonts w:ascii="Times New Roman" w:hAnsi="Times New Roman" w:cs="Times New Roman"/>
          <w:color w:val="000000" w:themeColor="text1"/>
          <w:sz w:val="24"/>
          <w:szCs w:val="24"/>
        </w:rPr>
        <w:t xml:space="preserve"> alternative </w:t>
      </w:r>
      <w:r w:rsidR="00133D4E" w:rsidRPr="00724CA2">
        <w:rPr>
          <w:rFonts w:ascii="Times New Roman" w:hAnsi="Times New Roman" w:cs="Times New Roman"/>
          <w:color w:val="000000" w:themeColor="text1"/>
          <w:sz w:val="24"/>
          <w:szCs w:val="24"/>
        </w:rPr>
        <w:t xml:space="preserve">approaches or </w:t>
      </w:r>
      <w:r w:rsidR="00EE1578" w:rsidRPr="00724CA2">
        <w:rPr>
          <w:rFonts w:ascii="Times New Roman" w:hAnsi="Times New Roman" w:cs="Times New Roman"/>
          <w:color w:val="000000" w:themeColor="text1"/>
          <w:sz w:val="24"/>
          <w:szCs w:val="24"/>
        </w:rPr>
        <w:t>metrics</w:t>
      </w:r>
      <w:r w:rsidR="009460CC" w:rsidRPr="00724CA2">
        <w:rPr>
          <w:rFonts w:ascii="Times New Roman" w:hAnsi="Times New Roman" w:cs="Times New Roman"/>
          <w:color w:val="000000" w:themeColor="text1"/>
          <w:sz w:val="24"/>
          <w:szCs w:val="24"/>
        </w:rPr>
        <w:t xml:space="preserve"> to CSR/ESG indices</w:t>
      </w:r>
      <w:r w:rsidR="00EE1578" w:rsidRPr="00724CA2">
        <w:rPr>
          <w:rFonts w:ascii="Times New Roman" w:hAnsi="Times New Roman" w:cs="Times New Roman"/>
          <w:color w:val="000000" w:themeColor="text1"/>
          <w:sz w:val="24"/>
          <w:szCs w:val="24"/>
        </w:rPr>
        <w:t xml:space="preserve"> </w:t>
      </w:r>
      <w:r w:rsidR="009460CC" w:rsidRPr="00724CA2">
        <w:rPr>
          <w:rFonts w:ascii="Times New Roman" w:hAnsi="Times New Roman" w:cs="Times New Roman"/>
          <w:color w:val="000000" w:themeColor="text1"/>
          <w:sz w:val="24"/>
          <w:szCs w:val="24"/>
        </w:rPr>
        <w:t xml:space="preserve">when </w:t>
      </w:r>
      <w:r w:rsidR="009A5075" w:rsidRPr="00724CA2">
        <w:rPr>
          <w:rFonts w:ascii="Times New Roman" w:hAnsi="Times New Roman" w:cs="Times New Roman"/>
          <w:color w:val="000000" w:themeColor="text1"/>
          <w:sz w:val="24"/>
          <w:szCs w:val="24"/>
        </w:rPr>
        <w:t>quantifying</w:t>
      </w:r>
      <w:r w:rsidR="0016398C" w:rsidRPr="00724CA2">
        <w:rPr>
          <w:rFonts w:ascii="Times New Roman" w:hAnsi="Times New Roman" w:cs="Times New Roman"/>
          <w:color w:val="000000" w:themeColor="text1"/>
          <w:sz w:val="24"/>
          <w:szCs w:val="24"/>
        </w:rPr>
        <w:t xml:space="preserve"> </w:t>
      </w:r>
      <w:r w:rsidR="00EC7362" w:rsidRPr="00724CA2">
        <w:rPr>
          <w:rFonts w:ascii="Times New Roman" w:hAnsi="Times New Roman" w:cs="Times New Roman"/>
          <w:color w:val="000000" w:themeColor="text1"/>
          <w:sz w:val="24"/>
          <w:szCs w:val="24"/>
        </w:rPr>
        <w:t>aspects of sustainabl</w:t>
      </w:r>
      <w:r w:rsidR="00426996" w:rsidRPr="00724CA2">
        <w:rPr>
          <w:rFonts w:ascii="Times New Roman" w:hAnsi="Times New Roman" w:cs="Times New Roman"/>
          <w:color w:val="000000" w:themeColor="text1"/>
          <w:sz w:val="24"/>
          <w:szCs w:val="24"/>
        </w:rPr>
        <w:t>e decision making</w:t>
      </w:r>
      <w:r w:rsidR="00EE1578" w:rsidRPr="00724CA2">
        <w:rPr>
          <w:rFonts w:ascii="Times New Roman" w:hAnsi="Times New Roman" w:cs="Times New Roman"/>
          <w:color w:val="000000" w:themeColor="text1"/>
          <w:sz w:val="24"/>
          <w:szCs w:val="24"/>
        </w:rPr>
        <w:t>.</w:t>
      </w:r>
      <w:r w:rsidR="00F504FA" w:rsidRPr="00724CA2">
        <w:rPr>
          <w:rFonts w:ascii="Times New Roman" w:hAnsi="Times New Roman" w:cs="Times New Roman"/>
          <w:color w:val="000000" w:themeColor="text1"/>
          <w:sz w:val="24"/>
          <w:szCs w:val="24"/>
        </w:rPr>
        <w:t xml:space="preserve"> For example </w:t>
      </w:r>
      <w:r w:rsidR="0034773B" w:rsidRPr="00724CA2">
        <w:rPr>
          <w:rFonts w:ascii="Times New Roman" w:hAnsi="Times New Roman" w:cs="Times New Roman"/>
          <w:color w:val="000000" w:themeColor="text1"/>
          <w:sz w:val="24"/>
          <w:szCs w:val="24"/>
        </w:rPr>
        <w:t xml:space="preserve">through </w:t>
      </w:r>
      <w:r w:rsidR="00FA1406" w:rsidRPr="00724CA2">
        <w:rPr>
          <w:rFonts w:ascii="Times New Roman" w:hAnsi="Times New Roman" w:cs="Times New Roman"/>
          <w:color w:val="000000" w:themeColor="text1"/>
          <w:sz w:val="24"/>
          <w:szCs w:val="24"/>
        </w:rPr>
        <w:t xml:space="preserve">assessing </w:t>
      </w:r>
      <w:r w:rsidR="00C5059F" w:rsidRPr="00724CA2">
        <w:rPr>
          <w:rFonts w:ascii="Times New Roman" w:hAnsi="Times New Roman" w:cs="Times New Roman"/>
          <w:color w:val="000000" w:themeColor="text1"/>
          <w:sz w:val="24"/>
          <w:szCs w:val="24"/>
        </w:rPr>
        <w:t xml:space="preserve">investment </w:t>
      </w:r>
      <w:r w:rsidR="00C5059F" w:rsidRPr="00724CA2">
        <w:rPr>
          <w:rFonts w:ascii="Times New Roman" w:hAnsi="Times New Roman" w:cs="Times New Roman"/>
          <w:color w:val="000000" w:themeColor="text1"/>
          <w:sz w:val="24"/>
          <w:szCs w:val="24"/>
        </w:rPr>
        <w:lastRenderedPageBreak/>
        <w:t xml:space="preserve">decisions from </w:t>
      </w:r>
      <w:r w:rsidR="00A32ACC" w:rsidRPr="00724CA2">
        <w:rPr>
          <w:rFonts w:ascii="Times New Roman" w:hAnsi="Times New Roman" w:cs="Times New Roman"/>
          <w:color w:val="000000" w:themeColor="text1"/>
          <w:sz w:val="24"/>
          <w:szCs w:val="24"/>
        </w:rPr>
        <w:t>fund</w:t>
      </w:r>
      <w:r w:rsidR="00FA1406" w:rsidRPr="00724CA2">
        <w:rPr>
          <w:rFonts w:ascii="Times New Roman" w:hAnsi="Times New Roman" w:cs="Times New Roman"/>
          <w:color w:val="000000" w:themeColor="text1"/>
          <w:sz w:val="24"/>
          <w:szCs w:val="24"/>
        </w:rPr>
        <w:t>s</w:t>
      </w:r>
      <w:r w:rsidR="00A32ACC" w:rsidRPr="00724CA2">
        <w:rPr>
          <w:rFonts w:ascii="Times New Roman" w:hAnsi="Times New Roman" w:cs="Times New Roman"/>
          <w:color w:val="000000" w:themeColor="text1"/>
          <w:sz w:val="24"/>
          <w:szCs w:val="24"/>
        </w:rPr>
        <w:t xml:space="preserve"> </w:t>
      </w:r>
      <w:r w:rsidR="00C5059F" w:rsidRPr="00724CA2">
        <w:rPr>
          <w:rFonts w:ascii="Times New Roman" w:hAnsi="Times New Roman" w:cs="Times New Roman"/>
          <w:color w:val="000000" w:themeColor="text1"/>
          <w:sz w:val="24"/>
          <w:szCs w:val="24"/>
        </w:rPr>
        <w:t xml:space="preserve">which use </w:t>
      </w:r>
      <w:r w:rsidR="00650B03" w:rsidRPr="00724CA2">
        <w:rPr>
          <w:rFonts w:ascii="Times New Roman" w:hAnsi="Times New Roman" w:cs="Times New Roman"/>
          <w:color w:val="000000" w:themeColor="text1"/>
          <w:sz w:val="24"/>
          <w:szCs w:val="24"/>
        </w:rPr>
        <w:t>socially responsible criteria (</w:t>
      </w:r>
      <w:r w:rsidR="00603467" w:rsidRPr="00724CA2">
        <w:rPr>
          <w:rFonts w:ascii="Times New Roman" w:hAnsi="Times New Roman" w:cs="Times New Roman"/>
          <w:color w:val="000000" w:themeColor="text1"/>
          <w:sz w:val="24"/>
          <w:szCs w:val="24"/>
        </w:rPr>
        <w:t>Matallín-Salez et al</w:t>
      </w:r>
      <w:r w:rsidR="009A5075" w:rsidRPr="00724CA2">
        <w:rPr>
          <w:rFonts w:ascii="Times New Roman" w:hAnsi="Times New Roman" w:cs="Times New Roman"/>
          <w:color w:val="000000" w:themeColor="text1"/>
          <w:sz w:val="24"/>
          <w:szCs w:val="24"/>
        </w:rPr>
        <w:t>.,</w:t>
      </w:r>
      <w:r w:rsidR="00603467" w:rsidRPr="00724CA2">
        <w:rPr>
          <w:rFonts w:ascii="Times New Roman" w:hAnsi="Times New Roman" w:cs="Times New Roman"/>
          <w:color w:val="000000" w:themeColor="text1"/>
          <w:sz w:val="24"/>
          <w:szCs w:val="24"/>
        </w:rPr>
        <w:t xml:space="preserve"> 2019</w:t>
      </w:r>
      <w:r w:rsidR="00650B03" w:rsidRPr="00724CA2">
        <w:rPr>
          <w:rFonts w:ascii="Times New Roman" w:hAnsi="Times New Roman" w:cs="Times New Roman"/>
          <w:color w:val="000000" w:themeColor="text1"/>
          <w:sz w:val="24"/>
          <w:szCs w:val="24"/>
        </w:rPr>
        <w:t>)</w:t>
      </w:r>
      <w:r w:rsidR="008B7814" w:rsidRPr="00724CA2">
        <w:rPr>
          <w:rFonts w:ascii="Times New Roman" w:hAnsi="Times New Roman" w:cs="Times New Roman"/>
          <w:color w:val="000000" w:themeColor="text1"/>
          <w:sz w:val="24"/>
          <w:szCs w:val="24"/>
        </w:rPr>
        <w:t>,</w:t>
      </w:r>
      <w:r w:rsidR="00650B03" w:rsidRPr="00724CA2">
        <w:rPr>
          <w:rFonts w:ascii="Times New Roman" w:hAnsi="Times New Roman" w:cs="Times New Roman"/>
          <w:color w:val="000000" w:themeColor="text1"/>
          <w:sz w:val="24"/>
          <w:szCs w:val="24"/>
        </w:rPr>
        <w:t xml:space="preserve"> </w:t>
      </w:r>
      <w:r w:rsidR="00876ABB" w:rsidRPr="00724CA2">
        <w:rPr>
          <w:rFonts w:ascii="Times New Roman" w:hAnsi="Times New Roman" w:cs="Times New Roman"/>
          <w:color w:val="000000" w:themeColor="text1"/>
          <w:sz w:val="24"/>
          <w:szCs w:val="24"/>
        </w:rPr>
        <w:t>social capital (Choy et al</w:t>
      </w:r>
      <w:r w:rsidR="00A71137" w:rsidRPr="00724CA2">
        <w:rPr>
          <w:rFonts w:ascii="Times New Roman" w:hAnsi="Times New Roman" w:cs="Times New Roman"/>
          <w:color w:val="000000" w:themeColor="text1"/>
          <w:sz w:val="24"/>
          <w:szCs w:val="24"/>
        </w:rPr>
        <w:t>.,</w:t>
      </w:r>
      <w:r w:rsidR="00876ABB" w:rsidRPr="00724CA2">
        <w:rPr>
          <w:rFonts w:ascii="Times New Roman" w:hAnsi="Times New Roman" w:cs="Times New Roman"/>
          <w:color w:val="000000" w:themeColor="text1"/>
          <w:sz w:val="24"/>
          <w:szCs w:val="24"/>
        </w:rPr>
        <w:t xml:space="preserve"> 2023), </w:t>
      </w:r>
      <w:r w:rsidR="008C15F8" w:rsidRPr="00724CA2">
        <w:rPr>
          <w:rFonts w:ascii="Times New Roman" w:hAnsi="Times New Roman" w:cs="Times New Roman"/>
          <w:color w:val="000000" w:themeColor="text1"/>
          <w:sz w:val="24"/>
          <w:szCs w:val="24"/>
        </w:rPr>
        <w:t xml:space="preserve">or </w:t>
      </w:r>
      <w:r w:rsidR="00A2738B" w:rsidRPr="00724CA2">
        <w:rPr>
          <w:rFonts w:ascii="Times New Roman" w:hAnsi="Times New Roman" w:cs="Times New Roman"/>
          <w:color w:val="000000" w:themeColor="text1"/>
          <w:sz w:val="24"/>
          <w:szCs w:val="24"/>
        </w:rPr>
        <w:t xml:space="preserve">examining </w:t>
      </w:r>
      <w:r w:rsidR="00495B0C" w:rsidRPr="00724CA2">
        <w:rPr>
          <w:rFonts w:ascii="Times New Roman" w:hAnsi="Times New Roman" w:cs="Times New Roman"/>
          <w:color w:val="000000" w:themeColor="text1"/>
          <w:sz w:val="24"/>
          <w:szCs w:val="24"/>
        </w:rPr>
        <w:t>voluntary corporate social performance (CSP)</w:t>
      </w:r>
      <w:r w:rsidR="00AC6E80" w:rsidRPr="00724CA2">
        <w:rPr>
          <w:rFonts w:ascii="Times New Roman" w:hAnsi="Times New Roman" w:cs="Times New Roman"/>
          <w:color w:val="000000" w:themeColor="text1"/>
          <w:sz w:val="24"/>
          <w:szCs w:val="24"/>
        </w:rPr>
        <w:t xml:space="preserve"> </w:t>
      </w:r>
      <w:r w:rsidR="00CC5991" w:rsidRPr="00724CA2">
        <w:rPr>
          <w:rFonts w:ascii="Times New Roman" w:hAnsi="Times New Roman" w:cs="Times New Roman"/>
          <w:color w:val="000000" w:themeColor="text1"/>
          <w:sz w:val="24"/>
          <w:szCs w:val="24"/>
        </w:rPr>
        <w:t>targets</w:t>
      </w:r>
      <w:r w:rsidR="00F43495" w:rsidRPr="00724CA2">
        <w:rPr>
          <w:rFonts w:ascii="Times New Roman" w:hAnsi="Times New Roman" w:cs="Times New Roman"/>
          <w:color w:val="000000" w:themeColor="text1"/>
          <w:sz w:val="24"/>
          <w:szCs w:val="24"/>
        </w:rPr>
        <w:t xml:space="preserve"> </w:t>
      </w:r>
      <w:r w:rsidR="00AC6E80" w:rsidRPr="00724CA2">
        <w:rPr>
          <w:rFonts w:ascii="Times New Roman" w:hAnsi="Times New Roman" w:cs="Times New Roman"/>
          <w:color w:val="000000" w:themeColor="text1"/>
          <w:sz w:val="24"/>
          <w:szCs w:val="24"/>
        </w:rPr>
        <w:t>(</w:t>
      </w:r>
      <w:r w:rsidR="00BA3E3F" w:rsidRPr="00724CA2">
        <w:rPr>
          <w:rFonts w:ascii="Times New Roman" w:hAnsi="Times New Roman" w:cs="Times New Roman"/>
          <w:color w:val="000000" w:themeColor="text1"/>
          <w:sz w:val="24"/>
          <w:szCs w:val="24"/>
        </w:rPr>
        <w:t>Wang and Chen</w:t>
      </w:r>
      <w:r w:rsidR="009A5075" w:rsidRPr="00724CA2">
        <w:rPr>
          <w:rFonts w:ascii="Times New Roman" w:hAnsi="Times New Roman" w:cs="Times New Roman"/>
          <w:color w:val="000000" w:themeColor="text1"/>
          <w:sz w:val="24"/>
          <w:szCs w:val="24"/>
        </w:rPr>
        <w:t>.,</w:t>
      </w:r>
      <w:r w:rsidR="00BA3E3F" w:rsidRPr="00724CA2">
        <w:rPr>
          <w:rFonts w:ascii="Times New Roman" w:hAnsi="Times New Roman" w:cs="Times New Roman"/>
          <w:color w:val="000000" w:themeColor="text1"/>
          <w:sz w:val="24"/>
          <w:szCs w:val="24"/>
        </w:rPr>
        <w:t xml:space="preserve"> 2017</w:t>
      </w:r>
      <w:r w:rsidR="00AC6E80" w:rsidRPr="00724CA2">
        <w:rPr>
          <w:rFonts w:ascii="Times New Roman" w:hAnsi="Times New Roman" w:cs="Times New Roman"/>
          <w:color w:val="000000" w:themeColor="text1"/>
          <w:sz w:val="24"/>
          <w:szCs w:val="24"/>
        </w:rPr>
        <w:t>)</w:t>
      </w:r>
      <w:r w:rsidR="00FE58E9" w:rsidRPr="00724CA2">
        <w:rPr>
          <w:rFonts w:ascii="Times New Roman" w:hAnsi="Times New Roman" w:cs="Times New Roman"/>
          <w:color w:val="000000" w:themeColor="text1"/>
          <w:sz w:val="24"/>
          <w:szCs w:val="24"/>
        </w:rPr>
        <w:t>, compliance violations (Raghunandan and Rajgopal</w:t>
      </w:r>
      <w:r w:rsidR="00091D33" w:rsidRPr="00724CA2">
        <w:rPr>
          <w:rFonts w:ascii="Times New Roman" w:hAnsi="Times New Roman" w:cs="Times New Roman"/>
          <w:color w:val="000000" w:themeColor="text1"/>
          <w:sz w:val="24"/>
          <w:szCs w:val="24"/>
        </w:rPr>
        <w:t>,</w:t>
      </w:r>
      <w:r w:rsidR="00FE58E9" w:rsidRPr="00724CA2">
        <w:rPr>
          <w:rFonts w:ascii="Times New Roman" w:hAnsi="Times New Roman" w:cs="Times New Roman"/>
          <w:color w:val="000000" w:themeColor="text1"/>
          <w:sz w:val="24"/>
          <w:szCs w:val="24"/>
        </w:rPr>
        <w:t xml:space="preserve"> 2022), </w:t>
      </w:r>
      <w:r w:rsidR="00E06AB2" w:rsidRPr="00724CA2">
        <w:rPr>
          <w:rFonts w:ascii="Times New Roman" w:hAnsi="Times New Roman" w:cs="Times New Roman"/>
          <w:color w:val="000000" w:themeColor="text1"/>
          <w:sz w:val="24"/>
          <w:szCs w:val="24"/>
        </w:rPr>
        <w:t>sustainability reports (García-Sánchez et al</w:t>
      </w:r>
      <w:r w:rsidR="009A5075" w:rsidRPr="00724CA2">
        <w:rPr>
          <w:rFonts w:ascii="Times New Roman" w:hAnsi="Times New Roman" w:cs="Times New Roman"/>
          <w:color w:val="000000" w:themeColor="text1"/>
          <w:sz w:val="24"/>
          <w:szCs w:val="24"/>
        </w:rPr>
        <w:t>.,</w:t>
      </w:r>
      <w:r w:rsidR="00E06AB2" w:rsidRPr="00724CA2">
        <w:rPr>
          <w:rFonts w:ascii="Times New Roman" w:hAnsi="Times New Roman" w:cs="Times New Roman"/>
          <w:color w:val="000000" w:themeColor="text1"/>
          <w:sz w:val="24"/>
          <w:szCs w:val="24"/>
        </w:rPr>
        <w:t xml:space="preserve"> 2020)</w:t>
      </w:r>
      <w:r w:rsidR="001505CC" w:rsidRPr="00724CA2">
        <w:rPr>
          <w:rFonts w:ascii="Times New Roman" w:hAnsi="Times New Roman" w:cs="Times New Roman"/>
          <w:color w:val="000000" w:themeColor="text1"/>
          <w:sz w:val="24"/>
          <w:szCs w:val="24"/>
        </w:rPr>
        <w:t xml:space="preserve">, corporate site visits by institutional investors (Jiang et al 2022), </w:t>
      </w:r>
      <w:r w:rsidR="008B7814" w:rsidRPr="00724CA2">
        <w:rPr>
          <w:rFonts w:ascii="Times New Roman" w:hAnsi="Times New Roman" w:cs="Times New Roman"/>
          <w:color w:val="000000" w:themeColor="text1"/>
          <w:sz w:val="24"/>
          <w:szCs w:val="24"/>
        </w:rPr>
        <w:t xml:space="preserve">or </w:t>
      </w:r>
      <w:r w:rsidR="008B3A68" w:rsidRPr="00724CA2">
        <w:rPr>
          <w:rFonts w:ascii="Times New Roman" w:hAnsi="Times New Roman" w:cs="Times New Roman"/>
          <w:color w:val="000000" w:themeColor="text1"/>
          <w:sz w:val="24"/>
          <w:szCs w:val="24"/>
        </w:rPr>
        <w:t>patent data (Xu et al</w:t>
      </w:r>
      <w:r w:rsidR="009A5075" w:rsidRPr="00724CA2">
        <w:rPr>
          <w:rFonts w:ascii="Times New Roman" w:hAnsi="Times New Roman" w:cs="Times New Roman"/>
          <w:color w:val="000000" w:themeColor="text1"/>
          <w:sz w:val="24"/>
          <w:szCs w:val="24"/>
        </w:rPr>
        <w:t>.,</w:t>
      </w:r>
      <w:r w:rsidR="008B3A68" w:rsidRPr="00724CA2">
        <w:rPr>
          <w:rFonts w:ascii="Times New Roman" w:hAnsi="Times New Roman" w:cs="Times New Roman"/>
          <w:color w:val="000000" w:themeColor="text1"/>
          <w:sz w:val="24"/>
          <w:szCs w:val="24"/>
        </w:rPr>
        <w:t xml:space="preserve"> 2023)</w:t>
      </w:r>
      <w:r w:rsidR="00EE1906" w:rsidRPr="00724CA2">
        <w:rPr>
          <w:rFonts w:ascii="Times New Roman" w:hAnsi="Times New Roman" w:cs="Times New Roman"/>
          <w:color w:val="000000" w:themeColor="text1"/>
          <w:sz w:val="24"/>
          <w:szCs w:val="24"/>
        </w:rPr>
        <w:t>.</w:t>
      </w:r>
      <w:r w:rsidR="005735F4">
        <w:rPr>
          <w:rStyle w:val="FootnoteReference"/>
          <w:rFonts w:ascii="Times New Roman" w:hAnsi="Times New Roman" w:cs="Times New Roman"/>
          <w:color w:val="000000" w:themeColor="text1"/>
          <w:sz w:val="24"/>
          <w:szCs w:val="24"/>
        </w:rPr>
        <w:footnoteReference w:id="1"/>
      </w:r>
    </w:p>
    <w:p w14:paraId="4B628097" w14:textId="09D99155" w:rsidR="00B11FFE" w:rsidRPr="00724CA2" w:rsidRDefault="00CD6B05" w:rsidP="005D0460">
      <w:pPr>
        <w:spacing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O</w:t>
      </w:r>
      <w:r w:rsidR="001E7EDF" w:rsidRPr="00724CA2">
        <w:rPr>
          <w:rFonts w:ascii="Times New Roman" w:hAnsi="Times New Roman" w:cs="Times New Roman"/>
          <w:color w:val="000000" w:themeColor="text1"/>
          <w:sz w:val="24"/>
          <w:szCs w:val="24"/>
        </w:rPr>
        <w:t xml:space="preserve">ur paper is </w:t>
      </w:r>
      <w:r w:rsidR="004976E8" w:rsidRPr="00724CA2">
        <w:rPr>
          <w:rFonts w:ascii="Times New Roman" w:hAnsi="Times New Roman" w:cs="Times New Roman"/>
          <w:color w:val="000000" w:themeColor="text1"/>
          <w:sz w:val="24"/>
          <w:szCs w:val="24"/>
        </w:rPr>
        <w:t>builds upon</w:t>
      </w:r>
      <w:r w:rsidR="001E7EDF" w:rsidRPr="00724CA2">
        <w:rPr>
          <w:rFonts w:ascii="Times New Roman" w:hAnsi="Times New Roman" w:cs="Times New Roman"/>
          <w:color w:val="000000" w:themeColor="text1"/>
          <w:sz w:val="24"/>
          <w:szCs w:val="24"/>
        </w:rPr>
        <w:t xml:space="preserve"> the</w:t>
      </w:r>
      <w:r w:rsidR="00277959" w:rsidRPr="00724CA2">
        <w:rPr>
          <w:rFonts w:ascii="Times New Roman" w:hAnsi="Times New Roman" w:cs="Times New Roman"/>
          <w:color w:val="000000" w:themeColor="text1"/>
          <w:sz w:val="24"/>
          <w:szCs w:val="24"/>
        </w:rPr>
        <w:t>se contributions and specifically the</w:t>
      </w:r>
      <w:r w:rsidR="001E7EDF" w:rsidRPr="00724CA2">
        <w:rPr>
          <w:rFonts w:ascii="Times New Roman" w:hAnsi="Times New Roman" w:cs="Times New Roman"/>
          <w:color w:val="000000" w:themeColor="text1"/>
          <w:sz w:val="24"/>
          <w:szCs w:val="24"/>
        </w:rPr>
        <w:t xml:space="preserve"> work of Drobetz et al</w:t>
      </w:r>
      <w:r w:rsidR="00020F8C" w:rsidRPr="00724CA2">
        <w:rPr>
          <w:rFonts w:ascii="Times New Roman" w:hAnsi="Times New Roman" w:cs="Times New Roman"/>
          <w:color w:val="000000" w:themeColor="text1"/>
          <w:sz w:val="24"/>
          <w:szCs w:val="24"/>
        </w:rPr>
        <w:t>.</w:t>
      </w:r>
      <w:r w:rsidR="009A5075" w:rsidRPr="00724CA2">
        <w:rPr>
          <w:rFonts w:ascii="Times New Roman" w:hAnsi="Times New Roman" w:cs="Times New Roman"/>
          <w:color w:val="000000" w:themeColor="text1"/>
          <w:sz w:val="24"/>
          <w:szCs w:val="24"/>
        </w:rPr>
        <w:t>,</w:t>
      </w:r>
      <w:r w:rsidR="001E7EDF" w:rsidRPr="00724CA2">
        <w:rPr>
          <w:rFonts w:ascii="Times New Roman" w:hAnsi="Times New Roman" w:cs="Times New Roman"/>
          <w:color w:val="000000" w:themeColor="text1"/>
          <w:sz w:val="24"/>
          <w:szCs w:val="24"/>
        </w:rPr>
        <w:t xml:space="preserve"> (202</w:t>
      </w:r>
      <w:r w:rsidR="001F2A1B">
        <w:rPr>
          <w:rFonts w:ascii="Times New Roman" w:hAnsi="Times New Roman" w:cs="Times New Roman"/>
          <w:color w:val="000000" w:themeColor="text1"/>
          <w:sz w:val="24"/>
          <w:szCs w:val="24"/>
        </w:rPr>
        <w:t>4</w:t>
      </w:r>
      <w:r w:rsidR="001E7EDF" w:rsidRPr="00724CA2">
        <w:rPr>
          <w:rFonts w:ascii="Times New Roman" w:hAnsi="Times New Roman" w:cs="Times New Roman"/>
          <w:color w:val="000000" w:themeColor="text1"/>
          <w:sz w:val="24"/>
          <w:szCs w:val="24"/>
        </w:rPr>
        <w:t>)</w:t>
      </w:r>
      <w:r w:rsidR="0054335C" w:rsidRPr="00724CA2">
        <w:rPr>
          <w:rFonts w:ascii="Times New Roman" w:hAnsi="Times New Roman" w:cs="Times New Roman"/>
          <w:color w:val="000000" w:themeColor="text1"/>
          <w:sz w:val="24"/>
          <w:szCs w:val="24"/>
        </w:rPr>
        <w:t xml:space="preserve"> </w:t>
      </w:r>
      <w:r w:rsidR="00990A7E" w:rsidRPr="00724CA2">
        <w:rPr>
          <w:rFonts w:ascii="Times New Roman" w:hAnsi="Times New Roman" w:cs="Times New Roman"/>
          <w:color w:val="000000" w:themeColor="text1"/>
          <w:sz w:val="24"/>
          <w:szCs w:val="24"/>
        </w:rPr>
        <w:t xml:space="preserve">who examined </w:t>
      </w:r>
      <w:r w:rsidR="00E50D99" w:rsidRPr="00724CA2">
        <w:rPr>
          <w:rFonts w:ascii="Times New Roman" w:hAnsi="Times New Roman" w:cs="Times New Roman"/>
          <w:color w:val="000000" w:themeColor="text1"/>
          <w:sz w:val="24"/>
          <w:szCs w:val="24"/>
        </w:rPr>
        <w:t xml:space="preserve">the relationship between </w:t>
      </w:r>
      <w:r w:rsidR="001E7EDF" w:rsidRPr="00724CA2">
        <w:rPr>
          <w:rFonts w:ascii="Times New Roman" w:hAnsi="Times New Roman" w:cs="Times New Roman"/>
          <w:color w:val="000000" w:themeColor="text1"/>
          <w:sz w:val="24"/>
          <w:szCs w:val="24"/>
        </w:rPr>
        <w:t xml:space="preserve">institutional ownership internationally and levels of corporate environmental </w:t>
      </w:r>
      <w:r w:rsidR="00F74E31">
        <w:rPr>
          <w:rFonts w:ascii="Times New Roman" w:hAnsi="Times New Roman" w:cs="Times New Roman"/>
          <w:color w:val="000000" w:themeColor="text1"/>
          <w:sz w:val="24"/>
          <w:szCs w:val="24"/>
        </w:rPr>
        <w:t>costs</w:t>
      </w:r>
      <w:r w:rsidR="00990A7E" w:rsidRPr="00724CA2">
        <w:rPr>
          <w:rFonts w:ascii="Times New Roman" w:hAnsi="Times New Roman" w:cs="Times New Roman"/>
          <w:color w:val="000000" w:themeColor="text1"/>
          <w:sz w:val="24"/>
          <w:szCs w:val="24"/>
        </w:rPr>
        <w:t xml:space="preserve">. This study </w:t>
      </w:r>
      <w:r w:rsidR="002A2F94" w:rsidRPr="00724CA2">
        <w:rPr>
          <w:rFonts w:ascii="Times New Roman" w:hAnsi="Times New Roman" w:cs="Times New Roman"/>
          <w:color w:val="000000" w:themeColor="text1"/>
          <w:sz w:val="24"/>
          <w:szCs w:val="24"/>
        </w:rPr>
        <w:t>report</w:t>
      </w:r>
      <w:r w:rsidR="00990A7E" w:rsidRPr="00724CA2">
        <w:rPr>
          <w:rFonts w:ascii="Times New Roman" w:hAnsi="Times New Roman" w:cs="Times New Roman"/>
          <w:color w:val="000000" w:themeColor="text1"/>
          <w:sz w:val="24"/>
          <w:szCs w:val="24"/>
        </w:rPr>
        <w:t>ed</w:t>
      </w:r>
      <w:r w:rsidR="002A2F94" w:rsidRPr="00724CA2">
        <w:rPr>
          <w:rFonts w:ascii="Times New Roman" w:hAnsi="Times New Roman" w:cs="Times New Roman"/>
          <w:color w:val="000000" w:themeColor="text1"/>
          <w:sz w:val="24"/>
          <w:szCs w:val="24"/>
        </w:rPr>
        <w:t xml:space="preserve"> </w:t>
      </w:r>
      <w:r w:rsidR="001E7EDF" w:rsidRPr="00724CA2">
        <w:rPr>
          <w:rFonts w:ascii="Times New Roman" w:hAnsi="Times New Roman" w:cs="Times New Roman"/>
          <w:color w:val="000000" w:themeColor="text1"/>
          <w:sz w:val="24"/>
          <w:szCs w:val="24"/>
        </w:rPr>
        <w:t xml:space="preserve">foreign institutional ownership constrains environmental </w:t>
      </w:r>
      <w:r w:rsidR="00F74E31">
        <w:rPr>
          <w:rFonts w:ascii="Times New Roman" w:hAnsi="Times New Roman" w:cs="Times New Roman"/>
          <w:color w:val="000000" w:themeColor="text1"/>
          <w:sz w:val="24"/>
          <w:szCs w:val="24"/>
        </w:rPr>
        <w:t>costs</w:t>
      </w:r>
      <w:r w:rsidR="00260A83" w:rsidRPr="00724CA2">
        <w:rPr>
          <w:rFonts w:ascii="Times New Roman" w:hAnsi="Times New Roman" w:cs="Times New Roman"/>
          <w:color w:val="000000" w:themeColor="text1"/>
          <w:sz w:val="24"/>
          <w:szCs w:val="24"/>
        </w:rPr>
        <w:t xml:space="preserve"> and</w:t>
      </w:r>
      <w:r w:rsidR="00E01259" w:rsidRPr="00724CA2">
        <w:rPr>
          <w:rFonts w:ascii="Times New Roman" w:hAnsi="Times New Roman" w:cs="Times New Roman"/>
          <w:color w:val="000000" w:themeColor="text1"/>
          <w:sz w:val="24"/>
          <w:szCs w:val="24"/>
        </w:rPr>
        <w:t xml:space="preserve"> </w:t>
      </w:r>
      <w:r w:rsidR="0054140F" w:rsidRPr="00724CA2">
        <w:rPr>
          <w:rFonts w:ascii="Times New Roman" w:hAnsi="Times New Roman" w:cs="Times New Roman"/>
          <w:color w:val="000000" w:themeColor="text1"/>
          <w:sz w:val="24"/>
          <w:szCs w:val="24"/>
        </w:rPr>
        <w:t xml:space="preserve">generates </w:t>
      </w:r>
      <w:r w:rsidR="00E01259" w:rsidRPr="00724CA2">
        <w:rPr>
          <w:rFonts w:ascii="Times New Roman" w:hAnsi="Times New Roman" w:cs="Times New Roman"/>
          <w:color w:val="000000" w:themeColor="text1"/>
          <w:sz w:val="24"/>
          <w:szCs w:val="24"/>
        </w:rPr>
        <w:t>substitutability between the firms’ governance and institutional owners</w:t>
      </w:r>
      <w:r w:rsidR="001E7EDF" w:rsidRPr="00724CA2">
        <w:rPr>
          <w:rFonts w:ascii="Times New Roman" w:hAnsi="Times New Roman" w:cs="Times New Roman"/>
          <w:color w:val="000000" w:themeColor="text1"/>
          <w:sz w:val="24"/>
          <w:szCs w:val="24"/>
        </w:rPr>
        <w:t>.</w:t>
      </w:r>
      <w:r w:rsidR="00E50D99" w:rsidRPr="00724CA2">
        <w:rPr>
          <w:rFonts w:ascii="Times New Roman" w:hAnsi="Times New Roman" w:cs="Times New Roman"/>
          <w:color w:val="000000" w:themeColor="text1"/>
          <w:sz w:val="24"/>
          <w:szCs w:val="24"/>
        </w:rPr>
        <w:t xml:space="preserve"> </w:t>
      </w:r>
      <w:r w:rsidR="00660FC9" w:rsidRPr="00724CA2">
        <w:rPr>
          <w:rFonts w:ascii="Times New Roman" w:hAnsi="Times New Roman" w:cs="Times New Roman"/>
          <w:color w:val="000000" w:themeColor="text1"/>
          <w:sz w:val="24"/>
          <w:szCs w:val="24"/>
        </w:rPr>
        <w:t>Our research differs from th</w:t>
      </w:r>
      <w:r w:rsidR="0045244C" w:rsidRPr="00724CA2">
        <w:rPr>
          <w:rFonts w:ascii="Times New Roman" w:hAnsi="Times New Roman" w:cs="Times New Roman"/>
          <w:color w:val="000000" w:themeColor="text1"/>
          <w:sz w:val="24"/>
          <w:szCs w:val="24"/>
        </w:rPr>
        <w:t xml:space="preserve">is </w:t>
      </w:r>
      <w:r w:rsidR="00660FC9" w:rsidRPr="00724CA2">
        <w:rPr>
          <w:rFonts w:ascii="Times New Roman" w:hAnsi="Times New Roman" w:cs="Times New Roman"/>
          <w:color w:val="000000" w:themeColor="text1"/>
          <w:sz w:val="24"/>
          <w:szCs w:val="24"/>
        </w:rPr>
        <w:t xml:space="preserve">contribution </w:t>
      </w:r>
      <w:r w:rsidR="00D254D2" w:rsidRPr="00724CA2">
        <w:rPr>
          <w:rFonts w:ascii="Times New Roman" w:hAnsi="Times New Roman" w:cs="Times New Roman"/>
          <w:color w:val="000000" w:themeColor="text1"/>
          <w:sz w:val="24"/>
          <w:szCs w:val="24"/>
        </w:rPr>
        <w:t>by</w:t>
      </w:r>
      <w:r w:rsidR="00660FC9" w:rsidRPr="00724CA2">
        <w:rPr>
          <w:rFonts w:ascii="Times New Roman" w:hAnsi="Times New Roman" w:cs="Times New Roman"/>
          <w:color w:val="000000" w:themeColor="text1"/>
          <w:sz w:val="24"/>
          <w:szCs w:val="24"/>
        </w:rPr>
        <w:t xml:space="preserve"> examining </w:t>
      </w:r>
      <w:r w:rsidR="00277959" w:rsidRPr="00724CA2">
        <w:rPr>
          <w:rFonts w:ascii="Times New Roman" w:hAnsi="Times New Roman" w:cs="Times New Roman"/>
          <w:color w:val="000000" w:themeColor="text1"/>
          <w:sz w:val="24"/>
          <w:szCs w:val="24"/>
        </w:rPr>
        <w:t xml:space="preserve">how </w:t>
      </w:r>
      <w:r w:rsidR="00660FC9" w:rsidRPr="00724CA2">
        <w:rPr>
          <w:rFonts w:ascii="Times New Roman" w:hAnsi="Times New Roman" w:cs="Times New Roman"/>
          <w:color w:val="000000" w:themeColor="text1"/>
          <w:sz w:val="24"/>
          <w:szCs w:val="24"/>
        </w:rPr>
        <w:t xml:space="preserve">mutual funds </w:t>
      </w:r>
      <w:r w:rsidR="00683764" w:rsidRPr="00724CA2">
        <w:rPr>
          <w:rFonts w:ascii="Times New Roman" w:hAnsi="Times New Roman" w:cs="Times New Roman"/>
          <w:color w:val="000000" w:themeColor="text1"/>
          <w:sz w:val="24"/>
          <w:szCs w:val="24"/>
        </w:rPr>
        <w:t>interact</w:t>
      </w:r>
      <w:r w:rsidR="00A262BB" w:rsidRPr="00724CA2">
        <w:rPr>
          <w:rFonts w:ascii="Times New Roman" w:hAnsi="Times New Roman" w:cs="Times New Roman"/>
          <w:color w:val="000000" w:themeColor="text1"/>
          <w:sz w:val="24"/>
          <w:szCs w:val="24"/>
        </w:rPr>
        <w:t xml:space="preserve"> with</w:t>
      </w:r>
      <w:r w:rsidR="00660FC9" w:rsidRPr="00724CA2">
        <w:rPr>
          <w:rFonts w:ascii="Times New Roman" w:hAnsi="Times New Roman" w:cs="Times New Roman"/>
          <w:color w:val="000000" w:themeColor="text1"/>
          <w:sz w:val="24"/>
          <w:szCs w:val="24"/>
        </w:rPr>
        <w:t xml:space="preserve"> </w:t>
      </w:r>
      <w:r w:rsidR="00240AD4" w:rsidRPr="00724CA2">
        <w:rPr>
          <w:rFonts w:ascii="Times New Roman" w:hAnsi="Times New Roman" w:cs="Times New Roman"/>
          <w:color w:val="000000" w:themeColor="text1"/>
          <w:sz w:val="24"/>
          <w:szCs w:val="24"/>
        </w:rPr>
        <w:t xml:space="preserve">their beneficiaries </w:t>
      </w:r>
      <w:r w:rsidR="00AF14EB" w:rsidRPr="00724CA2">
        <w:rPr>
          <w:rFonts w:ascii="Times New Roman" w:hAnsi="Times New Roman" w:cs="Times New Roman"/>
          <w:color w:val="000000" w:themeColor="text1"/>
          <w:sz w:val="24"/>
          <w:szCs w:val="24"/>
        </w:rPr>
        <w:t xml:space="preserve">and </w:t>
      </w:r>
      <w:r w:rsidR="008C1471" w:rsidRPr="00724CA2">
        <w:rPr>
          <w:rFonts w:ascii="Times New Roman" w:hAnsi="Times New Roman" w:cs="Times New Roman"/>
          <w:color w:val="000000" w:themeColor="text1"/>
          <w:sz w:val="24"/>
          <w:szCs w:val="24"/>
        </w:rPr>
        <w:t xml:space="preserve">through </w:t>
      </w:r>
      <w:r w:rsidR="00C93A75" w:rsidRPr="00724CA2">
        <w:rPr>
          <w:rFonts w:ascii="Times New Roman" w:hAnsi="Times New Roman" w:cs="Times New Roman"/>
          <w:color w:val="000000" w:themeColor="text1"/>
          <w:sz w:val="24"/>
          <w:szCs w:val="24"/>
        </w:rPr>
        <w:t xml:space="preserve">assessing </w:t>
      </w:r>
      <w:r w:rsidR="00AF14EB" w:rsidRPr="00724CA2">
        <w:rPr>
          <w:rFonts w:ascii="Times New Roman" w:hAnsi="Times New Roman" w:cs="Times New Roman"/>
          <w:color w:val="000000" w:themeColor="text1"/>
          <w:sz w:val="24"/>
          <w:szCs w:val="24"/>
        </w:rPr>
        <w:t>which</w:t>
      </w:r>
      <w:r w:rsidR="00C93A75" w:rsidRPr="00724CA2">
        <w:rPr>
          <w:rFonts w:ascii="Times New Roman" w:hAnsi="Times New Roman" w:cs="Times New Roman"/>
          <w:color w:val="000000" w:themeColor="text1"/>
          <w:sz w:val="24"/>
          <w:szCs w:val="24"/>
        </w:rPr>
        <w:t xml:space="preserve"> institutional</w:t>
      </w:r>
      <w:r w:rsidR="00AF14EB" w:rsidRPr="00724CA2">
        <w:rPr>
          <w:rFonts w:ascii="Times New Roman" w:hAnsi="Times New Roman" w:cs="Times New Roman"/>
          <w:color w:val="000000" w:themeColor="text1"/>
          <w:sz w:val="24"/>
          <w:szCs w:val="24"/>
        </w:rPr>
        <w:t xml:space="preserve"> factors </w:t>
      </w:r>
      <w:r w:rsidR="00ED0D57" w:rsidRPr="00724CA2">
        <w:rPr>
          <w:rFonts w:ascii="Times New Roman" w:hAnsi="Times New Roman" w:cs="Times New Roman"/>
          <w:color w:val="000000" w:themeColor="text1"/>
          <w:sz w:val="24"/>
          <w:szCs w:val="24"/>
        </w:rPr>
        <w:t>moderate</w:t>
      </w:r>
      <w:r w:rsidR="00AF14EB" w:rsidRPr="00724CA2">
        <w:rPr>
          <w:rFonts w:ascii="Times New Roman" w:hAnsi="Times New Roman" w:cs="Times New Roman"/>
          <w:color w:val="000000" w:themeColor="text1"/>
          <w:sz w:val="24"/>
          <w:szCs w:val="24"/>
        </w:rPr>
        <w:t xml:space="preserve"> </w:t>
      </w:r>
      <w:r w:rsidR="0005190F" w:rsidRPr="00724CA2">
        <w:rPr>
          <w:rFonts w:ascii="Times New Roman" w:hAnsi="Times New Roman" w:cs="Times New Roman"/>
          <w:color w:val="000000" w:themeColor="text1"/>
          <w:sz w:val="24"/>
          <w:szCs w:val="24"/>
        </w:rPr>
        <w:t xml:space="preserve">levels of </w:t>
      </w:r>
      <w:r w:rsidR="00C93A75" w:rsidRPr="00724CA2">
        <w:rPr>
          <w:rFonts w:ascii="Times New Roman" w:hAnsi="Times New Roman" w:cs="Times New Roman"/>
          <w:color w:val="000000" w:themeColor="text1"/>
          <w:sz w:val="24"/>
          <w:szCs w:val="24"/>
        </w:rPr>
        <w:t xml:space="preserve">corporate </w:t>
      </w:r>
      <w:r w:rsidR="00AF14EB" w:rsidRPr="00724CA2">
        <w:rPr>
          <w:rFonts w:ascii="Times New Roman" w:hAnsi="Times New Roman" w:cs="Times New Roman"/>
          <w:color w:val="000000" w:themeColor="text1"/>
          <w:sz w:val="24"/>
          <w:szCs w:val="24"/>
        </w:rPr>
        <w:t xml:space="preserve">environmental </w:t>
      </w:r>
      <w:r w:rsidR="00B42085" w:rsidRPr="00724CA2">
        <w:rPr>
          <w:rFonts w:ascii="Times New Roman" w:hAnsi="Times New Roman" w:cs="Times New Roman"/>
          <w:color w:val="000000" w:themeColor="text1"/>
          <w:sz w:val="24"/>
          <w:szCs w:val="24"/>
        </w:rPr>
        <w:t>spending</w:t>
      </w:r>
      <w:r w:rsidR="00660FC9" w:rsidRPr="00724CA2">
        <w:rPr>
          <w:rFonts w:ascii="Times New Roman" w:hAnsi="Times New Roman" w:cs="Times New Roman"/>
          <w:color w:val="000000" w:themeColor="text1"/>
          <w:sz w:val="24"/>
          <w:szCs w:val="24"/>
        </w:rPr>
        <w:t xml:space="preserve">. </w:t>
      </w:r>
      <w:r w:rsidR="001A188C" w:rsidRPr="00724CA2">
        <w:rPr>
          <w:rFonts w:ascii="Times New Roman" w:hAnsi="Times New Roman" w:cs="Times New Roman"/>
          <w:color w:val="000000" w:themeColor="text1"/>
          <w:sz w:val="24"/>
          <w:szCs w:val="24"/>
        </w:rPr>
        <w:t>These are</w:t>
      </w:r>
      <w:r w:rsidR="005B34FE" w:rsidRPr="00724CA2">
        <w:rPr>
          <w:rFonts w:ascii="Times New Roman" w:hAnsi="Times New Roman" w:cs="Times New Roman"/>
          <w:color w:val="000000" w:themeColor="text1"/>
          <w:sz w:val="24"/>
          <w:szCs w:val="24"/>
        </w:rPr>
        <w:t xml:space="preserve"> compelling, if previously under researched question</w:t>
      </w:r>
      <w:r w:rsidR="001A188C" w:rsidRPr="00724CA2">
        <w:rPr>
          <w:rFonts w:ascii="Times New Roman" w:hAnsi="Times New Roman" w:cs="Times New Roman"/>
          <w:color w:val="000000" w:themeColor="text1"/>
          <w:sz w:val="24"/>
          <w:szCs w:val="24"/>
        </w:rPr>
        <w:t>s</w:t>
      </w:r>
      <w:r w:rsidR="005B34FE" w:rsidRPr="00724CA2">
        <w:rPr>
          <w:rFonts w:ascii="Times New Roman" w:hAnsi="Times New Roman" w:cs="Times New Roman"/>
          <w:color w:val="000000" w:themeColor="text1"/>
          <w:sz w:val="24"/>
          <w:szCs w:val="24"/>
        </w:rPr>
        <w:t xml:space="preserve"> (Humphrey and Li, 2021)</w:t>
      </w:r>
      <w:r w:rsidR="00F14007" w:rsidRPr="00724CA2">
        <w:rPr>
          <w:rFonts w:ascii="Times New Roman" w:hAnsi="Times New Roman" w:cs="Times New Roman"/>
          <w:color w:val="000000" w:themeColor="text1"/>
          <w:sz w:val="24"/>
          <w:szCs w:val="24"/>
        </w:rPr>
        <w:t xml:space="preserve">, which </w:t>
      </w:r>
      <w:r w:rsidR="00806157" w:rsidRPr="00724CA2">
        <w:rPr>
          <w:rFonts w:ascii="Times New Roman" w:hAnsi="Times New Roman" w:cs="Times New Roman"/>
          <w:color w:val="000000" w:themeColor="text1"/>
          <w:sz w:val="24"/>
          <w:szCs w:val="24"/>
        </w:rPr>
        <w:t xml:space="preserve">contribute </w:t>
      </w:r>
      <w:r w:rsidR="00601982" w:rsidRPr="00724CA2">
        <w:rPr>
          <w:rFonts w:ascii="Times New Roman" w:hAnsi="Times New Roman" w:cs="Times New Roman"/>
          <w:color w:val="000000" w:themeColor="text1"/>
          <w:sz w:val="24"/>
          <w:szCs w:val="24"/>
        </w:rPr>
        <w:t xml:space="preserve">to a nascent literature </w:t>
      </w:r>
      <w:r w:rsidR="00806157" w:rsidRPr="00724CA2">
        <w:rPr>
          <w:rFonts w:ascii="Times New Roman" w:hAnsi="Times New Roman" w:cs="Times New Roman"/>
          <w:color w:val="000000" w:themeColor="text1"/>
          <w:sz w:val="24"/>
          <w:szCs w:val="24"/>
        </w:rPr>
        <w:t xml:space="preserve">on </w:t>
      </w:r>
      <w:r w:rsidR="00601982" w:rsidRPr="00724CA2">
        <w:rPr>
          <w:rFonts w:ascii="Times New Roman" w:hAnsi="Times New Roman" w:cs="Times New Roman"/>
          <w:color w:val="000000" w:themeColor="text1"/>
          <w:sz w:val="24"/>
          <w:szCs w:val="24"/>
        </w:rPr>
        <w:t xml:space="preserve">how </w:t>
      </w:r>
      <w:r w:rsidR="00806157" w:rsidRPr="00724CA2">
        <w:rPr>
          <w:rFonts w:ascii="Times New Roman" w:hAnsi="Times New Roman" w:cs="Times New Roman"/>
          <w:color w:val="000000" w:themeColor="text1"/>
          <w:sz w:val="24"/>
          <w:szCs w:val="24"/>
        </w:rPr>
        <w:t>environmental sentiment is</w:t>
      </w:r>
      <w:r w:rsidR="00601982" w:rsidRPr="00724CA2">
        <w:rPr>
          <w:rFonts w:ascii="Times New Roman" w:hAnsi="Times New Roman" w:cs="Times New Roman"/>
          <w:color w:val="000000" w:themeColor="text1"/>
          <w:sz w:val="24"/>
          <w:szCs w:val="24"/>
        </w:rPr>
        <w:t xml:space="preserve"> disseminated (Falcone et al.</w:t>
      </w:r>
      <w:r w:rsidR="009A5075" w:rsidRPr="00724CA2">
        <w:rPr>
          <w:rFonts w:ascii="Times New Roman" w:hAnsi="Times New Roman" w:cs="Times New Roman"/>
          <w:color w:val="000000" w:themeColor="text1"/>
          <w:sz w:val="24"/>
          <w:szCs w:val="24"/>
        </w:rPr>
        <w:t>,</w:t>
      </w:r>
      <w:r w:rsidR="00601982" w:rsidRPr="00724CA2">
        <w:rPr>
          <w:rFonts w:ascii="Times New Roman" w:hAnsi="Times New Roman" w:cs="Times New Roman"/>
          <w:color w:val="000000" w:themeColor="text1"/>
          <w:sz w:val="24"/>
          <w:szCs w:val="24"/>
        </w:rPr>
        <w:t xml:space="preserve"> 2018, Morone, 2018). </w:t>
      </w:r>
    </w:p>
    <w:p w14:paraId="108F8C3A" w14:textId="72345459" w:rsidR="000B6398" w:rsidRPr="00724CA2" w:rsidRDefault="000B6398" w:rsidP="005D0460">
      <w:pPr>
        <w:autoSpaceDE w:val="0"/>
        <w:autoSpaceDN w:val="0"/>
        <w:adjustRightInd w:val="0"/>
        <w:spacing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Understanding why mutual fund investment influences firms environmental spending is important for many reasons. We live in a world </w:t>
      </w:r>
      <w:r w:rsidR="00E271E1" w:rsidRPr="00724CA2">
        <w:rPr>
          <w:rFonts w:ascii="Times New Roman" w:hAnsi="Times New Roman" w:cs="Times New Roman"/>
          <w:color w:val="000000" w:themeColor="text1"/>
          <w:sz w:val="24"/>
          <w:szCs w:val="24"/>
        </w:rPr>
        <w:t>typified by</w:t>
      </w:r>
      <w:r w:rsidRPr="00724CA2">
        <w:rPr>
          <w:rFonts w:ascii="Times New Roman" w:hAnsi="Times New Roman" w:cs="Times New Roman"/>
          <w:color w:val="000000" w:themeColor="text1"/>
          <w:sz w:val="24"/>
          <w:szCs w:val="24"/>
        </w:rPr>
        <w:t xml:space="preserve"> resource exhaustion, imbalance in ecological systems and pollution. Indeed, such environmental concerns create both significant </w:t>
      </w:r>
      <w:r w:rsidR="00D254D2" w:rsidRPr="00724CA2">
        <w:rPr>
          <w:rFonts w:ascii="Times New Roman" w:hAnsi="Times New Roman" w:cs="Times New Roman"/>
          <w:color w:val="000000" w:themeColor="text1"/>
          <w:sz w:val="24"/>
          <w:szCs w:val="24"/>
        </w:rPr>
        <w:t xml:space="preserve">short-term </w:t>
      </w:r>
      <w:r w:rsidRPr="00724CA2">
        <w:rPr>
          <w:rFonts w:ascii="Times New Roman" w:hAnsi="Times New Roman" w:cs="Times New Roman"/>
          <w:color w:val="000000" w:themeColor="text1"/>
          <w:sz w:val="24"/>
          <w:szCs w:val="24"/>
        </w:rPr>
        <w:t xml:space="preserve">regulatory risks and </w:t>
      </w:r>
      <w:r w:rsidR="00D254D2" w:rsidRPr="00724CA2">
        <w:rPr>
          <w:rFonts w:ascii="Times New Roman" w:hAnsi="Times New Roman" w:cs="Times New Roman"/>
          <w:color w:val="000000" w:themeColor="text1"/>
          <w:sz w:val="24"/>
          <w:szCs w:val="24"/>
        </w:rPr>
        <w:t xml:space="preserve">longer-term </w:t>
      </w:r>
      <w:r w:rsidRPr="00724CA2">
        <w:rPr>
          <w:rFonts w:ascii="Times New Roman" w:hAnsi="Times New Roman" w:cs="Times New Roman"/>
          <w:color w:val="000000" w:themeColor="text1"/>
          <w:sz w:val="24"/>
          <w:szCs w:val="24"/>
        </w:rPr>
        <w:t xml:space="preserve">physical risks (Stroebel and Wurgler, 2021). This is apposite for China, the focus of this study, due to this nations’ spectacular yet environmentally unsustainable economic growth (Bai et al., 2018). This economic expansion whilst creating multifarious benefits, has been accompanied by high and unsustainable levels of energy consumption and pollution with deleterious effects felt internationally. Enhancing the corporate response to these environmental concerns and specifically increasing current </w:t>
      </w:r>
      <w:r w:rsidRPr="00724CA2">
        <w:rPr>
          <w:rFonts w:ascii="Times New Roman" w:hAnsi="Times New Roman" w:cs="Times New Roman"/>
          <w:color w:val="000000" w:themeColor="text1"/>
          <w:sz w:val="24"/>
          <w:szCs w:val="24"/>
        </w:rPr>
        <w:lastRenderedPageBreak/>
        <w:t xml:space="preserve">levels of environmental spending is a Chinese and global </w:t>
      </w:r>
      <w:r w:rsidR="009C10F8">
        <w:rPr>
          <w:rFonts w:ascii="Times New Roman" w:hAnsi="Times New Roman" w:cs="Times New Roman"/>
          <w:color w:val="000000" w:themeColor="text1"/>
          <w:sz w:val="24"/>
          <w:szCs w:val="24"/>
        </w:rPr>
        <w:t xml:space="preserve">policy </w:t>
      </w:r>
      <w:r w:rsidRPr="00724CA2">
        <w:rPr>
          <w:rFonts w:ascii="Times New Roman" w:hAnsi="Times New Roman" w:cs="Times New Roman"/>
          <w:color w:val="000000" w:themeColor="text1"/>
          <w:sz w:val="24"/>
          <w:szCs w:val="24"/>
        </w:rPr>
        <w:t>priority (Nordhaus, 2019). Therefore, comprehending how corporate environmental spending decisions are made</w:t>
      </w:r>
      <w:r w:rsidR="006548F9" w:rsidRPr="00724CA2">
        <w:rPr>
          <w:rFonts w:ascii="Times New Roman" w:hAnsi="Times New Roman" w:cs="Times New Roman"/>
          <w:color w:val="000000" w:themeColor="text1"/>
          <w:sz w:val="24"/>
          <w:szCs w:val="24"/>
        </w:rPr>
        <w:t xml:space="preserve"> and</w:t>
      </w:r>
      <w:r w:rsidRPr="00724CA2">
        <w:rPr>
          <w:rFonts w:ascii="Times New Roman" w:hAnsi="Times New Roman" w:cs="Times New Roman"/>
          <w:color w:val="000000" w:themeColor="text1"/>
          <w:sz w:val="24"/>
          <w:szCs w:val="24"/>
        </w:rPr>
        <w:t xml:space="preserve"> can </w:t>
      </w:r>
      <w:r w:rsidR="006548F9" w:rsidRPr="00724CA2">
        <w:rPr>
          <w:rFonts w:ascii="Times New Roman" w:hAnsi="Times New Roman" w:cs="Times New Roman"/>
          <w:color w:val="000000" w:themeColor="text1"/>
          <w:sz w:val="24"/>
          <w:szCs w:val="24"/>
        </w:rPr>
        <w:t xml:space="preserve">ultimately </w:t>
      </w:r>
      <w:r w:rsidRPr="00724CA2">
        <w:rPr>
          <w:rFonts w:ascii="Times New Roman" w:hAnsi="Times New Roman" w:cs="Times New Roman"/>
          <w:color w:val="000000" w:themeColor="text1"/>
          <w:sz w:val="24"/>
          <w:szCs w:val="24"/>
        </w:rPr>
        <w:t xml:space="preserve">ameliorate </w:t>
      </w:r>
      <w:r w:rsidR="0009298D" w:rsidRPr="00724CA2">
        <w:rPr>
          <w:rFonts w:ascii="Times New Roman" w:hAnsi="Times New Roman" w:cs="Times New Roman"/>
          <w:color w:val="000000" w:themeColor="text1"/>
          <w:sz w:val="24"/>
          <w:szCs w:val="24"/>
        </w:rPr>
        <w:t>environmental</w:t>
      </w:r>
      <w:r w:rsidRPr="00724CA2">
        <w:rPr>
          <w:rFonts w:ascii="Times New Roman" w:hAnsi="Times New Roman" w:cs="Times New Roman"/>
          <w:color w:val="000000" w:themeColor="text1"/>
          <w:sz w:val="24"/>
          <w:szCs w:val="24"/>
        </w:rPr>
        <w:t xml:space="preserve"> concerns is important for policy makers, firms and the wider public.</w:t>
      </w:r>
    </w:p>
    <w:p w14:paraId="0CE3BD26" w14:textId="5E066177" w:rsidR="00762E45" w:rsidRPr="00724CA2" w:rsidRDefault="00762E45" w:rsidP="005D0460">
      <w:pPr>
        <w:spacing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The paper is organised into five sections. </w:t>
      </w:r>
      <w:r w:rsidR="00D612C7" w:rsidRPr="00D612C7">
        <w:rPr>
          <w:rFonts w:ascii="Times New Roman" w:hAnsi="Times New Roman" w:cs="Times New Roman"/>
          <w:color w:val="000000" w:themeColor="text1"/>
          <w:sz w:val="24"/>
          <w:szCs w:val="24"/>
        </w:rPr>
        <w:t>After this introduction, we review the related literature and develop hypotheses</w:t>
      </w:r>
      <w:r w:rsidRPr="00724CA2">
        <w:rPr>
          <w:rFonts w:ascii="Times New Roman" w:hAnsi="Times New Roman" w:cs="Times New Roman"/>
          <w:color w:val="000000" w:themeColor="text1"/>
          <w:sz w:val="24"/>
          <w:szCs w:val="24"/>
        </w:rPr>
        <w:t xml:space="preserve">. In section three, we consider the methodology. The results are presented in section four </w:t>
      </w:r>
      <w:r w:rsidR="00C25EB5" w:rsidRPr="00724CA2">
        <w:rPr>
          <w:rFonts w:ascii="Times New Roman" w:hAnsi="Times New Roman" w:cs="Times New Roman"/>
          <w:color w:val="000000" w:themeColor="text1"/>
          <w:sz w:val="24"/>
          <w:szCs w:val="24"/>
        </w:rPr>
        <w:t xml:space="preserve">with </w:t>
      </w:r>
      <w:r w:rsidRPr="00724CA2">
        <w:rPr>
          <w:rFonts w:ascii="Times New Roman" w:hAnsi="Times New Roman" w:cs="Times New Roman"/>
          <w:color w:val="000000" w:themeColor="text1"/>
          <w:sz w:val="24"/>
          <w:szCs w:val="24"/>
        </w:rPr>
        <w:t xml:space="preserve">conclusions </w:t>
      </w:r>
      <w:r w:rsidR="006B69A0" w:rsidRPr="00724CA2">
        <w:rPr>
          <w:rFonts w:ascii="Times New Roman" w:hAnsi="Times New Roman" w:cs="Times New Roman"/>
          <w:color w:val="000000" w:themeColor="text1"/>
          <w:sz w:val="24"/>
          <w:szCs w:val="24"/>
        </w:rPr>
        <w:t xml:space="preserve">and implications </w:t>
      </w:r>
      <w:r w:rsidRPr="00724CA2">
        <w:rPr>
          <w:rFonts w:ascii="Times New Roman" w:hAnsi="Times New Roman" w:cs="Times New Roman"/>
          <w:color w:val="000000" w:themeColor="text1"/>
          <w:sz w:val="24"/>
          <w:szCs w:val="24"/>
        </w:rPr>
        <w:t>outlined in the final section.</w:t>
      </w:r>
    </w:p>
    <w:p w14:paraId="3ACD8FC5" w14:textId="77777777" w:rsidR="004C5357" w:rsidRPr="00724CA2" w:rsidRDefault="004C5357" w:rsidP="003E15C4">
      <w:pPr>
        <w:spacing w:after="120" w:line="480" w:lineRule="auto"/>
        <w:jc w:val="both"/>
        <w:rPr>
          <w:rFonts w:ascii="Times New Roman" w:hAnsi="Times New Roman" w:cs="Times New Roman"/>
          <w:b/>
          <w:color w:val="000000" w:themeColor="text1"/>
          <w:sz w:val="24"/>
          <w:szCs w:val="24"/>
        </w:rPr>
      </w:pPr>
    </w:p>
    <w:p w14:paraId="2F2E109A" w14:textId="02193F1D" w:rsidR="00762E45" w:rsidRPr="00724CA2" w:rsidRDefault="00762E45" w:rsidP="00D96F90">
      <w:pPr>
        <w:spacing w:afterLines="100" w:after="240" w:line="360" w:lineRule="auto"/>
        <w:jc w:val="both"/>
        <w:rPr>
          <w:rFonts w:ascii="Times New Roman" w:hAnsi="Times New Roman" w:cs="Times New Roman"/>
          <w:b/>
          <w:color w:val="000000" w:themeColor="text1"/>
          <w:sz w:val="24"/>
          <w:szCs w:val="24"/>
        </w:rPr>
      </w:pPr>
      <w:r w:rsidRPr="00724CA2">
        <w:rPr>
          <w:rFonts w:ascii="Times New Roman" w:hAnsi="Times New Roman" w:cs="Times New Roman"/>
          <w:b/>
          <w:color w:val="000000" w:themeColor="text1"/>
          <w:sz w:val="24"/>
          <w:szCs w:val="24"/>
        </w:rPr>
        <w:t xml:space="preserve">2. </w:t>
      </w:r>
      <w:r w:rsidRPr="00724CA2">
        <w:rPr>
          <w:rFonts w:ascii="Times New Roman" w:hAnsi="Times New Roman" w:cs="Times New Roman"/>
          <w:b/>
          <w:color w:val="000000" w:themeColor="text1"/>
          <w:sz w:val="24"/>
          <w:szCs w:val="24"/>
        </w:rPr>
        <w:tab/>
      </w:r>
      <w:r w:rsidR="004A50F5" w:rsidRPr="00724CA2">
        <w:rPr>
          <w:rFonts w:ascii="Times New Roman" w:hAnsi="Times New Roman" w:cs="Times New Roman"/>
          <w:b/>
          <w:color w:val="000000" w:themeColor="text1"/>
          <w:sz w:val="24"/>
          <w:szCs w:val="24"/>
        </w:rPr>
        <w:t>Literature Review and Hypothesis Development</w:t>
      </w:r>
    </w:p>
    <w:p w14:paraId="1134571A" w14:textId="1194AF5A" w:rsidR="00762E45" w:rsidRPr="00724CA2" w:rsidRDefault="000C40A7" w:rsidP="00771518">
      <w:pPr>
        <w:spacing w:after="120" w:line="480" w:lineRule="auto"/>
        <w:ind w:firstLine="284"/>
        <w:jc w:val="both"/>
        <w:rPr>
          <w:rFonts w:ascii="Times New Roman" w:hAnsi="Times New Roman" w:cs="Times New Roman"/>
          <w:color w:val="000000" w:themeColor="text1"/>
          <w:sz w:val="24"/>
          <w:szCs w:val="24"/>
        </w:rPr>
      </w:pPr>
      <w:bookmarkStart w:id="1" w:name="_Hlk160068093"/>
      <w:r w:rsidRPr="00724CA2">
        <w:rPr>
          <w:rFonts w:ascii="Times New Roman" w:hAnsi="Times New Roman" w:cs="Times New Roman"/>
          <w:color w:val="000000" w:themeColor="text1"/>
          <w:sz w:val="24"/>
          <w:szCs w:val="24"/>
        </w:rPr>
        <w:t>Shifting</w:t>
      </w:r>
      <w:r w:rsidR="00147BF1" w:rsidRPr="00724CA2">
        <w:rPr>
          <w:rFonts w:ascii="Times New Roman" w:hAnsi="Times New Roman" w:cs="Times New Roman"/>
          <w:color w:val="000000" w:themeColor="text1"/>
          <w:sz w:val="24"/>
          <w:szCs w:val="24"/>
        </w:rPr>
        <w:t xml:space="preserve"> </w:t>
      </w:r>
      <w:r w:rsidR="00E510C3" w:rsidRPr="00724CA2">
        <w:rPr>
          <w:rFonts w:ascii="Times New Roman" w:hAnsi="Times New Roman" w:cs="Times New Roman"/>
          <w:color w:val="000000" w:themeColor="text1"/>
          <w:sz w:val="24"/>
          <w:szCs w:val="24"/>
        </w:rPr>
        <w:t>economic activity</w:t>
      </w:r>
      <w:r w:rsidR="000C0B69" w:rsidRPr="00724CA2">
        <w:rPr>
          <w:rFonts w:ascii="Times New Roman" w:hAnsi="Times New Roman" w:cs="Times New Roman"/>
          <w:color w:val="000000" w:themeColor="text1"/>
          <w:sz w:val="24"/>
          <w:szCs w:val="24"/>
        </w:rPr>
        <w:t xml:space="preserve"> </w:t>
      </w:r>
      <w:r w:rsidR="00147BF1" w:rsidRPr="00724CA2">
        <w:rPr>
          <w:rFonts w:ascii="Times New Roman" w:hAnsi="Times New Roman" w:cs="Times New Roman"/>
          <w:color w:val="000000" w:themeColor="text1"/>
          <w:sz w:val="24"/>
          <w:szCs w:val="24"/>
        </w:rPr>
        <w:t xml:space="preserve">to </w:t>
      </w:r>
      <w:r w:rsidR="00BD2501" w:rsidRPr="00724CA2">
        <w:rPr>
          <w:rFonts w:ascii="Times New Roman" w:hAnsi="Times New Roman" w:cs="Times New Roman"/>
          <w:color w:val="000000" w:themeColor="text1"/>
          <w:sz w:val="24"/>
          <w:szCs w:val="24"/>
        </w:rPr>
        <w:t>a</w:t>
      </w:r>
      <w:r w:rsidR="00CD1F05" w:rsidRPr="00724CA2">
        <w:rPr>
          <w:rFonts w:ascii="Times New Roman" w:hAnsi="Times New Roman" w:cs="Times New Roman"/>
          <w:color w:val="000000" w:themeColor="text1"/>
          <w:sz w:val="24"/>
          <w:szCs w:val="24"/>
        </w:rPr>
        <w:t xml:space="preserve"> </w:t>
      </w:r>
      <w:r w:rsidR="00F13DC8" w:rsidRPr="00724CA2">
        <w:rPr>
          <w:rFonts w:ascii="Times New Roman" w:hAnsi="Times New Roman" w:cs="Times New Roman"/>
          <w:color w:val="000000" w:themeColor="text1"/>
          <w:sz w:val="24"/>
          <w:szCs w:val="24"/>
        </w:rPr>
        <w:t>more</w:t>
      </w:r>
      <w:r w:rsidR="00EC6562" w:rsidRPr="00724CA2">
        <w:rPr>
          <w:rFonts w:ascii="Times New Roman" w:hAnsi="Times New Roman" w:cs="Times New Roman"/>
          <w:color w:val="000000" w:themeColor="text1"/>
          <w:sz w:val="24"/>
          <w:szCs w:val="24"/>
        </w:rPr>
        <w:t xml:space="preserve"> sustainabl</w:t>
      </w:r>
      <w:r w:rsidR="00F13DC8" w:rsidRPr="00724CA2">
        <w:rPr>
          <w:rFonts w:ascii="Times New Roman" w:hAnsi="Times New Roman" w:cs="Times New Roman"/>
          <w:color w:val="000000" w:themeColor="text1"/>
          <w:sz w:val="24"/>
          <w:szCs w:val="24"/>
        </w:rPr>
        <w:t>e basis</w:t>
      </w:r>
      <w:r w:rsidR="00EC6562" w:rsidRPr="00724CA2">
        <w:rPr>
          <w:rFonts w:ascii="Times New Roman" w:hAnsi="Times New Roman" w:cs="Times New Roman"/>
          <w:color w:val="000000" w:themeColor="text1"/>
          <w:sz w:val="24"/>
          <w:szCs w:val="24"/>
        </w:rPr>
        <w:t xml:space="preserve"> </w:t>
      </w:r>
      <w:r w:rsidRPr="00724CA2">
        <w:rPr>
          <w:rFonts w:ascii="Times New Roman" w:hAnsi="Times New Roman" w:cs="Times New Roman"/>
          <w:color w:val="000000" w:themeColor="text1"/>
          <w:sz w:val="24"/>
          <w:szCs w:val="24"/>
        </w:rPr>
        <w:t>lies at the heart of the green finance movement (</w:t>
      </w:r>
      <w:r w:rsidR="00CD1F05" w:rsidRPr="00724CA2">
        <w:rPr>
          <w:rFonts w:ascii="Times New Roman" w:hAnsi="Times New Roman" w:cs="Times New Roman"/>
          <w:color w:val="000000" w:themeColor="text1"/>
          <w:sz w:val="24"/>
          <w:szCs w:val="24"/>
        </w:rPr>
        <w:t xml:space="preserve">Morone, 2018). </w:t>
      </w:r>
      <w:r w:rsidR="000042B1" w:rsidRPr="00724CA2">
        <w:rPr>
          <w:rFonts w:ascii="Times New Roman" w:hAnsi="Times New Roman" w:cs="Times New Roman"/>
          <w:color w:val="000000" w:themeColor="text1"/>
          <w:sz w:val="24"/>
          <w:szCs w:val="24"/>
        </w:rPr>
        <w:t>T</w:t>
      </w:r>
      <w:r w:rsidR="001B3383" w:rsidRPr="00724CA2">
        <w:rPr>
          <w:rFonts w:ascii="Times New Roman" w:hAnsi="Times New Roman" w:cs="Times New Roman"/>
          <w:color w:val="000000" w:themeColor="text1"/>
          <w:sz w:val="24"/>
          <w:szCs w:val="24"/>
        </w:rPr>
        <w:t xml:space="preserve">his transformation requires new metrics </w:t>
      </w:r>
      <w:r w:rsidR="00314B2E" w:rsidRPr="00724CA2">
        <w:rPr>
          <w:rFonts w:ascii="Times New Roman" w:hAnsi="Times New Roman" w:cs="Times New Roman"/>
          <w:color w:val="000000" w:themeColor="text1"/>
          <w:sz w:val="24"/>
          <w:szCs w:val="24"/>
        </w:rPr>
        <w:t xml:space="preserve">to quantify progress towards a </w:t>
      </w:r>
      <w:r w:rsidR="001B3383" w:rsidRPr="00724CA2">
        <w:rPr>
          <w:rFonts w:ascii="Times New Roman" w:hAnsi="Times New Roman" w:cs="Times New Roman"/>
          <w:color w:val="000000" w:themeColor="text1"/>
          <w:sz w:val="24"/>
          <w:szCs w:val="24"/>
        </w:rPr>
        <w:t>green</w:t>
      </w:r>
      <w:r w:rsidR="00314B2E" w:rsidRPr="00724CA2">
        <w:rPr>
          <w:rFonts w:ascii="Times New Roman" w:hAnsi="Times New Roman" w:cs="Times New Roman"/>
          <w:color w:val="000000" w:themeColor="text1"/>
          <w:sz w:val="24"/>
          <w:szCs w:val="24"/>
        </w:rPr>
        <w:t>er</w:t>
      </w:r>
      <w:r w:rsidR="001B3383" w:rsidRPr="00724CA2">
        <w:rPr>
          <w:rFonts w:ascii="Times New Roman" w:hAnsi="Times New Roman" w:cs="Times New Roman"/>
          <w:color w:val="000000" w:themeColor="text1"/>
          <w:sz w:val="24"/>
          <w:szCs w:val="24"/>
        </w:rPr>
        <w:t xml:space="preserve"> economy, policy measures to ensure a level playing field </w:t>
      </w:r>
      <w:r w:rsidR="002F5B52" w:rsidRPr="00724CA2">
        <w:rPr>
          <w:rFonts w:ascii="Times New Roman" w:hAnsi="Times New Roman" w:cs="Times New Roman"/>
          <w:color w:val="000000" w:themeColor="text1"/>
          <w:sz w:val="24"/>
          <w:szCs w:val="24"/>
        </w:rPr>
        <w:t>f</w:t>
      </w:r>
      <w:r w:rsidR="001B3383" w:rsidRPr="00724CA2">
        <w:rPr>
          <w:rFonts w:ascii="Times New Roman" w:hAnsi="Times New Roman" w:cs="Times New Roman"/>
          <w:color w:val="000000" w:themeColor="text1"/>
          <w:sz w:val="24"/>
          <w:szCs w:val="24"/>
        </w:rPr>
        <w:t>or firms choosing between fossil fuel and sustainable production processes, and education to inform finance practitioners (Morone, 201</w:t>
      </w:r>
      <w:r w:rsidR="006B4C9F" w:rsidRPr="00724CA2">
        <w:rPr>
          <w:rFonts w:ascii="Times New Roman" w:hAnsi="Times New Roman" w:cs="Times New Roman"/>
          <w:color w:val="000000" w:themeColor="text1"/>
          <w:sz w:val="24"/>
          <w:szCs w:val="24"/>
        </w:rPr>
        <w:t>8</w:t>
      </w:r>
      <w:r w:rsidR="001B3383" w:rsidRPr="00724CA2">
        <w:rPr>
          <w:rFonts w:ascii="Times New Roman" w:hAnsi="Times New Roman" w:cs="Times New Roman"/>
          <w:color w:val="000000" w:themeColor="text1"/>
          <w:sz w:val="24"/>
          <w:szCs w:val="24"/>
        </w:rPr>
        <w:t xml:space="preserve">). </w:t>
      </w:r>
      <w:r w:rsidR="00CD1F05" w:rsidRPr="00724CA2">
        <w:rPr>
          <w:rFonts w:ascii="Times New Roman" w:hAnsi="Times New Roman" w:cs="Times New Roman"/>
          <w:color w:val="000000" w:themeColor="text1"/>
          <w:sz w:val="24"/>
          <w:szCs w:val="24"/>
        </w:rPr>
        <w:t xml:space="preserve">Overcoming </w:t>
      </w:r>
      <w:r w:rsidR="002848C2" w:rsidRPr="00724CA2">
        <w:rPr>
          <w:rFonts w:ascii="Times New Roman" w:hAnsi="Times New Roman" w:cs="Times New Roman"/>
          <w:color w:val="000000" w:themeColor="text1"/>
          <w:sz w:val="24"/>
          <w:szCs w:val="24"/>
        </w:rPr>
        <w:t xml:space="preserve">the </w:t>
      </w:r>
      <w:r w:rsidR="00073FA2" w:rsidRPr="00724CA2">
        <w:rPr>
          <w:rFonts w:ascii="Times New Roman" w:hAnsi="Times New Roman" w:cs="Times New Roman"/>
          <w:color w:val="000000" w:themeColor="text1"/>
          <w:sz w:val="24"/>
          <w:szCs w:val="24"/>
        </w:rPr>
        <w:t xml:space="preserve">uncertainty </w:t>
      </w:r>
      <w:r w:rsidR="002848C2" w:rsidRPr="00724CA2">
        <w:rPr>
          <w:rFonts w:ascii="Times New Roman" w:hAnsi="Times New Roman" w:cs="Times New Roman"/>
          <w:color w:val="000000" w:themeColor="text1"/>
          <w:sz w:val="24"/>
          <w:szCs w:val="24"/>
        </w:rPr>
        <w:t xml:space="preserve">arising from </w:t>
      </w:r>
      <w:r w:rsidR="0067442E" w:rsidRPr="00724CA2">
        <w:rPr>
          <w:rFonts w:ascii="Times New Roman" w:hAnsi="Times New Roman" w:cs="Times New Roman"/>
          <w:color w:val="000000" w:themeColor="text1"/>
          <w:sz w:val="24"/>
          <w:szCs w:val="24"/>
        </w:rPr>
        <w:t>this</w:t>
      </w:r>
      <w:r w:rsidR="002848C2" w:rsidRPr="00724CA2">
        <w:rPr>
          <w:rFonts w:ascii="Times New Roman" w:hAnsi="Times New Roman" w:cs="Times New Roman"/>
          <w:color w:val="000000" w:themeColor="text1"/>
          <w:sz w:val="24"/>
          <w:szCs w:val="24"/>
        </w:rPr>
        <w:t xml:space="preserve"> change </w:t>
      </w:r>
      <w:r w:rsidR="00F835E4" w:rsidRPr="00724CA2">
        <w:rPr>
          <w:rFonts w:ascii="Times New Roman" w:hAnsi="Times New Roman" w:cs="Times New Roman"/>
          <w:color w:val="000000" w:themeColor="text1"/>
          <w:sz w:val="24"/>
          <w:szCs w:val="24"/>
        </w:rPr>
        <w:t xml:space="preserve">also </w:t>
      </w:r>
      <w:r w:rsidR="007F4792" w:rsidRPr="00724CA2">
        <w:rPr>
          <w:rFonts w:ascii="Times New Roman" w:hAnsi="Times New Roman" w:cs="Times New Roman"/>
          <w:color w:val="000000" w:themeColor="text1"/>
          <w:sz w:val="24"/>
          <w:szCs w:val="24"/>
        </w:rPr>
        <w:t>requires</w:t>
      </w:r>
      <w:r w:rsidR="00CD1F05" w:rsidRPr="00724CA2">
        <w:rPr>
          <w:rFonts w:ascii="Times New Roman" w:hAnsi="Times New Roman" w:cs="Times New Roman"/>
          <w:color w:val="000000" w:themeColor="text1"/>
          <w:sz w:val="24"/>
          <w:szCs w:val="24"/>
        </w:rPr>
        <w:t xml:space="preserve"> </w:t>
      </w:r>
      <w:r w:rsidR="00BA0BC7" w:rsidRPr="00724CA2">
        <w:rPr>
          <w:rFonts w:ascii="Times New Roman" w:hAnsi="Times New Roman" w:cs="Times New Roman"/>
          <w:color w:val="000000" w:themeColor="text1"/>
          <w:sz w:val="24"/>
          <w:szCs w:val="24"/>
        </w:rPr>
        <w:t xml:space="preserve">the cooperation </w:t>
      </w:r>
      <w:r w:rsidR="00B86264" w:rsidRPr="00724CA2">
        <w:rPr>
          <w:rFonts w:ascii="Times New Roman" w:hAnsi="Times New Roman" w:cs="Times New Roman"/>
          <w:color w:val="000000" w:themeColor="text1"/>
          <w:sz w:val="24"/>
          <w:szCs w:val="24"/>
        </w:rPr>
        <w:t xml:space="preserve">and coordination of </w:t>
      </w:r>
      <w:r w:rsidR="00CD1F05" w:rsidRPr="00724CA2">
        <w:rPr>
          <w:rFonts w:ascii="Times New Roman" w:hAnsi="Times New Roman" w:cs="Times New Roman"/>
          <w:color w:val="000000" w:themeColor="text1"/>
          <w:sz w:val="24"/>
          <w:szCs w:val="24"/>
        </w:rPr>
        <w:t xml:space="preserve">green finance </w:t>
      </w:r>
      <w:r w:rsidR="0057074D" w:rsidRPr="00724CA2">
        <w:rPr>
          <w:rFonts w:ascii="Times New Roman" w:hAnsi="Times New Roman" w:cs="Times New Roman"/>
          <w:color w:val="000000" w:themeColor="text1"/>
          <w:sz w:val="24"/>
          <w:szCs w:val="24"/>
        </w:rPr>
        <w:t xml:space="preserve">professionals </w:t>
      </w:r>
      <w:r w:rsidR="00CD1F05" w:rsidRPr="00724CA2">
        <w:rPr>
          <w:rFonts w:ascii="Times New Roman" w:hAnsi="Times New Roman" w:cs="Times New Roman"/>
          <w:color w:val="000000" w:themeColor="text1"/>
          <w:sz w:val="24"/>
          <w:szCs w:val="24"/>
        </w:rPr>
        <w:t>(Falcone et al., 2018)</w:t>
      </w:r>
      <w:r w:rsidR="00EE6434" w:rsidRPr="00724CA2">
        <w:rPr>
          <w:rFonts w:ascii="Times New Roman" w:hAnsi="Times New Roman" w:cs="Times New Roman"/>
          <w:color w:val="000000" w:themeColor="text1"/>
          <w:sz w:val="24"/>
          <w:szCs w:val="24"/>
        </w:rPr>
        <w:t xml:space="preserve"> and </w:t>
      </w:r>
      <w:r w:rsidR="004946BE" w:rsidRPr="00724CA2">
        <w:rPr>
          <w:rFonts w:ascii="Times New Roman" w:hAnsi="Times New Roman" w:cs="Times New Roman"/>
          <w:color w:val="000000" w:themeColor="text1"/>
          <w:sz w:val="24"/>
          <w:szCs w:val="24"/>
        </w:rPr>
        <w:t>multiple</w:t>
      </w:r>
      <w:r w:rsidR="00FC780B" w:rsidRPr="00724CA2">
        <w:rPr>
          <w:rFonts w:ascii="Times New Roman" w:hAnsi="Times New Roman" w:cs="Times New Roman"/>
          <w:color w:val="000000" w:themeColor="text1"/>
          <w:sz w:val="24"/>
          <w:szCs w:val="24"/>
        </w:rPr>
        <w:t xml:space="preserve"> legal, government</w:t>
      </w:r>
      <w:r w:rsidR="00F26BDA" w:rsidRPr="00724CA2">
        <w:rPr>
          <w:rFonts w:ascii="Times New Roman" w:hAnsi="Times New Roman" w:cs="Times New Roman"/>
          <w:color w:val="000000" w:themeColor="text1"/>
          <w:sz w:val="24"/>
          <w:szCs w:val="24"/>
        </w:rPr>
        <w:t>al</w:t>
      </w:r>
      <w:r w:rsidR="00F835E4" w:rsidRPr="00724CA2">
        <w:rPr>
          <w:rFonts w:ascii="Times New Roman" w:hAnsi="Times New Roman" w:cs="Times New Roman"/>
          <w:color w:val="000000" w:themeColor="text1"/>
          <w:sz w:val="24"/>
          <w:szCs w:val="24"/>
        </w:rPr>
        <w:t>,</w:t>
      </w:r>
      <w:r w:rsidR="00FC780B" w:rsidRPr="00724CA2">
        <w:rPr>
          <w:rFonts w:ascii="Times New Roman" w:hAnsi="Times New Roman" w:cs="Times New Roman"/>
          <w:color w:val="000000" w:themeColor="text1"/>
          <w:sz w:val="24"/>
          <w:szCs w:val="24"/>
        </w:rPr>
        <w:t xml:space="preserve"> and </w:t>
      </w:r>
      <w:r w:rsidR="00830FCE" w:rsidRPr="00724CA2">
        <w:rPr>
          <w:rFonts w:ascii="Times New Roman" w:hAnsi="Times New Roman" w:cs="Times New Roman"/>
          <w:color w:val="000000" w:themeColor="text1"/>
          <w:sz w:val="24"/>
          <w:szCs w:val="24"/>
        </w:rPr>
        <w:t>international financial institutions</w:t>
      </w:r>
      <w:r w:rsidR="002A707A" w:rsidRPr="00724CA2">
        <w:rPr>
          <w:rFonts w:ascii="Times New Roman" w:hAnsi="Times New Roman" w:cs="Times New Roman"/>
          <w:color w:val="000000" w:themeColor="text1"/>
          <w:sz w:val="24"/>
          <w:szCs w:val="24"/>
        </w:rPr>
        <w:t xml:space="preserve">. </w:t>
      </w:r>
    </w:p>
    <w:p w14:paraId="42258E5D" w14:textId="182D47CD" w:rsidR="005B50AE" w:rsidRPr="00724CA2" w:rsidRDefault="00B26F4A" w:rsidP="00771518">
      <w:pPr>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This study examines </w:t>
      </w:r>
      <w:r w:rsidR="00D22352" w:rsidRPr="00724CA2">
        <w:rPr>
          <w:rFonts w:ascii="Times New Roman" w:hAnsi="Times New Roman" w:cs="Times New Roman"/>
          <w:color w:val="000000" w:themeColor="text1"/>
          <w:sz w:val="24"/>
          <w:szCs w:val="24"/>
        </w:rPr>
        <w:t xml:space="preserve">the relatively under-researched metric of environmental spending and </w:t>
      </w:r>
      <w:r w:rsidR="005C5997" w:rsidRPr="00724CA2">
        <w:rPr>
          <w:rFonts w:ascii="Times New Roman" w:hAnsi="Times New Roman" w:cs="Times New Roman"/>
          <w:color w:val="000000" w:themeColor="text1"/>
          <w:sz w:val="24"/>
          <w:szCs w:val="24"/>
        </w:rPr>
        <w:t xml:space="preserve">the channels through which </w:t>
      </w:r>
      <w:r w:rsidR="00762E45" w:rsidRPr="00724CA2">
        <w:rPr>
          <w:rFonts w:ascii="Times New Roman" w:hAnsi="Times New Roman" w:cs="Times New Roman"/>
          <w:color w:val="000000" w:themeColor="text1"/>
          <w:sz w:val="24"/>
          <w:szCs w:val="24"/>
        </w:rPr>
        <w:t xml:space="preserve">green finance concepts </w:t>
      </w:r>
      <w:r w:rsidR="004E74A4" w:rsidRPr="00724CA2">
        <w:rPr>
          <w:rFonts w:ascii="Times New Roman" w:hAnsi="Times New Roman" w:cs="Times New Roman"/>
          <w:color w:val="000000" w:themeColor="text1"/>
          <w:sz w:val="24"/>
          <w:szCs w:val="24"/>
        </w:rPr>
        <w:t xml:space="preserve">are </w:t>
      </w:r>
      <w:r w:rsidR="007D5A65" w:rsidRPr="00724CA2">
        <w:rPr>
          <w:rFonts w:ascii="Times New Roman" w:hAnsi="Times New Roman" w:cs="Times New Roman"/>
          <w:color w:val="000000" w:themeColor="text1"/>
          <w:sz w:val="24"/>
          <w:szCs w:val="24"/>
        </w:rPr>
        <w:t>t</w:t>
      </w:r>
      <w:r w:rsidR="00762E45" w:rsidRPr="00724CA2">
        <w:rPr>
          <w:rFonts w:ascii="Times New Roman" w:hAnsi="Times New Roman" w:cs="Times New Roman"/>
          <w:color w:val="000000" w:themeColor="text1"/>
          <w:sz w:val="24"/>
          <w:szCs w:val="24"/>
        </w:rPr>
        <w:t xml:space="preserve">ransmitted to firms, alter corporate </w:t>
      </w:r>
      <w:r w:rsidR="000607E5" w:rsidRPr="00724CA2">
        <w:rPr>
          <w:rFonts w:ascii="Times New Roman" w:hAnsi="Times New Roman" w:cs="Times New Roman"/>
          <w:color w:val="000000" w:themeColor="text1"/>
          <w:sz w:val="24"/>
          <w:szCs w:val="24"/>
        </w:rPr>
        <w:t>values,</w:t>
      </w:r>
      <w:r w:rsidR="003648E2" w:rsidRPr="00724CA2">
        <w:rPr>
          <w:rFonts w:ascii="Times New Roman" w:hAnsi="Times New Roman" w:cs="Times New Roman"/>
          <w:color w:val="000000" w:themeColor="text1"/>
          <w:sz w:val="24"/>
          <w:szCs w:val="24"/>
        </w:rPr>
        <w:t xml:space="preserve"> and</w:t>
      </w:r>
      <w:r w:rsidR="007B7D63" w:rsidRPr="00724CA2">
        <w:rPr>
          <w:rFonts w:ascii="Times New Roman" w:hAnsi="Times New Roman" w:cs="Times New Roman"/>
          <w:color w:val="000000" w:themeColor="text1"/>
          <w:sz w:val="24"/>
          <w:szCs w:val="24"/>
        </w:rPr>
        <w:t xml:space="preserve"> </w:t>
      </w:r>
      <w:r w:rsidR="00762E45" w:rsidRPr="00724CA2">
        <w:rPr>
          <w:rFonts w:ascii="Times New Roman" w:hAnsi="Times New Roman" w:cs="Times New Roman"/>
          <w:color w:val="000000" w:themeColor="text1"/>
          <w:sz w:val="24"/>
          <w:szCs w:val="24"/>
        </w:rPr>
        <w:t>influence</w:t>
      </w:r>
      <w:r w:rsidR="007B7D63" w:rsidRPr="00724CA2">
        <w:rPr>
          <w:rFonts w:ascii="Times New Roman" w:hAnsi="Times New Roman" w:cs="Times New Roman"/>
          <w:color w:val="000000" w:themeColor="text1"/>
          <w:sz w:val="24"/>
          <w:szCs w:val="24"/>
        </w:rPr>
        <w:t xml:space="preserve"> </w:t>
      </w:r>
      <w:r w:rsidR="00762E45" w:rsidRPr="00724CA2">
        <w:rPr>
          <w:rFonts w:ascii="Times New Roman" w:hAnsi="Times New Roman" w:cs="Times New Roman"/>
          <w:color w:val="000000" w:themeColor="text1"/>
          <w:sz w:val="24"/>
          <w:szCs w:val="24"/>
        </w:rPr>
        <w:t xml:space="preserve">environmental </w:t>
      </w:r>
      <w:r w:rsidR="00AF155C" w:rsidRPr="00724CA2">
        <w:rPr>
          <w:rFonts w:ascii="Times New Roman" w:hAnsi="Times New Roman" w:cs="Times New Roman"/>
          <w:color w:val="000000" w:themeColor="text1"/>
          <w:sz w:val="24"/>
          <w:szCs w:val="24"/>
        </w:rPr>
        <w:t>decision making</w:t>
      </w:r>
      <w:r w:rsidR="00762E45" w:rsidRPr="00724CA2">
        <w:rPr>
          <w:rFonts w:ascii="Times New Roman" w:hAnsi="Times New Roman" w:cs="Times New Roman"/>
          <w:color w:val="000000" w:themeColor="text1"/>
          <w:sz w:val="24"/>
          <w:szCs w:val="24"/>
        </w:rPr>
        <w:t>. We posit investment by mutual funds act</w:t>
      </w:r>
      <w:r w:rsidR="000E5D15" w:rsidRPr="00724CA2">
        <w:rPr>
          <w:rFonts w:ascii="Times New Roman" w:hAnsi="Times New Roman" w:cs="Times New Roman"/>
          <w:color w:val="000000" w:themeColor="text1"/>
          <w:sz w:val="24"/>
          <w:szCs w:val="24"/>
        </w:rPr>
        <w:t>s</w:t>
      </w:r>
      <w:r w:rsidR="00762E45" w:rsidRPr="00724CA2">
        <w:rPr>
          <w:rFonts w:ascii="Times New Roman" w:hAnsi="Times New Roman" w:cs="Times New Roman"/>
          <w:color w:val="000000" w:themeColor="text1"/>
          <w:sz w:val="24"/>
          <w:szCs w:val="24"/>
        </w:rPr>
        <w:t xml:space="preserve"> as a conduit for the dissemination of </w:t>
      </w:r>
      <w:r w:rsidR="0058790A" w:rsidRPr="00724CA2">
        <w:rPr>
          <w:rFonts w:ascii="Times New Roman" w:hAnsi="Times New Roman" w:cs="Times New Roman"/>
          <w:color w:val="000000" w:themeColor="text1"/>
          <w:sz w:val="24"/>
          <w:szCs w:val="24"/>
        </w:rPr>
        <w:t xml:space="preserve">environmental awareness </w:t>
      </w:r>
      <w:r w:rsidR="00762E45" w:rsidRPr="00724CA2">
        <w:rPr>
          <w:rFonts w:ascii="Times New Roman" w:hAnsi="Times New Roman" w:cs="Times New Roman"/>
          <w:color w:val="000000" w:themeColor="text1"/>
          <w:sz w:val="24"/>
          <w:szCs w:val="24"/>
        </w:rPr>
        <w:t>(Jennings and Zandbergen, 1995</w:t>
      </w:r>
      <w:r w:rsidR="00616281" w:rsidRPr="00724CA2">
        <w:rPr>
          <w:rFonts w:ascii="Times New Roman" w:hAnsi="Times New Roman" w:cs="Times New Roman"/>
          <w:color w:val="000000" w:themeColor="text1"/>
          <w:sz w:val="24"/>
          <w:szCs w:val="24"/>
        </w:rPr>
        <w:t>,</w:t>
      </w:r>
      <w:r w:rsidR="00F14608" w:rsidRPr="00724CA2">
        <w:rPr>
          <w:rFonts w:ascii="Times New Roman" w:hAnsi="Times New Roman" w:cs="Times New Roman"/>
          <w:color w:val="000000" w:themeColor="text1"/>
          <w:sz w:val="24"/>
          <w:szCs w:val="24"/>
        </w:rPr>
        <w:t xml:space="preserve"> </w:t>
      </w:r>
      <w:r w:rsidR="00F14608" w:rsidRPr="00724CA2">
        <w:rPr>
          <w:rFonts w:ascii="Times New Roman" w:hAnsi="Times New Roman" w:cs="Times New Roman" w:hint="eastAsia"/>
          <w:color w:val="000000" w:themeColor="text1"/>
          <w:sz w:val="24"/>
          <w:szCs w:val="24"/>
        </w:rPr>
        <w:t>García</w:t>
      </w:r>
      <w:r w:rsidR="00F14608" w:rsidRPr="00724CA2">
        <w:rPr>
          <w:rFonts w:ascii="Times New Roman" w:hAnsi="Times New Roman" w:cs="Times New Roman"/>
          <w:color w:val="000000" w:themeColor="text1"/>
          <w:sz w:val="24"/>
          <w:szCs w:val="24"/>
        </w:rPr>
        <w:t>-</w:t>
      </w:r>
      <w:r w:rsidR="00F14608" w:rsidRPr="00724CA2">
        <w:rPr>
          <w:rFonts w:ascii="Times New Roman" w:hAnsi="Times New Roman" w:cs="Times New Roman" w:hint="eastAsia"/>
          <w:color w:val="000000" w:themeColor="text1"/>
          <w:sz w:val="24"/>
          <w:szCs w:val="24"/>
        </w:rPr>
        <w:t>Sánchez</w:t>
      </w:r>
      <w:r w:rsidR="00F14608" w:rsidRPr="00724CA2">
        <w:rPr>
          <w:rFonts w:ascii="Times New Roman" w:hAnsi="Times New Roman" w:cs="Times New Roman"/>
          <w:color w:val="000000" w:themeColor="text1"/>
          <w:sz w:val="24"/>
          <w:szCs w:val="24"/>
        </w:rPr>
        <w:t xml:space="preserve"> et al., 2020</w:t>
      </w:r>
      <w:r w:rsidR="00762E45" w:rsidRPr="00724CA2">
        <w:rPr>
          <w:rFonts w:ascii="Times New Roman" w:hAnsi="Times New Roman" w:cs="Times New Roman"/>
          <w:color w:val="000000" w:themeColor="text1"/>
          <w:sz w:val="24"/>
          <w:szCs w:val="24"/>
        </w:rPr>
        <w:t xml:space="preserve">). </w:t>
      </w:r>
      <w:r w:rsidR="007D5A65" w:rsidRPr="00724CA2">
        <w:rPr>
          <w:rFonts w:ascii="Times New Roman" w:hAnsi="Times New Roman" w:cs="Times New Roman"/>
          <w:color w:val="000000" w:themeColor="text1"/>
          <w:sz w:val="24"/>
          <w:szCs w:val="24"/>
        </w:rPr>
        <w:t xml:space="preserve">This </w:t>
      </w:r>
      <w:r w:rsidR="00F875B8" w:rsidRPr="00724CA2">
        <w:rPr>
          <w:rFonts w:ascii="Times New Roman" w:hAnsi="Times New Roman" w:cs="Times New Roman"/>
          <w:color w:val="000000" w:themeColor="text1"/>
          <w:sz w:val="24"/>
          <w:szCs w:val="24"/>
        </w:rPr>
        <w:t xml:space="preserve">dissemination </w:t>
      </w:r>
      <w:r w:rsidR="007D5A65" w:rsidRPr="00724CA2">
        <w:rPr>
          <w:rFonts w:ascii="Times New Roman" w:hAnsi="Times New Roman" w:cs="Times New Roman"/>
          <w:color w:val="000000" w:themeColor="text1"/>
          <w:sz w:val="24"/>
          <w:szCs w:val="24"/>
        </w:rPr>
        <w:t>occurs as m</w:t>
      </w:r>
      <w:r w:rsidR="00762E45" w:rsidRPr="00724CA2">
        <w:rPr>
          <w:rFonts w:ascii="Times New Roman" w:hAnsi="Times New Roman" w:cs="Times New Roman"/>
          <w:color w:val="000000" w:themeColor="text1"/>
          <w:sz w:val="24"/>
          <w:szCs w:val="24"/>
        </w:rPr>
        <w:t>utual funds expect</w:t>
      </w:r>
      <w:r w:rsidR="00631655" w:rsidRPr="00724CA2">
        <w:rPr>
          <w:rFonts w:ascii="Times New Roman" w:hAnsi="Times New Roman" w:cs="Times New Roman"/>
          <w:color w:val="000000" w:themeColor="text1"/>
          <w:sz w:val="24"/>
          <w:szCs w:val="24"/>
        </w:rPr>
        <w:t xml:space="preserve"> their investees to </w:t>
      </w:r>
      <w:r w:rsidR="00762E45" w:rsidRPr="00724CA2">
        <w:rPr>
          <w:rFonts w:ascii="Times New Roman" w:hAnsi="Times New Roman" w:cs="Times New Roman"/>
          <w:color w:val="000000" w:themeColor="text1"/>
          <w:sz w:val="24"/>
          <w:szCs w:val="24"/>
        </w:rPr>
        <w:t>align with their values. This social pressure</w:t>
      </w:r>
      <w:r w:rsidR="0098756D" w:rsidRPr="00724CA2">
        <w:rPr>
          <w:rFonts w:ascii="Times New Roman" w:hAnsi="Times New Roman" w:cs="Times New Roman"/>
          <w:color w:val="000000" w:themeColor="text1"/>
          <w:sz w:val="24"/>
          <w:szCs w:val="24"/>
        </w:rPr>
        <w:t>,</w:t>
      </w:r>
      <w:r w:rsidR="00762E45" w:rsidRPr="00724CA2">
        <w:rPr>
          <w:rFonts w:ascii="Times New Roman" w:hAnsi="Times New Roman" w:cs="Times New Roman"/>
          <w:color w:val="000000" w:themeColor="text1"/>
          <w:sz w:val="24"/>
          <w:szCs w:val="24"/>
        </w:rPr>
        <w:t xml:space="preserve"> </w:t>
      </w:r>
      <w:r w:rsidR="00C51CD1" w:rsidRPr="00724CA2">
        <w:rPr>
          <w:rFonts w:ascii="Times New Roman" w:hAnsi="Times New Roman" w:cs="Times New Roman"/>
          <w:color w:val="000000" w:themeColor="text1"/>
          <w:sz w:val="24"/>
          <w:szCs w:val="24"/>
        </w:rPr>
        <w:t xml:space="preserve">reported </w:t>
      </w:r>
      <w:r w:rsidR="00F875B8" w:rsidRPr="00724CA2">
        <w:rPr>
          <w:rFonts w:ascii="Times New Roman" w:hAnsi="Times New Roman" w:cs="Times New Roman"/>
          <w:color w:val="000000" w:themeColor="text1"/>
          <w:sz w:val="24"/>
          <w:szCs w:val="24"/>
        </w:rPr>
        <w:t>in p</w:t>
      </w:r>
      <w:r w:rsidR="00C51CD1" w:rsidRPr="00724CA2">
        <w:rPr>
          <w:rFonts w:ascii="Times New Roman" w:hAnsi="Times New Roman" w:cs="Times New Roman"/>
          <w:color w:val="000000" w:themeColor="text1"/>
          <w:sz w:val="24"/>
          <w:szCs w:val="24"/>
        </w:rPr>
        <w:t xml:space="preserve">revious </w:t>
      </w:r>
      <w:r w:rsidR="00F875B8" w:rsidRPr="00724CA2">
        <w:rPr>
          <w:rFonts w:ascii="Times New Roman" w:hAnsi="Times New Roman" w:cs="Times New Roman"/>
          <w:color w:val="000000" w:themeColor="text1"/>
          <w:sz w:val="24"/>
          <w:szCs w:val="24"/>
        </w:rPr>
        <w:t xml:space="preserve">studies </w:t>
      </w:r>
      <w:r w:rsidR="00762E45" w:rsidRPr="00724CA2">
        <w:rPr>
          <w:rFonts w:ascii="Times New Roman" w:hAnsi="Times New Roman" w:cs="Times New Roman"/>
          <w:color w:val="000000" w:themeColor="text1"/>
          <w:sz w:val="24"/>
          <w:szCs w:val="24"/>
        </w:rPr>
        <w:t>(Dyck et al., 2019)</w:t>
      </w:r>
      <w:r w:rsidR="0098756D" w:rsidRPr="00724CA2">
        <w:rPr>
          <w:rFonts w:ascii="Times New Roman" w:hAnsi="Times New Roman" w:cs="Times New Roman"/>
          <w:color w:val="000000" w:themeColor="text1"/>
          <w:sz w:val="24"/>
          <w:szCs w:val="24"/>
        </w:rPr>
        <w:t>,</w:t>
      </w:r>
      <w:r w:rsidR="00762E45" w:rsidRPr="00724CA2">
        <w:rPr>
          <w:rFonts w:ascii="Times New Roman" w:hAnsi="Times New Roman" w:cs="Times New Roman"/>
          <w:color w:val="000000" w:themeColor="text1"/>
          <w:sz w:val="24"/>
          <w:szCs w:val="24"/>
        </w:rPr>
        <w:t xml:space="preserve"> matters as </w:t>
      </w:r>
      <w:r w:rsidR="009134A4" w:rsidRPr="00724CA2">
        <w:rPr>
          <w:rFonts w:ascii="Times New Roman" w:hAnsi="Times New Roman" w:cs="Times New Roman"/>
          <w:color w:val="000000" w:themeColor="text1"/>
          <w:sz w:val="24"/>
          <w:szCs w:val="24"/>
        </w:rPr>
        <w:t xml:space="preserve">the values </w:t>
      </w:r>
      <w:r w:rsidR="008B2175" w:rsidRPr="00724CA2">
        <w:rPr>
          <w:rFonts w:ascii="Times New Roman" w:hAnsi="Times New Roman" w:cs="Times New Roman"/>
          <w:color w:val="000000" w:themeColor="text1"/>
          <w:sz w:val="24"/>
          <w:szCs w:val="24"/>
        </w:rPr>
        <w:t xml:space="preserve">held by </w:t>
      </w:r>
      <w:r w:rsidR="00762E45" w:rsidRPr="00724CA2">
        <w:rPr>
          <w:rFonts w:ascii="Times New Roman" w:hAnsi="Times New Roman" w:cs="Times New Roman"/>
          <w:color w:val="000000" w:themeColor="text1"/>
          <w:sz w:val="24"/>
          <w:szCs w:val="24"/>
        </w:rPr>
        <w:t xml:space="preserve">institutional </w:t>
      </w:r>
      <w:r w:rsidR="007A695E" w:rsidRPr="00724CA2">
        <w:rPr>
          <w:rFonts w:ascii="Times New Roman" w:hAnsi="Times New Roman" w:cs="Times New Roman"/>
          <w:color w:val="000000" w:themeColor="text1"/>
          <w:sz w:val="24"/>
          <w:szCs w:val="24"/>
        </w:rPr>
        <w:t>investors</w:t>
      </w:r>
      <w:r w:rsidR="00762E45" w:rsidRPr="00724CA2">
        <w:rPr>
          <w:rFonts w:ascii="Times New Roman" w:hAnsi="Times New Roman" w:cs="Times New Roman"/>
          <w:color w:val="000000" w:themeColor="text1"/>
          <w:sz w:val="24"/>
          <w:szCs w:val="24"/>
        </w:rPr>
        <w:t xml:space="preserve"> are often reflected in the actions of their beneficiaries (</w:t>
      </w:r>
      <w:r w:rsidR="005F426B" w:rsidRPr="00724CA2">
        <w:rPr>
          <w:rFonts w:ascii="Times New Roman" w:hAnsi="Times New Roman" w:cs="Times New Roman"/>
          <w:color w:val="000000" w:themeColor="text1"/>
          <w:sz w:val="24"/>
          <w:szCs w:val="24"/>
        </w:rPr>
        <w:t>Oikonomou et al.,</w:t>
      </w:r>
      <w:r w:rsidR="00762E45" w:rsidRPr="00724CA2">
        <w:rPr>
          <w:rFonts w:ascii="Times New Roman" w:hAnsi="Times New Roman" w:cs="Times New Roman"/>
          <w:color w:val="000000" w:themeColor="text1"/>
          <w:sz w:val="24"/>
          <w:szCs w:val="24"/>
        </w:rPr>
        <w:t xml:space="preserve"> 20</w:t>
      </w:r>
      <w:r w:rsidR="005F426B" w:rsidRPr="00724CA2">
        <w:rPr>
          <w:rFonts w:ascii="Times New Roman" w:hAnsi="Times New Roman" w:cs="Times New Roman"/>
          <w:color w:val="000000" w:themeColor="text1"/>
          <w:sz w:val="24"/>
          <w:szCs w:val="24"/>
        </w:rPr>
        <w:t>20</w:t>
      </w:r>
      <w:r w:rsidR="00762E45" w:rsidRPr="00724CA2">
        <w:rPr>
          <w:rFonts w:ascii="Times New Roman" w:hAnsi="Times New Roman" w:cs="Times New Roman"/>
          <w:color w:val="000000" w:themeColor="text1"/>
          <w:sz w:val="24"/>
          <w:szCs w:val="24"/>
        </w:rPr>
        <w:t xml:space="preserve">). </w:t>
      </w:r>
    </w:p>
    <w:p w14:paraId="7735D477" w14:textId="7C76634A" w:rsidR="00E96B78" w:rsidRPr="00724CA2" w:rsidRDefault="00623951" w:rsidP="00771518">
      <w:pPr>
        <w:autoSpaceDE w:val="0"/>
        <w:autoSpaceDN w:val="0"/>
        <w:adjustRightInd w:val="0"/>
        <w:spacing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bCs/>
          <w:color w:val="000000" w:themeColor="text1"/>
          <w:sz w:val="24"/>
          <w:szCs w:val="24"/>
        </w:rPr>
        <w:lastRenderedPageBreak/>
        <w:t xml:space="preserve">We argue this </w:t>
      </w:r>
      <w:r w:rsidR="00BE17AF" w:rsidRPr="00724CA2">
        <w:rPr>
          <w:rFonts w:ascii="Times New Roman" w:hAnsi="Times New Roman" w:cs="Times New Roman"/>
          <w:bCs/>
          <w:color w:val="000000" w:themeColor="text1"/>
          <w:sz w:val="24"/>
          <w:szCs w:val="24"/>
        </w:rPr>
        <w:t xml:space="preserve">dissemination </w:t>
      </w:r>
      <w:r w:rsidR="00C51CD1" w:rsidRPr="00724CA2">
        <w:rPr>
          <w:rFonts w:ascii="Times New Roman" w:hAnsi="Times New Roman" w:cs="Times New Roman"/>
          <w:bCs/>
          <w:color w:val="000000" w:themeColor="text1"/>
          <w:sz w:val="24"/>
          <w:szCs w:val="24"/>
        </w:rPr>
        <w:t xml:space="preserve">of environmental awareness </w:t>
      </w:r>
      <w:r w:rsidR="00762E45" w:rsidRPr="00724CA2">
        <w:rPr>
          <w:rFonts w:ascii="Times New Roman" w:hAnsi="Times New Roman" w:cs="Times New Roman"/>
          <w:bCs/>
          <w:color w:val="000000" w:themeColor="text1"/>
          <w:sz w:val="24"/>
          <w:szCs w:val="24"/>
        </w:rPr>
        <w:t xml:space="preserve">is plausible </w:t>
      </w:r>
      <w:r w:rsidR="005E728F" w:rsidRPr="00724CA2">
        <w:rPr>
          <w:rFonts w:ascii="Times New Roman" w:hAnsi="Times New Roman" w:cs="Times New Roman"/>
          <w:bCs/>
          <w:color w:val="000000" w:themeColor="text1"/>
          <w:sz w:val="24"/>
          <w:szCs w:val="24"/>
        </w:rPr>
        <w:t xml:space="preserve">for many reasons. </w:t>
      </w:r>
      <w:r w:rsidR="00162E36" w:rsidRPr="00724CA2">
        <w:rPr>
          <w:rFonts w:ascii="Times New Roman" w:hAnsi="Times New Roman" w:cs="Times New Roman"/>
          <w:color w:val="000000" w:themeColor="text1"/>
          <w:sz w:val="24"/>
          <w:szCs w:val="24"/>
        </w:rPr>
        <w:t>Mutual funds have a long-term investment horizon allowing them to benefit from monitoring efforts (Gaspar et al., 2005</w:t>
      </w:r>
      <w:r w:rsidR="00A5269F" w:rsidRPr="00724CA2">
        <w:rPr>
          <w:rFonts w:ascii="Times New Roman" w:hAnsi="Times New Roman" w:cs="Times New Roman"/>
          <w:color w:val="000000" w:themeColor="text1"/>
          <w:sz w:val="24"/>
          <w:szCs w:val="24"/>
        </w:rPr>
        <w:t xml:space="preserve">, </w:t>
      </w:r>
      <w:r w:rsidR="00D044D0" w:rsidRPr="00724CA2">
        <w:rPr>
          <w:rFonts w:ascii="Times New Roman" w:hAnsi="Times New Roman" w:cs="Times New Roman"/>
          <w:color w:val="000000" w:themeColor="text1"/>
          <w:sz w:val="24"/>
          <w:szCs w:val="24"/>
        </w:rPr>
        <w:t xml:space="preserve">Kim et al., 2019a), </w:t>
      </w:r>
      <w:r w:rsidR="00A5269F" w:rsidRPr="00724CA2">
        <w:rPr>
          <w:rFonts w:ascii="Times New Roman" w:hAnsi="Times New Roman" w:cs="Times New Roman"/>
          <w:color w:val="000000" w:themeColor="text1"/>
          <w:sz w:val="24"/>
          <w:szCs w:val="24"/>
        </w:rPr>
        <w:t xml:space="preserve">relative </w:t>
      </w:r>
      <w:r w:rsidR="00D044D0" w:rsidRPr="00724CA2">
        <w:rPr>
          <w:rFonts w:ascii="Times New Roman" w:hAnsi="Times New Roman" w:cs="Times New Roman"/>
          <w:color w:val="000000" w:themeColor="text1"/>
          <w:sz w:val="24"/>
          <w:szCs w:val="24"/>
        </w:rPr>
        <w:t>t</w:t>
      </w:r>
      <w:r w:rsidR="00A5269F" w:rsidRPr="00724CA2">
        <w:rPr>
          <w:rFonts w:ascii="Times New Roman" w:hAnsi="Times New Roman" w:cs="Times New Roman"/>
          <w:color w:val="000000" w:themeColor="text1"/>
          <w:sz w:val="24"/>
          <w:szCs w:val="24"/>
        </w:rPr>
        <w:t>o</w:t>
      </w:r>
      <w:r w:rsidR="00D044D0" w:rsidRPr="00724CA2">
        <w:rPr>
          <w:rFonts w:ascii="Times New Roman" w:hAnsi="Times New Roman" w:cs="Times New Roman"/>
          <w:color w:val="000000" w:themeColor="text1"/>
          <w:sz w:val="24"/>
          <w:szCs w:val="24"/>
        </w:rPr>
        <w:t xml:space="preserve"> short-term institutional investors, which have fewer monitoring incentives (Kim et al., 2019b). </w:t>
      </w:r>
      <w:r w:rsidR="00F304D3" w:rsidRPr="00724CA2">
        <w:rPr>
          <w:rFonts w:ascii="Times New Roman" w:hAnsi="Times New Roman" w:cs="Times New Roman"/>
          <w:color w:val="000000" w:themeColor="text1"/>
          <w:sz w:val="24"/>
          <w:szCs w:val="24"/>
        </w:rPr>
        <w:t>T</w:t>
      </w:r>
      <w:r w:rsidR="00E66693" w:rsidRPr="00724CA2">
        <w:rPr>
          <w:rFonts w:ascii="Times New Roman" w:hAnsi="Times New Roman" w:cs="Times New Roman"/>
          <w:color w:val="000000" w:themeColor="text1"/>
          <w:sz w:val="24"/>
          <w:szCs w:val="24"/>
        </w:rPr>
        <w:t>his creates</w:t>
      </w:r>
      <w:r w:rsidR="00C15BC4" w:rsidRPr="00724CA2">
        <w:rPr>
          <w:rFonts w:ascii="Times New Roman" w:hAnsi="Times New Roman" w:cs="Times New Roman"/>
          <w:color w:val="000000" w:themeColor="text1"/>
          <w:sz w:val="24"/>
          <w:szCs w:val="24"/>
        </w:rPr>
        <w:t xml:space="preserve"> strong incentives to monitor investee</w:t>
      </w:r>
      <w:r w:rsidR="000A543F" w:rsidRPr="00724CA2">
        <w:rPr>
          <w:rFonts w:ascii="Times New Roman" w:hAnsi="Times New Roman" w:cs="Times New Roman"/>
          <w:color w:val="000000" w:themeColor="text1"/>
          <w:sz w:val="24"/>
          <w:szCs w:val="24"/>
        </w:rPr>
        <w:t>s</w:t>
      </w:r>
      <w:r w:rsidR="002844C6" w:rsidRPr="00724CA2">
        <w:rPr>
          <w:rFonts w:ascii="Times New Roman" w:hAnsi="Times New Roman" w:cs="Times New Roman"/>
          <w:bCs/>
          <w:color w:val="000000" w:themeColor="text1"/>
          <w:sz w:val="24"/>
          <w:szCs w:val="24"/>
        </w:rPr>
        <w:t xml:space="preserve"> and </w:t>
      </w:r>
      <w:r w:rsidR="002844C6" w:rsidRPr="00724CA2">
        <w:rPr>
          <w:rFonts w:ascii="Times New Roman" w:hAnsi="Times New Roman" w:cs="Times New Roman"/>
          <w:color w:val="000000" w:themeColor="text1"/>
          <w:sz w:val="24"/>
          <w:szCs w:val="24"/>
        </w:rPr>
        <w:t xml:space="preserve">mitigate environmental risks through engagement with their </w:t>
      </w:r>
      <w:r w:rsidR="009F43E6">
        <w:rPr>
          <w:rFonts w:ascii="Times New Roman" w:hAnsi="Times New Roman" w:cs="Times New Roman"/>
          <w:color w:val="000000" w:themeColor="text1"/>
          <w:sz w:val="24"/>
          <w:szCs w:val="24"/>
        </w:rPr>
        <w:t>investee</w:t>
      </w:r>
      <w:r w:rsidR="002844C6" w:rsidRPr="00724CA2">
        <w:rPr>
          <w:rFonts w:ascii="Times New Roman" w:hAnsi="Times New Roman" w:cs="Times New Roman"/>
          <w:color w:val="000000" w:themeColor="text1"/>
          <w:sz w:val="24"/>
          <w:szCs w:val="24"/>
        </w:rPr>
        <w:t xml:space="preserve"> firms </w:t>
      </w:r>
      <w:r w:rsidR="002844C6" w:rsidRPr="00724CA2">
        <w:rPr>
          <w:rFonts w:ascii="Times New Roman" w:hAnsi="Times New Roman" w:cs="Times New Roman"/>
          <w:bCs/>
          <w:color w:val="000000" w:themeColor="text1"/>
          <w:sz w:val="24"/>
          <w:szCs w:val="24"/>
        </w:rPr>
        <w:t>(Li et al., 2021)</w:t>
      </w:r>
      <w:r w:rsidR="00C15BC4" w:rsidRPr="00724CA2">
        <w:rPr>
          <w:rFonts w:ascii="Times New Roman" w:hAnsi="Times New Roman" w:cs="Times New Roman"/>
          <w:color w:val="000000" w:themeColor="text1"/>
          <w:sz w:val="24"/>
          <w:szCs w:val="24"/>
        </w:rPr>
        <w:t xml:space="preserve">. </w:t>
      </w:r>
      <w:r w:rsidR="009A291A" w:rsidRPr="00724CA2">
        <w:rPr>
          <w:rFonts w:ascii="Times New Roman" w:hAnsi="Times New Roman" w:cs="Times New Roman"/>
          <w:color w:val="000000" w:themeColor="text1"/>
          <w:sz w:val="24"/>
          <w:szCs w:val="24"/>
        </w:rPr>
        <w:t xml:space="preserve">Indeed, this </w:t>
      </w:r>
      <w:r w:rsidR="00D81982" w:rsidRPr="00724CA2">
        <w:rPr>
          <w:rFonts w:ascii="Times New Roman" w:hAnsi="Times New Roman" w:cs="Times New Roman"/>
          <w:color w:val="000000" w:themeColor="text1"/>
          <w:sz w:val="24"/>
          <w:szCs w:val="24"/>
        </w:rPr>
        <w:t xml:space="preserve">process </w:t>
      </w:r>
      <w:r w:rsidR="009A291A" w:rsidRPr="00724CA2">
        <w:rPr>
          <w:rFonts w:ascii="Times New Roman" w:hAnsi="Times New Roman" w:cs="Times New Roman"/>
          <w:color w:val="000000" w:themeColor="text1"/>
          <w:sz w:val="24"/>
          <w:szCs w:val="24"/>
        </w:rPr>
        <w:t xml:space="preserve">is </w:t>
      </w:r>
      <w:r w:rsidR="00693C04" w:rsidRPr="00724CA2">
        <w:rPr>
          <w:rFonts w:ascii="Times New Roman" w:hAnsi="Times New Roman" w:cs="Times New Roman"/>
          <w:color w:val="000000" w:themeColor="text1"/>
          <w:sz w:val="24"/>
          <w:szCs w:val="24"/>
        </w:rPr>
        <w:t>illustrated</w:t>
      </w:r>
      <w:r w:rsidR="009A291A" w:rsidRPr="00724CA2">
        <w:rPr>
          <w:rFonts w:ascii="Times New Roman" w:hAnsi="Times New Roman" w:cs="Times New Roman"/>
          <w:color w:val="000000" w:themeColor="text1"/>
          <w:sz w:val="24"/>
          <w:szCs w:val="24"/>
        </w:rPr>
        <w:t xml:space="preserve"> by institutional investors</w:t>
      </w:r>
      <w:r w:rsidR="00090435">
        <w:rPr>
          <w:rFonts w:ascii="Times New Roman" w:hAnsi="Times New Roman" w:cs="Times New Roman"/>
          <w:color w:val="000000" w:themeColor="text1"/>
          <w:sz w:val="24"/>
          <w:szCs w:val="24"/>
        </w:rPr>
        <w:t>’</w:t>
      </w:r>
      <w:r w:rsidR="009A291A" w:rsidRPr="00724CA2">
        <w:rPr>
          <w:rFonts w:ascii="Times New Roman" w:hAnsi="Times New Roman" w:cs="Times New Roman"/>
          <w:color w:val="000000" w:themeColor="text1"/>
          <w:sz w:val="24"/>
          <w:szCs w:val="24"/>
        </w:rPr>
        <w:t xml:space="preserve"> sensitivity to attacks on the reputations of </w:t>
      </w:r>
      <w:r w:rsidR="00301F85" w:rsidRPr="00724CA2">
        <w:rPr>
          <w:rFonts w:ascii="Times New Roman" w:hAnsi="Times New Roman" w:cs="Times New Roman"/>
          <w:color w:val="000000" w:themeColor="text1"/>
          <w:sz w:val="24"/>
          <w:szCs w:val="24"/>
        </w:rPr>
        <w:t>their beneficiaries (</w:t>
      </w:r>
      <w:r w:rsidR="009A291A" w:rsidRPr="00724CA2">
        <w:rPr>
          <w:rFonts w:ascii="Times New Roman" w:hAnsi="Times New Roman" w:cs="Times New Roman"/>
          <w:color w:val="000000" w:themeColor="text1"/>
          <w:sz w:val="24"/>
          <w:szCs w:val="24"/>
        </w:rPr>
        <w:t>Clark and Hebb, 2005)</w:t>
      </w:r>
      <w:r w:rsidR="005E3584" w:rsidRPr="00724CA2">
        <w:rPr>
          <w:rFonts w:ascii="Times New Roman" w:hAnsi="Times New Roman" w:cs="Times New Roman"/>
          <w:color w:val="000000" w:themeColor="text1"/>
          <w:sz w:val="24"/>
          <w:szCs w:val="24"/>
        </w:rPr>
        <w:t xml:space="preserve">, corporate site visits by institutional investors (Jiang et al., 2022) </w:t>
      </w:r>
      <w:r w:rsidR="00221A8C" w:rsidRPr="00724CA2">
        <w:rPr>
          <w:rFonts w:ascii="Times New Roman" w:hAnsi="Times New Roman" w:cs="Times New Roman"/>
          <w:bCs/>
          <w:color w:val="000000" w:themeColor="text1"/>
          <w:sz w:val="24"/>
          <w:szCs w:val="24"/>
        </w:rPr>
        <w:t xml:space="preserve">and </w:t>
      </w:r>
      <w:r w:rsidR="00301F85" w:rsidRPr="00724CA2">
        <w:rPr>
          <w:rFonts w:ascii="Times New Roman" w:hAnsi="Times New Roman" w:cs="Times New Roman"/>
          <w:bCs/>
          <w:color w:val="000000" w:themeColor="text1"/>
          <w:sz w:val="24"/>
          <w:szCs w:val="24"/>
        </w:rPr>
        <w:t xml:space="preserve">the </w:t>
      </w:r>
      <w:r w:rsidR="00221A8C" w:rsidRPr="00724CA2">
        <w:rPr>
          <w:rFonts w:ascii="Times New Roman" w:hAnsi="Times New Roman" w:cs="Times New Roman"/>
          <w:bCs/>
          <w:color w:val="000000" w:themeColor="text1"/>
          <w:sz w:val="24"/>
          <w:szCs w:val="24"/>
        </w:rPr>
        <w:t xml:space="preserve">proportion of mutual funds </w:t>
      </w:r>
      <w:r w:rsidR="00301F85" w:rsidRPr="00724CA2">
        <w:rPr>
          <w:rFonts w:ascii="Times New Roman" w:hAnsi="Times New Roman" w:cs="Times New Roman"/>
          <w:bCs/>
          <w:color w:val="000000" w:themeColor="text1"/>
          <w:sz w:val="24"/>
          <w:szCs w:val="24"/>
        </w:rPr>
        <w:t xml:space="preserve">which are </w:t>
      </w:r>
      <w:r w:rsidR="00221A8C" w:rsidRPr="00724CA2">
        <w:rPr>
          <w:rFonts w:ascii="Times New Roman" w:hAnsi="Times New Roman" w:cs="Times New Roman"/>
          <w:bCs/>
          <w:color w:val="000000" w:themeColor="text1"/>
          <w:sz w:val="24"/>
          <w:szCs w:val="24"/>
        </w:rPr>
        <w:t xml:space="preserve">signatories </w:t>
      </w:r>
      <w:r w:rsidR="00301F85" w:rsidRPr="00724CA2">
        <w:rPr>
          <w:rFonts w:ascii="Times New Roman" w:hAnsi="Times New Roman" w:cs="Times New Roman"/>
          <w:bCs/>
          <w:color w:val="000000" w:themeColor="text1"/>
          <w:sz w:val="24"/>
          <w:szCs w:val="24"/>
        </w:rPr>
        <w:t>o</w:t>
      </w:r>
      <w:r w:rsidR="00C63C78" w:rsidRPr="00724CA2">
        <w:rPr>
          <w:rFonts w:ascii="Times New Roman" w:hAnsi="Times New Roman" w:cs="Times New Roman"/>
          <w:bCs/>
          <w:color w:val="000000" w:themeColor="text1"/>
          <w:sz w:val="24"/>
          <w:szCs w:val="24"/>
        </w:rPr>
        <w:t>f</w:t>
      </w:r>
      <w:r w:rsidR="00301F85" w:rsidRPr="00724CA2">
        <w:rPr>
          <w:rFonts w:ascii="Times New Roman" w:hAnsi="Times New Roman" w:cs="Times New Roman"/>
          <w:bCs/>
          <w:color w:val="000000" w:themeColor="text1"/>
          <w:sz w:val="24"/>
          <w:szCs w:val="24"/>
        </w:rPr>
        <w:t xml:space="preserve"> the</w:t>
      </w:r>
      <w:r w:rsidR="00221A8C" w:rsidRPr="00724CA2">
        <w:rPr>
          <w:rFonts w:ascii="Times New Roman" w:hAnsi="Times New Roman" w:cs="Times New Roman"/>
          <w:bCs/>
          <w:color w:val="000000" w:themeColor="text1"/>
          <w:sz w:val="24"/>
          <w:szCs w:val="24"/>
        </w:rPr>
        <w:t xml:space="preserve"> Principles of Responsible Investment accords (Humphrey and Li, 2021).</w:t>
      </w:r>
      <w:r w:rsidR="001C3BB3" w:rsidRPr="00724CA2">
        <w:rPr>
          <w:rFonts w:ascii="Times New Roman" w:hAnsi="Times New Roman" w:cs="Times New Roman"/>
          <w:color w:val="000000" w:themeColor="text1"/>
          <w:sz w:val="24"/>
          <w:szCs w:val="24"/>
        </w:rPr>
        <w:t xml:space="preserve"> </w:t>
      </w:r>
    </w:p>
    <w:p w14:paraId="0A40CC5D" w14:textId="0195C7C8" w:rsidR="0034090E" w:rsidRPr="00724CA2" w:rsidRDefault="0034090E" w:rsidP="00771518">
      <w:pPr>
        <w:autoSpaceDE w:val="0"/>
        <w:autoSpaceDN w:val="0"/>
        <w:adjustRightInd w:val="0"/>
        <w:spacing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This link between mutual fund ownership and environmental spending is also important to address in the Chinese context. Mutual funds are the largest institutional investors in China (Aggarwal et al., 2015) with $3.1 trillion total net assets under management by the end of 2020 (AMAC, 2021, Flood, 2021). Since China introduced mutual funds in 1997, mutual fund investment has grown significantly (Wang and Chen, 2017), expanding by over 30% in the last </w:t>
      </w:r>
      <w:r w:rsidR="00FC3207">
        <w:rPr>
          <w:rFonts w:ascii="Times New Roman" w:hAnsi="Times New Roman" w:cs="Times New Roman"/>
          <w:color w:val="000000" w:themeColor="text1"/>
          <w:sz w:val="24"/>
          <w:szCs w:val="24"/>
        </w:rPr>
        <w:t>five</w:t>
      </w:r>
      <w:r w:rsidR="00FC3207" w:rsidRPr="00724CA2">
        <w:rPr>
          <w:rFonts w:ascii="Times New Roman" w:hAnsi="Times New Roman" w:cs="Times New Roman"/>
          <w:color w:val="000000" w:themeColor="text1"/>
          <w:sz w:val="24"/>
          <w:szCs w:val="24"/>
        </w:rPr>
        <w:t xml:space="preserve"> </w:t>
      </w:r>
      <w:r w:rsidRPr="00724CA2">
        <w:rPr>
          <w:rFonts w:ascii="Times New Roman" w:hAnsi="Times New Roman" w:cs="Times New Roman"/>
          <w:color w:val="000000" w:themeColor="text1"/>
          <w:sz w:val="24"/>
          <w:szCs w:val="24"/>
        </w:rPr>
        <w:t xml:space="preserve">years (Li et al., 2021). </w:t>
      </w:r>
      <w:r w:rsidR="000769C6" w:rsidRPr="00724CA2">
        <w:rPr>
          <w:rFonts w:ascii="Times New Roman" w:hAnsi="Times New Roman" w:cs="Times New Roman"/>
          <w:color w:val="000000" w:themeColor="text1"/>
          <w:sz w:val="24"/>
          <w:szCs w:val="24"/>
        </w:rPr>
        <w:t xml:space="preserve">These mutual funds possess a substantial capacity to shape the </w:t>
      </w:r>
      <w:r w:rsidR="00A92DD0" w:rsidRPr="00724CA2">
        <w:rPr>
          <w:rFonts w:ascii="Times New Roman" w:hAnsi="Times New Roman" w:cs="Times New Roman"/>
          <w:color w:val="000000" w:themeColor="text1"/>
          <w:sz w:val="24"/>
          <w:szCs w:val="24"/>
        </w:rPr>
        <w:t>sustainable</w:t>
      </w:r>
      <w:r w:rsidR="000769C6" w:rsidRPr="00724CA2">
        <w:rPr>
          <w:rFonts w:ascii="Times New Roman" w:hAnsi="Times New Roman" w:cs="Times New Roman"/>
          <w:color w:val="000000" w:themeColor="text1"/>
          <w:sz w:val="24"/>
          <w:szCs w:val="24"/>
        </w:rPr>
        <w:t xml:space="preserve"> policies of the firms in their portfolio </w:t>
      </w:r>
      <w:r w:rsidR="0086281C" w:rsidRPr="00724CA2">
        <w:rPr>
          <w:rFonts w:ascii="Times New Roman" w:hAnsi="Times New Roman" w:cs="Times New Roman"/>
          <w:color w:val="000000" w:themeColor="text1"/>
          <w:sz w:val="24"/>
          <w:szCs w:val="24"/>
        </w:rPr>
        <w:t xml:space="preserve">by </w:t>
      </w:r>
      <w:r w:rsidR="00547078" w:rsidRPr="00724CA2">
        <w:rPr>
          <w:rFonts w:ascii="Times New Roman" w:hAnsi="Times New Roman" w:cs="Times New Roman"/>
          <w:color w:val="000000" w:themeColor="text1"/>
          <w:sz w:val="24"/>
          <w:szCs w:val="24"/>
        </w:rPr>
        <w:t>‘</w:t>
      </w:r>
      <w:r w:rsidR="000769C6" w:rsidRPr="00724CA2">
        <w:rPr>
          <w:rFonts w:ascii="Times New Roman" w:hAnsi="Times New Roman" w:cs="Times New Roman"/>
          <w:color w:val="000000" w:themeColor="text1"/>
          <w:sz w:val="24"/>
          <w:szCs w:val="24"/>
        </w:rPr>
        <w:t>voting with their feet</w:t>
      </w:r>
      <w:r w:rsidR="00547078" w:rsidRPr="00724CA2">
        <w:rPr>
          <w:rFonts w:ascii="Times New Roman" w:hAnsi="Times New Roman" w:cs="Times New Roman"/>
          <w:color w:val="000000" w:themeColor="text1"/>
          <w:sz w:val="24"/>
          <w:szCs w:val="24"/>
        </w:rPr>
        <w:t>’</w:t>
      </w:r>
      <w:r w:rsidR="0086281C" w:rsidRPr="00724CA2">
        <w:rPr>
          <w:rFonts w:ascii="Times New Roman" w:hAnsi="Times New Roman" w:cs="Times New Roman"/>
          <w:color w:val="000000" w:themeColor="text1"/>
          <w:sz w:val="24"/>
          <w:szCs w:val="24"/>
        </w:rPr>
        <w:t xml:space="preserve">, and </w:t>
      </w:r>
      <w:r w:rsidR="00DF72A1" w:rsidRPr="00724CA2">
        <w:rPr>
          <w:rFonts w:ascii="Times New Roman" w:hAnsi="Times New Roman" w:cs="Times New Roman"/>
          <w:color w:val="000000" w:themeColor="text1"/>
          <w:sz w:val="24"/>
          <w:szCs w:val="24"/>
        </w:rPr>
        <w:t xml:space="preserve">selling </w:t>
      </w:r>
      <w:r w:rsidR="008E69B7" w:rsidRPr="00724CA2">
        <w:rPr>
          <w:rFonts w:ascii="Times New Roman" w:hAnsi="Times New Roman" w:cs="Times New Roman"/>
          <w:color w:val="000000" w:themeColor="text1"/>
          <w:sz w:val="24"/>
          <w:szCs w:val="24"/>
        </w:rPr>
        <w:t xml:space="preserve">their </w:t>
      </w:r>
      <w:r w:rsidR="00DF72A1" w:rsidRPr="00724CA2">
        <w:rPr>
          <w:rFonts w:ascii="Times New Roman" w:hAnsi="Times New Roman" w:cs="Times New Roman"/>
          <w:color w:val="000000" w:themeColor="text1"/>
          <w:sz w:val="24"/>
          <w:szCs w:val="24"/>
        </w:rPr>
        <w:t xml:space="preserve">investments; </w:t>
      </w:r>
      <w:r w:rsidR="00547078" w:rsidRPr="00724CA2">
        <w:rPr>
          <w:rFonts w:ascii="Times New Roman" w:hAnsi="Times New Roman" w:cs="Times New Roman"/>
          <w:color w:val="000000" w:themeColor="text1"/>
          <w:sz w:val="24"/>
          <w:szCs w:val="24"/>
        </w:rPr>
        <w:t xml:space="preserve">a </w:t>
      </w:r>
      <w:r w:rsidR="000769C6" w:rsidRPr="00724CA2">
        <w:rPr>
          <w:rFonts w:ascii="Times New Roman" w:hAnsi="Times New Roman" w:cs="Times New Roman"/>
          <w:color w:val="000000" w:themeColor="text1"/>
          <w:sz w:val="24"/>
          <w:szCs w:val="24"/>
        </w:rPr>
        <w:t>power other funds, including index funds, do not possess</w:t>
      </w:r>
      <w:r w:rsidR="00A92DD0" w:rsidRPr="00724CA2">
        <w:rPr>
          <w:rFonts w:ascii="Times New Roman" w:hAnsi="Times New Roman" w:cs="Times New Roman"/>
          <w:color w:val="000000" w:themeColor="text1"/>
          <w:sz w:val="24"/>
          <w:szCs w:val="24"/>
        </w:rPr>
        <w:t xml:space="preserve"> (</w:t>
      </w:r>
      <w:r w:rsidR="00760D40" w:rsidRPr="00724CA2">
        <w:rPr>
          <w:rFonts w:ascii="Times New Roman" w:hAnsi="Times New Roman" w:cs="Times New Roman"/>
          <w:color w:val="000000" w:themeColor="text1"/>
          <w:sz w:val="24"/>
          <w:szCs w:val="24"/>
        </w:rPr>
        <w:t>Li et al., 2021</w:t>
      </w:r>
      <w:r w:rsidR="00A92DD0" w:rsidRPr="00724CA2">
        <w:rPr>
          <w:rFonts w:ascii="Times New Roman" w:hAnsi="Times New Roman" w:cs="Times New Roman"/>
          <w:color w:val="000000" w:themeColor="text1"/>
          <w:sz w:val="24"/>
          <w:szCs w:val="24"/>
        </w:rPr>
        <w:t>).</w:t>
      </w:r>
      <w:r w:rsidR="00730181" w:rsidRPr="00724CA2">
        <w:rPr>
          <w:rFonts w:ascii="Times New Roman" w:hAnsi="Times New Roman" w:cs="Times New Roman"/>
          <w:color w:val="000000" w:themeColor="text1"/>
          <w:sz w:val="24"/>
          <w:szCs w:val="24"/>
        </w:rPr>
        <w:t xml:space="preserve"> </w:t>
      </w:r>
      <w:r w:rsidR="003A0177" w:rsidRPr="00724CA2">
        <w:rPr>
          <w:rFonts w:ascii="Times New Roman" w:hAnsi="Times New Roman" w:cs="Times New Roman"/>
          <w:color w:val="000000" w:themeColor="text1"/>
          <w:sz w:val="24"/>
          <w:szCs w:val="24"/>
        </w:rPr>
        <w:t xml:space="preserve">Chinese mutual funds are </w:t>
      </w:r>
      <w:r w:rsidR="00771166" w:rsidRPr="00724CA2">
        <w:rPr>
          <w:rFonts w:ascii="Times New Roman" w:hAnsi="Times New Roman" w:cs="Times New Roman"/>
          <w:color w:val="000000" w:themeColor="text1"/>
          <w:sz w:val="24"/>
          <w:szCs w:val="24"/>
        </w:rPr>
        <w:t xml:space="preserve">also </w:t>
      </w:r>
      <w:r w:rsidR="003A0177" w:rsidRPr="00724CA2">
        <w:rPr>
          <w:rFonts w:ascii="Times New Roman" w:hAnsi="Times New Roman" w:cs="Times New Roman"/>
          <w:color w:val="000000" w:themeColor="text1"/>
          <w:sz w:val="24"/>
          <w:szCs w:val="24"/>
        </w:rPr>
        <w:t xml:space="preserve">subject to </w:t>
      </w:r>
      <w:r w:rsidR="000E459C" w:rsidRPr="00724CA2">
        <w:rPr>
          <w:rFonts w:ascii="Times New Roman" w:hAnsi="Times New Roman" w:cs="Times New Roman"/>
          <w:color w:val="000000" w:themeColor="text1"/>
          <w:sz w:val="24"/>
          <w:szCs w:val="24"/>
        </w:rPr>
        <w:t>significant</w:t>
      </w:r>
      <w:r w:rsidR="00771166" w:rsidRPr="00724CA2">
        <w:rPr>
          <w:rFonts w:ascii="Times New Roman" w:hAnsi="Times New Roman" w:cs="Times New Roman"/>
          <w:color w:val="000000" w:themeColor="text1"/>
          <w:sz w:val="24"/>
          <w:szCs w:val="24"/>
        </w:rPr>
        <w:t xml:space="preserve"> </w:t>
      </w:r>
      <w:r w:rsidR="003A0177" w:rsidRPr="00724CA2">
        <w:rPr>
          <w:rFonts w:ascii="Times New Roman" w:hAnsi="Times New Roman" w:cs="Times New Roman"/>
          <w:color w:val="000000" w:themeColor="text1"/>
          <w:sz w:val="24"/>
          <w:szCs w:val="24"/>
        </w:rPr>
        <w:t xml:space="preserve">regulatory scrutiny, </w:t>
      </w:r>
      <w:r w:rsidR="00771166" w:rsidRPr="00724CA2">
        <w:rPr>
          <w:rFonts w:ascii="Times New Roman" w:hAnsi="Times New Roman" w:cs="Times New Roman"/>
          <w:color w:val="000000" w:themeColor="text1"/>
          <w:sz w:val="24"/>
          <w:szCs w:val="24"/>
        </w:rPr>
        <w:t xml:space="preserve">resulting in </w:t>
      </w:r>
      <w:r w:rsidR="00260A83" w:rsidRPr="00724CA2">
        <w:rPr>
          <w:rFonts w:ascii="Times New Roman" w:hAnsi="Times New Roman" w:cs="Times New Roman"/>
          <w:color w:val="000000" w:themeColor="text1"/>
          <w:sz w:val="24"/>
          <w:szCs w:val="24"/>
        </w:rPr>
        <w:t xml:space="preserve">the </w:t>
      </w:r>
      <w:r w:rsidR="003A0177" w:rsidRPr="00724CA2">
        <w:rPr>
          <w:rFonts w:ascii="Times New Roman" w:hAnsi="Times New Roman" w:cs="Times New Roman"/>
          <w:color w:val="000000" w:themeColor="text1"/>
          <w:sz w:val="24"/>
          <w:szCs w:val="24"/>
        </w:rPr>
        <w:t xml:space="preserve">disclosure </w:t>
      </w:r>
      <w:r w:rsidR="000C14F8" w:rsidRPr="00724CA2">
        <w:rPr>
          <w:rFonts w:ascii="Times New Roman" w:hAnsi="Times New Roman" w:cs="Times New Roman"/>
          <w:color w:val="000000" w:themeColor="text1"/>
          <w:sz w:val="24"/>
          <w:szCs w:val="24"/>
        </w:rPr>
        <w:t xml:space="preserve">of </w:t>
      </w:r>
      <w:r w:rsidR="003A0177" w:rsidRPr="00724CA2">
        <w:rPr>
          <w:rFonts w:ascii="Times New Roman" w:hAnsi="Times New Roman" w:cs="Times New Roman"/>
          <w:color w:val="000000" w:themeColor="text1"/>
          <w:sz w:val="24"/>
          <w:szCs w:val="24"/>
        </w:rPr>
        <w:t xml:space="preserve">details </w:t>
      </w:r>
      <w:r w:rsidR="000C14F8" w:rsidRPr="00724CA2">
        <w:rPr>
          <w:rFonts w:ascii="Times New Roman" w:hAnsi="Times New Roman" w:cs="Times New Roman"/>
          <w:color w:val="000000" w:themeColor="text1"/>
          <w:sz w:val="24"/>
          <w:szCs w:val="24"/>
        </w:rPr>
        <w:t xml:space="preserve">such as </w:t>
      </w:r>
      <w:r w:rsidR="003A0177" w:rsidRPr="00724CA2">
        <w:rPr>
          <w:rFonts w:ascii="Times New Roman" w:hAnsi="Times New Roman" w:cs="Times New Roman"/>
          <w:color w:val="000000" w:themeColor="text1"/>
          <w:sz w:val="24"/>
          <w:szCs w:val="24"/>
        </w:rPr>
        <w:t>investment portfolio compositions</w:t>
      </w:r>
      <w:r w:rsidR="00D87B4F" w:rsidRPr="00724CA2">
        <w:rPr>
          <w:rFonts w:ascii="Times New Roman" w:hAnsi="Times New Roman" w:cs="Times New Roman"/>
          <w:color w:val="000000" w:themeColor="text1"/>
          <w:sz w:val="24"/>
          <w:szCs w:val="24"/>
        </w:rPr>
        <w:t xml:space="preserve">, and an enhanced </w:t>
      </w:r>
      <w:r w:rsidR="00F42DB3" w:rsidRPr="00724CA2">
        <w:rPr>
          <w:rFonts w:ascii="Times New Roman" w:hAnsi="Times New Roman" w:cs="Times New Roman"/>
          <w:color w:val="000000" w:themeColor="text1"/>
          <w:sz w:val="24"/>
          <w:szCs w:val="24"/>
        </w:rPr>
        <w:t xml:space="preserve">inclination </w:t>
      </w:r>
      <w:r w:rsidR="003A0177" w:rsidRPr="00724CA2">
        <w:rPr>
          <w:rFonts w:ascii="Times New Roman" w:hAnsi="Times New Roman" w:cs="Times New Roman"/>
          <w:color w:val="000000" w:themeColor="text1"/>
          <w:sz w:val="24"/>
          <w:szCs w:val="24"/>
        </w:rPr>
        <w:t xml:space="preserve">to consider sustainability </w:t>
      </w:r>
      <w:r w:rsidR="00F42DB3" w:rsidRPr="00724CA2">
        <w:rPr>
          <w:rFonts w:ascii="Times New Roman" w:hAnsi="Times New Roman" w:cs="Times New Roman"/>
          <w:color w:val="000000" w:themeColor="text1"/>
          <w:sz w:val="24"/>
          <w:szCs w:val="24"/>
        </w:rPr>
        <w:t xml:space="preserve">issues </w:t>
      </w:r>
      <w:r w:rsidR="003A0177" w:rsidRPr="00724CA2">
        <w:rPr>
          <w:rFonts w:ascii="Times New Roman" w:hAnsi="Times New Roman" w:cs="Times New Roman"/>
          <w:color w:val="000000" w:themeColor="text1"/>
          <w:sz w:val="24"/>
          <w:szCs w:val="24"/>
        </w:rPr>
        <w:t>(Wang et al., 2019</w:t>
      </w:r>
      <w:r w:rsidR="0021766E" w:rsidRPr="00724CA2">
        <w:rPr>
          <w:rFonts w:ascii="Times New Roman" w:hAnsi="Times New Roman" w:cs="Times New Roman"/>
          <w:color w:val="000000" w:themeColor="text1"/>
          <w:sz w:val="24"/>
          <w:szCs w:val="24"/>
        </w:rPr>
        <w:t>b</w:t>
      </w:r>
      <w:r w:rsidR="003A0177" w:rsidRPr="00724CA2">
        <w:rPr>
          <w:rFonts w:ascii="Times New Roman" w:hAnsi="Times New Roman" w:cs="Times New Roman"/>
          <w:color w:val="000000" w:themeColor="text1"/>
          <w:sz w:val="24"/>
          <w:szCs w:val="24"/>
        </w:rPr>
        <w:t xml:space="preserve">). </w:t>
      </w:r>
      <w:r w:rsidR="00F42DB3" w:rsidRPr="00724CA2">
        <w:rPr>
          <w:rFonts w:ascii="Times New Roman" w:hAnsi="Times New Roman" w:cs="Times New Roman"/>
          <w:color w:val="000000" w:themeColor="text1"/>
          <w:sz w:val="24"/>
          <w:szCs w:val="24"/>
        </w:rPr>
        <w:t>Subsequently</w:t>
      </w:r>
      <w:r w:rsidR="00394B86" w:rsidRPr="00724CA2">
        <w:rPr>
          <w:rFonts w:ascii="Times New Roman" w:hAnsi="Times New Roman" w:cs="Times New Roman"/>
          <w:color w:val="000000" w:themeColor="text1"/>
          <w:sz w:val="24"/>
          <w:szCs w:val="24"/>
        </w:rPr>
        <w:t>, as</w:t>
      </w:r>
      <w:r w:rsidR="00F42DB3" w:rsidRPr="00724CA2">
        <w:rPr>
          <w:rFonts w:ascii="Times New Roman" w:hAnsi="Times New Roman" w:cs="Times New Roman"/>
          <w:color w:val="000000" w:themeColor="text1"/>
          <w:sz w:val="24"/>
          <w:szCs w:val="24"/>
        </w:rPr>
        <w:t xml:space="preserve"> </w:t>
      </w:r>
      <w:r w:rsidR="003A0177" w:rsidRPr="00724CA2">
        <w:rPr>
          <w:rFonts w:ascii="Times New Roman" w:hAnsi="Times New Roman" w:cs="Times New Roman"/>
          <w:color w:val="000000" w:themeColor="text1"/>
          <w:sz w:val="24"/>
          <w:szCs w:val="24"/>
        </w:rPr>
        <w:t xml:space="preserve">mutual funds </w:t>
      </w:r>
      <w:r w:rsidR="00394B86" w:rsidRPr="00724CA2">
        <w:rPr>
          <w:rFonts w:ascii="Times New Roman" w:hAnsi="Times New Roman" w:cs="Times New Roman"/>
          <w:color w:val="000000" w:themeColor="text1"/>
          <w:sz w:val="24"/>
          <w:szCs w:val="24"/>
        </w:rPr>
        <w:t xml:space="preserve">are </w:t>
      </w:r>
      <w:r w:rsidR="003A0177" w:rsidRPr="00724CA2">
        <w:rPr>
          <w:rFonts w:ascii="Times New Roman" w:hAnsi="Times New Roman" w:cs="Times New Roman"/>
          <w:color w:val="000000" w:themeColor="text1"/>
          <w:sz w:val="24"/>
          <w:szCs w:val="24"/>
        </w:rPr>
        <w:t>likely to invest in firms with robust sustainable policies</w:t>
      </w:r>
      <w:r w:rsidR="00394B86" w:rsidRPr="00724CA2">
        <w:rPr>
          <w:rFonts w:ascii="Times New Roman" w:hAnsi="Times New Roman" w:cs="Times New Roman"/>
          <w:color w:val="000000" w:themeColor="text1"/>
          <w:sz w:val="24"/>
          <w:szCs w:val="24"/>
        </w:rPr>
        <w:t>, w</w:t>
      </w:r>
      <w:r w:rsidR="003F51EE" w:rsidRPr="00724CA2">
        <w:rPr>
          <w:rFonts w:ascii="Times New Roman" w:hAnsi="Times New Roman" w:cs="Times New Roman"/>
          <w:color w:val="000000" w:themeColor="text1"/>
          <w:sz w:val="24"/>
          <w:szCs w:val="24"/>
        </w:rPr>
        <w:t>e propose mutual funds encourage their beneficiaries to engage in more environmental spending, and</w:t>
      </w:r>
      <w:r w:rsidR="003E65E4">
        <w:rPr>
          <w:rFonts w:ascii="Times New Roman" w:hAnsi="Times New Roman" w:cs="Times New Roman"/>
          <w:color w:val="000000" w:themeColor="text1"/>
          <w:sz w:val="24"/>
          <w:szCs w:val="24"/>
        </w:rPr>
        <w:t xml:space="preserve"> therefore</w:t>
      </w:r>
      <w:r w:rsidR="003F51EE" w:rsidRPr="00724CA2">
        <w:rPr>
          <w:rFonts w:ascii="Times New Roman" w:hAnsi="Times New Roman" w:cs="Times New Roman"/>
          <w:color w:val="000000" w:themeColor="text1"/>
          <w:sz w:val="24"/>
          <w:szCs w:val="24"/>
        </w:rPr>
        <w:t xml:space="preserve"> examine the following hypothesis: </w:t>
      </w:r>
    </w:p>
    <w:p w14:paraId="3787814A" w14:textId="13650FDA" w:rsidR="00762E45" w:rsidRPr="00724CA2" w:rsidRDefault="00762E45" w:rsidP="00771518">
      <w:pPr>
        <w:spacing w:afterLines="50" w:after="120" w:line="480" w:lineRule="auto"/>
        <w:rPr>
          <w:rFonts w:ascii="Times New Roman" w:hAnsi="Times New Roman" w:cs="Times New Roman"/>
          <w:i/>
          <w:color w:val="000000" w:themeColor="text1"/>
          <w:sz w:val="24"/>
          <w:szCs w:val="24"/>
        </w:rPr>
      </w:pPr>
      <w:r w:rsidRPr="001D3BAC">
        <w:rPr>
          <w:rFonts w:ascii="Times New Roman" w:hAnsi="Times New Roman" w:cs="Times New Roman"/>
          <w:b/>
          <w:bCs/>
          <w:i/>
          <w:color w:val="000000" w:themeColor="text1"/>
          <w:sz w:val="24"/>
          <w:szCs w:val="24"/>
        </w:rPr>
        <w:t>H</w:t>
      </w:r>
      <w:r w:rsidR="000B18C5">
        <w:rPr>
          <w:rFonts w:ascii="Times New Roman" w:hAnsi="Times New Roman" w:cs="Times New Roman" w:hint="eastAsia"/>
          <w:b/>
          <w:bCs/>
          <w:i/>
          <w:color w:val="000000" w:themeColor="text1"/>
          <w:sz w:val="24"/>
          <w:szCs w:val="24"/>
          <w:lang w:eastAsia="zh-CN"/>
        </w:rPr>
        <w:t>1</w:t>
      </w:r>
      <w:r w:rsidR="001D3BAC" w:rsidRPr="001D3BAC">
        <w:rPr>
          <w:rFonts w:ascii="Times New Roman" w:hAnsi="Times New Roman" w:cs="Times New Roman" w:hint="eastAsia"/>
          <w:b/>
          <w:bCs/>
          <w:i/>
          <w:color w:val="000000" w:themeColor="text1"/>
          <w:sz w:val="24"/>
          <w:szCs w:val="24"/>
          <w:lang w:eastAsia="zh-CN"/>
        </w:rPr>
        <w:t>.</w:t>
      </w:r>
      <w:r w:rsidRPr="00724CA2">
        <w:rPr>
          <w:rFonts w:ascii="Times New Roman" w:hAnsi="Times New Roman" w:cs="Times New Roman"/>
          <w:i/>
          <w:color w:val="000000" w:themeColor="text1"/>
          <w:sz w:val="24"/>
          <w:szCs w:val="24"/>
        </w:rPr>
        <w:t xml:space="preserve"> </w:t>
      </w:r>
      <w:r w:rsidR="002C7270" w:rsidRPr="00724CA2">
        <w:rPr>
          <w:rFonts w:ascii="Times New Roman" w:hAnsi="Times New Roman" w:cs="Times New Roman"/>
          <w:i/>
          <w:color w:val="000000" w:themeColor="text1"/>
          <w:sz w:val="24"/>
          <w:szCs w:val="24"/>
        </w:rPr>
        <w:t>Mutual fund ownership is positively related to corporate environmental spending.</w:t>
      </w:r>
    </w:p>
    <w:p w14:paraId="61C3AF80" w14:textId="44FA6073" w:rsidR="00504131" w:rsidRPr="00724CA2" w:rsidRDefault="00B34D57" w:rsidP="00771518">
      <w:pPr>
        <w:spacing w:afterLines="50" w:after="120" w:line="480" w:lineRule="auto"/>
        <w:ind w:firstLine="284"/>
        <w:jc w:val="both"/>
        <w:rPr>
          <w:rFonts w:ascii="Times New Roman" w:hAnsi="Times New Roman" w:cs="Times New Roman"/>
          <w:color w:val="000000" w:themeColor="text1"/>
          <w:sz w:val="24"/>
          <w:szCs w:val="24"/>
        </w:rPr>
      </w:pPr>
      <w:bookmarkStart w:id="2" w:name="_Hlk160068712"/>
      <w:bookmarkEnd w:id="1"/>
      <w:r w:rsidRPr="00724CA2">
        <w:rPr>
          <w:rFonts w:ascii="Times New Roman" w:hAnsi="Times New Roman" w:cs="Times New Roman"/>
          <w:color w:val="000000" w:themeColor="text1"/>
          <w:sz w:val="24"/>
          <w:szCs w:val="24"/>
        </w:rPr>
        <w:lastRenderedPageBreak/>
        <w:t>S</w:t>
      </w:r>
      <w:r w:rsidR="00762E45" w:rsidRPr="00724CA2">
        <w:rPr>
          <w:rFonts w:ascii="Times New Roman" w:hAnsi="Times New Roman" w:cs="Times New Roman"/>
          <w:color w:val="000000" w:themeColor="text1"/>
          <w:sz w:val="24"/>
          <w:szCs w:val="24"/>
        </w:rPr>
        <w:t xml:space="preserve">ustainability </w:t>
      </w:r>
      <w:r w:rsidR="0007062C" w:rsidRPr="00724CA2">
        <w:rPr>
          <w:rFonts w:ascii="Times New Roman" w:hAnsi="Times New Roman" w:cs="Times New Roman"/>
          <w:color w:val="000000" w:themeColor="text1"/>
          <w:sz w:val="24"/>
          <w:szCs w:val="24"/>
        </w:rPr>
        <w:t xml:space="preserve">concepts </w:t>
      </w:r>
      <w:r w:rsidR="00762E45" w:rsidRPr="00724CA2">
        <w:rPr>
          <w:rFonts w:ascii="Times New Roman" w:hAnsi="Times New Roman" w:cs="Times New Roman"/>
          <w:color w:val="000000" w:themeColor="text1"/>
          <w:sz w:val="24"/>
          <w:szCs w:val="24"/>
        </w:rPr>
        <w:t xml:space="preserve">are </w:t>
      </w:r>
      <w:r w:rsidRPr="00724CA2">
        <w:rPr>
          <w:rFonts w:ascii="Times New Roman" w:hAnsi="Times New Roman" w:cs="Times New Roman"/>
          <w:color w:val="000000" w:themeColor="text1"/>
          <w:sz w:val="24"/>
          <w:szCs w:val="24"/>
        </w:rPr>
        <w:t xml:space="preserve">also </w:t>
      </w:r>
      <w:r w:rsidR="00762E45" w:rsidRPr="00724CA2">
        <w:rPr>
          <w:rFonts w:ascii="Times New Roman" w:hAnsi="Times New Roman" w:cs="Times New Roman"/>
          <w:color w:val="000000" w:themeColor="text1"/>
          <w:sz w:val="24"/>
          <w:szCs w:val="24"/>
        </w:rPr>
        <w:t xml:space="preserve">shaped by </w:t>
      </w:r>
      <w:r w:rsidR="00667298" w:rsidRPr="00724CA2">
        <w:rPr>
          <w:rFonts w:ascii="Times New Roman" w:hAnsi="Times New Roman" w:cs="Times New Roman"/>
          <w:color w:val="000000" w:themeColor="text1"/>
          <w:sz w:val="24"/>
          <w:szCs w:val="24"/>
        </w:rPr>
        <w:t xml:space="preserve">institutional </w:t>
      </w:r>
      <w:r w:rsidR="00762E45" w:rsidRPr="00724CA2">
        <w:rPr>
          <w:rFonts w:ascii="Times New Roman" w:hAnsi="Times New Roman" w:cs="Times New Roman"/>
          <w:color w:val="000000" w:themeColor="text1"/>
          <w:sz w:val="24"/>
          <w:szCs w:val="24"/>
        </w:rPr>
        <w:t xml:space="preserve">forces and </w:t>
      </w:r>
      <w:r w:rsidR="00C63C78" w:rsidRPr="00724CA2">
        <w:rPr>
          <w:rFonts w:ascii="Times New Roman" w:hAnsi="Times New Roman" w:cs="Times New Roman"/>
          <w:color w:val="000000" w:themeColor="text1"/>
          <w:sz w:val="24"/>
          <w:szCs w:val="24"/>
        </w:rPr>
        <w:t>particularly</w:t>
      </w:r>
      <w:r w:rsidR="00762E45" w:rsidRPr="00724CA2">
        <w:rPr>
          <w:rFonts w:ascii="Times New Roman" w:hAnsi="Times New Roman" w:cs="Times New Roman"/>
          <w:color w:val="000000" w:themeColor="text1"/>
          <w:sz w:val="24"/>
          <w:szCs w:val="24"/>
        </w:rPr>
        <w:t xml:space="preserve"> the state (Jennings and Zandbergen, 1995). </w:t>
      </w:r>
      <w:r w:rsidR="00674F63" w:rsidRPr="00724CA2">
        <w:rPr>
          <w:rFonts w:ascii="Times New Roman" w:hAnsi="Times New Roman" w:cs="Times New Roman"/>
          <w:color w:val="000000" w:themeColor="text1"/>
          <w:sz w:val="24"/>
          <w:szCs w:val="24"/>
        </w:rPr>
        <w:t>W</w:t>
      </w:r>
      <w:r w:rsidR="00762E45" w:rsidRPr="00724CA2">
        <w:rPr>
          <w:rFonts w:ascii="Times New Roman" w:hAnsi="Times New Roman" w:cs="Times New Roman"/>
          <w:color w:val="000000" w:themeColor="text1"/>
          <w:sz w:val="24"/>
          <w:szCs w:val="24"/>
        </w:rPr>
        <w:t>hile China has relatively weak environmental protections, the government</w:t>
      </w:r>
      <w:r w:rsidR="00806AEB" w:rsidRPr="00724CA2">
        <w:rPr>
          <w:rFonts w:ascii="Times New Roman" w:hAnsi="Times New Roman" w:cs="Times New Roman"/>
          <w:color w:val="000000" w:themeColor="text1"/>
          <w:sz w:val="24"/>
          <w:szCs w:val="24"/>
        </w:rPr>
        <w:t>s’</w:t>
      </w:r>
      <w:r w:rsidR="00762E45" w:rsidRPr="00724CA2">
        <w:rPr>
          <w:rFonts w:ascii="Times New Roman" w:hAnsi="Times New Roman" w:cs="Times New Roman"/>
          <w:color w:val="000000" w:themeColor="text1"/>
          <w:sz w:val="24"/>
          <w:szCs w:val="24"/>
        </w:rPr>
        <w:t xml:space="preserve"> </w:t>
      </w:r>
      <w:r w:rsidR="005F3175" w:rsidRPr="00724CA2">
        <w:rPr>
          <w:rFonts w:ascii="Times New Roman" w:hAnsi="Times New Roman" w:cs="Times New Roman"/>
          <w:color w:val="000000" w:themeColor="text1"/>
          <w:sz w:val="24"/>
          <w:szCs w:val="24"/>
        </w:rPr>
        <w:t xml:space="preserve">commitment to </w:t>
      </w:r>
      <w:r w:rsidR="00762E45" w:rsidRPr="00724CA2">
        <w:rPr>
          <w:rFonts w:ascii="Times New Roman" w:hAnsi="Times New Roman" w:cs="Times New Roman"/>
          <w:color w:val="000000" w:themeColor="text1"/>
          <w:sz w:val="24"/>
          <w:szCs w:val="24"/>
        </w:rPr>
        <w:t>addressing pollution problems and encourag</w:t>
      </w:r>
      <w:r w:rsidR="005F3175" w:rsidRPr="00724CA2">
        <w:rPr>
          <w:rFonts w:ascii="Times New Roman" w:hAnsi="Times New Roman" w:cs="Times New Roman"/>
          <w:color w:val="000000" w:themeColor="text1"/>
          <w:sz w:val="24"/>
          <w:szCs w:val="24"/>
        </w:rPr>
        <w:t xml:space="preserve">ing </w:t>
      </w:r>
      <w:r w:rsidR="00762E45" w:rsidRPr="00724CA2">
        <w:rPr>
          <w:rFonts w:ascii="Times New Roman" w:hAnsi="Times New Roman" w:cs="Times New Roman"/>
          <w:color w:val="000000" w:themeColor="text1"/>
          <w:sz w:val="24"/>
          <w:szCs w:val="24"/>
        </w:rPr>
        <w:t>‘green’ corporate practices</w:t>
      </w:r>
      <w:r w:rsidR="005F3175" w:rsidRPr="00724CA2">
        <w:rPr>
          <w:rFonts w:ascii="Times New Roman" w:hAnsi="Times New Roman" w:cs="Times New Roman"/>
          <w:color w:val="000000" w:themeColor="text1"/>
          <w:sz w:val="24"/>
          <w:szCs w:val="24"/>
        </w:rPr>
        <w:t xml:space="preserve"> </w:t>
      </w:r>
      <w:r w:rsidR="003E31EA" w:rsidRPr="00724CA2">
        <w:rPr>
          <w:rFonts w:ascii="Times New Roman" w:hAnsi="Times New Roman" w:cs="Times New Roman"/>
          <w:color w:val="000000" w:themeColor="text1"/>
          <w:sz w:val="24"/>
          <w:szCs w:val="24"/>
        </w:rPr>
        <w:t>is</w:t>
      </w:r>
      <w:r w:rsidR="005F3175" w:rsidRPr="00724CA2">
        <w:rPr>
          <w:rFonts w:ascii="Times New Roman" w:hAnsi="Times New Roman" w:cs="Times New Roman"/>
          <w:color w:val="000000" w:themeColor="text1"/>
          <w:sz w:val="24"/>
          <w:szCs w:val="24"/>
        </w:rPr>
        <w:t xml:space="preserve"> well documented (Nordhaus, 2019)</w:t>
      </w:r>
      <w:r w:rsidR="00762E45" w:rsidRPr="00724CA2">
        <w:rPr>
          <w:rFonts w:ascii="Times New Roman" w:hAnsi="Times New Roman" w:cs="Times New Roman"/>
          <w:color w:val="000000" w:themeColor="text1"/>
          <w:sz w:val="24"/>
          <w:szCs w:val="24"/>
        </w:rPr>
        <w:t>. Since 2016</w:t>
      </w:r>
      <w:r w:rsidR="00B51D78" w:rsidRPr="00724CA2">
        <w:rPr>
          <w:rFonts w:ascii="Times New Roman" w:hAnsi="Times New Roman" w:cs="Times New Roman"/>
          <w:color w:val="000000" w:themeColor="text1"/>
          <w:sz w:val="24"/>
          <w:szCs w:val="24"/>
        </w:rPr>
        <w:t>,</w:t>
      </w:r>
      <w:r w:rsidR="00762E45" w:rsidRPr="00724CA2">
        <w:rPr>
          <w:rFonts w:ascii="Times New Roman" w:hAnsi="Times New Roman" w:cs="Times New Roman"/>
          <w:color w:val="000000" w:themeColor="text1"/>
          <w:sz w:val="24"/>
          <w:szCs w:val="24"/>
        </w:rPr>
        <w:t xml:space="preserve"> green finance has been actively supported by the Chinese state through the ‘Guidelines for Establishing the Green Financial System’ (Liu et al., 2020)</w:t>
      </w:r>
      <w:r w:rsidR="003E31EA" w:rsidRPr="00724CA2">
        <w:rPr>
          <w:rFonts w:ascii="Times New Roman" w:hAnsi="Times New Roman" w:cs="Times New Roman"/>
          <w:color w:val="000000" w:themeColor="text1"/>
          <w:sz w:val="24"/>
          <w:szCs w:val="24"/>
        </w:rPr>
        <w:t xml:space="preserve"> and p</w:t>
      </w:r>
      <w:r w:rsidR="00A77D95" w:rsidRPr="00724CA2">
        <w:rPr>
          <w:rFonts w:ascii="Times New Roman" w:hAnsi="Times New Roman" w:cs="Times New Roman"/>
          <w:color w:val="000000" w:themeColor="text1"/>
          <w:sz w:val="24"/>
          <w:szCs w:val="24"/>
        </w:rPr>
        <w:t xml:space="preserve">olicies </w:t>
      </w:r>
      <w:r w:rsidR="003E31EA" w:rsidRPr="00724CA2">
        <w:rPr>
          <w:rFonts w:ascii="Times New Roman" w:hAnsi="Times New Roman" w:cs="Times New Roman"/>
          <w:color w:val="000000" w:themeColor="text1"/>
          <w:sz w:val="24"/>
          <w:szCs w:val="24"/>
        </w:rPr>
        <w:t>i</w:t>
      </w:r>
      <w:r w:rsidR="00E767F1" w:rsidRPr="00724CA2">
        <w:rPr>
          <w:rFonts w:ascii="Times New Roman" w:hAnsi="Times New Roman" w:cs="Times New Roman"/>
          <w:color w:val="000000" w:themeColor="text1"/>
          <w:sz w:val="24"/>
          <w:szCs w:val="24"/>
        </w:rPr>
        <w:t>ncluding</w:t>
      </w:r>
      <w:r w:rsidR="00E736CB">
        <w:rPr>
          <w:rFonts w:ascii="Times New Roman" w:hAnsi="Times New Roman" w:cs="Times New Roman"/>
          <w:color w:val="000000" w:themeColor="text1"/>
          <w:sz w:val="24"/>
          <w:szCs w:val="24"/>
          <w:lang w:eastAsia="zh-CN"/>
        </w:rPr>
        <w:t xml:space="preserve"> ‘</w:t>
      </w:r>
      <w:r w:rsidR="00F7686D">
        <w:rPr>
          <w:rFonts w:ascii="Times New Roman" w:hAnsi="Times New Roman" w:cs="Times New Roman" w:hint="eastAsia"/>
          <w:color w:val="000000" w:themeColor="text1"/>
          <w:sz w:val="24"/>
          <w:szCs w:val="24"/>
          <w:lang w:eastAsia="zh-CN"/>
        </w:rPr>
        <w:t>G</w:t>
      </w:r>
      <w:r w:rsidR="00E767F1" w:rsidRPr="00724CA2">
        <w:rPr>
          <w:rFonts w:ascii="Times New Roman" w:hAnsi="Times New Roman" w:cs="Times New Roman"/>
          <w:color w:val="000000" w:themeColor="text1"/>
          <w:sz w:val="24"/>
          <w:szCs w:val="24"/>
        </w:rPr>
        <w:t xml:space="preserve">reen </w:t>
      </w:r>
      <w:r w:rsidR="00F7686D">
        <w:rPr>
          <w:rFonts w:ascii="Times New Roman" w:hAnsi="Times New Roman" w:cs="Times New Roman" w:hint="eastAsia"/>
          <w:color w:val="000000" w:themeColor="text1"/>
          <w:sz w:val="24"/>
          <w:szCs w:val="24"/>
          <w:lang w:eastAsia="zh-CN"/>
        </w:rPr>
        <w:t>F</w:t>
      </w:r>
      <w:r w:rsidR="00E767F1" w:rsidRPr="00724CA2">
        <w:rPr>
          <w:rFonts w:ascii="Times New Roman" w:hAnsi="Times New Roman" w:cs="Times New Roman"/>
          <w:color w:val="000000" w:themeColor="text1"/>
          <w:sz w:val="24"/>
          <w:szCs w:val="24"/>
        </w:rPr>
        <w:t xml:space="preserve">inance </w:t>
      </w:r>
      <w:r w:rsidR="00F7686D">
        <w:rPr>
          <w:rFonts w:ascii="Times New Roman" w:hAnsi="Times New Roman" w:cs="Times New Roman" w:hint="eastAsia"/>
          <w:color w:val="000000" w:themeColor="text1"/>
          <w:sz w:val="24"/>
          <w:szCs w:val="24"/>
          <w:lang w:eastAsia="zh-CN"/>
        </w:rPr>
        <w:t>P</w:t>
      </w:r>
      <w:r w:rsidR="00E767F1" w:rsidRPr="00724CA2">
        <w:rPr>
          <w:rFonts w:ascii="Times New Roman" w:hAnsi="Times New Roman" w:cs="Times New Roman"/>
          <w:color w:val="000000" w:themeColor="text1"/>
          <w:sz w:val="24"/>
          <w:szCs w:val="24"/>
        </w:rPr>
        <w:t xml:space="preserve">ilot </w:t>
      </w:r>
      <w:r w:rsidR="00F7686D">
        <w:rPr>
          <w:rFonts w:ascii="Times New Roman" w:hAnsi="Times New Roman" w:cs="Times New Roman" w:hint="eastAsia"/>
          <w:color w:val="000000" w:themeColor="text1"/>
          <w:sz w:val="24"/>
          <w:szCs w:val="24"/>
          <w:lang w:eastAsia="zh-CN"/>
        </w:rPr>
        <w:t>Z</w:t>
      </w:r>
      <w:r w:rsidR="00E767F1" w:rsidRPr="00724CA2">
        <w:rPr>
          <w:rFonts w:ascii="Times New Roman" w:hAnsi="Times New Roman" w:cs="Times New Roman"/>
          <w:color w:val="000000" w:themeColor="text1"/>
          <w:sz w:val="24"/>
          <w:szCs w:val="24"/>
        </w:rPr>
        <w:t>ones</w:t>
      </w:r>
      <w:r w:rsidR="00F7686D">
        <w:rPr>
          <w:rFonts w:ascii="Times New Roman" w:hAnsi="Times New Roman" w:cs="Times New Roman"/>
          <w:color w:val="000000" w:themeColor="text1"/>
          <w:sz w:val="24"/>
          <w:szCs w:val="24"/>
          <w:lang w:eastAsia="zh-CN"/>
        </w:rPr>
        <w:t>’</w:t>
      </w:r>
      <w:r w:rsidR="00E767F1" w:rsidRPr="00724CA2">
        <w:rPr>
          <w:rFonts w:ascii="Times New Roman" w:hAnsi="Times New Roman" w:cs="Times New Roman"/>
          <w:color w:val="000000" w:themeColor="text1"/>
          <w:sz w:val="24"/>
          <w:szCs w:val="24"/>
        </w:rPr>
        <w:t xml:space="preserve"> (Irfan et al., 2022),</w:t>
      </w:r>
      <w:r w:rsidR="00504131" w:rsidRPr="00724CA2">
        <w:rPr>
          <w:rFonts w:ascii="Times New Roman" w:hAnsi="Times New Roman" w:cs="Times New Roman"/>
          <w:color w:val="000000" w:themeColor="text1"/>
          <w:sz w:val="24"/>
          <w:szCs w:val="24"/>
        </w:rPr>
        <w:t xml:space="preserve"> and</w:t>
      </w:r>
      <w:r w:rsidR="00E767F1" w:rsidRPr="00724CA2">
        <w:rPr>
          <w:rFonts w:ascii="Times New Roman" w:hAnsi="Times New Roman" w:cs="Times New Roman"/>
          <w:color w:val="000000" w:themeColor="text1"/>
          <w:sz w:val="24"/>
          <w:szCs w:val="24"/>
        </w:rPr>
        <w:t xml:space="preserve"> the </w:t>
      </w:r>
      <w:r w:rsidR="00E736CB">
        <w:rPr>
          <w:rFonts w:ascii="Times New Roman" w:hAnsi="Times New Roman" w:cs="Times New Roman"/>
          <w:color w:val="000000" w:themeColor="text1"/>
          <w:sz w:val="24"/>
          <w:szCs w:val="24"/>
          <w:lang w:eastAsia="zh-CN"/>
        </w:rPr>
        <w:t>‘</w:t>
      </w:r>
      <w:r w:rsidR="00E767F1" w:rsidRPr="00724CA2">
        <w:rPr>
          <w:rFonts w:ascii="Times New Roman" w:hAnsi="Times New Roman" w:cs="Times New Roman"/>
          <w:color w:val="000000" w:themeColor="text1"/>
          <w:sz w:val="24"/>
          <w:szCs w:val="24"/>
        </w:rPr>
        <w:t>Green Credit Policy</w:t>
      </w:r>
      <w:r w:rsidR="00E736CB">
        <w:rPr>
          <w:rFonts w:ascii="Times New Roman" w:hAnsi="Times New Roman" w:cs="Times New Roman"/>
          <w:color w:val="000000" w:themeColor="text1"/>
          <w:sz w:val="24"/>
          <w:szCs w:val="24"/>
          <w:lang w:eastAsia="zh-CN"/>
        </w:rPr>
        <w:t>’</w:t>
      </w:r>
      <w:r w:rsidR="00E767F1" w:rsidRPr="00724CA2">
        <w:rPr>
          <w:rFonts w:ascii="Times New Roman" w:hAnsi="Times New Roman" w:cs="Times New Roman"/>
          <w:color w:val="000000" w:themeColor="text1"/>
          <w:sz w:val="24"/>
          <w:szCs w:val="24"/>
        </w:rPr>
        <w:t xml:space="preserve"> (Zhang et al.</w:t>
      </w:r>
      <w:r w:rsidR="00112F16" w:rsidRPr="00724CA2">
        <w:rPr>
          <w:rFonts w:ascii="Times New Roman" w:hAnsi="Times New Roman" w:cs="Times New Roman"/>
          <w:color w:val="000000" w:themeColor="text1"/>
          <w:sz w:val="24"/>
          <w:szCs w:val="24"/>
        </w:rPr>
        <w:t>,</w:t>
      </w:r>
      <w:r w:rsidR="00E767F1" w:rsidRPr="00724CA2">
        <w:rPr>
          <w:rFonts w:ascii="Times New Roman" w:hAnsi="Times New Roman" w:cs="Times New Roman"/>
          <w:color w:val="000000" w:themeColor="text1"/>
          <w:sz w:val="24"/>
          <w:szCs w:val="24"/>
        </w:rPr>
        <w:t xml:space="preserve"> 2021)</w:t>
      </w:r>
      <w:r w:rsidR="00112F16" w:rsidRPr="00724CA2">
        <w:rPr>
          <w:rFonts w:ascii="Times New Roman" w:hAnsi="Times New Roman" w:cs="Times New Roman"/>
          <w:color w:val="000000" w:themeColor="text1"/>
          <w:sz w:val="24"/>
          <w:szCs w:val="24"/>
        </w:rPr>
        <w:t xml:space="preserve">. </w:t>
      </w:r>
      <w:r w:rsidR="000A05B4" w:rsidRPr="000A05B4">
        <w:rPr>
          <w:rFonts w:ascii="Times New Roman" w:hAnsi="Times New Roman" w:cs="Times New Roman"/>
          <w:color w:val="000000" w:themeColor="text1"/>
          <w:sz w:val="24"/>
          <w:szCs w:val="24"/>
        </w:rPr>
        <w:t>The Chinese state has also supplied delegates to environmental summits and UN events, with Chinese firms issuing around 15% of global CSR reports in the past decade (Wang and Chen, 2017)</w:t>
      </w:r>
      <w:r w:rsidR="00762E45" w:rsidRPr="00724CA2">
        <w:rPr>
          <w:rFonts w:ascii="Times New Roman" w:hAnsi="Times New Roman" w:cs="Times New Roman"/>
          <w:color w:val="000000" w:themeColor="text1"/>
          <w:sz w:val="24"/>
          <w:szCs w:val="24"/>
        </w:rPr>
        <w:t xml:space="preserve">. </w:t>
      </w:r>
    </w:p>
    <w:p w14:paraId="79014893" w14:textId="6EADE497" w:rsidR="009E1174" w:rsidRPr="00724CA2" w:rsidRDefault="009E1174" w:rsidP="00771518">
      <w:pPr>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As China has extensive state ownership of firms</w:t>
      </w:r>
      <w:r w:rsidR="0069013C" w:rsidRPr="00724CA2">
        <w:rPr>
          <w:rFonts w:ascii="Times New Roman" w:hAnsi="Times New Roman" w:cs="Times New Roman"/>
          <w:color w:val="000000" w:themeColor="text1"/>
          <w:sz w:val="24"/>
          <w:szCs w:val="24"/>
        </w:rPr>
        <w:t xml:space="preserve">; this is an obvious channel through which environmental </w:t>
      </w:r>
      <w:r w:rsidR="00A60000" w:rsidRPr="00724CA2">
        <w:rPr>
          <w:rFonts w:ascii="Times New Roman" w:hAnsi="Times New Roman" w:cs="Times New Roman"/>
          <w:color w:val="000000" w:themeColor="text1"/>
          <w:sz w:val="24"/>
          <w:szCs w:val="24"/>
        </w:rPr>
        <w:t xml:space="preserve">awareness </w:t>
      </w:r>
      <w:r w:rsidR="00EA5F7A" w:rsidRPr="00724CA2">
        <w:rPr>
          <w:rFonts w:ascii="Times New Roman" w:hAnsi="Times New Roman" w:cs="Times New Roman"/>
          <w:color w:val="000000" w:themeColor="text1"/>
          <w:sz w:val="24"/>
          <w:szCs w:val="24"/>
        </w:rPr>
        <w:t>can be encouraged</w:t>
      </w:r>
      <w:r w:rsidR="0069013C" w:rsidRPr="00724CA2">
        <w:rPr>
          <w:rFonts w:ascii="Times New Roman" w:hAnsi="Times New Roman" w:cs="Times New Roman"/>
          <w:color w:val="000000" w:themeColor="text1"/>
          <w:sz w:val="24"/>
          <w:szCs w:val="24"/>
        </w:rPr>
        <w:t xml:space="preserve">. </w:t>
      </w:r>
      <w:r w:rsidR="009032B7" w:rsidRPr="00724CA2">
        <w:rPr>
          <w:rFonts w:ascii="Times New Roman" w:hAnsi="Times New Roman" w:cs="Times New Roman"/>
          <w:color w:val="000000" w:themeColor="text1"/>
          <w:sz w:val="24"/>
          <w:szCs w:val="24"/>
        </w:rPr>
        <w:t>Chinese companies, often possess a highly concentrated ownership structure, and are frequently controlled by the state or state agencies (</w:t>
      </w:r>
      <w:r w:rsidR="00DF53B2">
        <w:rPr>
          <w:rFonts w:ascii="Times New Roman" w:hAnsi="Times New Roman" w:cs="Times New Roman"/>
          <w:color w:val="000000" w:themeColor="text1"/>
          <w:sz w:val="24"/>
          <w:szCs w:val="24"/>
        </w:rPr>
        <w:t xml:space="preserve">Wang </w:t>
      </w:r>
      <w:r w:rsidR="009032B7" w:rsidRPr="00724CA2">
        <w:rPr>
          <w:rFonts w:ascii="Times New Roman" w:hAnsi="Times New Roman" w:cs="Times New Roman"/>
          <w:color w:val="000000" w:themeColor="text1"/>
          <w:sz w:val="24"/>
          <w:szCs w:val="24"/>
        </w:rPr>
        <w:t>et al., 202</w:t>
      </w:r>
      <w:r w:rsidR="00DF53B2">
        <w:rPr>
          <w:rFonts w:ascii="Times New Roman" w:hAnsi="Times New Roman" w:cs="Times New Roman"/>
          <w:color w:val="000000" w:themeColor="text1"/>
          <w:sz w:val="24"/>
          <w:szCs w:val="24"/>
        </w:rPr>
        <w:t>4</w:t>
      </w:r>
      <w:r w:rsidR="009032B7" w:rsidRPr="00724CA2">
        <w:rPr>
          <w:rFonts w:ascii="Times New Roman" w:hAnsi="Times New Roman" w:cs="Times New Roman"/>
          <w:color w:val="000000" w:themeColor="text1"/>
          <w:sz w:val="24"/>
          <w:szCs w:val="24"/>
        </w:rPr>
        <w:t xml:space="preserve">). </w:t>
      </w:r>
      <w:r w:rsidR="0069013C" w:rsidRPr="00724CA2">
        <w:rPr>
          <w:rFonts w:ascii="Times New Roman" w:hAnsi="Times New Roman" w:cs="Times New Roman"/>
          <w:color w:val="000000" w:themeColor="text1"/>
          <w:sz w:val="24"/>
          <w:szCs w:val="24"/>
        </w:rPr>
        <w:t>W</w:t>
      </w:r>
      <w:r w:rsidRPr="00724CA2">
        <w:rPr>
          <w:rFonts w:ascii="Times New Roman" w:hAnsi="Times New Roman" w:cs="Times New Roman"/>
          <w:color w:val="000000" w:themeColor="text1"/>
          <w:sz w:val="24"/>
          <w:szCs w:val="24"/>
        </w:rPr>
        <w:t xml:space="preserve">e </w:t>
      </w:r>
      <w:r w:rsidR="000B7C2A" w:rsidRPr="00724CA2">
        <w:rPr>
          <w:rFonts w:ascii="Times New Roman" w:hAnsi="Times New Roman" w:cs="Times New Roman"/>
          <w:color w:val="000000" w:themeColor="text1"/>
          <w:sz w:val="24"/>
          <w:szCs w:val="24"/>
        </w:rPr>
        <w:t>therefore</w:t>
      </w:r>
      <w:r w:rsidRPr="00724CA2">
        <w:rPr>
          <w:rFonts w:ascii="Times New Roman" w:hAnsi="Times New Roman" w:cs="Times New Roman"/>
          <w:color w:val="000000" w:themeColor="text1"/>
          <w:sz w:val="24"/>
          <w:szCs w:val="24"/>
        </w:rPr>
        <w:t xml:space="preserve"> examine if </w:t>
      </w:r>
      <w:r w:rsidR="008F768F" w:rsidRPr="00724CA2">
        <w:rPr>
          <w:rFonts w:ascii="Times New Roman" w:hAnsi="Times New Roman" w:cs="Times New Roman"/>
          <w:color w:val="000000" w:themeColor="text1"/>
          <w:sz w:val="24"/>
          <w:szCs w:val="24"/>
        </w:rPr>
        <w:t xml:space="preserve">state owned enterprises (hereafter </w:t>
      </w:r>
      <w:r w:rsidRPr="00724CA2">
        <w:rPr>
          <w:rFonts w:ascii="Times New Roman" w:hAnsi="Times New Roman" w:cs="Times New Roman"/>
          <w:color w:val="000000" w:themeColor="text1"/>
          <w:sz w:val="24"/>
          <w:szCs w:val="24"/>
        </w:rPr>
        <w:t>SOE</w:t>
      </w:r>
      <w:r w:rsidR="00496F6F" w:rsidRPr="00724CA2">
        <w:rPr>
          <w:rFonts w:ascii="Times New Roman" w:hAnsi="Times New Roman" w:cs="Times New Roman"/>
          <w:color w:val="000000" w:themeColor="text1"/>
          <w:sz w:val="24"/>
          <w:szCs w:val="24"/>
        </w:rPr>
        <w:t>s</w:t>
      </w:r>
      <w:r w:rsidR="008F768F" w:rsidRPr="00724CA2">
        <w:rPr>
          <w:rFonts w:ascii="Times New Roman" w:hAnsi="Times New Roman" w:cs="Times New Roman"/>
          <w:color w:val="000000" w:themeColor="text1"/>
          <w:sz w:val="24"/>
          <w:szCs w:val="24"/>
        </w:rPr>
        <w:t xml:space="preserve">) </w:t>
      </w:r>
      <w:r w:rsidRPr="00724CA2">
        <w:rPr>
          <w:rFonts w:ascii="Times New Roman" w:hAnsi="Times New Roman" w:cs="Times New Roman"/>
          <w:color w:val="000000" w:themeColor="text1"/>
          <w:sz w:val="24"/>
          <w:szCs w:val="24"/>
        </w:rPr>
        <w:t xml:space="preserve">have increased their environmental spending relative to privately owned firms. While it is important for all firms to behave sustainably, we propose SOEs actively </w:t>
      </w:r>
      <w:r w:rsidR="00BA3724" w:rsidRPr="00724CA2">
        <w:rPr>
          <w:rFonts w:ascii="Times New Roman" w:hAnsi="Times New Roman" w:cs="Times New Roman"/>
          <w:color w:val="000000" w:themeColor="text1"/>
          <w:sz w:val="24"/>
          <w:szCs w:val="24"/>
        </w:rPr>
        <w:t>undertake more</w:t>
      </w:r>
      <w:r w:rsidRPr="00724CA2">
        <w:rPr>
          <w:rFonts w:ascii="Times New Roman" w:hAnsi="Times New Roman" w:cs="Times New Roman"/>
          <w:color w:val="000000" w:themeColor="text1"/>
          <w:sz w:val="24"/>
          <w:szCs w:val="24"/>
        </w:rPr>
        <w:t xml:space="preserve"> environmental spending</w:t>
      </w:r>
      <w:r w:rsidR="00BC3158" w:rsidRPr="00724CA2">
        <w:rPr>
          <w:rFonts w:ascii="Times New Roman" w:hAnsi="Times New Roman" w:cs="Times New Roman"/>
          <w:color w:val="000000" w:themeColor="text1"/>
          <w:sz w:val="24"/>
          <w:szCs w:val="24"/>
        </w:rPr>
        <w:t>, as they</w:t>
      </w:r>
      <w:r w:rsidRPr="00724CA2">
        <w:rPr>
          <w:rFonts w:ascii="Times New Roman" w:hAnsi="Times New Roman" w:cs="Times New Roman"/>
          <w:color w:val="000000" w:themeColor="text1"/>
          <w:sz w:val="24"/>
          <w:szCs w:val="24"/>
        </w:rPr>
        <w:t xml:space="preserve"> are required to act as role models for their private sector counterparts (Lau et al., 2016</w:t>
      </w:r>
      <w:r w:rsidR="00D53E41" w:rsidRPr="00724CA2">
        <w:rPr>
          <w:rFonts w:ascii="Times New Roman" w:hAnsi="Times New Roman" w:cs="Times New Roman"/>
          <w:color w:val="000000" w:themeColor="text1"/>
          <w:sz w:val="24"/>
          <w:szCs w:val="24"/>
        </w:rPr>
        <w:t>,</w:t>
      </w:r>
      <w:r w:rsidRPr="00724CA2">
        <w:rPr>
          <w:rFonts w:ascii="Times New Roman" w:hAnsi="Times New Roman" w:cs="Times New Roman"/>
          <w:color w:val="000000" w:themeColor="text1"/>
          <w:sz w:val="24"/>
          <w:szCs w:val="24"/>
        </w:rPr>
        <w:t xml:space="preserve"> Wang and Zhang, 2020</w:t>
      </w:r>
      <w:r w:rsidR="00D53E41" w:rsidRPr="00724CA2">
        <w:rPr>
          <w:rFonts w:ascii="Times New Roman" w:hAnsi="Times New Roman" w:cs="Times New Roman"/>
          <w:color w:val="000000" w:themeColor="text1"/>
          <w:sz w:val="24"/>
          <w:szCs w:val="24"/>
        </w:rPr>
        <w:t>,</w:t>
      </w:r>
      <w:r w:rsidRPr="00724CA2">
        <w:rPr>
          <w:rFonts w:ascii="Times New Roman" w:hAnsi="Times New Roman" w:cs="Times New Roman"/>
          <w:color w:val="000000" w:themeColor="text1"/>
          <w:sz w:val="24"/>
          <w:szCs w:val="24"/>
        </w:rPr>
        <w:t xml:space="preserve"> Chen et al., 2022)</w:t>
      </w:r>
      <w:r w:rsidR="00405A92" w:rsidRPr="00724CA2">
        <w:rPr>
          <w:rFonts w:ascii="Times New Roman" w:hAnsi="Times New Roman" w:cs="Times New Roman"/>
          <w:color w:val="000000" w:themeColor="text1"/>
          <w:sz w:val="24"/>
          <w:szCs w:val="24"/>
        </w:rPr>
        <w:t xml:space="preserve">, and </w:t>
      </w:r>
      <w:r w:rsidRPr="00724CA2">
        <w:rPr>
          <w:rFonts w:ascii="Times New Roman" w:hAnsi="Times New Roman" w:cs="Times New Roman"/>
          <w:color w:val="000000" w:themeColor="text1"/>
          <w:sz w:val="24"/>
          <w:szCs w:val="24"/>
        </w:rPr>
        <w:t>shoulder</w:t>
      </w:r>
      <w:r w:rsidR="00243D00" w:rsidRPr="00724CA2">
        <w:rPr>
          <w:rFonts w:ascii="Times New Roman" w:hAnsi="Times New Roman" w:cs="Times New Roman"/>
          <w:color w:val="000000" w:themeColor="text1"/>
          <w:sz w:val="24"/>
          <w:szCs w:val="24"/>
        </w:rPr>
        <w:t xml:space="preserve"> </w:t>
      </w:r>
      <w:r w:rsidRPr="00724CA2">
        <w:rPr>
          <w:rFonts w:ascii="Times New Roman" w:hAnsi="Times New Roman" w:cs="Times New Roman"/>
          <w:color w:val="000000" w:themeColor="text1"/>
          <w:sz w:val="24"/>
          <w:szCs w:val="24"/>
        </w:rPr>
        <w:t xml:space="preserve">social and environmental policy burdens </w:t>
      </w:r>
      <w:r w:rsidR="00405A92" w:rsidRPr="00724CA2">
        <w:rPr>
          <w:rFonts w:ascii="Times New Roman" w:hAnsi="Times New Roman" w:cs="Times New Roman"/>
          <w:color w:val="000000" w:themeColor="text1"/>
          <w:sz w:val="24"/>
          <w:szCs w:val="24"/>
        </w:rPr>
        <w:t xml:space="preserve">as well as </w:t>
      </w:r>
      <w:r w:rsidR="009308B1" w:rsidRPr="00724CA2">
        <w:rPr>
          <w:rFonts w:ascii="Times New Roman" w:hAnsi="Times New Roman" w:cs="Times New Roman"/>
          <w:color w:val="000000" w:themeColor="text1"/>
          <w:sz w:val="24"/>
          <w:szCs w:val="24"/>
        </w:rPr>
        <w:t xml:space="preserve">maximising financial benefits </w:t>
      </w:r>
      <w:r w:rsidRPr="00724CA2">
        <w:rPr>
          <w:rFonts w:ascii="Times New Roman" w:hAnsi="Times New Roman" w:cs="Times New Roman"/>
          <w:color w:val="000000" w:themeColor="text1"/>
          <w:sz w:val="24"/>
          <w:szCs w:val="24"/>
        </w:rPr>
        <w:t>(</w:t>
      </w:r>
      <w:r w:rsidR="00DF53B2">
        <w:rPr>
          <w:rFonts w:ascii="Times New Roman" w:hAnsi="Times New Roman" w:cs="Times New Roman"/>
          <w:color w:val="000000" w:themeColor="text1"/>
          <w:sz w:val="24"/>
          <w:szCs w:val="24"/>
        </w:rPr>
        <w:t xml:space="preserve">Wang </w:t>
      </w:r>
      <w:r w:rsidR="00DF53B2" w:rsidRPr="00724CA2">
        <w:rPr>
          <w:rFonts w:ascii="Times New Roman" w:hAnsi="Times New Roman" w:cs="Times New Roman"/>
          <w:color w:val="000000" w:themeColor="text1"/>
          <w:sz w:val="24"/>
          <w:szCs w:val="24"/>
        </w:rPr>
        <w:t>et al., 202</w:t>
      </w:r>
      <w:r w:rsidR="00DF53B2">
        <w:rPr>
          <w:rFonts w:ascii="Times New Roman" w:hAnsi="Times New Roman" w:cs="Times New Roman"/>
          <w:color w:val="000000" w:themeColor="text1"/>
          <w:sz w:val="24"/>
          <w:szCs w:val="24"/>
        </w:rPr>
        <w:t>4</w:t>
      </w:r>
      <w:r w:rsidRPr="00724CA2">
        <w:rPr>
          <w:rFonts w:ascii="Times New Roman" w:hAnsi="Times New Roman" w:cs="Times New Roman"/>
          <w:color w:val="000000" w:themeColor="text1"/>
          <w:sz w:val="24"/>
          <w:szCs w:val="24"/>
        </w:rPr>
        <w:t>).</w:t>
      </w:r>
      <w:r w:rsidR="002F6AE1" w:rsidRPr="00724CA2">
        <w:rPr>
          <w:rFonts w:ascii="Times New Roman" w:hAnsi="Times New Roman" w:cs="Times New Roman"/>
          <w:color w:val="000000" w:themeColor="text1"/>
          <w:sz w:val="24"/>
          <w:szCs w:val="24"/>
        </w:rPr>
        <w:t xml:space="preserve"> </w:t>
      </w:r>
      <w:r w:rsidR="00E349A0" w:rsidRPr="00724CA2">
        <w:rPr>
          <w:rFonts w:ascii="Times New Roman" w:hAnsi="Times New Roman" w:cs="Times New Roman"/>
          <w:color w:val="000000" w:themeColor="text1"/>
          <w:sz w:val="24"/>
          <w:szCs w:val="24"/>
        </w:rPr>
        <w:t>In</w:t>
      </w:r>
      <w:r w:rsidR="00141F98" w:rsidRPr="00724CA2">
        <w:rPr>
          <w:rFonts w:ascii="Times New Roman" w:hAnsi="Times New Roman" w:cs="Times New Roman"/>
          <w:color w:val="000000" w:themeColor="text1"/>
          <w:sz w:val="24"/>
          <w:szCs w:val="24"/>
        </w:rPr>
        <w:t xml:space="preserve"> comparison to non-SOEs, governmental support, such as financial resources, is generally more readily available for SOEs</w:t>
      </w:r>
      <w:r w:rsidR="00A5536A" w:rsidRPr="00724CA2">
        <w:rPr>
          <w:rFonts w:ascii="Times New Roman" w:hAnsi="Times New Roman" w:cs="Times New Roman"/>
          <w:color w:val="000000" w:themeColor="text1"/>
          <w:sz w:val="24"/>
          <w:szCs w:val="24"/>
        </w:rPr>
        <w:t xml:space="preserve">, such as </w:t>
      </w:r>
      <w:r w:rsidRPr="00724CA2">
        <w:rPr>
          <w:rFonts w:ascii="Times New Roman" w:hAnsi="Times New Roman" w:cs="Times New Roman"/>
          <w:color w:val="000000" w:themeColor="text1"/>
          <w:sz w:val="24"/>
          <w:szCs w:val="24"/>
        </w:rPr>
        <w:t>access to financial resources from state-owned banks (Du et al., 2017</w:t>
      </w:r>
      <w:r w:rsidR="00D53E41" w:rsidRPr="00724CA2">
        <w:rPr>
          <w:rFonts w:ascii="Times New Roman" w:hAnsi="Times New Roman" w:cs="Times New Roman"/>
          <w:color w:val="000000" w:themeColor="text1"/>
          <w:sz w:val="24"/>
          <w:szCs w:val="24"/>
        </w:rPr>
        <w:t>,</w:t>
      </w:r>
      <w:r w:rsidRPr="00724CA2">
        <w:rPr>
          <w:rFonts w:ascii="Times New Roman" w:hAnsi="Times New Roman" w:cs="Times New Roman"/>
          <w:color w:val="000000" w:themeColor="text1"/>
          <w:sz w:val="24"/>
          <w:szCs w:val="24"/>
        </w:rPr>
        <w:t xml:space="preserve"> Wang et al., 2019). </w:t>
      </w:r>
      <w:r w:rsidR="005764D4" w:rsidRPr="00724CA2">
        <w:rPr>
          <w:rFonts w:ascii="Times New Roman" w:hAnsi="Times New Roman" w:cs="Times New Roman"/>
          <w:color w:val="000000" w:themeColor="text1"/>
          <w:sz w:val="24"/>
          <w:szCs w:val="24"/>
        </w:rPr>
        <w:t>In summary</w:t>
      </w:r>
      <w:r w:rsidR="00CB18B8" w:rsidRPr="00724CA2">
        <w:rPr>
          <w:rFonts w:ascii="Times New Roman" w:hAnsi="Times New Roman" w:cs="Times New Roman"/>
          <w:color w:val="000000" w:themeColor="text1"/>
          <w:sz w:val="24"/>
          <w:szCs w:val="24"/>
        </w:rPr>
        <w:t>,</w:t>
      </w:r>
      <w:r w:rsidR="005764D4" w:rsidRPr="00724CA2">
        <w:rPr>
          <w:rFonts w:ascii="Times New Roman" w:hAnsi="Times New Roman" w:cs="Times New Roman"/>
          <w:color w:val="000000" w:themeColor="text1"/>
          <w:sz w:val="24"/>
          <w:szCs w:val="24"/>
        </w:rPr>
        <w:t xml:space="preserve"> </w:t>
      </w:r>
      <w:r w:rsidR="006A6BC4" w:rsidRPr="00724CA2">
        <w:rPr>
          <w:rFonts w:ascii="Times New Roman" w:hAnsi="Times New Roman" w:cs="Times New Roman"/>
          <w:color w:val="000000" w:themeColor="text1"/>
          <w:sz w:val="24"/>
          <w:szCs w:val="24"/>
        </w:rPr>
        <w:t xml:space="preserve">it is </w:t>
      </w:r>
      <w:r w:rsidRPr="00724CA2">
        <w:rPr>
          <w:rFonts w:ascii="Times New Roman" w:hAnsi="Times New Roman" w:cs="Times New Roman"/>
          <w:color w:val="000000" w:themeColor="text1"/>
          <w:sz w:val="24"/>
          <w:szCs w:val="24"/>
        </w:rPr>
        <w:t xml:space="preserve">expected that the impact of </w:t>
      </w:r>
      <w:r w:rsidR="005B2296" w:rsidRPr="00724CA2">
        <w:rPr>
          <w:rFonts w:ascii="Times New Roman" w:hAnsi="Times New Roman" w:cs="Times New Roman"/>
          <w:color w:val="000000" w:themeColor="text1"/>
          <w:sz w:val="24"/>
          <w:szCs w:val="24"/>
        </w:rPr>
        <w:t>mutual fund ownership</w:t>
      </w:r>
      <w:r w:rsidRPr="00724CA2">
        <w:rPr>
          <w:rFonts w:ascii="Times New Roman" w:hAnsi="Times New Roman" w:cs="Times New Roman"/>
          <w:color w:val="000000" w:themeColor="text1"/>
          <w:sz w:val="24"/>
          <w:szCs w:val="24"/>
        </w:rPr>
        <w:t xml:space="preserve"> </w:t>
      </w:r>
      <w:r w:rsidR="00C5517C" w:rsidRPr="00724CA2">
        <w:rPr>
          <w:rFonts w:ascii="Times New Roman" w:hAnsi="Times New Roman" w:cs="Times New Roman"/>
          <w:color w:val="000000" w:themeColor="text1"/>
          <w:sz w:val="24"/>
          <w:szCs w:val="24"/>
        </w:rPr>
        <w:t xml:space="preserve">over environmental spending decisions </w:t>
      </w:r>
      <w:r w:rsidRPr="00724CA2">
        <w:rPr>
          <w:rFonts w:ascii="Times New Roman" w:hAnsi="Times New Roman" w:cs="Times New Roman"/>
          <w:color w:val="000000" w:themeColor="text1"/>
          <w:sz w:val="24"/>
          <w:szCs w:val="24"/>
        </w:rPr>
        <w:t>is more pronounced in SOEs</w:t>
      </w:r>
      <w:r w:rsidR="00AB0380" w:rsidRPr="00724CA2">
        <w:rPr>
          <w:rFonts w:ascii="Times New Roman" w:hAnsi="Times New Roman" w:cs="Times New Roman"/>
          <w:color w:val="000000" w:themeColor="text1"/>
          <w:sz w:val="24"/>
          <w:szCs w:val="24"/>
        </w:rPr>
        <w:t>, leading to</w:t>
      </w:r>
      <w:r w:rsidRPr="00724CA2">
        <w:rPr>
          <w:rFonts w:ascii="Times New Roman" w:hAnsi="Times New Roman" w:cs="Times New Roman"/>
          <w:color w:val="000000" w:themeColor="text1"/>
          <w:sz w:val="24"/>
          <w:szCs w:val="24"/>
        </w:rPr>
        <w:t xml:space="preserve"> the following hypothesis:</w:t>
      </w:r>
    </w:p>
    <w:p w14:paraId="105E01C4" w14:textId="40434B29" w:rsidR="00762E45" w:rsidRPr="00724CA2" w:rsidRDefault="009E1174" w:rsidP="001D3BAC">
      <w:pPr>
        <w:autoSpaceDE w:val="0"/>
        <w:autoSpaceDN w:val="0"/>
        <w:adjustRightInd w:val="0"/>
        <w:spacing w:afterLines="50" w:after="120" w:line="480" w:lineRule="auto"/>
        <w:jc w:val="both"/>
        <w:rPr>
          <w:rFonts w:ascii="Times New Roman" w:hAnsi="Times New Roman" w:cs="Times New Roman"/>
          <w:i/>
          <w:color w:val="000000" w:themeColor="text1"/>
          <w:sz w:val="24"/>
          <w:szCs w:val="24"/>
        </w:rPr>
      </w:pPr>
      <w:r w:rsidRPr="001D3BAC">
        <w:rPr>
          <w:rFonts w:ascii="Times New Roman" w:hAnsi="Times New Roman" w:cs="Times New Roman"/>
          <w:b/>
          <w:bCs/>
          <w:i/>
          <w:iCs/>
          <w:color w:val="000000" w:themeColor="text1"/>
          <w:sz w:val="24"/>
          <w:szCs w:val="24"/>
        </w:rPr>
        <w:t>H</w:t>
      </w:r>
      <w:r w:rsidR="000B18C5">
        <w:rPr>
          <w:rFonts w:ascii="Times New Roman" w:hAnsi="Times New Roman" w:cs="Times New Roman" w:hint="eastAsia"/>
          <w:b/>
          <w:bCs/>
          <w:i/>
          <w:iCs/>
          <w:color w:val="000000" w:themeColor="text1"/>
          <w:sz w:val="24"/>
          <w:szCs w:val="24"/>
          <w:lang w:eastAsia="zh-CN"/>
        </w:rPr>
        <w:t>2</w:t>
      </w:r>
      <w:r w:rsidR="001D3BAC" w:rsidRPr="001D3BAC">
        <w:rPr>
          <w:rFonts w:ascii="Times New Roman" w:hAnsi="Times New Roman" w:cs="Times New Roman" w:hint="eastAsia"/>
          <w:b/>
          <w:bCs/>
          <w:i/>
          <w:iCs/>
          <w:color w:val="000000" w:themeColor="text1"/>
          <w:sz w:val="24"/>
          <w:szCs w:val="24"/>
          <w:lang w:eastAsia="zh-CN"/>
        </w:rPr>
        <w:t>.</w:t>
      </w:r>
      <w:r w:rsidRPr="00724CA2">
        <w:rPr>
          <w:rFonts w:ascii="Times New Roman" w:hAnsi="Times New Roman" w:cs="Times New Roman"/>
          <w:i/>
          <w:iCs/>
          <w:color w:val="000000" w:themeColor="text1"/>
          <w:sz w:val="24"/>
          <w:szCs w:val="24"/>
        </w:rPr>
        <w:t xml:space="preserve"> Mutual fund ownership increases corporate environmental spending within SOEs more compared to non-SOEs</w:t>
      </w:r>
      <w:r w:rsidR="0021758A" w:rsidRPr="00724CA2">
        <w:rPr>
          <w:rFonts w:ascii="Times New Roman" w:hAnsi="Times New Roman" w:cs="Times New Roman"/>
          <w:i/>
          <w:color w:val="000000" w:themeColor="text1"/>
          <w:sz w:val="24"/>
          <w:szCs w:val="24"/>
        </w:rPr>
        <w:t>.</w:t>
      </w:r>
    </w:p>
    <w:p w14:paraId="4B9D118C" w14:textId="41C6118C" w:rsidR="00FE6745" w:rsidRPr="00724CA2" w:rsidRDefault="00AE5B06" w:rsidP="00771518">
      <w:pPr>
        <w:autoSpaceDE w:val="0"/>
        <w:autoSpaceDN w:val="0"/>
        <w:adjustRightInd w:val="0"/>
        <w:spacing w:after="120" w:line="480" w:lineRule="auto"/>
        <w:ind w:firstLine="284"/>
        <w:jc w:val="both"/>
        <w:rPr>
          <w:rFonts w:ascii="Times New Roman" w:hAnsi="Times New Roman" w:cs="Times New Roman"/>
          <w:color w:val="000000" w:themeColor="text1"/>
          <w:sz w:val="24"/>
          <w:szCs w:val="24"/>
        </w:rPr>
      </w:pPr>
      <w:bookmarkStart w:id="3" w:name="_Hlk160068813"/>
      <w:bookmarkEnd w:id="2"/>
      <w:r w:rsidRPr="00724CA2">
        <w:rPr>
          <w:rFonts w:ascii="Times New Roman" w:hAnsi="Times New Roman" w:cs="Times New Roman"/>
          <w:color w:val="000000" w:themeColor="text1"/>
          <w:sz w:val="24"/>
          <w:szCs w:val="24"/>
        </w:rPr>
        <w:lastRenderedPageBreak/>
        <w:t xml:space="preserve">In addition to </w:t>
      </w:r>
      <w:r w:rsidR="00BA438C" w:rsidRPr="00724CA2">
        <w:rPr>
          <w:rFonts w:ascii="Times New Roman" w:hAnsi="Times New Roman" w:cs="Times New Roman"/>
          <w:color w:val="000000" w:themeColor="text1"/>
          <w:sz w:val="24"/>
          <w:szCs w:val="24"/>
        </w:rPr>
        <w:t>state ownership</w:t>
      </w:r>
      <w:r w:rsidR="005C6C51">
        <w:rPr>
          <w:rFonts w:ascii="Times New Roman" w:hAnsi="Times New Roman" w:cs="Times New Roman"/>
          <w:color w:val="000000" w:themeColor="text1"/>
          <w:sz w:val="24"/>
          <w:szCs w:val="24"/>
        </w:rPr>
        <w:t>,</w:t>
      </w:r>
      <w:r w:rsidR="00BA438C" w:rsidRPr="00724CA2">
        <w:rPr>
          <w:rFonts w:ascii="Times New Roman" w:hAnsi="Times New Roman" w:cs="Times New Roman"/>
          <w:color w:val="000000" w:themeColor="text1"/>
          <w:sz w:val="24"/>
          <w:szCs w:val="24"/>
        </w:rPr>
        <w:t xml:space="preserve"> t</w:t>
      </w:r>
      <w:r w:rsidR="00762E45" w:rsidRPr="00724CA2">
        <w:rPr>
          <w:rFonts w:ascii="Times New Roman" w:hAnsi="Times New Roman" w:cs="Times New Roman"/>
          <w:color w:val="000000" w:themeColor="text1"/>
          <w:sz w:val="24"/>
          <w:szCs w:val="24"/>
        </w:rPr>
        <w:t>he legal environment affects many aspects of firms’ behaviour (Dimaggio and Powell., 1983)</w:t>
      </w:r>
      <w:r w:rsidR="00F40699" w:rsidRPr="00724CA2">
        <w:rPr>
          <w:rFonts w:ascii="Times New Roman" w:hAnsi="Times New Roman" w:cs="Times New Roman"/>
          <w:color w:val="000000" w:themeColor="text1"/>
          <w:sz w:val="24"/>
          <w:szCs w:val="24"/>
        </w:rPr>
        <w:t>, and part</w:t>
      </w:r>
      <w:r w:rsidR="00701B44" w:rsidRPr="00724CA2">
        <w:rPr>
          <w:rFonts w:ascii="Times New Roman" w:hAnsi="Times New Roman" w:cs="Times New Roman"/>
          <w:color w:val="000000" w:themeColor="text1"/>
          <w:sz w:val="24"/>
          <w:szCs w:val="24"/>
        </w:rPr>
        <w:t>i</w:t>
      </w:r>
      <w:r w:rsidR="00F40699" w:rsidRPr="00724CA2">
        <w:rPr>
          <w:rFonts w:ascii="Times New Roman" w:hAnsi="Times New Roman" w:cs="Times New Roman"/>
          <w:color w:val="000000" w:themeColor="text1"/>
          <w:sz w:val="24"/>
          <w:szCs w:val="24"/>
        </w:rPr>
        <w:t xml:space="preserve">cularly </w:t>
      </w:r>
      <w:r w:rsidR="00762E45" w:rsidRPr="00724CA2">
        <w:rPr>
          <w:rFonts w:ascii="Times New Roman" w:hAnsi="Times New Roman" w:cs="Times New Roman"/>
          <w:color w:val="000000" w:themeColor="text1"/>
          <w:sz w:val="24"/>
          <w:szCs w:val="24"/>
        </w:rPr>
        <w:t>CS</w:t>
      </w:r>
      <w:r w:rsidR="003338D9" w:rsidRPr="00724CA2">
        <w:rPr>
          <w:rFonts w:ascii="Times New Roman" w:hAnsi="Times New Roman" w:cs="Times New Roman"/>
          <w:color w:val="000000" w:themeColor="text1"/>
          <w:sz w:val="24"/>
          <w:szCs w:val="24"/>
        </w:rPr>
        <w:t>R</w:t>
      </w:r>
      <w:r w:rsidR="00762E45" w:rsidRPr="00724CA2">
        <w:rPr>
          <w:rFonts w:ascii="Times New Roman" w:hAnsi="Times New Roman" w:cs="Times New Roman"/>
          <w:color w:val="000000" w:themeColor="text1"/>
          <w:sz w:val="24"/>
          <w:szCs w:val="24"/>
        </w:rPr>
        <w:t xml:space="preserve"> issues (Liang and Renneboog, 2017</w:t>
      </w:r>
      <w:r w:rsidR="00DA1A72" w:rsidRPr="00724CA2">
        <w:rPr>
          <w:rFonts w:ascii="Times New Roman" w:hAnsi="Times New Roman" w:cs="Times New Roman"/>
          <w:color w:val="000000" w:themeColor="text1"/>
          <w:sz w:val="24"/>
          <w:szCs w:val="24"/>
        </w:rPr>
        <w:t>, Rubin 2008</w:t>
      </w:r>
      <w:r w:rsidR="00762E45" w:rsidRPr="00724CA2">
        <w:rPr>
          <w:rFonts w:ascii="Times New Roman" w:hAnsi="Times New Roman" w:cs="Times New Roman"/>
          <w:color w:val="000000" w:themeColor="text1"/>
          <w:sz w:val="24"/>
          <w:szCs w:val="24"/>
        </w:rPr>
        <w:t xml:space="preserve">). </w:t>
      </w:r>
      <w:r w:rsidR="009308B1" w:rsidRPr="00724CA2">
        <w:rPr>
          <w:rFonts w:ascii="Times New Roman" w:hAnsi="Times New Roman" w:cs="Times New Roman"/>
          <w:color w:val="000000" w:themeColor="text1"/>
          <w:sz w:val="24"/>
          <w:szCs w:val="24"/>
        </w:rPr>
        <w:t>Th</w:t>
      </w:r>
      <w:r w:rsidR="007A346B" w:rsidRPr="00724CA2">
        <w:rPr>
          <w:rFonts w:ascii="Times New Roman" w:hAnsi="Times New Roman" w:cs="Times New Roman"/>
          <w:color w:val="000000" w:themeColor="text1"/>
          <w:sz w:val="24"/>
          <w:szCs w:val="24"/>
        </w:rPr>
        <w:t>is</w:t>
      </w:r>
      <w:r w:rsidR="009308B1" w:rsidRPr="00724CA2">
        <w:rPr>
          <w:rFonts w:ascii="Times New Roman" w:hAnsi="Times New Roman" w:cs="Times New Roman"/>
          <w:color w:val="000000" w:themeColor="text1"/>
          <w:sz w:val="24"/>
          <w:szCs w:val="24"/>
        </w:rPr>
        <w:t xml:space="preserve"> </w:t>
      </w:r>
      <w:r w:rsidR="004D0488" w:rsidRPr="00724CA2">
        <w:rPr>
          <w:rFonts w:ascii="Times New Roman" w:hAnsi="Times New Roman" w:cs="Times New Roman"/>
          <w:color w:val="000000" w:themeColor="text1"/>
          <w:sz w:val="24"/>
          <w:szCs w:val="24"/>
        </w:rPr>
        <w:t xml:space="preserve">institutional </w:t>
      </w:r>
      <w:r w:rsidR="00636E04" w:rsidRPr="00724CA2">
        <w:rPr>
          <w:rFonts w:ascii="Times New Roman" w:hAnsi="Times New Roman" w:cs="Times New Roman"/>
          <w:color w:val="000000" w:themeColor="text1"/>
          <w:sz w:val="24"/>
          <w:szCs w:val="24"/>
        </w:rPr>
        <w:t xml:space="preserve">influence </w:t>
      </w:r>
      <w:r w:rsidR="00B321B7" w:rsidRPr="00724CA2">
        <w:rPr>
          <w:rFonts w:ascii="Times New Roman" w:hAnsi="Times New Roman" w:cs="Times New Roman"/>
          <w:color w:val="000000" w:themeColor="text1"/>
          <w:sz w:val="24"/>
          <w:szCs w:val="24"/>
        </w:rPr>
        <w:t>has as a significant impact over sustainable outcomes in China, including limiting emissions (Li, 2023)</w:t>
      </w:r>
      <w:r w:rsidR="0007770D" w:rsidRPr="00724CA2">
        <w:rPr>
          <w:rFonts w:ascii="Times New Roman" w:hAnsi="Times New Roman" w:cs="Times New Roman"/>
          <w:color w:val="000000" w:themeColor="text1"/>
          <w:sz w:val="24"/>
          <w:szCs w:val="24"/>
        </w:rPr>
        <w:t>,</w:t>
      </w:r>
      <w:r w:rsidR="00B321B7" w:rsidRPr="00724CA2">
        <w:rPr>
          <w:rFonts w:ascii="Times New Roman" w:hAnsi="Times New Roman" w:cs="Times New Roman"/>
          <w:color w:val="000000" w:themeColor="text1"/>
          <w:sz w:val="24"/>
          <w:szCs w:val="24"/>
        </w:rPr>
        <w:t xml:space="preserve"> upholding environmental standards (Wang et al., 2021)</w:t>
      </w:r>
      <w:r w:rsidR="0007770D" w:rsidRPr="00724CA2">
        <w:rPr>
          <w:rFonts w:ascii="Times New Roman" w:hAnsi="Times New Roman" w:cs="Times New Roman"/>
          <w:color w:val="000000" w:themeColor="text1"/>
          <w:sz w:val="24"/>
          <w:szCs w:val="24"/>
        </w:rPr>
        <w:t xml:space="preserve">, and </w:t>
      </w:r>
      <w:r w:rsidR="00B50DBC" w:rsidRPr="00724CA2">
        <w:rPr>
          <w:rFonts w:ascii="Times New Roman" w:hAnsi="Times New Roman" w:cs="Times New Roman"/>
          <w:color w:val="000000" w:themeColor="text1"/>
          <w:sz w:val="24"/>
          <w:szCs w:val="24"/>
        </w:rPr>
        <w:t xml:space="preserve">is </w:t>
      </w:r>
      <w:r w:rsidR="00012F85" w:rsidRPr="00724CA2">
        <w:rPr>
          <w:rFonts w:ascii="Times New Roman" w:hAnsi="Times New Roman" w:cs="Times New Roman"/>
          <w:color w:val="000000" w:themeColor="text1"/>
          <w:sz w:val="24"/>
          <w:szCs w:val="24"/>
        </w:rPr>
        <w:t xml:space="preserve">typified by </w:t>
      </w:r>
      <w:r w:rsidR="0007770D" w:rsidRPr="00724CA2">
        <w:rPr>
          <w:rFonts w:ascii="Times New Roman" w:hAnsi="Times New Roman" w:cs="Times New Roman"/>
          <w:color w:val="000000" w:themeColor="text1"/>
          <w:sz w:val="24"/>
          <w:szCs w:val="24"/>
        </w:rPr>
        <w:t xml:space="preserve">the swift development </w:t>
      </w:r>
      <w:r w:rsidR="00FC3207">
        <w:rPr>
          <w:rFonts w:ascii="Times New Roman" w:hAnsi="Times New Roman" w:cs="Times New Roman"/>
          <w:color w:val="000000" w:themeColor="text1"/>
          <w:sz w:val="24"/>
          <w:szCs w:val="24"/>
        </w:rPr>
        <w:t>within</w:t>
      </w:r>
      <w:r w:rsidR="00FC3207" w:rsidRPr="00724CA2">
        <w:rPr>
          <w:rFonts w:ascii="Times New Roman" w:hAnsi="Times New Roman" w:cs="Times New Roman"/>
          <w:color w:val="000000" w:themeColor="text1"/>
          <w:sz w:val="24"/>
          <w:szCs w:val="24"/>
        </w:rPr>
        <w:t xml:space="preserve"> </w:t>
      </w:r>
      <w:r w:rsidR="009370B2" w:rsidRPr="00724CA2">
        <w:rPr>
          <w:rFonts w:ascii="Times New Roman" w:hAnsi="Times New Roman" w:cs="Times New Roman"/>
          <w:color w:val="000000" w:themeColor="text1"/>
          <w:sz w:val="24"/>
          <w:szCs w:val="24"/>
        </w:rPr>
        <w:t xml:space="preserve">the </w:t>
      </w:r>
      <w:r w:rsidR="0007770D" w:rsidRPr="00724CA2">
        <w:rPr>
          <w:rFonts w:ascii="Times New Roman" w:hAnsi="Times New Roman" w:cs="Times New Roman"/>
          <w:color w:val="000000" w:themeColor="text1"/>
          <w:sz w:val="24"/>
          <w:szCs w:val="24"/>
        </w:rPr>
        <w:t>Chinese green bond market (Huang and Yue</w:t>
      </w:r>
      <w:r w:rsidR="009370B2" w:rsidRPr="00724CA2">
        <w:rPr>
          <w:rFonts w:ascii="Times New Roman" w:hAnsi="Times New Roman" w:cs="Times New Roman"/>
          <w:color w:val="000000" w:themeColor="text1"/>
          <w:sz w:val="24"/>
          <w:szCs w:val="24"/>
        </w:rPr>
        <w:t>,</w:t>
      </w:r>
      <w:r w:rsidR="0007770D" w:rsidRPr="00724CA2">
        <w:rPr>
          <w:rFonts w:ascii="Times New Roman" w:hAnsi="Times New Roman" w:cs="Times New Roman"/>
          <w:color w:val="000000" w:themeColor="text1"/>
          <w:sz w:val="24"/>
          <w:szCs w:val="24"/>
        </w:rPr>
        <w:t xml:space="preserve"> 2020). </w:t>
      </w:r>
      <w:r w:rsidR="004F58A3" w:rsidRPr="00724CA2">
        <w:rPr>
          <w:rFonts w:ascii="Times New Roman" w:hAnsi="Times New Roman" w:cs="Times New Roman"/>
          <w:color w:val="000000" w:themeColor="text1"/>
          <w:sz w:val="24"/>
          <w:szCs w:val="24"/>
        </w:rPr>
        <w:t xml:space="preserve">This effect </w:t>
      </w:r>
      <w:r w:rsidR="00B321B7" w:rsidRPr="00724CA2">
        <w:rPr>
          <w:rFonts w:ascii="Times New Roman" w:hAnsi="Times New Roman" w:cs="Times New Roman"/>
          <w:color w:val="000000" w:themeColor="text1"/>
          <w:sz w:val="24"/>
          <w:szCs w:val="24"/>
        </w:rPr>
        <w:t>is associated with Chin</w:t>
      </w:r>
      <w:r w:rsidR="009370B2" w:rsidRPr="00724CA2">
        <w:rPr>
          <w:rFonts w:ascii="Times New Roman" w:hAnsi="Times New Roman" w:cs="Times New Roman"/>
          <w:color w:val="000000" w:themeColor="text1"/>
          <w:sz w:val="24"/>
          <w:szCs w:val="24"/>
        </w:rPr>
        <w:t>ese</w:t>
      </w:r>
      <w:r w:rsidR="00B321B7" w:rsidRPr="00724CA2">
        <w:rPr>
          <w:rFonts w:ascii="Times New Roman" w:hAnsi="Times New Roman" w:cs="Times New Roman"/>
          <w:color w:val="000000" w:themeColor="text1"/>
          <w:sz w:val="24"/>
          <w:szCs w:val="24"/>
        </w:rPr>
        <w:t xml:space="preserve"> civil law traditions</w:t>
      </w:r>
      <w:r w:rsidR="0086794B" w:rsidRPr="00724CA2">
        <w:rPr>
          <w:rFonts w:ascii="Times New Roman" w:hAnsi="Times New Roman" w:cs="Times New Roman"/>
          <w:color w:val="000000" w:themeColor="text1"/>
          <w:sz w:val="24"/>
          <w:szCs w:val="24"/>
        </w:rPr>
        <w:t xml:space="preserve"> </w:t>
      </w:r>
      <w:r w:rsidR="009A12C3" w:rsidRPr="00724CA2">
        <w:rPr>
          <w:rFonts w:ascii="Times New Roman" w:hAnsi="Times New Roman" w:cs="Times New Roman"/>
          <w:color w:val="000000" w:themeColor="text1"/>
          <w:sz w:val="24"/>
          <w:szCs w:val="24"/>
        </w:rPr>
        <w:t xml:space="preserve">and </w:t>
      </w:r>
      <w:r w:rsidR="00B50DBC" w:rsidRPr="00724CA2">
        <w:rPr>
          <w:rFonts w:ascii="Times New Roman" w:hAnsi="Times New Roman" w:cs="Times New Roman"/>
          <w:color w:val="000000" w:themeColor="text1"/>
          <w:sz w:val="24"/>
          <w:szCs w:val="24"/>
        </w:rPr>
        <w:t xml:space="preserve">a </w:t>
      </w:r>
      <w:r w:rsidR="009A12C3" w:rsidRPr="00724CA2">
        <w:rPr>
          <w:rFonts w:ascii="Times New Roman" w:hAnsi="Times New Roman" w:cs="Times New Roman"/>
          <w:color w:val="000000" w:themeColor="text1"/>
          <w:sz w:val="24"/>
          <w:szCs w:val="24"/>
        </w:rPr>
        <w:t xml:space="preserve">history of </w:t>
      </w:r>
      <w:r w:rsidR="00B321B7" w:rsidRPr="00724CA2">
        <w:rPr>
          <w:rFonts w:ascii="Times New Roman" w:hAnsi="Times New Roman" w:cs="Times New Roman"/>
          <w:color w:val="000000" w:themeColor="text1"/>
          <w:sz w:val="24"/>
          <w:szCs w:val="24"/>
        </w:rPr>
        <w:t>government intervention (Liang and Renneboog, 2017)</w:t>
      </w:r>
      <w:r w:rsidR="003F78F1">
        <w:rPr>
          <w:rFonts w:ascii="Times New Roman" w:hAnsi="Times New Roman" w:cs="Times New Roman"/>
          <w:color w:val="000000" w:themeColor="text1"/>
          <w:sz w:val="24"/>
          <w:szCs w:val="24"/>
        </w:rPr>
        <w:t>,</w:t>
      </w:r>
      <w:r w:rsidR="00B321B7" w:rsidRPr="00724CA2">
        <w:rPr>
          <w:rFonts w:ascii="Times New Roman" w:hAnsi="Times New Roman" w:cs="Times New Roman"/>
          <w:color w:val="000000" w:themeColor="text1"/>
          <w:sz w:val="24"/>
          <w:szCs w:val="24"/>
        </w:rPr>
        <w:t xml:space="preserve"> </w:t>
      </w:r>
      <w:r w:rsidR="00B50DBC" w:rsidRPr="00724CA2">
        <w:rPr>
          <w:rFonts w:ascii="Times New Roman" w:hAnsi="Times New Roman" w:cs="Times New Roman"/>
          <w:color w:val="000000" w:themeColor="text1"/>
          <w:sz w:val="24"/>
          <w:szCs w:val="24"/>
        </w:rPr>
        <w:t>which has</w:t>
      </w:r>
      <w:r w:rsidR="009A12C3" w:rsidRPr="00724CA2">
        <w:rPr>
          <w:rFonts w:ascii="Times New Roman" w:hAnsi="Times New Roman" w:cs="Times New Roman"/>
          <w:color w:val="000000" w:themeColor="text1"/>
          <w:sz w:val="24"/>
          <w:szCs w:val="24"/>
        </w:rPr>
        <w:t xml:space="preserve"> </w:t>
      </w:r>
      <w:r w:rsidR="00B321B7" w:rsidRPr="00724CA2">
        <w:rPr>
          <w:rFonts w:ascii="Times New Roman" w:hAnsi="Times New Roman" w:cs="Times New Roman"/>
          <w:color w:val="000000" w:themeColor="text1"/>
          <w:sz w:val="24"/>
          <w:szCs w:val="24"/>
        </w:rPr>
        <w:t>constrained shareholder protection</w:t>
      </w:r>
      <w:r w:rsidR="00B50DBC" w:rsidRPr="00724CA2">
        <w:rPr>
          <w:rFonts w:ascii="Times New Roman" w:hAnsi="Times New Roman" w:cs="Times New Roman"/>
          <w:color w:val="000000" w:themeColor="text1"/>
          <w:sz w:val="24"/>
          <w:szCs w:val="24"/>
        </w:rPr>
        <w:t xml:space="preserve"> </w:t>
      </w:r>
      <w:r w:rsidR="0086794B" w:rsidRPr="00724CA2">
        <w:rPr>
          <w:rFonts w:ascii="Times New Roman" w:hAnsi="Times New Roman" w:cs="Times New Roman"/>
          <w:color w:val="000000" w:themeColor="text1"/>
          <w:sz w:val="24"/>
          <w:szCs w:val="24"/>
        </w:rPr>
        <w:t>affect</w:t>
      </w:r>
      <w:r w:rsidR="00D21EBB" w:rsidRPr="00724CA2">
        <w:rPr>
          <w:rFonts w:ascii="Times New Roman" w:hAnsi="Times New Roman" w:cs="Times New Roman"/>
          <w:color w:val="000000" w:themeColor="text1"/>
          <w:sz w:val="24"/>
          <w:szCs w:val="24"/>
        </w:rPr>
        <w:t>ing</w:t>
      </w:r>
      <w:r w:rsidR="00B321B7" w:rsidRPr="00724CA2">
        <w:rPr>
          <w:rFonts w:ascii="Times New Roman" w:hAnsi="Times New Roman" w:cs="Times New Roman"/>
          <w:color w:val="000000" w:themeColor="text1"/>
          <w:sz w:val="24"/>
          <w:szCs w:val="24"/>
        </w:rPr>
        <w:t xml:space="preserve"> the scale (Khorana et al., 2005) and performance (Ferreira et al., 2013) of mutual fund investment.</w:t>
      </w:r>
    </w:p>
    <w:p w14:paraId="466C4B07" w14:textId="7070A15D" w:rsidR="00A36A3C" w:rsidRPr="00724CA2" w:rsidRDefault="001941F6" w:rsidP="00771518">
      <w:pPr>
        <w:autoSpaceDE w:val="0"/>
        <w:autoSpaceDN w:val="0"/>
        <w:adjustRightInd w:val="0"/>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The stringency of the l</w:t>
      </w:r>
      <w:r w:rsidR="00D46C65" w:rsidRPr="00724CA2">
        <w:rPr>
          <w:rFonts w:ascii="Times New Roman" w:hAnsi="Times New Roman" w:cs="Times New Roman"/>
          <w:color w:val="000000" w:themeColor="text1"/>
          <w:sz w:val="24"/>
          <w:szCs w:val="24"/>
        </w:rPr>
        <w:t xml:space="preserve">egal enforcement </w:t>
      </w:r>
      <w:r w:rsidR="002A1363" w:rsidRPr="00724CA2">
        <w:rPr>
          <w:rFonts w:ascii="Times New Roman" w:hAnsi="Times New Roman" w:cs="Times New Roman"/>
          <w:color w:val="000000" w:themeColor="text1"/>
          <w:sz w:val="24"/>
          <w:szCs w:val="24"/>
        </w:rPr>
        <w:t xml:space="preserve">varies </w:t>
      </w:r>
      <w:r w:rsidR="0079683A" w:rsidRPr="00724CA2">
        <w:rPr>
          <w:rFonts w:ascii="Times New Roman" w:hAnsi="Times New Roman" w:cs="Times New Roman"/>
          <w:color w:val="000000" w:themeColor="text1"/>
          <w:sz w:val="24"/>
          <w:szCs w:val="24"/>
        </w:rPr>
        <w:t xml:space="preserve">across different </w:t>
      </w:r>
      <w:r w:rsidR="00646CE8" w:rsidRPr="00724CA2">
        <w:rPr>
          <w:rFonts w:ascii="Times New Roman" w:hAnsi="Times New Roman" w:cs="Times New Roman"/>
          <w:color w:val="000000" w:themeColor="text1"/>
          <w:sz w:val="24"/>
          <w:szCs w:val="24"/>
        </w:rPr>
        <w:t>Chinese</w:t>
      </w:r>
      <w:r w:rsidR="00D46C65" w:rsidRPr="00724CA2">
        <w:rPr>
          <w:rFonts w:ascii="Times New Roman" w:hAnsi="Times New Roman" w:cs="Times New Roman"/>
          <w:color w:val="000000" w:themeColor="text1"/>
          <w:sz w:val="24"/>
          <w:szCs w:val="24"/>
        </w:rPr>
        <w:t xml:space="preserve"> region</w:t>
      </w:r>
      <w:r w:rsidR="0079683A" w:rsidRPr="00724CA2">
        <w:rPr>
          <w:rFonts w:ascii="Times New Roman" w:hAnsi="Times New Roman" w:cs="Times New Roman"/>
          <w:color w:val="000000" w:themeColor="text1"/>
          <w:sz w:val="24"/>
          <w:szCs w:val="24"/>
        </w:rPr>
        <w:t>s</w:t>
      </w:r>
      <w:r w:rsidR="00D46C65" w:rsidRPr="00724CA2">
        <w:rPr>
          <w:rFonts w:ascii="Times New Roman" w:hAnsi="Times New Roman" w:cs="Times New Roman"/>
          <w:color w:val="000000" w:themeColor="text1"/>
          <w:sz w:val="24"/>
          <w:szCs w:val="24"/>
        </w:rPr>
        <w:t xml:space="preserve"> </w:t>
      </w:r>
      <w:r w:rsidR="00646CE8" w:rsidRPr="00724CA2">
        <w:rPr>
          <w:rFonts w:ascii="Times New Roman" w:hAnsi="Times New Roman" w:cs="Times New Roman"/>
          <w:color w:val="000000" w:themeColor="text1"/>
          <w:sz w:val="24"/>
          <w:szCs w:val="24"/>
        </w:rPr>
        <w:t>enab</w:t>
      </w:r>
      <w:r w:rsidR="002A1363" w:rsidRPr="00724CA2">
        <w:rPr>
          <w:rFonts w:ascii="Times New Roman" w:hAnsi="Times New Roman" w:cs="Times New Roman"/>
          <w:color w:val="000000" w:themeColor="text1"/>
          <w:sz w:val="24"/>
          <w:szCs w:val="24"/>
        </w:rPr>
        <w:t>ling</w:t>
      </w:r>
      <w:r w:rsidR="00646CE8" w:rsidRPr="00724CA2">
        <w:rPr>
          <w:rFonts w:ascii="Times New Roman" w:hAnsi="Times New Roman" w:cs="Times New Roman"/>
          <w:color w:val="000000" w:themeColor="text1"/>
          <w:sz w:val="24"/>
          <w:szCs w:val="24"/>
        </w:rPr>
        <w:t xml:space="preserve"> </w:t>
      </w:r>
      <w:r w:rsidR="0079683A" w:rsidRPr="00724CA2">
        <w:rPr>
          <w:rFonts w:ascii="Times New Roman" w:hAnsi="Times New Roman" w:cs="Times New Roman"/>
          <w:color w:val="000000" w:themeColor="text1"/>
          <w:sz w:val="24"/>
          <w:szCs w:val="24"/>
        </w:rPr>
        <w:t xml:space="preserve">the </w:t>
      </w:r>
      <w:r w:rsidR="00646CE8" w:rsidRPr="00724CA2">
        <w:rPr>
          <w:rFonts w:ascii="Times New Roman" w:hAnsi="Times New Roman" w:cs="Times New Roman"/>
          <w:color w:val="000000" w:themeColor="text1"/>
          <w:sz w:val="24"/>
          <w:szCs w:val="24"/>
        </w:rPr>
        <w:t>examination of how th</w:t>
      </w:r>
      <w:r w:rsidR="00DF06F7" w:rsidRPr="00724CA2">
        <w:rPr>
          <w:rFonts w:ascii="Times New Roman" w:hAnsi="Times New Roman" w:cs="Times New Roman"/>
          <w:color w:val="000000" w:themeColor="text1"/>
          <w:sz w:val="24"/>
          <w:szCs w:val="24"/>
        </w:rPr>
        <w:t xml:space="preserve">is institutional factor </w:t>
      </w:r>
      <w:r w:rsidR="00CE4E15" w:rsidRPr="00724CA2">
        <w:rPr>
          <w:rFonts w:ascii="Times New Roman" w:hAnsi="Times New Roman" w:cs="Times New Roman"/>
          <w:color w:val="000000" w:themeColor="text1"/>
          <w:sz w:val="24"/>
          <w:szCs w:val="24"/>
        </w:rPr>
        <w:t>influenc</w:t>
      </w:r>
      <w:r w:rsidR="006F5192" w:rsidRPr="00724CA2">
        <w:rPr>
          <w:rFonts w:ascii="Times New Roman" w:hAnsi="Times New Roman" w:cs="Times New Roman"/>
          <w:color w:val="000000" w:themeColor="text1"/>
          <w:sz w:val="24"/>
          <w:szCs w:val="24"/>
        </w:rPr>
        <w:t>e</w:t>
      </w:r>
      <w:r w:rsidR="004558B2" w:rsidRPr="00724CA2">
        <w:rPr>
          <w:rFonts w:ascii="Times New Roman" w:hAnsi="Times New Roman" w:cs="Times New Roman"/>
          <w:color w:val="000000" w:themeColor="text1"/>
          <w:sz w:val="24"/>
          <w:szCs w:val="24"/>
        </w:rPr>
        <w:t>s</w:t>
      </w:r>
      <w:r w:rsidR="00CE4E15" w:rsidRPr="00724CA2">
        <w:rPr>
          <w:rFonts w:ascii="Times New Roman" w:hAnsi="Times New Roman" w:cs="Times New Roman"/>
          <w:color w:val="000000" w:themeColor="text1"/>
          <w:sz w:val="24"/>
          <w:szCs w:val="24"/>
        </w:rPr>
        <w:t xml:space="preserve"> </w:t>
      </w:r>
      <w:r w:rsidR="00A36A3C" w:rsidRPr="00724CA2">
        <w:rPr>
          <w:rFonts w:ascii="Times New Roman" w:hAnsi="Times New Roman" w:cs="Times New Roman"/>
          <w:color w:val="000000" w:themeColor="text1"/>
          <w:sz w:val="24"/>
          <w:szCs w:val="24"/>
        </w:rPr>
        <w:t>environment</w:t>
      </w:r>
      <w:r w:rsidR="001154CD" w:rsidRPr="00724CA2">
        <w:rPr>
          <w:rFonts w:ascii="Times New Roman" w:hAnsi="Times New Roman" w:cs="Times New Roman"/>
          <w:color w:val="000000" w:themeColor="text1"/>
          <w:sz w:val="24"/>
          <w:szCs w:val="24"/>
        </w:rPr>
        <w:t>al</w:t>
      </w:r>
      <w:r w:rsidR="00A36A3C" w:rsidRPr="00724CA2">
        <w:rPr>
          <w:rFonts w:ascii="Times New Roman" w:hAnsi="Times New Roman" w:cs="Times New Roman"/>
          <w:color w:val="000000" w:themeColor="text1"/>
          <w:sz w:val="24"/>
          <w:szCs w:val="24"/>
        </w:rPr>
        <w:t xml:space="preserve"> </w:t>
      </w:r>
      <w:r w:rsidR="00CE4E15" w:rsidRPr="00724CA2">
        <w:rPr>
          <w:rFonts w:ascii="Times New Roman" w:hAnsi="Times New Roman" w:cs="Times New Roman"/>
          <w:color w:val="000000" w:themeColor="text1"/>
          <w:sz w:val="24"/>
          <w:szCs w:val="24"/>
        </w:rPr>
        <w:t>spending</w:t>
      </w:r>
      <w:r w:rsidR="00A36A3C" w:rsidRPr="00724CA2">
        <w:rPr>
          <w:rFonts w:ascii="Times New Roman" w:hAnsi="Times New Roman" w:cs="Times New Roman"/>
          <w:color w:val="000000" w:themeColor="text1"/>
          <w:sz w:val="24"/>
          <w:szCs w:val="24"/>
        </w:rPr>
        <w:t xml:space="preserve">. </w:t>
      </w:r>
      <w:r w:rsidR="002714C3" w:rsidRPr="00724CA2">
        <w:rPr>
          <w:rFonts w:ascii="Times New Roman" w:hAnsi="Times New Roman" w:cs="Times New Roman"/>
          <w:color w:val="000000" w:themeColor="text1"/>
          <w:sz w:val="24"/>
          <w:szCs w:val="24"/>
        </w:rPr>
        <w:t xml:space="preserve">Stronger legal environments </w:t>
      </w:r>
      <w:r w:rsidR="006271E1" w:rsidRPr="00724CA2">
        <w:rPr>
          <w:rFonts w:ascii="Times New Roman" w:hAnsi="Times New Roman" w:cs="Times New Roman"/>
          <w:color w:val="000000" w:themeColor="text1"/>
          <w:sz w:val="24"/>
          <w:szCs w:val="24"/>
        </w:rPr>
        <w:t xml:space="preserve">are associated </w:t>
      </w:r>
      <w:r w:rsidR="004442E1" w:rsidRPr="00724CA2">
        <w:rPr>
          <w:rFonts w:ascii="Times New Roman" w:hAnsi="Times New Roman" w:cs="Times New Roman"/>
          <w:color w:val="000000" w:themeColor="text1"/>
          <w:sz w:val="24"/>
          <w:szCs w:val="24"/>
        </w:rPr>
        <w:t xml:space="preserve">with a greater probability of catching environmental violations </w:t>
      </w:r>
      <w:r w:rsidR="00A36A3C" w:rsidRPr="00724CA2">
        <w:rPr>
          <w:rFonts w:ascii="Times New Roman" w:hAnsi="Times New Roman" w:cs="Times New Roman"/>
          <w:color w:val="000000" w:themeColor="text1"/>
          <w:sz w:val="24"/>
          <w:szCs w:val="24"/>
        </w:rPr>
        <w:t xml:space="preserve">(Huang et al., 2023). Subsequently, firms </w:t>
      </w:r>
      <w:r w:rsidR="00A44B16" w:rsidRPr="00724CA2">
        <w:rPr>
          <w:rFonts w:ascii="Times New Roman" w:hAnsi="Times New Roman" w:cs="Times New Roman"/>
          <w:color w:val="000000" w:themeColor="text1"/>
          <w:sz w:val="24"/>
          <w:szCs w:val="24"/>
        </w:rPr>
        <w:t xml:space="preserve">operating in areas </w:t>
      </w:r>
      <w:r w:rsidR="00DD6221" w:rsidRPr="00724CA2">
        <w:rPr>
          <w:rFonts w:ascii="Times New Roman" w:hAnsi="Times New Roman" w:cs="Times New Roman"/>
          <w:color w:val="000000" w:themeColor="text1"/>
          <w:sz w:val="24"/>
          <w:szCs w:val="24"/>
        </w:rPr>
        <w:t xml:space="preserve">typified </w:t>
      </w:r>
      <w:r w:rsidR="00A322FF" w:rsidRPr="00724CA2">
        <w:rPr>
          <w:rFonts w:ascii="Times New Roman" w:hAnsi="Times New Roman" w:cs="Times New Roman"/>
          <w:color w:val="000000" w:themeColor="text1"/>
          <w:sz w:val="24"/>
          <w:szCs w:val="24"/>
        </w:rPr>
        <w:t>by</w:t>
      </w:r>
      <w:r w:rsidR="00DD6221" w:rsidRPr="00724CA2">
        <w:rPr>
          <w:rFonts w:ascii="Times New Roman" w:hAnsi="Times New Roman" w:cs="Times New Roman"/>
          <w:color w:val="000000" w:themeColor="text1"/>
          <w:sz w:val="24"/>
          <w:szCs w:val="24"/>
        </w:rPr>
        <w:t xml:space="preserve"> </w:t>
      </w:r>
      <w:r w:rsidR="006271E1" w:rsidRPr="00724CA2">
        <w:rPr>
          <w:rFonts w:ascii="Times New Roman" w:hAnsi="Times New Roman" w:cs="Times New Roman"/>
          <w:color w:val="000000" w:themeColor="text1"/>
          <w:sz w:val="24"/>
          <w:szCs w:val="24"/>
        </w:rPr>
        <w:t>robust</w:t>
      </w:r>
      <w:r w:rsidR="00DD6221" w:rsidRPr="00724CA2">
        <w:rPr>
          <w:rFonts w:ascii="Times New Roman" w:hAnsi="Times New Roman" w:cs="Times New Roman"/>
          <w:color w:val="000000" w:themeColor="text1"/>
          <w:sz w:val="24"/>
          <w:szCs w:val="24"/>
        </w:rPr>
        <w:t xml:space="preserve"> legal </w:t>
      </w:r>
      <w:r w:rsidR="00A322FF" w:rsidRPr="00724CA2">
        <w:rPr>
          <w:rFonts w:ascii="Times New Roman" w:hAnsi="Times New Roman" w:cs="Times New Roman"/>
          <w:color w:val="000000" w:themeColor="text1"/>
          <w:sz w:val="24"/>
          <w:szCs w:val="24"/>
        </w:rPr>
        <w:t xml:space="preserve">environments </w:t>
      </w:r>
      <w:r w:rsidR="00A36A3C" w:rsidRPr="00724CA2">
        <w:rPr>
          <w:rFonts w:ascii="Times New Roman" w:hAnsi="Times New Roman" w:cs="Times New Roman"/>
          <w:color w:val="000000" w:themeColor="text1"/>
          <w:sz w:val="24"/>
          <w:szCs w:val="24"/>
        </w:rPr>
        <w:t xml:space="preserve">are likely to comply with environmental </w:t>
      </w:r>
      <w:r w:rsidR="00347AD9" w:rsidRPr="00724CA2">
        <w:rPr>
          <w:rFonts w:ascii="Times New Roman" w:hAnsi="Times New Roman" w:cs="Times New Roman"/>
          <w:color w:val="000000" w:themeColor="text1"/>
          <w:sz w:val="24"/>
          <w:szCs w:val="24"/>
        </w:rPr>
        <w:t>regulations</w:t>
      </w:r>
      <w:r w:rsidR="007E4E1F" w:rsidRPr="00724CA2">
        <w:rPr>
          <w:rFonts w:ascii="Times New Roman" w:hAnsi="Times New Roman" w:cs="Times New Roman"/>
          <w:color w:val="000000" w:themeColor="text1"/>
          <w:sz w:val="24"/>
          <w:szCs w:val="24"/>
        </w:rPr>
        <w:t xml:space="preserve">, </w:t>
      </w:r>
      <w:r w:rsidR="00583EDC" w:rsidRPr="00724CA2">
        <w:rPr>
          <w:rFonts w:ascii="Times New Roman" w:hAnsi="Times New Roman" w:cs="Times New Roman"/>
          <w:color w:val="000000" w:themeColor="text1"/>
          <w:sz w:val="24"/>
          <w:szCs w:val="24"/>
          <w:lang w:eastAsia="zh-CN"/>
        </w:rPr>
        <w:t xml:space="preserve">disclose more corporate information (Wang et al., 2021), </w:t>
      </w:r>
      <w:r w:rsidR="007E4E1F" w:rsidRPr="00724CA2">
        <w:rPr>
          <w:rFonts w:ascii="Times New Roman" w:hAnsi="Times New Roman" w:cs="Times New Roman"/>
          <w:color w:val="000000" w:themeColor="text1"/>
          <w:sz w:val="24"/>
          <w:szCs w:val="24"/>
        </w:rPr>
        <w:t xml:space="preserve">have more channels for monitoring firm behaviour </w:t>
      </w:r>
      <w:r w:rsidR="005D0460" w:rsidRPr="00724CA2">
        <w:rPr>
          <w:rFonts w:ascii="Times New Roman" w:hAnsi="Times New Roman" w:cs="Times New Roman"/>
          <w:color w:val="000000" w:themeColor="text1"/>
          <w:sz w:val="24"/>
          <w:szCs w:val="24"/>
        </w:rPr>
        <w:t>and undertake</w:t>
      </w:r>
      <w:r w:rsidR="00BF7D1E" w:rsidRPr="00724CA2">
        <w:rPr>
          <w:rFonts w:ascii="Times New Roman" w:hAnsi="Times New Roman" w:cs="Times New Roman"/>
          <w:color w:val="000000" w:themeColor="text1"/>
          <w:sz w:val="24"/>
          <w:szCs w:val="24"/>
        </w:rPr>
        <w:t xml:space="preserve"> </w:t>
      </w:r>
      <w:r w:rsidR="00474CB7" w:rsidRPr="00724CA2">
        <w:rPr>
          <w:rFonts w:ascii="Times New Roman" w:hAnsi="Times New Roman" w:cs="Times New Roman"/>
          <w:color w:val="000000" w:themeColor="text1"/>
          <w:sz w:val="24"/>
          <w:szCs w:val="24"/>
        </w:rPr>
        <w:t>greater levels of</w:t>
      </w:r>
      <w:r w:rsidR="00A36A3C" w:rsidRPr="00724CA2">
        <w:rPr>
          <w:rFonts w:ascii="Times New Roman" w:hAnsi="Times New Roman" w:cs="Times New Roman"/>
          <w:color w:val="000000" w:themeColor="text1"/>
          <w:sz w:val="24"/>
          <w:szCs w:val="24"/>
        </w:rPr>
        <w:t xml:space="preserve"> environmental spending</w:t>
      </w:r>
      <w:r w:rsidR="00924CCF" w:rsidRPr="00724CA2">
        <w:rPr>
          <w:rFonts w:ascii="Times New Roman" w:hAnsi="Times New Roman" w:cs="Times New Roman"/>
          <w:color w:val="000000" w:themeColor="text1"/>
          <w:sz w:val="24"/>
          <w:szCs w:val="24"/>
        </w:rPr>
        <w:t xml:space="preserve">, relative to </w:t>
      </w:r>
      <w:r w:rsidR="008B5A68" w:rsidRPr="00724CA2">
        <w:rPr>
          <w:rFonts w:ascii="Times New Roman" w:hAnsi="Times New Roman" w:cs="Times New Roman"/>
          <w:color w:val="000000" w:themeColor="text1"/>
          <w:sz w:val="24"/>
          <w:szCs w:val="24"/>
        </w:rPr>
        <w:t xml:space="preserve">firms located </w:t>
      </w:r>
      <w:r w:rsidR="00471614" w:rsidRPr="00724CA2">
        <w:rPr>
          <w:rFonts w:ascii="Times New Roman" w:hAnsi="Times New Roman" w:cs="Times New Roman"/>
          <w:color w:val="000000" w:themeColor="text1"/>
          <w:sz w:val="24"/>
          <w:szCs w:val="24"/>
          <w:lang w:eastAsia="zh-CN"/>
        </w:rPr>
        <w:t xml:space="preserve">within </w:t>
      </w:r>
      <w:r w:rsidR="008B5A68" w:rsidRPr="00724CA2">
        <w:rPr>
          <w:rFonts w:ascii="Times New Roman" w:hAnsi="Times New Roman" w:cs="Times New Roman"/>
          <w:color w:val="000000" w:themeColor="text1"/>
          <w:sz w:val="24"/>
          <w:szCs w:val="24"/>
          <w:lang w:eastAsia="zh-CN"/>
        </w:rPr>
        <w:t>areas typified by a w</w:t>
      </w:r>
      <w:r w:rsidR="00471614" w:rsidRPr="00724CA2">
        <w:rPr>
          <w:rFonts w:ascii="Times New Roman" w:hAnsi="Times New Roman" w:cs="Times New Roman"/>
          <w:color w:val="000000" w:themeColor="text1"/>
          <w:sz w:val="24"/>
          <w:szCs w:val="24"/>
          <w:lang w:eastAsia="zh-CN"/>
        </w:rPr>
        <w:t xml:space="preserve">eaker legal environment. This </w:t>
      </w:r>
      <w:r w:rsidR="00C10DE9" w:rsidRPr="00724CA2">
        <w:rPr>
          <w:rFonts w:ascii="Times New Roman" w:hAnsi="Times New Roman" w:cs="Times New Roman"/>
          <w:color w:val="000000" w:themeColor="text1"/>
          <w:sz w:val="24"/>
          <w:szCs w:val="24"/>
          <w:lang w:eastAsia="zh-CN"/>
        </w:rPr>
        <w:t xml:space="preserve">outcome </w:t>
      </w:r>
      <w:r w:rsidR="00591E04" w:rsidRPr="00724CA2">
        <w:rPr>
          <w:rFonts w:ascii="Times New Roman" w:hAnsi="Times New Roman" w:cs="Times New Roman"/>
          <w:color w:val="000000" w:themeColor="text1"/>
          <w:sz w:val="24"/>
          <w:szCs w:val="24"/>
          <w:lang w:eastAsia="zh-CN"/>
        </w:rPr>
        <w:t xml:space="preserve">is </w:t>
      </w:r>
      <w:r w:rsidR="00C10DE9" w:rsidRPr="00724CA2">
        <w:rPr>
          <w:rFonts w:ascii="Times New Roman" w:hAnsi="Times New Roman" w:cs="Times New Roman"/>
          <w:color w:val="000000" w:themeColor="text1"/>
          <w:sz w:val="24"/>
          <w:szCs w:val="24"/>
          <w:lang w:eastAsia="zh-CN"/>
        </w:rPr>
        <w:t xml:space="preserve">also </w:t>
      </w:r>
      <w:r w:rsidR="00591E04" w:rsidRPr="00724CA2">
        <w:rPr>
          <w:rFonts w:ascii="Times New Roman" w:hAnsi="Times New Roman" w:cs="Times New Roman"/>
          <w:color w:val="000000" w:themeColor="text1"/>
          <w:sz w:val="24"/>
          <w:szCs w:val="24"/>
          <w:lang w:eastAsia="zh-CN"/>
        </w:rPr>
        <w:t xml:space="preserve">thought to </w:t>
      </w:r>
      <w:r w:rsidR="00955AD7" w:rsidRPr="00724CA2">
        <w:rPr>
          <w:rFonts w:ascii="Times New Roman" w:hAnsi="Times New Roman" w:cs="Times New Roman"/>
          <w:color w:val="000000" w:themeColor="text1"/>
          <w:sz w:val="24"/>
          <w:szCs w:val="24"/>
          <w:lang w:eastAsia="zh-CN"/>
        </w:rPr>
        <w:t xml:space="preserve">alter how firms interact with </w:t>
      </w:r>
      <w:r w:rsidR="00471614" w:rsidRPr="00724CA2">
        <w:rPr>
          <w:rFonts w:ascii="Times New Roman" w:hAnsi="Times New Roman" w:cs="Times New Roman"/>
          <w:color w:val="000000" w:themeColor="text1"/>
          <w:sz w:val="24"/>
          <w:szCs w:val="24"/>
          <w:lang w:eastAsia="zh-CN"/>
        </w:rPr>
        <w:t>stakeholder</w:t>
      </w:r>
      <w:r w:rsidR="00955AD7" w:rsidRPr="00724CA2">
        <w:rPr>
          <w:rFonts w:ascii="Times New Roman" w:hAnsi="Times New Roman" w:cs="Times New Roman"/>
          <w:color w:val="000000" w:themeColor="text1"/>
          <w:sz w:val="24"/>
          <w:szCs w:val="24"/>
          <w:lang w:eastAsia="zh-CN"/>
        </w:rPr>
        <w:t>s</w:t>
      </w:r>
      <w:r w:rsidR="00471614" w:rsidRPr="00724CA2">
        <w:rPr>
          <w:rFonts w:ascii="Times New Roman" w:hAnsi="Times New Roman" w:cs="Times New Roman"/>
          <w:color w:val="000000" w:themeColor="text1"/>
          <w:sz w:val="24"/>
          <w:szCs w:val="24"/>
          <w:lang w:eastAsia="zh-CN"/>
        </w:rPr>
        <w:t xml:space="preserve"> (Wu et al., 2016)</w:t>
      </w:r>
      <w:r w:rsidR="00591E04" w:rsidRPr="00724CA2">
        <w:rPr>
          <w:rFonts w:ascii="Times New Roman" w:hAnsi="Times New Roman" w:cs="Times New Roman"/>
          <w:color w:val="000000" w:themeColor="text1"/>
          <w:sz w:val="24"/>
          <w:szCs w:val="24"/>
          <w:lang w:eastAsia="zh-CN"/>
        </w:rPr>
        <w:t xml:space="preserve">, </w:t>
      </w:r>
      <w:r w:rsidR="00C10DE9" w:rsidRPr="00724CA2">
        <w:rPr>
          <w:rFonts w:ascii="Times New Roman" w:hAnsi="Times New Roman" w:cs="Times New Roman"/>
          <w:color w:val="000000" w:themeColor="text1"/>
          <w:sz w:val="24"/>
          <w:szCs w:val="24"/>
          <w:lang w:eastAsia="zh-CN"/>
        </w:rPr>
        <w:t>whereby</w:t>
      </w:r>
      <w:r w:rsidR="00847380" w:rsidRPr="00724CA2">
        <w:rPr>
          <w:rFonts w:ascii="Times New Roman" w:hAnsi="Times New Roman" w:cs="Times New Roman"/>
          <w:color w:val="000000" w:themeColor="text1"/>
          <w:sz w:val="24"/>
          <w:szCs w:val="24"/>
          <w:lang w:eastAsia="zh-CN"/>
        </w:rPr>
        <w:t>, t</w:t>
      </w:r>
      <w:r w:rsidR="00471614" w:rsidRPr="00724CA2">
        <w:rPr>
          <w:rFonts w:ascii="Times New Roman" w:hAnsi="Times New Roman" w:cs="Times New Roman"/>
          <w:color w:val="000000" w:themeColor="text1"/>
          <w:sz w:val="24"/>
          <w:szCs w:val="24"/>
          <w:lang w:eastAsia="zh-CN"/>
        </w:rPr>
        <w:t xml:space="preserve">hose </w:t>
      </w:r>
      <w:r w:rsidR="00272F36" w:rsidRPr="00724CA2">
        <w:rPr>
          <w:rFonts w:ascii="Times New Roman" w:hAnsi="Times New Roman" w:cs="Times New Roman"/>
          <w:color w:val="000000" w:themeColor="text1"/>
          <w:sz w:val="24"/>
          <w:szCs w:val="24"/>
          <w:lang w:eastAsia="zh-CN"/>
        </w:rPr>
        <w:t xml:space="preserve">firms </w:t>
      </w:r>
      <w:r w:rsidR="00471614" w:rsidRPr="00724CA2">
        <w:rPr>
          <w:rFonts w:ascii="Times New Roman" w:hAnsi="Times New Roman" w:cs="Times New Roman"/>
          <w:color w:val="000000" w:themeColor="text1"/>
          <w:sz w:val="24"/>
          <w:szCs w:val="24"/>
          <w:lang w:eastAsia="zh-CN"/>
        </w:rPr>
        <w:t>with a higher proportion of mutual fund</w:t>
      </w:r>
      <w:r w:rsidR="00272F36" w:rsidRPr="00724CA2">
        <w:rPr>
          <w:rFonts w:ascii="Times New Roman" w:hAnsi="Times New Roman" w:cs="Times New Roman"/>
          <w:color w:val="000000" w:themeColor="text1"/>
          <w:sz w:val="24"/>
          <w:szCs w:val="24"/>
          <w:lang w:eastAsia="zh-CN"/>
        </w:rPr>
        <w:t xml:space="preserve"> investment</w:t>
      </w:r>
      <w:r w:rsidR="00471614" w:rsidRPr="00724CA2">
        <w:rPr>
          <w:rFonts w:ascii="Times New Roman" w:hAnsi="Times New Roman" w:cs="Times New Roman"/>
          <w:color w:val="000000" w:themeColor="text1"/>
          <w:sz w:val="24"/>
          <w:szCs w:val="24"/>
          <w:lang w:eastAsia="zh-CN"/>
        </w:rPr>
        <w:t xml:space="preserve"> </w:t>
      </w:r>
      <w:r w:rsidR="00272F36" w:rsidRPr="00724CA2">
        <w:rPr>
          <w:rFonts w:ascii="Times New Roman" w:hAnsi="Times New Roman" w:cs="Times New Roman"/>
          <w:color w:val="000000" w:themeColor="text1"/>
          <w:sz w:val="24"/>
          <w:szCs w:val="24"/>
          <w:lang w:eastAsia="zh-CN"/>
        </w:rPr>
        <w:t>p</w:t>
      </w:r>
      <w:r w:rsidR="00471614" w:rsidRPr="00724CA2">
        <w:rPr>
          <w:rFonts w:ascii="Times New Roman" w:hAnsi="Times New Roman" w:cs="Times New Roman"/>
          <w:color w:val="000000" w:themeColor="text1"/>
          <w:sz w:val="24"/>
          <w:szCs w:val="24"/>
          <w:lang w:eastAsia="zh-CN"/>
        </w:rPr>
        <w:t xml:space="preserve">rovide additional voluntary disclosure of sustainability-related information to meet </w:t>
      </w:r>
      <w:r w:rsidR="00EE6309" w:rsidRPr="00724CA2">
        <w:rPr>
          <w:rFonts w:ascii="Times New Roman" w:hAnsi="Times New Roman" w:cs="Times New Roman"/>
          <w:color w:val="000000" w:themeColor="text1"/>
          <w:sz w:val="24"/>
          <w:szCs w:val="24"/>
          <w:lang w:eastAsia="zh-CN"/>
        </w:rPr>
        <w:t xml:space="preserve">stakeholders’ </w:t>
      </w:r>
      <w:r w:rsidR="00471614" w:rsidRPr="00724CA2">
        <w:rPr>
          <w:rFonts w:ascii="Times New Roman" w:hAnsi="Times New Roman" w:cs="Times New Roman"/>
          <w:color w:val="000000" w:themeColor="text1"/>
          <w:sz w:val="24"/>
          <w:szCs w:val="24"/>
          <w:lang w:eastAsia="zh-CN"/>
        </w:rPr>
        <w:t>information demands</w:t>
      </w:r>
      <w:r w:rsidR="007D6FDD" w:rsidRPr="00724CA2">
        <w:rPr>
          <w:rFonts w:ascii="Times New Roman" w:hAnsi="Times New Roman" w:cs="Times New Roman"/>
          <w:color w:val="000000" w:themeColor="text1"/>
          <w:sz w:val="24"/>
          <w:szCs w:val="24"/>
        </w:rPr>
        <w:t>.</w:t>
      </w:r>
      <w:r w:rsidR="00471614" w:rsidRPr="00724CA2">
        <w:rPr>
          <w:rFonts w:ascii="Times New Roman" w:hAnsi="Times New Roman" w:cs="Times New Roman"/>
          <w:color w:val="000000" w:themeColor="text1"/>
          <w:sz w:val="24"/>
          <w:szCs w:val="24"/>
        </w:rPr>
        <w:t xml:space="preserve"> </w:t>
      </w:r>
      <w:r w:rsidR="00A36A3C" w:rsidRPr="00724CA2">
        <w:rPr>
          <w:rFonts w:ascii="Times New Roman" w:hAnsi="Times New Roman" w:cs="Times New Roman"/>
          <w:color w:val="000000" w:themeColor="text1"/>
          <w:sz w:val="24"/>
          <w:szCs w:val="24"/>
        </w:rPr>
        <w:t xml:space="preserve">We therefore </w:t>
      </w:r>
      <w:r w:rsidR="00DC2E0A" w:rsidRPr="00724CA2">
        <w:rPr>
          <w:rFonts w:ascii="Times New Roman" w:hAnsi="Times New Roman" w:cs="Times New Roman"/>
          <w:color w:val="000000" w:themeColor="text1"/>
          <w:sz w:val="24"/>
          <w:szCs w:val="24"/>
        </w:rPr>
        <w:t>examine t</w:t>
      </w:r>
      <w:r w:rsidR="00A36A3C" w:rsidRPr="00724CA2">
        <w:rPr>
          <w:rFonts w:ascii="Times New Roman" w:hAnsi="Times New Roman" w:cs="Times New Roman"/>
          <w:color w:val="000000" w:themeColor="text1"/>
          <w:sz w:val="24"/>
          <w:szCs w:val="24"/>
        </w:rPr>
        <w:t xml:space="preserve">he following hypothesis, </w:t>
      </w:r>
      <w:r w:rsidR="00DC2E0A" w:rsidRPr="00724CA2">
        <w:rPr>
          <w:rFonts w:ascii="Times New Roman" w:hAnsi="Times New Roman" w:cs="Times New Roman"/>
          <w:color w:val="000000" w:themeColor="text1"/>
          <w:sz w:val="24"/>
          <w:szCs w:val="24"/>
        </w:rPr>
        <w:t>across t</w:t>
      </w:r>
      <w:r w:rsidR="00A36A3C" w:rsidRPr="00724CA2">
        <w:rPr>
          <w:rFonts w:ascii="Times New Roman" w:hAnsi="Times New Roman" w:cs="Times New Roman"/>
          <w:color w:val="000000" w:themeColor="text1"/>
          <w:sz w:val="24"/>
          <w:szCs w:val="24"/>
        </w:rPr>
        <w:t>he 31 Chinese provincial administrative regions:</w:t>
      </w:r>
    </w:p>
    <w:p w14:paraId="26FD0078" w14:textId="7F79D9EC" w:rsidR="000C33DF" w:rsidRPr="00724CA2" w:rsidRDefault="00A36A3C" w:rsidP="00264804">
      <w:pPr>
        <w:autoSpaceDE w:val="0"/>
        <w:autoSpaceDN w:val="0"/>
        <w:adjustRightInd w:val="0"/>
        <w:spacing w:afterLines="50" w:after="120" w:line="480" w:lineRule="auto"/>
        <w:jc w:val="both"/>
        <w:rPr>
          <w:rFonts w:ascii="Times New Roman" w:hAnsi="Times New Roman" w:cs="Times New Roman"/>
          <w:i/>
          <w:iCs/>
          <w:color w:val="000000" w:themeColor="text1"/>
          <w:sz w:val="24"/>
          <w:szCs w:val="24"/>
        </w:rPr>
      </w:pPr>
      <w:r w:rsidRPr="00264804">
        <w:rPr>
          <w:rFonts w:ascii="Times New Roman" w:hAnsi="Times New Roman" w:cs="Times New Roman"/>
          <w:b/>
          <w:bCs/>
          <w:i/>
          <w:iCs/>
          <w:color w:val="000000" w:themeColor="text1"/>
          <w:sz w:val="24"/>
          <w:szCs w:val="24"/>
        </w:rPr>
        <w:t>H</w:t>
      </w:r>
      <w:r w:rsidR="00264804" w:rsidRPr="00264804">
        <w:rPr>
          <w:rFonts w:ascii="Times New Roman" w:hAnsi="Times New Roman" w:cs="Times New Roman" w:hint="eastAsia"/>
          <w:b/>
          <w:bCs/>
          <w:i/>
          <w:iCs/>
          <w:color w:val="000000" w:themeColor="text1"/>
          <w:sz w:val="24"/>
          <w:szCs w:val="24"/>
          <w:lang w:eastAsia="zh-CN"/>
        </w:rPr>
        <w:t>3.</w:t>
      </w:r>
      <w:r w:rsidRPr="00724CA2">
        <w:rPr>
          <w:rFonts w:ascii="Times New Roman" w:hAnsi="Times New Roman" w:cs="Times New Roman"/>
          <w:i/>
          <w:iCs/>
          <w:color w:val="000000" w:themeColor="text1"/>
          <w:sz w:val="24"/>
          <w:szCs w:val="24"/>
        </w:rPr>
        <w:t xml:space="preserve"> </w:t>
      </w:r>
      <w:r w:rsidR="00307FB8" w:rsidRPr="00307FB8">
        <w:rPr>
          <w:rFonts w:ascii="Times New Roman" w:hAnsi="Times New Roman" w:cs="Times New Roman"/>
          <w:i/>
          <w:iCs/>
          <w:color w:val="000000" w:themeColor="text1"/>
          <w:sz w:val="24"/>
          <w:szCs w:val="24"/>
        </w:rPr>
        <w:t>Mutual fund ownership has a greater positive influence on corporate environmental spending for firms located in provinces with a stronger legal environment</w:t>
      </w:r>
      <w:r w:rsidRPr="00724CA2">
        <w:rPr>
          <w:rFonts w:ascii="Times New Roman" w:hAnsi="Times New Roman" w:cs="Times New Roman"/>
          <w:i/>
          <w:iCs/>
          <w:color w:val="000000" w:themeColor="text1"/>
          <w:sz w:val="24"/>
          <w:szCs w:val="24"/>
        </w:rPr>
        <w:t>.</w:t>
      </w:r>
    </w:p>
    <w:p w14:paraId="7A5A4567" w14:textId="43458FD6" w:rsidR="0028265B" w:rsidRPr="00724CA2" w:rsidRDefault="002C7270" w:rsidP="00771518">
      <w:pPr>
        <w:autoSpaceDE w:val="0"/>
        <w:autoSpaceDN w:val="0"/>
        <w:adjustRightInd w:val="0"/>
        <w:spacing w:afterLines="50" w:after="120" w:line="480" w:lineRule="auto"/>
        <w:ind w:firstLine="284"/>
        <w:jc w:val="both"/>
        <w:rPr>
          <w:rFonts w:ascii="Times New Roman" w:hAnsi="Times New Roman" w:cs="Times New Roman"/>
          <w:color w:val="000000" w:themeColor="text1"/>
          <w:sz w:val="24"/>
          <w:szCs w:val="24"/>
        </w:rPr>
      </w:pPr>
      <w:bookmarkStart w:id="4" w:name="_Hlk160069084"/>
      <w:bookmarkEnd w:id="3"/>
      <w:r w:rsidRPr="00724CA2">
        <w:rPr>
          <w:rFonts w:ascii="Times New Roman" w:hAnsi="Times New Roman" w:cs="Times New Roman"/>
          <w:color w:val="000000" w:themeColor="text1"/>
          <w:sz w:val="24"/>
          <w:szCs w:val="24"/>
        </w:rPr>
        <w:t xml:space="preserve">Lastly, </w:t>
      </w:r>
      <w:r w:rsidR="00882BB1" w:rsidRPr="00724CA2">
        <w:rPr>
          <w:rFonts w:ascii="Times New Roman" w:hAnsi="Times New Roman" w:cs="Times New Roman"/>
          <w:color w:val="000000" w:themeColor="text1"/>
          <w:sz w:val="24"/>
          <w:szCs w:val="24"/>
        </w:rPr>
        <w:t xml:space="preserve">we </w:t>
      </w:r>
      <w:r w:rsidRPr="00724CA2">
        <w:rPr>
          <w:rFonts w:ascii="Times New Roman" w:hAnsi="Times New Roman" w:cs="Times New Roman"/>
          <w:color w:val="000000" w:themeColor="text1"/>
          <w:sz w:val="24"/>
          <w:szCs w:val="24"/>
        </w:rPr>
        <w:t>examine</w:t>
      </w:r>
      <w:r w:rsidR="00882BB1" w:rsidRPr="00724CA2">
        <w:rPr>
          <w:rFonts w:ascii="Times New Roman" w:hAnsi="Times New Roman" w:cs="Times New Roman"/>
          <w:color w:val="000000" w:themeColor="text1"/>
          <w:sz w:val="24"/>
          <w:szCs w:val="24"/>
        </w:rPr>
        <w:t xml:space="preserve"> </w:t>
      </w:r>
      <w:r w:rsidR="003618E5" w:rsidRPr="00724CA2">
        <w:rPr>
          <w:rFonts w:ascii="Times New Roman" w:hAnsi="Times New Roman" w:cs="Times New Roman"/>
          <w:color w:val="000000" w:themeColor="text1"/>
          <w:sz w:val="24"/>
          <w:szCs w:val="24"/>
        </w:rPr>
        <w:t xml:space="preserve">the </w:t>
      </w:r>
      <w:r w:rsidR="00882BB1" w:rsidRPr="00724CA2">
        <w:rPr>
          <w:rFonts w:ascii="Times New Roman" w:hAnsi="Times New Roman" w:cs="Times New Roman"/>
          <w:color w:val="000000" w:themeColor="text1"/>
          <w:sz w:val="24"/>
          <w:szCs w:val="24"/>
        </w:rPr>
        <w:t xml:space="preserve">channels through which environmental </w:t>
      </w:r>
      <w:r w:rsidR="00A60000" w:rsidRPr="00724CA2">
        <w:rPr>
          <w:rFonts w:ascii="Times New Roman" w:hAnsi="Times New Roman" w:cs="Times New Roman"/>
          <w:color w:val="000000" w:themeColor="text1"/>
          <w:sz w:val="24"/>
          <w:szCs w:val="24"/>
        </w:rPr>
        <w:t xml:space="preserve">awareness </w:t>
      </w:r>
      <w:r w:rsidR="00882BB1" w:rsidRPr="00724CA2">
        <w:rPr>
          <w:rFonts w:ascii="Times New Roman" w:hAnsi="Times New Roman" w:cs="Times New Roman"/>
          <w:color w:val="000000" w:themeColor="text1"/>
          <w:sz w:val="24"/>
          <w:szCs w:val="24"/>
        </w:rPr>
        <w:t>may be transmitted</w:t>
      </w:r>
      <w:r w:rsidR="009C5B7C" w:rsidRPr="00724CA2">
        <w:rPr>
          <w:rFonts w:ascii="Times New Roman" w:hAnsi="Times New Roman" w:cs="Times New Roman"/>
          <w:color w:val="000000" w:themeColor="text1"/>
          <w:sz w:val="24"/>
          <w:szCs w:val="24"/>
        </w:rPr>
        <w:t>.</w:t>
      </w:r>
      <w:r w:rsidRPr="00724CA2">
        <w:rPr>
          <w:rFonts w:ascii="Times New Roman" w:hAnsi="Times New Roman" w:cs="Times New Roman"/>
          <w:color w:val="000000" w:themeColor="text1"/>
          <w:sz w:val="24"/>
          <w:szCs w:val="24"/>
        </w:rPr>
        <w:t xml:space="preserve"> If institutional investors hold environmental values, we expect </w:t>
      </w:r>
      <w:r w:rsidR="00B47D5C" w:rsidRPr="00724CA2">
        <w:rPr>
          <w:rFonts w:ascii="Times New Roman" w:hAnsi="Times New Roman" w:cs="Times New Roman"/>
          <w:color w:val="000000" w:themeColor="text1"/>
          <w:sz w:val="24"/>
          <w:szCs w:val="24"/>
        </w:rPr>
        <w:t xml:space="preserve">their </w:t>
      </w:r>
      <w:r w:rsidR="00B47D5C" w:rsidRPr="00724CA2">
        <w:rPr>
          <w:rFonts w:ascii="Times New Roman" w:hAnsi="Times New Roman" w:cs="Times New Roman"/>
          <w:color w:val="000000" w:themeColor="text1"/>
          <w:sz w:val="24"/>
          <w:szCs w:val="24"/>
        </w:rPr>
        <w:lastRenderedPageBreak/>
        <w:t>representative</w:t>
      </w:r>
      <w:r w:rsidR="004E7F8B" w:rsidRPr="00724CA2">
        <w:rPr>
          <w:rFonts w:ascii="Times New Roman" w:hAnsi="Times New Roman" w:cs="Times New Roman"/>
          <w:color w:val="000000" w:themeColor="text1"/>
          <w:sz w:val="24"/>
          <w:szCs w:val="24"/>
        </w:rPr>
        <w:t>s</w:t>
      </w:r>
      <w:r w:rsidR="00B47D5C" w:rsidRPr="00724CA2">
        <w:rPr>
          <w:rFonts w:ascii="Times New Roman" w:hAnsi="Times New Roman" w:cs="Times New Roman"/>
          <w:color w:val="000000" w:themeColor="text1"/>
          <w:sz w:val="24"/>
          <w:szCs w:val="24"/>
        </w:rPr>
        <w:t xml:space="preserve"> </w:t>
      </w:r>
      <w:r w:rsidR="008872D0" w:rsidRPr="00724CA2">
        <w:rPr>
          <w:rFonts w:ascii="Times New Roman" w:hAnsi="Times New Roman" w:cs="Times New Roman"/>
          <w:color w:val="000000" w:themeColor="text1"/>
          <w:sz w:val="24"/>
          <w:szCs w:val="24"/>
        </w:rPr>
        <w:t>to share the</w:t>
      </w:r>
      <w:r w:rsidR="004E7F8B" w:rsidRPr="00724CA2">
        <w:rPr>
          <w:rFonts w:ascii="Times New Roman" w:hAnsi="Times New Roman" w:cs="Times New Roman"/>
          <w:color w:val="000000" w:themeColor="text1"/>
          <w:sz w:val="24"/>
          <w:szCs w:val="24"/>
        </w:rPr>
        <w:t>se</w:t>
      </w:r>
      <w:r w:rsidR="008872D0" w:rsidRPr="00724CA2">
        <w:rPr>
          <w:rFonts w:ascii="Times New Roman" w:hAnsi="Times New Roman" w:cs="Times New Roman"/>
          <w:color w:val="000000" w:themeColor="text1"/>
          <w:sz w:val="24"/>
          <w:szCs w:val="24"/>
        </w:rPr>
        <w:t xml:space="preserve"> values with </w:t>
      </w:r>
      <w:r w:rsidR="00046B9F" w:rsidRPr="00724CA2">
        <w:rPr>
          <w:rFonts w:ascii="Times New Roman" w:hAnsi="Times New Roman" w:cs="Times New Roman"/>
          <w:color w:val="000000" w:themeColor="text1"/>
          <w:sz w:val="24"/>
          <w:szCs w:val="24"/>
        </w:rPr>
        <w:t>their beneficiaries</w:t>
      </w:r>
      <w:r w:rsidR="00786A8F" w:rsidRPr="00724CA2">
        <w:rPr>
          <w:rFonts w:ascii="Times New Roman" w:hAnsi="Times New Roman" w:cs="Times New Roman"/>
          <w:color w:val="000000" w:themeColor="text1"/>
          <w:sz w:val="24"/>
          <w:szCs w:val="24"/>
        </w:rPr>
        <w:t xml:space="preserve">, </w:t>
      </w:r>
      <w:r w:rsidR="001E7E20" w:rsidRPr="00724CA2">
        <w:rPr>
          <w:rFonts w:ascii="Times New Roman" w:hAnsi="Times New Roman" w:cs="Times New Roman"/>
          <w:color w:val="000000" w:themeColor="text1"/>
          <w:sz w:val="24"/>
          <w:szCs w:val="24"/>
        </w:rPr>
        <w:t xml:space="preserve">ensuring </w:t>
      </w:r>
      <w:r w:rsidR="00ED0C91" w:rsidRPr="00724CA2">
        <w:rPr>
          <w:rFonts w:ascii="Times New Roman" w:hAnsi="Times New Roman" w:cs="Times New Roman"/>
          <w:color w:val="000000" w:themeColor="text1"/>
          <w:sz w:val="24"/>
          <w:szCs w:val="24"/>
        </w:rPr>
        <w:t xml:space="preserve">environmental spending is </w:t>
      </w:r>
      <w:r w:rsidR="0028265B" w:rsidRPr="00724CA2">
        <w:rPr>
          <w:rFonts w:ascii="Times New Roman" w:hAnsi="Times New Roman" w:cs="Times New Roman"/>
          <w:color w:val="000000" w:themeColor="text1"/>
          <w:sz w:val="24"/>
          <w:szCs w:val="24"/>
        </w:rPr>
        <w:t xml:space="preserve">considered </w:t>
      </w:r>
      <w:r w:rsidR="00ED0C91" w:rsidRPr="00724CA2">
        <w:rPr>
          <w:rFonts w:ascii="Times New Roman" w:hAnsi="Times New Roman" w:cs="Times New Roman"/>
          <w:color w:val="000000" w:themeColor="text1"/>
          <w:sz w:val="24"/>
          <w:szCs w:val="24"/>
        </w:rPr>
        <w:t xml:space="preserve">both normal and a future imperative (Grewal et al., 2016). </w:t>
      </w:r>
      <w:r w:rsidR="004E7F8B" w:rsidRPr="00724CA2">
        <w:rPr>
          <w:rFonts w:ascii="Times New Roman" w:hAnsi="Times New Roman" w:cs="Times New Roman"/>
          <w:color w:val="000000" w:themeColor="text1"/>
          <w:sz w:val="24"/>
          <w:szCs w:val="24"/>
        </w:rPr>
        <w:t>T</w:t>
      </w:r>
      <w:r w:rsidR="00713F9E" w:rsidRPr="00724CA2">
        <w:rPr>
          <w:rFonts w:ascii="Times New Roman" w:hAnsi="Times New Roman" w:cs="Times New Roman"/>
          <w:color w:val="000000" w:themeColor="text1"/>
          <w:sz w:val="24"/>
          <w:szCs w:val="24"/>
        </w:rPr>
        <w:t>hese investors</w:t>
      </w:r>
      <w:r w:rsidR="0094190D" w:rsidRPr="00724CA2">
        <w:rPr>
          <w:rFonts w:ascii="Times New Roman" w:hAnsi="Times New Roman" w:cs="Times New Roman"/>
          <w:color w:val="000000" w:themeColor="text1"/>
          <w:sz w:val="24"/>
          <w:szCs w:val="24"/>
        </w:rPr>
        <w:t>,</w:t>
      </w:r>
      <w:r w:rsidR="00713F9E" w:rsidRPr="00724CA2">
        <w:rPr>
          <w:rFonts w:ascii="Times New Roman" w:hAnsi="Times New Roman" w:cs="Times New Roman"/>
          <w:color w:val="000000" w:themeColor="text1"/>
          <w:sz w:val="24"/>
          <w:szCs w:val="24"/>
        </w:rPr>
        <w:t xml:space="preserve"> </w:t>
      </w:r>
      <w:r w:rsidR="0094190D" w:rsidRPr="00724CA2">
        <w:rPr>
          <w:rFonts w:ascii="Times New Roman" w:hAnsi="Times New Roman" w:cs="Times New Roman"/>
          <w:color w:val="000000" w:themeColor="text1"/>
          <w:sz w:val="24"/>
          <w:szCs w:val="24"/>
        </w:rPr>
        <w:t xml:space="preserve">predominantly </w:t>
      </w:r>
      <w:r w:rsidR="00713F9E" w:rsidRPr="00724CA2">
        <w:rPr>
          <w:rFonts w:ascii="Times New Roman" w:hAnsi="Times New Roman" w:cs="Times New Roman"/>
          <w:color w:val="000000" w:themeColor="text1"/>
          <w:sz w:val="24"/>
          <w:szCs w:val="24"/>
        </w:rPr>
        <w:t>from North America and Europe</w:t>
      </w:r>
      <w:r w:rsidR="003F78F1">
        <w:rPr>
          <w:rFonts w:ascii="Times New Roman" w:hAnsi="Times New Roman" w:cs="Times New Roman"/>
          <w:color w:val="000000" w:themeColor="text1"/>
          <w:sz w:val="24"/>
          <w:szCs w:val="24"/>
        </w:rPr>
        <w:t>,</w:t>
      </w:r>
      <w:r w:rsidR="00713F9E" w:rsidRPr="00724CA2">
        <w:rPr>
          <w:rFonts w:ascii="Times New Roman" w:hAnsi="Times New Roman" w:cs="Times New Roman"/>
          <w:color w:val="000000" w:themeColor="text1"/>
          <w:sz w:val="24"/>
          <w:szCs w:val="24"/>
        </w:rPr>
        <w:t xml:space="preserve"> </w:t>
      </w:r>
      <w:r w:rsidR="00A77209" w:rsidRPr="00724CA2">
        <w:rPr>
          <w:rFonts w:ascii="Times New Roman" w:hAnsi="Times New Roman" w:cs="Times New Roman"/>
          <w:color w:val="000000" w:themeColor="text1"/>
          <w:sz w:val="24"/>
          <w:szCs w:val="24"/>
        </w:rPr>
        <w:t>often</w:t>
      </w:r>
      <w:r w:rsidR="00713F9E" w:rsidRPr="00724CA2">
        <w:rPr>
          <w:rFonts w:ascii="Times New Roman" w:hAnsi="Times New Roman" w:cs="Times New Roman"/>
          <w:color w:val="000000" w:themeColor="text1"/>
          <w:sz w:val="24"/>
          <w:szCs w:val="24"/>
        </w:rPr>
        <w:t xml:space="preserve"> support ‘green’ values (Kruger et al., 2020)</w:t>
      </w:r>
      <w:r w:rsidR="00AA6393" w:rsidRPr="00724CA2">
        <w:rPr>
          <w:rFonts w:ascii="Times New Roman" w:hAnsi="Times New Roman" w:cs="Times New Roman"/>
          <w:color w:val="000000" w:themeColor="text1"/>
          <w:sz w:val="24"/>
          <w:szCs w:val="24"/>
        </w:rPr>
        <w:t xml:space="preserve"> and</w:t>
      </w:r>
      <w:r w:rsidR="00A77209" w:rsidRPr="00724CA2">
        <w:rPr>
          <w:rFonts w:ascii="Times New Roman" w:hAnsi="Times New Roman" w:cs="Times New Roman"/>
          <w:color w:val="000000" w:themeColor="text1"/>
          <w:sz w:val="24"/>
          <w:szCs w:val="24"/>
        </w:rPr>
        <w:t xml:space="preserve"> </w:t>
      </w:r>
      <w:r w:rsidR="00700E32" w:rsidRPr="00724CA2">
        <w:rPr>
          <w:rFonts w:ascii="Times New Roman" w:hAnsi="Times New Roman" w:cs="Times New Roman"/>
          <w:color w:val="000000" w:themeColor="text1"/>
          <w:sz w:val="24"/>
          <w:szCs w:val="24"/>
        </w:rPr>
        <w:t>voice environmental concerns</w:t>
      </w:r>
      <w:r w:rsidR="006C1BAA" w:rsidRPr="00724CA2">
        <w:rPr>
          <w:rFonts w:ascii="Times New Roman" w:hAnsi="Times New Roman" w:cs="Times New Roman"/>
          <w:color w:val="000000" w:themeColor="text1"/>
          <w:sz w:val="24"/>
          <w:szCs w:val="24"/>
        </w:rPr>
        <w:t xml:space="preserve"> to</w:t>
      </w:r>
      <w:r w:rsidR="00700E32" w:rsidRPr="00724CA2">
        <w:rPr>
          <w:rFonts w:ascii="Times New Roman" w:hAnsi="Times New Roman" w:cs="Times New Roman"/>
          <w:color w:val="000000" w:themeColor="text1"/>
          <w:sz w:val="24"/>
          <w:szCs w:val="24"/>
        </w:rPr>
        <w:t xml:space="preserve"> limit risks within their beneficiaries (Drobetz et al., 202</w:t>
      </w:r>
      <w:r w:rsidR="001F2A1B">
        <w:rPr>
          <w:rFonts w:ascii="Times New Roman" w:hAnsi="Times New Roman" w:cs="Times New Roman"/>
          <w:color w:val="000000" w:themeColor="text1"/>
          <w:sz w:val="24"/>
          <w:szCs w:val="24"/>
        </w:rPr>
        <w:t>4</w:t>
      </w:r>
      <w:r w:rsidR="00700E32" w:rsidRPr="00724CA2">
        <w:rPr>
          <w:rFonts w:ascii="Times New Roman" w:hAnsi="Times New Roman" w:cs="Times New Roman"/>
          <w:color w:val="000000" w:themeColor="text1"/>
          <w:sz w:val="24"/>
          <w:szCs w:val="24"/>
        </w:rPr>
        <w:t>)</w:t>
      </w:r>
      <w:r w:rsidR="00AA6393" w:rsidRPr="00724CA2">
        <w:rPr>
          <w:rFonts w:ascii="Times New Roman" w:hAnsi="Times New Roman" w:cs="Times New Roman"/>
          <w:color w:val="000000" w:themeColor="text1"/>
          <w:sz w:val="24"/>
          <w:szCs w:val="24"/>
        </w:rPr>
        <w:t xml:space="preserve">. </w:t>
      </w:r>
      <w:r w:rsidR="002A18DD" w:rsidRPr="00724CA2">
        <w:rPr>
          <w:rFonts w:ascii="Times New Roman" w:hAnsi="Times New Roman" w:cs="Times New Roman"/>
          <w:color w:val="000000" w:themeColor="text1"/>
          <w:sz w:val="24"/>
          <w:szCs w:val="24"/>
        </w:rPr>
        <w:t xml:space="preserve">Institutional investors undertake this monitoring </w:t>
      </w:r>
      <w:r w:rsidR="00796794" w:rsidRPr="00724CA2">
        <w:rPr>
          <w:rFonts w:ascii="Times New Roman" w:hAnsi="Times New Roman" w:cs="Times New Roman"/>
          <w:color w:val="000000" w:themeColor="text1"/>
          <w:sz w:val="24"/>
          <w:szCs w:val="24"/>
        </w:rPr>
        <w:t xml:space="preserve">and guidance </w:t>
      </w:r>
      <w:r w:rsidR="002A18DD" w:rsidRPr="00724CA2">
        <w:rPr>
          <w:rFonts w:ascii="Times New Roman" w:hAnsi="Times New Roman" w:cs="Times New Roman"/>
          <w:color w:val="000000" w:themeColor="text1"/>
          <w:sz w:val="24"/>
          <w:szCs w:val="24"/>
        </w:rPr>
        <w:t>through incorporating environmental factors into their research, analysis, and selection processes</w:t>
      </w:r>
      <w:r w:rsidR="00C56F5B" w:rsidRPr="00724CA2">
        <w:rPr>
          <w:rFonts w:ascii="Times New Roman" w:hAnsi="Times New Roman" w:cs="Times New Roman"/>
          <w:color w:val="000000" w:themeColor="text1"/>
          <w:sz w:val="24"/>
          <w:szCs w:val="24"/>
        </w:rPr>
        <w:t xml:space="preserve">; </w:t>
      </w:r>
      <w:r w:rsidR="002A18DD" w:rsidRPr="00724CA2">
        <w:rPr>
          <w:rFonts w:ascii="Times New Roman" w:hAnsi="Times New Roman" w:cs="Times New Roman"/>
          <w:color w:val="000000" w:themeColor="text1"/>
          <w:sz w:val="24"/>
          <w:szCs w:val="24"/>
        </w:rPr>
        <w:t>a</w:t>
      </w:r>
      <w:r w:rsidR="00C56F5B" w:rsidRPr="00724CA2">
        <w:rPr>
          <w:rFonts w:ascii="Times New Roman" w:hAnsi="Times New Roman" w:cs="Times New Roman"/>
          <w:color w:val="000000" w:themeColor="text1"/>
          <w:sz w:val="24"/>
          <w:szCs w:val="24"/>
        </w:rPr>
        <w:t>ll</w:t>
      </w:r>
      <w:r w:rsidR="002A18DD" w:rsidRPr="00724CA2">
        <w:rPr>
          <w:rFonts w:ascii="Times New Roman" w:hAnsi="Times New Roman" w:cs="Times New Roman"/>
          <w:color w:val="000000" w:themeColor="text1"/>
          <w:sz w:val="24"/>
          <w:szCs w:val="24"/>
        </w:rPr>
        <w:t xml:space="preserve"> </w:t>
      </w:r>
      <w:r w:rsidR="00C56F5B" w:rsidRPr="00724CA2">
        <w:rPr>
          <w:rFonts w:ascii="Times New Roman" w:hAnsi="Times New Roman" w:cs="Times New Roman"/>
          <w:color w:val="000000" w:themeColor="text1"/>
          <w:sz w:val="24"/>
          <w:szCs w:val="24"/>
        </w:rPr>
        <w:t>practices</w:t>
      </w:r>
      <w:r w:rsidR="002A18DD" w:rsidRPr="00724CA2">
        <w:rPr>
          <w:rFonts w:ascii="Times New Roman" w:hAnsi="Times New Roman" w:cs="Times New Roman"/>
          <w:color w:val="000000" w:themeColor="text1"/>
          <w:sz w:val="24"/>
          <w:szCs w:val="24"/>
        </w:rPr>
        <w:t xml:space="preserve"> identified using quantitative analysis (Alda, 2019, Erhemjamts and Huang, 2019), interview data (McCahery et al</w:t>
      </w:r>
      <w:r w:rsidR="00C56F5B" w:rsidRPr="00724CA2">
        <w:rPr>
          <w:rFonts w:ascii="Times New Roman" w:hAnsi="Times New Roman" w:cs="Times New Roman"/>
          <w:color w:val="000000" w:themeColor="text1"/>
          <w:sz w:val="24"/>
          <w:szCs w:val="24"/>
        </w:rPr>
        <w:t>.,</w:t>
      </w:r>
      <w:r w:rsidR="002A18DD" w:rsidRPr="00724CA2">
        <w:rPr>
          <w:rFonts w:ascii="Times New Roman" w:hAnsi="Times New Roman" w:cs="Times New Roman"/>
          <w:color w:val="000000" w:themeColor="text1"/>
          <w:sz w:val="24"/>
          <w:szCs w:val="24"/>
        </w:rPr>
        <w:t xml:space="preserve"> 2022), and survey assessment (Przychodzen et al., 2016). </w:t>
      </w:r>
    </w:p>
    <w:p w14:paraId="13841793" w14:textId="5C03BA35" w:rsidR="002C7270" w:rsidRPr="00724CA2" w:rsidRDefault="002C7270" w:rsidP="00771518">
      <w:pPr>
        <w:autoSpaceDE w:val="0"/>
        <w:autoSpaceDN w:val="0"/>
        <w:adjustRightInd w:val="0"/>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We explore two channels through which mutual fund investment affects </w:t>
      </w:r>
      <w:r w:rsidR="009509EA" w:rsidRPr="00724CA2">
        <w:rPr>
          <w:rFonts w:ascii="Times New Roman" w:hAnsi="Times New Roman" w:cs="Times New Roman"/>
          <w:color w:val="000000" w:themeColor="text1"/>
          <w:sz w:val="24"/>
          <w:szCs w:val="24"/>
        </w:rPr>
        <w:t xml:space="preserve">environmental </w:t>
      </w:r>
      <w:r w:rsidR="00A60000" w:rsidRPr="00724CA2">
        <w:rPr>
          <w:rFonts w:ascii="Times New Roman" w:hAnsi="Times New Roman" w:cs="Times New Roman"/>
          <w:color w:val="000000" w:themeColor="text1"/>
          <w:sz w:val="24"/>
          <w:szCs w:val="24"/>
        </w:rPr>
        <w:t xml:space="preserve">awareness </w:t>
      </w:r>
      <w:r w:rsidR="009509EA" w:rsidRPr="00724CA2">
        <w:rPr>
          <w:rFonts w:ascii="Times New Roman" w:hAnsi="Times New Roman" w:cs="Times New Roman"/>
          <w:color w:val="000000" w:themeColor="text1"/>
          <w:sz w:val="24"/>
          <w:szCs w:val="24"/>
        </w:rPr>
        <w:t xml:space="preserve">and in turn, </w:t>
      </w:r>
      <w:r w:rsidRPr="00724CA2">
        <w:rPr>
          <w:rFonts w:ascii="Times New Roman" w:hAnsi="Times New Roman" w:cs="Times New Roman"/>
          <w:color w:val="000000" w:themeColor="text1"/>
          <w:sz w:val="24"/>
          <w:szCs w:val="24"/>
        </w:rPr>
        <w:t xml:space="preserve">environmental spending. Environmental </w:t>
      </w:r>
      <w:r w:rsidR="00A60000" w:rsidRPr="00724CA2">
        <w:rPr>
          <w:rFonts w:ascii="Times New Roman" w:hAnsi="Times New Roman" w:cs="Times New Roman"/>
          <w:color w:val="000000" w:themeColor="text1"/>
          <w:sz w:val="24"/>
          <w:szCs w:val="24"/>
        </w:rPr>
        <w:t xml:space="preserve">awareness </w:t>
      </w:r>
      <w:r w:rsidR="00B65F68">
        <w:rPr>
          <w:rFonts w:ascii="Times New Roman" w:hAnsi="Times New Roman" w:cs="Times New Roman"/>
          <w:color w:val="000000" w:themeColor="text1"/>
          <w:sz w:val="24"/>
          <w:szCs w:val="24"/>
        </w:rPr>
        <w:t>could be</w:t>
      </w:r>
      <w:r w:rsidRPr="00724CA2">
        <w:rPr>
          <w:rFonts w:ascii="Times New Roman" w:hAnsi="Times New Roman" w:cs="Times New Roman"/>
          <w:color w:val="000000" w:themeColor="text1"/>
          <w:sz w:val="24"/>
          <w:szCs w:val="24"/>
        </w:rPr>
        <w:t xml:space="preserve"> represented by the number of environmentally themed queries at shareholder </w:t>
      </w:r>
      <w:r w:rsidR="00D757F5" w:rsidRPr="00724CA2">
        <w:rPr>
          <w:rFonts w:ascii="Times New Roman" w:hAnsi="Times New Roman" w:cs="Times New Roman"/>
          <w:color w:val="000000" w:themeColor="text1"/>
          <w:sz w:val="24"/>
          <w:szCs w:val="24"/>
        </w:rPr>
        <w:t>AGMs</w:t>
      </w:r>
      <w:r w:rsidRPr="00724CA2">
        <w:rPr>
          <w:rFonts w:ascii="Times New Roman" w:hAnsi="Times New Roman" w:cs="Times New Roman"/>
          <w:color w:val="000000" w:themeColor="text1"/>
          <w:sz w:val="24"/>
          <w:szCs w:val="24"/>
        </w:rPr>
        <w:t xml:space="preserve"> (Sjostrom, 2008). </w:t>
      </w:r>
      <w:r w:rsidR="00C45B85" w:rsidRPr="00724CA2">
        <w:rPr>
          <w:rFonts w:ascii="Times New Roman" w:hAnsi="Times New Roman" w:cs="Times New Roman"/>
          <w:color w:val="000000" w:themeColor="text1"/>
          <w:sz w:val="24"/>
          <w:szCs w:val="24"/>
        </w:rPr>
        <w:t>These q</w:t>
      </w:r>
      <w:r w:rsidR="00DF001D" w:rsidRPr="00724CA2">
        <w:rPr>
          <w:rFonts w:ascii="Times New Roman" w:hAnsi="Times New Roman" w:cs="Times New Roman"/>
          <w:color w:val="000000" w:themeColor="text1"/>
          <w:sz w:val="24"/>
          <w:szCs w:val="24"/>
        </w:rPr>
        <w:t xml:space="preserve">ueries </w:t>
      </w:r>
      <w:r w:rsidR="00FA7845" w:rsidRPr="00724CA2">
        <w:rPr>
          <w:rFonts w:ascii="Times New Roman" w:hAnsi="Times New Roman" w:cs="Times New Roman"/>
          <w:color w:val="000000" w:themeColor="text1"/>
          <w:sz w:val="24"/>
          <w:szCs w:val="24"/>
        </w:rPr>
        <w:t xml:space="preserve">and clarifications of ESG information </w:t>
      </w:r>
      <w:r w:rsidR="00977B7D" w:rsidRPr="00724CA2">
        <w:rPr>
          <w:rFonts w:ascii="Times New Roman" w:hAnsi="Times New Roman" w:cs="Times New Roman"/>
          <w:color w:val="000000" w:themeColor="text1"/>
          <w:sz w:val="24"/>
          <w:szCs w:val="24"/>
        </w:rPr>
        <w:t xml:space="preserve">raised </w:t>
      </w:r>
      <w:r w:rsidR="00DF001D" w:rsidRPr="00724CA2">
        <w:rPr>
          <w:rFonts w:ascii="Times New Roman" w:hAnsi="Times New Roman" w:cs="Times New Roman"/>
          <w:color w:val="000000" w:themeColor="text1"/>
          <w:sz w:val="24"/>
          <w:szCs w:val="24"/>
        </w:rPr>
        <w:t xml:space="preserve">in </w:t>
      </w:r>
      <w:r w:rsidR="00FA7845" w:rsidRPr="00724CA2">
        <w:rPr>
          <w:rFonts w:ascii="Times New Roman" w:hAnsi="Times New Roman" w:cs="Times New Roman"/>
          <w:color w:val="000000" w:themeColor="text1"/>
          <w:sz w:val="24"/>
          <w:szCs w:val="24"/>
        </w:rPr>
        <w:t xml:space="preserve">AGM </w:t>
      </w:r>
      <w:r w:rsidR="00FA7845" w:rsidRPr="00724CA2">
        <w:rPr>
          <w:rFonts w:ascii="Times New Roman" w:hAnsi="Times New Roman" w:cs="Times New Roman"/>
          <w:color w:val="000000" w:themeColor="text1"/>
          <w:sz w:val="24"/>
          <w:szCs w:val="24"/>
          <w:lang w:eastAsia="zh-CN"/>
        </w:rPr>
        <w:t>q</w:t>
      </w:r>
      <w:r w:rsidR="00DF001D" w:rsidRPr="00724CA2">
        <w:rPr>
          <w:rFonts w:ascii="Times New Roman" w:hAnsi="Times New Roman" w:cs="Times New Roman" w:hint="eastAsia"/>
          <w:color w:val="000000" w:themeColor="text1"/>
          <w:sz w:val="24"/>
          <w:szCs w:val="24"/>
          <w:lang w:eastAsia="zh-CN"/>
        </w:rPr>
        <w:t>uestion</w:t>
      </w:r>
      <w:r w:rsidR="00DF001D" w:rsidRPr="00724CA2">
        <w:rPr>
          <w:rFonts w:ascii="Times New Roman" w:hAnsi="Times New Roman" w:cs="Times New Roman"/>
          <w:color w:val="000000" w:themeColor="text1"/>
          <w:sz w:val="24"/>
          <w:szCs w:val="24"/>
        </w:rPr>
        <w:t xml:space="preserve"> </w:t>
      </w:r>
      <w:r w:rsidR="00FA7845" w:rsidRPr="00724CA2">
        <w:rPr>
          <w:rFonts w:ascii="Times New Roman" w:hAnsi="Times New Roman" w:cs="Times New Roman"/>
          <w:color w:val="000000" w:themeColor="text1"/>
          <w:sz w:val="24"/>
          <w:szCs w:val="24"/>
        </w:rPr>
        <w:t>and a</w:t>
      </w:r>
      <w:r w:rsidR="00DF001D" w:rsidRPr="00724CA2">
        <w:rPr>
          <w:rFonts w:ascii="Times New Roman" w:hAnsi="Times New Roman" w:cs="Times New Roman"/>
          <w:color w:val="000000" w:themeColor="text1"/>
          <w:sz w:val="24"/>
          <w:szCs w:val="24"/>
        </w:rPr>
        <w:t>nswer</w:t>
      </w:r>
      <w:r w:rsidR="00D015D2" w:rsidRPr="00724CA2">
        <w:rPr>
          <w:rFonts w:ascii="Times New Roman" w:hAnsi="Times New Roman" w:cs="Times New Roman"/>
          <w:color w:val="000000" w:themeColor="text1"/>
          <w:sz w:val="24"/>
          <w:szCs w:val="24"/>
        </w:rPr>
        <w:t xml:space="preserve"> </w:t>
      </w:r>
      <w:r w:rsidR="00DF001D" w:rsidRPr="00724CA2">
        <w:rPr>
          <w:rFonts w:ascii="Times New Roman" w:hAnsi="Times New Roman" w:cs="Times New Roman"/>
          <w:color w:val="000000" w:themeColor="text1"/>
          <w:sz w:val="24"/>
          <w:szCs w:val="24"/>
        </w:rPr>
        <w:t>(</w:t>
      </w:r>
      <w:r w:rsidR="00D015D2" w:rsidRPr="00724CA2">
        <w:rPr>
          <w:rFonts w:ascii="Times New Roman" w:hAnsi="Times New Roman" w:cs="Times New Roman"/>
          <w:color w:val="000000" w:themeColor="text1"/>
          <w:sz w:val="24"/>
          <w:szCs w:val="24"/>
        </w:rPr>
        <w:t>Q&amp;A</w:t>
      </w:r>
      <w:r w:rsidR="00DF001D" w:rsidRPr="00724CA2">
        <w:rPr>
          <w:rFonts w:ascii="Times New Roman" w:hAnsi="Times New Roman" w:cs="Times New Roman"/>
          <w:color w:val="000000" w:themeColor="text1"/>
          <w:sz w:val="24"/>
          <w:szCs w:val="24"/>
        </w:rPr>
        <w:t>)</w:t>
      </w:r>
      <w:r w:rsidR="00D015D2" w:rsidRPr="00724CA2">
        <w:rPr>
          <w:rFonts w:ascii="Times New Roman" w:hAnsi="Times New Roman" w:cs="Times New Roman"/>
          <w:color w:val="000000" w:themeColor="text1"/>
          <w:sz w:val="24"/>
          <w:szCs w:val="24"/>
        </w:rPr>
        <w:t xml:space="preserve"> session</w:t>
      </w:r>
      <w:r w:rsidR="00753783" w:rsidRPr="00724CA2">
        <w:rPr>
          <w:rFonts w:ascii="Times New Roman" w:hAnsi="Times New Roman" w:cs="Times New Roman"/>
          <w:color w:val="000000" w:themeColor="text1"/>
          <w:sz w:val="24"/>
          <w:szCs w:val="24"/>
        </w:rPr>
        <w:t>s</w:t>
      </w:r>
      <w:r w:rsidR="00D015D2" w:rsidRPr="00724CA2">
        <w:rPr>
          <w:rFonts w:ascii="Times New Roman" w:hAnsi="Times New Roman" w:cs="Times New Roman"/>
          <w:color w:val="000000" w:themeColor="text1"/>
          <w:sz w:val="24"/>
          <w:szCs w:val="24"/>
        </w:rPr>
        <w:t xml:space="preserve"> </w:t>
      </w:r>
      <w:r w:rsidR="0021768B" w:rsidRPr="00724CA2">
        <w:rPr>
          <w:rFonts w:ascii="Times New Roman" w:hAnsi="Times New Roman" w:cs="Times New Roman"/>
          <w:color w:val="000000" w:themeColor="text1"/>
          <w:sz w:val="24"/>
          <w:szCs w:val="24"/>
        </w:rPr>
        <w:t xml:space="preserve">record </w:t>
      </w:r>
      <w:r w:rsidR="00DB1BE3" w:rsidRPr="00724CA2">
        <w:rPr>
          <w:rFonts w:ascii="Times New Roman" w:hAnsi="Times New Roman" w:cs="Times New Roman"/>
          <w:color w:val="000000" w:themeColor="text1"/>
          <w:sz w:val="24"/>
          <w:szCs w:val="24"/>
        </w:rPr>
        <w:t xml:space="preserve">the </w:t>
      </w:r>
      <w:r w:rsidR="0021768B" w:rsidRPr="00724CA2">
        <w:rPr>
          <w:rFonts w:ascii="Times New Roman" w:hAnsi="Times New Roman" w:cs="Times New Roman"/>
          <w:color w:val="000000" w:themeColor="text1"/>
          <w:sz w:val="24"/>
          <w:szCs w:val="24"/>
        </w:rPr>
        <w:t xml:space="preserve">real-time </w:t>
      </w:r>
      <w:r w:rsidR="00DB1BE3" w:rsidRPr="00724CA2">
        <w:rPr>
          <w:rFonts w:ascii="Times New Roman" w:hAnsi="Times New Roman" w:cs="Times New Roman"/>
          <w:color w:val="000000" w:themeColor="text1"/>
          <w:sz w:val="24"/>
          <w:szCs w:val="24"/>
        </w:rPr>
        <w:t>interaction between investors and managers</w:t>
      </w:r>
      <w:r w:rsidR="00062C6F" w:rsidRPr="00724CA2">
        <w:rPr>
          <w:rFonts w:ascii="Times New Roman" w:hAnsi="Times New Roman" w:cs="Times New Roman"/>
          <w:color w:val="000000" w:themeColor="text1"/>
          <w:sz w:val="24"/>
          <w:szCs w:val="24"/>
        </w:rPr>
        <w:t xml:space="preserve">, </w:t>
      </w:r>
      <w:r w:rsidR="00D015D2" w:rsidRPr="00724CA2">
        <w:rPr>
          <w:rFonts w:ascii="Times New Roman" w:hAnsi="Times New Roman" w:cs="Times New Roman"/>
          <w:color w:val="000000" w:themeColor="text1"/>
          <w:sz w:val="24"/>
          <w:szCs w:val="24"/>
        </w:rPr>
        <w:t xml:space="preserve">important </w:t>
      </w:r>
      <w:r w:rsidR="007A45F3" w:rsidRPr="00724CA2">
        <w:rPr>
          <w:rFonts w:ascii="Times New Roman" w:hAnsi="Times New Roman" w:cs="Times New Roman"/>
          <w:color w:val="000000" w:themeColor="text1"/>
          <w:sz w:val="24"/>
          <w:szCs w:val="24"/>
        </w:rPr>
        <w:t xml:space="preserve">for </w:t>
      </w:r>
      <w:r w:rsidR="00D015D2" w:rsidRPr="00724CA2">
        <w:rPr>
          <w:rFonts w:ascii="Times New Roman" w:hAnsi="Times New Roman" w:cs="Times New Roman"/>
          <w:color w:val="000000" w:themeColor="text1"/>
          <w:sz w:val="24"/>
          <w:szCs w:val="24"/>
        </w:rPr>
        <w:t>fast-paced markets where timely and accurate information is highly valued</w:t>
      </w:r>
      <w:r w:rsidR="00F26424" w:rsidRPr="00724CA2">
        <w:rPr>
          <w:rFonts w:ascii="Times New Roman" w:hAnsi="Times New Roman" w:cs="Times New Roman"/>
          <w:color w:val="000000" w:themeColor="text1"/>
          <w:sz w:val="24"/>
          <w:szCs w:val="24"/>
        </w:rPr>
        <w:t xml:space="preserve"> (</w:t>
      </w:r>
      <w:r w:rsidR="0050683B" w:rsidRPr="00724CA2">
        <w:rPr>
          <w:rFonts w:ascii="Times New Roman" w:hAnsi="Times New Roman" w:cs="Times New Roman"/>
          <w:color w:val="000000" w:themeColor="text1"/>
          <w:sz w:val="24"/>
          <w:szCs w:val="24"/>
        </w:rPr>
        <w:t>Chen et al., 2018</w:t>
      </w:r>
      <w:r w:rsidR="00F26424" w:rsidRPr="00724CA2">
        <w:rPr>
          <w:rFonts w:ascii="Times New Roman" w:hAnsi="Times New Roman" w:cs="Times New Roman"/>
          <w:color w:val="000000" w:themeColor="text1"/>
          <w:sz w:val="24"/>
          <w:szCs w:val="24"/>
        </w:rPr>
        <w:t>)</w:t>
      </w:r>
      <w:r w:rsidR="00F713B7" w:rsidRPr="00724CA2">
        <w:rPr>
          <w:rFonts w:ascii="Times New Roman" w:hAnsi="Times New Roman" w:cs="Times New Roman"/>
          <w:color w:val="000000" w:themeColor="text1"/>
          <w:sz w:val="24"/>
          <w:szCs w:val="24"/>
        </w:rPr>
        <w:t xml:space="preserve">. </w:t>
      </w:r>
      <w:r w:rsidRPr="00724CA2">
        <w:rPr>
          <w:rFonts w:ascii="Times New Roman" w:hAnsi="Times New Roman" w:cs="Times New Roman"/>
          <w:color w:val="000000" w:themeColor="text1"/>
          <w:sz w:val="24"/>
          <w:szCs w:val="24"/>
        </w:rPr>
        <w:t xml:space="preserve">While only </w:t>
      </w:r>
      <w:r w:rsidR="007A45F3" w:rsidRPr="00724CA2">
        <w:rPr>
          <w:rFonts w:ascii="Times New Roman" w:hAnsi="Times New Roman" w:cs="Times New Roman"/>
          <w:color w:val="000000" w:themeColor="text1"/>
          <w:sz w:val="24"/>
          <w:szCs w:val="24"/>
        </w:rPr>
        <w:t xml:space="preserve">a </w:t>
      </w:r>
      <w:r w:rsidRPr="00724CA2">
        <w:rPr>
          <w:rFonts w:ascii="Times New Roman" w:hAnsi="Times New Roman" w:cs="Times New Roman"/>
          <w:color w:val="000000" w:themeColor="text1"/>
          <w:sz w:val="24"/>
          <w:szCs w:val="24"/>
        </w:rPr>
        <w:t xml:space="preserve">quarter of </w:t>
      </w:r>
      <w:r w:rsidR="007A45F3" w:rsidRPr="00724CA2">
        <w:rPr>
          <w:rFonts w:ascii="Times New Roman" w:hAnsi="Times New Roman" w:cs="Times New Roman"/>
          <w:color w:val="000000" w:themeColor="text1"/>
          <w:sz w:val="24"/>
          <w:szCs w:val="24"/>
        </w:rPr>
        <w:t xml:space="preserve">these </w:t>
      </w:r>
      <w:r w:rsidR="00364C6E" w:rsidRPr="00724CA2">
        <w:rPr>
          <w:rFonts w:ascii="Times New Roman" w:hAnsi="Times New Roman" w:cs="Times New Roman"/>
          <w:color w:val="000000" w:themeColor="text1"/>
          <w:sz w:val="24"/>
          <w:szCs w:val="24"/>
        </w:rPr>
        <w:t xml:space="preserve">questions </w:t>
      </w:r>
      <w:r w:rsidRPr="00724CA2">
        <w:rPr>
          <w:rFonts w:ascii="Times New Roman" w:hAnsi="Times New Roman" w:cs="Times New Roman"/>
          <w:color w:val="000000" w:themeColor="text1"/>
          <w:sz w:val="24"/>
          <w:szCs w:val="24"/>
        </w:rPr>
        <w:t>were successful</w:t>
      </w:r>
      <w:r w:rsidR="00F26424" w:rsidRPr="00724CA2">
        <w:rPr>
          <w:rFonts w:ascii="Times New Roman" w:hAnsi="Times New Roman" w:cs="Times New Roman"/>
          <w:color w:val="000000" w:themeColor="text1"/>
          <w:sz w:val="24"/>
          <w:szCs w:val="24"/>
        </w:rPr>
        <w:t xml:space="preserve"> and comprehensively addressed by management</w:t>
      </w:r>
      <w:r w:rsidRPr="00724CA2">
        <w:rPr>
          <w:rFonts w:ascii="Times New Roman" w:hAnsi="Times New Roman" w:cs="Times New Roman"/>
          <w:color w:val="000000" w:themeColor="text1"/>
          <w:sz w:val="24"/>
          <w:szCs w:val="24"/>
        </w:rPr>
        <w:t>, the</w:t>
      </w:r>
      <w:r w:rsidR="00364C6E" w:rsidRPr="00724CA2">
        <w:rPr>
          <w:rFonts w:ascii="Times New Roman" w:hAnsi="Times New Roman" w:cs="Times New Roman"/>
          <w:color w:val="000000" w:themeColor="text1"/>
          <w:sz w:val="24"/>
          <w:szCs w:val="24"/>
        </w:rPr>
        <w:t xml:space="preserve">y </w:t>
      </w:r>
      <w:r w:rsidR="007A45F3" w:rsidRPr="00724CA2">
        <w:rPr>
          <w:rFonts w:ascii="Times New Roman" w:hAnsi="Times New Roman" w:cs="Times New Roman"/>
          <w:color w:val="000000" w:themeColor="text1"/>
          <w:sz w:val="24"/>
          <w:szCs w:val="24"/>
        </w:rPr>
        <w:t xml:space="preserve">do </w:t>
      </w:r>
      <w:r w:rsidR="00C401D7" w:rsidRPr="00724CA2">
        <w:rPr>
          <w:rFonts w:ascii="Times New Roman" w:hAnsi="Times New Roman" w:cs="Times New Roman"/>
          <w:color w:val="000000" w:themeColor="text1"/>
          <w:sz w:val="24"/>
          <w:szCs w:val="24"/>
        </w:rPr>
        <w:t xml:space="preserve">illuminate </w:t>
      </w:r>
      <w:r w:rsidRPr="00724CA2">
        <w:rPr>
          <w:rFonts w:ascii="Times New Roman" w:hAnsi="Times New Roman" w:cs="Times New Roman"/>
          <w:color w:val="000000" w:themeColor="text1"/>
          <w:sz w:val="24"/>
          <w:szCs w:val="24"/>
        </w:rPr>
        <w:t xml:space="preserve">how investors attempt to </w:t>
      </w:r>
      <w:r w:rsidR="009305AC" w:rsidRPr="00724CA2">
        <w:rPr>
          <w:rFonts w:ascii="Times New Roman" w:hAnsi="Times New Roman" w:cs="Times New Roman"/>
          <w:color w:val="000000" w:themeColor="text1"/>
          <w:sz w:val="24"/>
          <w:szCs w:val="24"/>
        </w:rPr>
        <w:t>instil</w:t>
      </w:r>
      <w:r w:rsidRPr="00724CA2">
        <w:rPr>
          <w:rFonts w:ascii="Times New Roman" w:hAnsi="Times New Roman" w:cs="Times New Roman"/>
          <w:color w:val="000000" w:themeColor="text1"/>
          <w:sz w:val="24"/>
          <w:szCs w:val="24"/>
        </w:rPr>
        <w:t xml:space="preserve"> </w:t>
      </w:r>
      <w:r w:rsidR="00EF2663" w:rsidRPr="00724CA2">
        <w:rPr>
          <w:rFonts w:ascii="Times New Roman" w:hAnsi="Times New Roman" w:cs="Times New Roman"/>
          <w:color w:val="000000" w:themeColor="text1"/>
          <w:sz w:val="24"/>
          <w:szCs w:val="24"/>
        </w:rPr>
        <w:t xml:space="preserve">environmental </w:t>
      </w:r>
      <w:r w:rsidR="007733FA" w:rsidRPr="00724CA2">
        <w:rPr>
          <w:rFonts w:ascii="Times New Roman" w:hAnsi="Times New Roman" w:cs="Times New Roman"/>
          <w:color w:val="000000" w:themeColor="text1"/>
          <w:sz w:val="24"/>
          <w:szCs w:val="24"/>
        </w:rPr>
        <w:t>awareness</w:t>
      </w:r>
      <w:r w:rsidR="00EF2663" w:rsidRPr="00724CA2">
        <w:rPr>
          <w:rFonts w:ascii="Times New Roman" w:hAnsi="Times New Roman" w:cs="Times New Roman"/>
          <w:color w:val="000000" w:themeColor="text1"/>
          <w:sz w:val="24"/>
          <w:szCs w:val="24"/>
        </w:rPr>
        <w:t xml:space="preserve"> (Cahan et al., 2017)</w:t>
      </w:r>
      <w:r w:rsidRPr="00724CA2">
        <w:rPr>
          <w:rFonts w:ascii="Times New Roman" w:hAnsi="Times New Roman" w:cs="Times New Roman"/>
          <w:color w:val="000000" w:themeColor="text1"/>
          <w:sz w:val="24"/>
          <w:szCs w:val="24"/>
        </w:rPr>
        <w:t xml:space="preserve">. </w:t>
      </w:r>
    </w:p>
    <w:p w14:paraId="1FA32434" w14:textId="3075848B" w:rsidR="002C7270" w:rsidRPr="00724CA2" w:rsidRDefault="00833E67" w:rsidP="00771518">
      <w:pPr>
        <w:autoSpaceDE w:val="0"/>
        <w:autoSpaceDN w:val="0"/>
        <w:adjustRightInd w:val="0"/>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W</w:t>
      </w:r>
      <w:r w:rsidR="002C7270" w:rsidRPr="00724CA2">
        <w:rPr>
          <w:rFonts w:ascii="Times New Roman" w:hAnsi="Times New Roman" w:cs="Times New Roman"/>
          <w:color w:val="000000" w:themeColor="text1"/>
          <w:sz w:val="24"/>
          <w:szCs w:val="24"/>
        </w:rPr>
        <w:t xml:space="preserve">e </w:t>
      </w:r>
      <w:r w:rsidR="00425A9D" w:rsidRPr="00724CA2">
        <w:rPr>
          <w:rFonts w:ascii="Times New Roman" w:hAnsi="Times New Roman" w:cs="Times New Roman"/>
          <w:color w:val="000000" w:themeColor="text1"/>
          <w:sz w:val="24"/>
          <w:szCs w:val="24"/>
        </w:rPr>
        <w:t xml:space="preserve">also </w:t>
      </w:r>
      <w:r w:rsidR="002C7270" w:rsidRPr="00724CA2">
        <w:rPr>
          <w:rFonts w:ascii="Times New Roman" w:hAnsi="Times New Roman" w:cs="Times New Roman"/>
          <w:color w:val="000000" w:themeColor="text1"/>
          <w:sz w:val="24"/>
          <w:szCs w:val="24"/>
        </w:rPr>
        <w:t xml:space="preserve">examine </w:t>
      </w:r>
      <w:r w:rsidR="00B93C1A" w:rsidRPr="00724CA2">
        <w:rPr>
          <w:rFonts w:ascii="Times New Roman" w:hAnsi="Times New Roman" w:cs="Times New Roman"/>
          <w:color w:val="000000" w:themeColor="text1"/>
          <w:sz w:val="24"/>
          <w:szCs w:val="24"/>
        </w:rPr>
        <w:t xml:space="preserve">the </w:t>
      </w:r>
      <w:r w:rsidR="002C7270" w:rsidRPr="00724CA2">
        <w:rPr>
          <w:rFonts w:ascii="Times New Roman" w:hAnsi="Times New Roman" w:cs="Times New Roman"/>
          <w:color w:val="000000" w:themeColor="text1"/>
          <w:sz w:val="24"/>
          <w:szCs w:val="24"/>
        </w:rPr>
        <w:t xml:space="preserve">environmentally orientated qualifications and experience held by the firms’ directors. We propose a ‘green’ board </w:t>
      </w:r>
      <w:r w:rsidR="00DF06F7" w:rsidRPr="00724CA2">
        <w:rPr>
          <w:rFonts w:ascii="Times New Roman" w:hAnsi="Times New Roman" w:cs="Times New Roman"/>
          <w:color w:val="000000" w:themeColor="text1"/>
          <w:sz w:val="24"/>
          <w:szCs w:val="24"/>
        </w:rPr>
        <w:t xml:space="preserve">exists </w:t>
      </w:r>
      <w:r w:rsidR="002C7270" w:rsidRPr="00724CA2">
        <w:rPr>
          <w:rFonts w:ascii="Times New Roman" w:hAnsi="Times New Roman" w:cs="Times New Roman"/>
          <w:color w:val="000000" w:themeColor="text1"/>
          <w:sz w:val="24"/>
          <w:szCs w:val="24"/>
        </w:rPr>
        <w:t>whe</w:t>
      </w:r>
      <w:r w:rsidR="00DF06F7" w:rsidRPr="00724CA2">
        <w:rPr>
          <w:rFonts w:ascii="Times New Roman" w:hAnsi="Times New Roman" w:cs="Times New Roman"/>
          <w:color w:val="000000" w:themeColor="text1"/>
          <w:sz w:val="24"/>
          <w:szCs w:val="24"/>
        </w:rPr>
        <w:t>n</w:t>
      </w:r>
      <w:r w:rsidR="002C7270" w:rsidRPr="00724CA2">
        <w:rPr>
          <w:rFonts w:ascii="Times New Roman" w:hAnsi="Times New Roman" w:cs="Times New Roman"/>
          <w:color w:val="000000" w:themeColor="text1"/>
          <w:sz w:val="24"/>
          <w:szCs w:val="24"/>
        </w:rPr>
        <w:t xml:space="preserve"> board members have ‘green’ working experience and qualifications</w:t>
      </w:r>
      <w:r w:rsidR="0014220E" w:rsidRPr="00724CA2">
        <w:rPr>
          <w:rFonts w:ascii="Times New Roman" w:hAnsi="Times New Roman" w:cs="Times New Roman"/>
          <w:color w:val="000000" w:themeColor="text1"/>
          <w:sz w:val="24"/>
          <w:szCs w:val="24"/>
        </w:rPr>
        <w:t xml:space="preserve">. </w:t>
      </w:r>
      <w:r w:rsidR="00072371" w:rsidRPr="00724CA2">
        <w:rPr>
          <w:rFonts w:ascii="Times New Roman" w:hAnsi="Times New Roman" w:cs="Times New Roman"/>
          <w:color w:val="000000" w:themeColor="text1"/>
          <w:sz w:val="24"/>
          <w:szCs w:val="24"/>
        </w:rPr>
        <w:t xml:space="preserve">The </w:t>
      </w:r>
      <w:r w:rsidR="0068321F" w:rsidRPr="00724CA2">
        <w:rPr>
          <w:rFonts w:ascii="Times New Roman" w:hAnsi="Times New Roman" w:cs="Times New Roman"/>
          <w:color w:val="000000" w:themeColor="text1"/>
          <w:sz w:val="24"/>
          <w:szCs w:val="24"/>
        </w:rPr>
        <w:t>education</w:t>
      </w:r>
      <w:r w:rsidR="00FA5DD6" w:rsidRPr="00724CA2">
        <w:rPr>
          <w:rFonts w:ascii="Times New Roman" w:hAnsi="Times New Roman" w:cs="Times New Roman"/>
          <w:color w:val="000000" w:themeColor="text1"/>
          <w:sz w:val="24"/>
          <w:szCs w:val="24"/>
        </w:rPr>
        <w:t>al</w:t>
      </w:r>
      <w:r w:rsidR="0068321F" w:rsidRPr="00724CA2">
        <w:rPr>
          <w:rFonts w:ascii="Times New Roman" w:hAnsi="Times New Roman" w:cs="Times New Roman"/>
          <w:color w:val="000000" w:themeColor="text1"/>
          <w:sz w:val="24"/>
          <w:szCs w:val="24"/>
        </w:rPr>
        <w:t xml:space="preserve"> and working background </w:t>
      </w:r>
      <w:r w:rsidR="00072371" w:rsidRPr="00724CA2">
        <w:rPr>
          <w:rFonts w:ascii="Times New Roman" w:hAnsi="Times New Roman" w:cs="Times New Roman"/>
          <w:color w:val="000000" w:themeColor="text1"/>
          <w:sz w:val="24"/>
          <w:szCs w:val="24"/>
        </w:rPr>
        <w:t xml:space="preserve">of directors is </w:t>
      </w:r>
      <w:r w:rsidR="00FA5DD6" w:rsidRPr="00724CA2">
        <w:rPr>
          <w:rFonts w:ascii="Times New Roman" w:hAnsi="Times New Roman" w:cs="Times New Roman"/>
          <w:color w:val="000000" w:themeColor="text1"/>
          <w:sz w:val="24"/>
          <w:szCs w:val="24"/>
        </w:rPr>
        <w:t>expected to</w:t>
      </w:r>
      <w:r w:rsidR="0068321F" w:rsidRPr="00724CA2">
        <w:rPr>
          <w:rFonts w:ascii="Times New Roman" w:hAnsi="Times New Roman" w:cs="Times New Roman"/>
          <w:color w:val="000000" w:themeColor="text1"/>
          <w:sz w:val="24"/>
          <w:szCs w:val="24"/>
        </w:rPr>
        <w:t xml:space="preserve"> instil a</w:t>
      </w:r>
      <w:r w:rsidR="00072371" w:rsidRPr="00724CA2">
        <w:rPr>
          <w:rFonts w:ascii="Times New Roman" w:hAnsi="Times New Roman" w:cs="Times New Roman"/>
          <w:color w:val="000000" w:themeColor="text1"/>
          <w:sz w:val="24"/>
          <w:szCs w:val="24"/>
        </w:rPr>
        <w:t xml:space="preserve">n </w:t>
      </w:r>
      <w:r w:rsidR="0068321F" w:rsidRPr="00724CA2">
        <w:rPr>
          <w:rFonts w:ascii="Times New Roman" w:hAnsi="Times New Roman" w:cs="Times New Roman"/>
          <w:color w:val="000000" w:themeColor="text1"/>
          <w:sz w:val="24"/>
          <w:szCs w:val="24"/>
        </w:rPr>
        <w:t>awareness of environmental and social issues</w:t>
      </w:r>
      <w:r w:rsidR="00B82C21" w:rsidRPr="00724CA2">
        <w:rPr>
          <w:rFonts w:ascii="Times New Roman" w:hAnsi="Times New Roman" w:cs="Times New Roman"/>
          <w:color w:val="000000" w:themeColor="text1"/>
          <w:sz w:val="24"/>
          <w:szCs w:val="24"/>
        </w:rPr>
        <w:t>,</w:t>
      </w:r>
      <w:r w:rsidR="0068321F" w:rsidRPr="00724CA2">
        <w:rPr>
          <w:rFonts w:ascii="Times New Roman" w:hAnsi="Times New Roman" w:cs="Times New Roman"/>
          <w:color w:val="000000" w:themeColor="text1"/>
          <w:sz w:val="24"/>
          <w:szCs w:val="24"/>
        </w:rPr>
        <w:t xml:space="preserve"> </w:t>
      </w:r>
      <w:r w:rsidR="0068589B" w:rsidRPr="00724CA2">
        <w:rPr>
          <w:rFonts w:ascii="Times New Roman" w:hAnsi="Times New Roman" w:cs="Times New Roman"/>
          <w:color w:val="000000" w:themeColor="text1"/>
          <w:sz w:val="24"/>
          <w:szCs w:val="24"/>
        </w:rPr>
        <w:t xml:space="preserve">encourage </w:t>
      </w:r>
      <w:r w:rsidR="00F9740F" w:rsidRPr="00724CA2">
        <w:rPr>
          <w:rFonts w:ascii="Times New Roman" w:hAnsi="Times New Roman" w:cs="Times New Roman"/>
          <w:color w:val="000000" w:themeColor="text1"/>
          <w:sz w:val="24"/>
          <w:szCs w:val="24"/>
        </w:rPr>
        <w:t>board members</w:t>
      </w:r>
      <w:r w:rsidR="0068321F" w:rsidRPr="00724CA2">
        <w:rPr>
          <w:rFonts w:ascii="Times New Roman" w:hAnsi="Times New Roman" w:cs="Times New Roman"/>
          <w:color w:val="000000" w:themeColor="text1"/>
          <w:sz w:val="24"/>
          <w:szCs w:val="24"/>
        </w:rPr>
        <w:t xml:space="preserve"> to prioritize green initiatives</w:t>
      </w:r>
      <w:r w:rsidR="00B82C21" w:rsidRPr="00724CA2">
        <w:rPr>
          <w:rFonts w:ascii="Times New Roman" w:hAnsi="Times New Roman" w:cs="Times New Roman"/>
          <w:color w:val="000000" w:themeColor="text1"/>
          <w:sz w:val="24"/>
          <w:szCs w:val="24"/>
        </w:rPr>
        <w:t xml:space="preserve"> and sympathetically influence corporate environmental policies (Li et al., 2021).</w:t>
      </w:r>
      <w:r w:rsidR="0068321F" w:rsidRPr="00724CA2">
        <w:rPr>
          <w:rFonts w:ascii="Times New Roman" w:hAnsi="Times New Roman" w:cs="Times New Roman"/>
          <w:color w:val="000000" w:themeColor="text1"/>
          <w:sz w:val="24"/>
          <w:szCs w:val="24"/>
        </w:rPr>
        <w:t xml:space="preserve"> </w:t>
      </w:r>
      <w:r w:rsidR="0068589B" w:rsidRPr="00724CA2">
        <w:rPr>
          <w:rFonts w:ascii="Times New Roman" w:hAnsi="Times New Roman" w:cs="Times New Roman"/>
          <w:color w:val="000000" w:themeColor="text1"/>
          <w:sz w:val="24"/>
          <w:szCs w:val="24"/>
        </w:rPr>
        <w:t xml:space="preserve">For </w:t>
      </w:r>
      <w:r w:rsidR="007F6D59" w:rsidRPr="00724CA2">
        <w:rPr>
          <w:rFonts w:ascii="Times New Roman" w:hAnsi="Times New Roman" w:cs="Times New Roman"/>
          <w:color w:val="000000" w:themeColor="text1"/>
          <w:sz w:val="24"/>
          <w:szCs w:val="24"/>
        </w:rPr>
        <w:t xml:space="preserve">firms with </w:t>
      </w:r>
      <w:r w:rsidR="0068589B" w:rsidRPr="00724CA2">
        <w:rPr>
          <w:rFonts w:ascii="Times New Roman" w:hAnsi="Times New Roman" w:cs="Times New Roman"/>
          <w:color w:val="000000" w:themeColor="text1"/>
          <w:sz w:val="24"/>
          <w:szCs w:val="24"/>
        </w:rPr>
        <w:t xml:space="preserve">higher levels of </w:t>
      </w:r>
      <w:r w:rsidR="007F6D59" w:rsidRPr="00724CA2">
        <w:rPr>
          <w:rFonts w:ascii="Times New Roman" w:hAnsi="Times New Roman" w:cs="Times New Roman"/>
          <w:color w:val="000000" w:themeColor="text1"/>
          <w:sz w:val="24"/>
          <w:szCs w:val="24"/>
        </w:rPr>
        <w:t xml:space="preserve">mutual fund ownership, </w:t>
      </w:r>
      <w:r w:rsidR="002D3FF3" w:rsidRPr="00724CA2">
        <w:rPr>
          <w:rFonts w:ascii="Times New Roman" w:hAnsi="Times New Roman" w:cs="Times New Roman"/>
          <w:color w:val="000000" w:themeColor="text1"/>
          <w:sz w:val="24"/>
          <w:szCs w:val="24"/>
        </w:rPr>
        <w:t xml:space="preserve">these </w:t>
      </w:r>
      <w:r w:rsidR="00B03475" w:rsidRPr="00724CA2">
        <w:rPr>
          <w:rFonts w:ascii="Times New Roman" w:hAnsi="Times New Roman" w:cs="Times New Roman"/>
          <w:color w:val="000000" w:themeColor="text1"/>
          <w:sz w:val="24"/>
          <w:szCs w:val="24"/>
        </w:rPr>
        <w:t xml:space="preserve">directors </w:t>
      </w:r>
      <w:r w:rsidR="00CE3921" w:rsidRPr="00724CA2">
        <w:rPr>
          <w:rFonts w:ascii="Times New Roman" w:hAnsi="Times New Roman" w:cs="Times New Roman"/>
          <w:color w:val="000000" w:themeColor="text1"/>
          <w:sz w:val="24"/>
          <w:szCs w:val="24"/>
        </w:rPr>
        <w:t xml:space="preserve">are </w:t>
      </w:r>
      <w:r w:rsidR="00B03475" w:rsidRPr="00724CA2">
        <w:rPr>
          <w:rFonts w:ascii="Times New Roman" w:hAnsi="Times New Roman" w:cs="Times New Roman"/>
          <w:color w:val="000000" w:themeColor="text1"/>
          <w:sz w:val="24"/>
          <w:szCs w:val="24"/>
        </w:rPr>
        <w:t xml:space="preserve">expected </w:t>
      </w:r>
      <w:r w:rsidR="00CE3921" w:rsidRPr="00724CA2">
        <w:rPr>
          <w:rFonts w:ascii="Times New Roman" w:hAnsi="Times New Roman" w:cs="Times New Roman"/>
          <w:color w:val="000000" w:themeColor="text1"/>
          <w:sz w:val="24"/>
          <w:szCs w:val="24"/>
        </w:rPr>
        <w:t xml:space="preserve">to </w:t>
      </w:r>
      <w:r w:rsidR="001D508E" w:rsidRPr="00724CA2">
        <w:rPr>
          <w:rFonts w:ascii="Times New Roman" w:hAnsi="Times New Roman" w:cs="Times New Roman"/>
          <w:color w:val="000000" w:themeColor="text1"/>
          <w:sz w:val="24"/>
          <w:szCs w:val="24"/>
        </w:rPr>
        <w:t xml:space="preserve">develop </w:t>
      </w:r>
      <w:r w:rsidR="00A968CE" w:rsidRPr="00724CA2">
        <w:rPr>
          <w:rFonts w:ascii="Times New Roman" w:hAnsi="Times New Roman" w:cs="Times New Roman"/>
          <w:color w:val="000000" w:themeColor="text1"/>
          <w:sz w:val="24"/>
          <w:szCs w:val="24"/>
        </w:rPr>
        <w:t xml:space="preserve">sustainable </w:t>
      </w:r>
      <w:r w:rsidR="001D508E" w:rsidRPr="00724CA2">
        <w:rPr>
          <w:rFonts w:ascii="Times New Roman" w:hAnsi="Times New Roman" w:cs="Times New Roman"/>
          <w:color w:val="000000" w:themeColor="text1"/>
          <w:sz w:val="24"/>
          <w:szCs w:val="24"/>
        </w:rPr>
        <w:t>values</w:t>
      </w:r>
      <w:r w:rsidR="00794B74" w:rsidRPr="00724CA2">
        <w:rPr>
          <w:rFonts w:ascii="Times New Roman" w:hAnsi="Times New Roman" w:cs="Times New Roman"/>
          <w:color w:val="000000" w:themeColor="text1"/>
          <w:sz w:val="24"/>
          <w:szCs w:val="24"/>
        </w:rPr>
        <w:t xml:space="preserve">, </w:t>
      </w:r>
      <w:r w:rsidR="00A968CE" w:rsidRPr="00724CA2">
        <w:rPr>
          <w:rFonts w:ascii="Times New Roman" w:hAnsi="Times New Roman" w:cs="Times New Roman"/>
          <w:color w:val="000000" w:themeColor="text1"/>
          <w:sz w:val="24"/>
          <w:szCs w:val="24"/>
        </w:rPr>
        <w:t xml:space="preserve">to </w:t>
      </w:r>
      <w:r w:rsidR="001D508E" w:rsidRPr="00724CA2">
        <w:rPr>
          <w:rFonts w:ascii="Times New Roman" w:hAnsi="Times New Roman" w:cs="Times New Roman"/>
          <w:color w:val="000000" w:themeColor="text1"/>
          <w:sz w:val="24"/>
          <w:szCs w:val="24"/>
        </w:rPr>
        <w:t xml:space="preserve">prioritize </w:t>
      </w:r>
      <w:r w:rsidR="00956ECE" w:rsidRPr="00724CA2">
        <w:rPr>
          <w:rFonts w:ascii="Times New Roman" w:hAnsi="Times New Roman" w:cs="Times New Roman"/>
          <w:color w:val="000000" w:themeColor="text1"/>
          <w:sz w:val="24"/>
          <w:szCs w:val="24"/>
        </w:rPr>
        <w:t>sustainability</w:t>
      </w:r>
      <w:r w:rsidR="00A85FFD">
        <w:rPr>
          <w:rFonts w:ascii="Times New Roman" w:hAnsi="Times New Roman" w:cs="Times New Roman"/>
          <w:color w:val="000000" w:themeColor="text1"/>
          <w:sz w:val="24"/>
          <w:szCs w:val="24"/>
        </w:rPr>
        <w:t>,</w:t>
      </w:r>
      <w:r w:rsidR="001D508E" w:rsidRPr="00724CA2">
        <w:rPr>
          <w:rFonts w:ascii="Times New Roman" w:hAnsi="Times New Roman" w:cs="Times New Roman"/>
          <w:color w:val="000000" w:themeColor="text1"/>
          <w:sz w:val="24"/>
          <w:szCs w:val="24"/>
        </w:rPr>
        <w:t xml:space="preserve"> </w:t>
      </w:r>
      <w:r w:rsidR="00794B74" w:rsidRPr="00724CA2">
        <w:rPr>
          <w:rFonts w:ascii="Times New Roman" w:hAnsi="Times New Roman" w:cs="Times New Roman"/>
          <w:color w:val="000000" w:themeColor="text1"/>
          <w:sz w:val="24"/>
          <w:szCs w:val="24"/>
        </w:rPr>
        <w:t xml:space="preserve">and </w:t>
      </w:r>
      <w:r w:rsidR="001D508E" w:rsidRPr="00724CA2">
        <w:rPr>
          <w:rFonts w:ascii="Times New Roman" w:hAnsi="Times New Roman" w:cs="Times New Roman"/>
          <w:color w:val="000000" w:themeColor="text1"/>
          <w:sz w:val="24"/>
          <w:szCs w:val="24"/>
        </w:rPr>
        <w:t xml:space="preserve">align </w:t>
      </w:r>
      <w:r w:rsidR="00794B74" w:rsidRPr="00724CA2">
        <w:rPr>
          <w:rFonts w:ascii="Times New Roman" w:hAnsi="Times New Roman" w:cs="Times New Roman"/>
          <w:color w:val="000000" w:themeColor="text1"/>
          <w:sz w:val="24"/>
          <w:szCs w:val="24"/>
        </w:rPr>
        <w:t xml:space="preserve">their </w:t>
      </w:r>
      <w:r w:rsidR="001D508E" w:rsidRPr="00724CA2">
        <w:rPr>
          <w:rFonts w:ascii="Times New Roman" w:hAnsi="Times New Roman" w:cs="Times New Roman"/>
          <w:color w:val="000000" w:themeColor="text1"/>
          <w:sz w:val="24"/>
          <w:szCs w:val="24"/>
        </w:rPr>
        <w:t xml:space="preserve">business practices with </w:t>
      </w:r>
      <w:r w:rsidR="00CE3921" w:rsidRPr="00724CA2">
        <w:rPr>
          <w:rFonts w:ascii="Times New Roman" w:hAnsi="Times New Roman" w:cs="Times New Roman"/>
          <w:color w:val="000000" w:themeColor="text1"/>
          <w:sz w:val="24"/>
          <w:szCs w:val="24"/>
        </w:rPr>
        <w:t>institutional investment</w:t>
      </w:r>
      <w:r w:rsidR="001D508E" w:rsidRPr="00724CA2">
        <w:rPr>
          <w:rFonts w:ascii="Times New Roman" w:hAnsi="Times New Roman" w:cs="Times New Roman"/>
          <w:color w:val="000000" w:themeColor="text1"/>
          <w:sz w:val="24"/>
          <w:szCs w:val="24"/>
        </w:rPr>
        <w:t xml:space="preserve"> principles.</w:t>
      </w:r>
      <w:r w:rsidR="007F6D59" w:rsidRPr="00724CA2">
        <w:rPr>
          <w:rFonts w:ascii="Times New Roman" w:hAnsi="Times New Roman" w:cs="Times New Roman"/>
          <w:color w:val="000000" w:themeColor="text1"/>
          <w:sz w:val="24"/>
          <w:szCs w:val="24"/>
        </w:rPr>
        <w:t xml:space="preserve"> </w:t>
      </w:r>
      <w:r w:rsidR="00881A14" w:rsidRPr="00724CA2">
        <w:rPr>
          <w:rFonts w:ascii="Times New Roman" w:hAnsi="Times New Roman" w:cs="Times New Roman"/>
          <w:color w:val="000000" w:themeColor="text1"/>
          <w:sz w:val="24"/>
          <w:szCs w:val="24"/>
        </w:rPr>
        <w:t>Subsequently, i</w:t>
      </w:r>
      <w:r w:rsidR="002C7270" w:rsidRPr="00724CA2">
        <w:rPr>
          <w:rFonts w:ascii="Times New Roman" w:hAnsi="Times New Roman" w:cs="Times New Roman"/>
          <w:color w:val="000000" w:themeColor="text1"/>
          <w:sz w:val="24"/>
          <w:szCs w:val="24"/>
        </w:rPr>
        <w:t xml:space="preserve">t is expected that mutual </w:t>
      </w:r>
      <w:r w:rsidR="002C7270" w:rsidRPr="00724CA2">
        <w:rPr>
          <w:rFonts w:ascii="Times New Roman" w:hAnsi="Times New Roman" w:cs="Times New Roman"/>
          <w:color w:val="000000" w:themeColor="text1"/>
          <w:sz w:val="24"/>
          <w:szCs w:val="24"/>
        </w:rPr>
        <w:lastRenderedPageBreak/>
        <w:t xml:space="preserve">funds </w:t>
      </w:r>
      <w:r w:rsidR="000D5F17" w:rsidRPr="00724CA2">
        <w:rPr>
          <w:rFonts w:ascii="Times New Roman" w:hAnsi="Times New Roman" w:cs="Times New Roman"/>
          <w:color w:val="000000" w:themeColor="text1"/>
          <w:sz w:val="24"/>
          <w:szCs w:val="24"/>
        </w:rPr>
        <w:t xml:space="preserve">will </w:t>
      </w:r>
      <w:r w:rsidR="00037894" w:rsidRPr="00724CA2">
        <w:rPr>
          <w:rFonts w:ascii="Times New Roman" w:hAnsi="Times New Roman" w:cs="Times New Roman"/>
          <w:color w:val="000000" w:themeColor="text1"/>
          <w:sz w:val="24"/>
          <w:szCs w:val="24"/>
        </w:rPr>
        <w:t>encourage</w:t>
      </w:r>
      <w:r w:rsidR="000D5F17" w:rsidRPr="00724CA2">
        <w:rPr>
          <w:rFonts w:ascii="Times New Roman" w:hAnsi="Times New Roman" w:cs="Times New Roman"/>
          <w:color w:val="000000" w:themeColor="text1"/>
          <w:sz w:val="24"/>
          <w:szCs w:val="24"/>
        </w:rPr>
        <w:t xml:space="preserve"> </w:t>
      </w:r>
      <w:r w:rsidR="002C7270" w:rsidRPr="00724CA2">
        <w:rPr>
          <w:rFonts w:ascii="Times New Roman" w:hAnsi="Times New Roman" w:cs="Times New Roman"/>
          <w:color w:val="000000" w:themeColor="text1"/>
          <w:sz w:val="24"/>
          <w:szCs w:val="24"/>
        </w:rPr>
        <w:t xml:space="preserve">firms to appoint board members with </w:t>
      </w:r>
      <w:r w:rsidR="00D46EEC" w:rsidRPr="00724CA2">
        <w:rPr>
          <w:rFonts w:ascii="Times New Roman" w:hAnsi="Times New Roman" w:cs="Times New Roman"/>
          <w:color w:val="000000" w:themeColor="text1"/>
          <w:sz w:val="24"/>
          <w:szCs w:val="24"/>
        </w:rPr>
        <w:t>environmentally orientated</w:t>
      </w:r>
      <w:r w:rsidR="002C7270" w:rsidRPr="00724CA2">
        <w:rPr>
          <w:rFonts w:ascii="Times New Roman" w:hAnsi="Times New Roman" w:cs="Times New Roman"/>
          <w:color w:val="000000" w:themeColor="text1"/>
          <w:sz w:val="24"/>
          <w:szCs w:val="24"/>
        </w:rPr>
        <w:t xml:space="preserve"> academic degrees or working experience to address environmental</w:t>
      </w:r>
      <w:r w:rsidR="005705F7" w:rsidRPr="00724CA2">
        <w:rPr>
          <w:rFonts w:ascii="Times New Roman" w:hAnsi="Times New Roman" w:cs="Times New Roman"/>
          <w:color w:val="000000" w:themeColor="text1"/>
          <w:sz w:val="24"/>
          <w:szCs w:val="24"/>
        </w:rPr>
        <w:t>ly</w:t>
      </w:r>
      <w:r w:rsidR="002C7270" w:rsidRPr="00724CA2">
        <w:rPr>
          <w:rFonts w:ascii="Times New Roman" w:hAnsi="Times New Roman" w:cs="Times New Roman"/>
          <w:color w:val="000000" w:themeColor="text1"/>
          <w:sz w:val="24"/>
          <w:szCs w:val="24"/>
        </w:rPr>
        <w:t xml:space="preserve"> related issues</w:t>
      </w:r>
      <w:r w:rsidR="00FB373E" w:rsidRPr="00724CA2">
        <w:rPr>
          <w:rFonts w:ascii="Times New Roman" w:hAnsi="Times New Roman" w:cs="Times New Roman"/>
          <w:color w:val="000000" w:themeColor="text1"/>
          <w:sz w:val="24"/>
          <w:szCs w:val="24"/>
        </w:rPr>
        <w:t xml:space="preserve"> and minimize associated risks</w:t>
      </w:r>
      <w:r w:rsidR="000D73C0" w:rsidRPr="00724CA2">
        <w:rPr>
          <w:rFonts w:ascii="Times New Roman" w:hAnsi="Times New Roman" w:cs="Times New Roman"/>
          <w:color w:val="000000" w:themeColor="text1"/>
          <w:sz w:val="24"/>
          <w:szCs w:val="24"/>
        </w:rPr>
        <w:t>.</w:t>
      </w:r>
      <w:r w:rsidR="005705F7" w:rsidRPr="00724CA2">
        <w:rPr>
          <w:rFonts w:ascii="Times New Roman" w:hAnsi="Times New Roman" w:cs="Times New Roman"/>
          <w:color w:val="000000" w:themeColor="text1"/>
          <w:sz w:val="24"/>
          <w:szCs w:val="24"/>
        </w:rPr>
        <w:t xml:space="preserve"> </w:t>
      </w:r>
      <w:r w:rsidR="002C7270" w:rsidRPr="00724CA2">
        <w:rPr>
          <w:rFonts w:ascii="Times New Roman" w:hAnsi="Times New Roman" w:cs="Times New Roman"/>
          <w:color w:val="000000" w:themeColor="text1"/>
          <w:sz w:val="24"/>
          <w:szCs w:val="24"/>
        </w:rPr>
        <w:t>We therefore test the following hypothesis:</w:t>
      </w:r>
    </w:p>
    <w:p w14:paraId="50B0B249" w14:textId="6026769B" w:rsidR="002C7270" w:rsidRPr="00BE6C78" w:rsidRDefault="002C7270" w:rsidP="00264804">
      <w:pPr>
        <w:autoSpaceDE w:val="0"/>
        <w:autoSpaceDN w:val="0"/>
        <w:adjustRightInd w:val="0"/>
        <w:spacing w:afterLines="50" w:after="120" w:line="480" w:lineRule="auto"/>
        <w:jc w:val="both"/>
        <w:rPr>
          <w:rFonts w:ascii="Times New Roman" w:hAnsi="Times New Roman" w:cs="Times New Roman"/>
          <w:i/>
          <w:iCs/>
          <w:color w:val="000000" w:themeColor="text1"/>
          <w:sz w:val="24"/>
          <w:szCs w:val="24"/>
        </w:rPr>
      </w:pPr>
      <w:r w:rsidRPr="00264804">
        <w:rPr>
          <w:rFonts w:ascii="Times New Roman" w:hAnsi="Times New Roman" w:cs="Times New Roman"/>
          <w:b/>
          <w:bCs/>
          <w:i/>
          <w:iCs/>
          <w:color w:val="000000" w:themeColor="text1"/>
          <w:sz w:val="24"/>
          <w:szCs w:val="24"/>
        </w:rPr>
        <w:t>H</w:t>
      </w:r>
      <w:r w:rsidR="00264804" w:rsidRPr="00264804">
        <w:rPr>
          <w:rFonts w:ascii="Times New Roman" w:hAnsi="Times New Roman" w:cs="Times New Roman" w:hint="eastAsia"/>
          <w:b/>
          <w:bCs/>
          <w:i/>
          <w:iCs/>
          <w:color w:val="000000" w:themeColor="text1"/>
          <w:sz w:val="24"/>
          <w:szCs w:val="24"/>
          <w:lang w:eastAsia="zh-CN"/>
        </w:rPr>
        <w:t>4.</w:t>
      </w:r>
      <w:r w:rsidRPr="00BE6C78">
        <w:rPr>
          <w:rFonts w:ascii="Times New Roman" w:hAnsi="Times New Roman" w:cs="Times New Roman"/>
          <w:i/>
          <w:iCs/>
          <w:color w:val="000000" w:themeColor="text1"/>
          <w:sz w:val="24"/>
          <w:szCs w:val="24"/>
        </w:rPr>
        <w:t xml:space="preserve"> Firms with greater mutual fund ownership undertake more environmental spending, </w:t>
      </w:r>
      <w:r w:rsidR="005C6C51" w:rsidRPr="00BE6C78">
        <w:rPr>
          <w:rFonts w:ascii="Times New Roman" w:hAnsi="Times New Roman" w:cs="Times New Roman"/>
          <w:i/>
          <w:iCs/>
          <w:color w:val="000000" w:themeColor="text1"/>
          <w:sz w:val="24"/>
          <w:szCs w:val="24"/>
        </w:rPr>
        <w:t xml:space="preserve">contingent on </w:t>
      </w:r>
      <w:r w:rsidR="00BE6C78" w:rsidRPr="00BE6C78">
        <w:rPr>
          <w:rFonts w:ascii="Times New Roman" w:hAnsi="Times New Roman" w:cs="Times New Roman"/>
          <w:i/>
          <w:iCs/>
          <w:color w:val="000000" w:themeColor="text1"/>
          <w:sz w:val="24"/>
          <w:szCs w:val="24"/>
        </w:rPr>
        <w:t xml:space="preserve">greater </w:t>
      </w:r>
      <w:r w:rsidRPr="00BE6C78">
        <w:rPr>
          <w:rFonts w:ascii="Times New Roman" w:hAnsi="Times New Roman" w:cs="Times New Roman"/>
          <w:i/>
          <w:iCs/>
          <w:color w:val="000000" w:themeColor="text1"/>
          <w:sz w:val="24"/>
          <w:szCs w:val="24"/>
        </w:rPr>
        <w:t xml:space="preserve">environmental </w:t>
      </w:r>
      <w:r w:rsidR="00A60000" w:rsidRPr="00BE6C78">
        <w:rPr>
          <w:rFonts w:ascii="Times New Roman" w:hAnsi="Times New Roman" w:cs="Times New Roman"/>
          <w:i/>
          <w:iCs/>
          <w:color w:val="000000" w:themeColor="text1"/>
          <w:sz w:val="24"/>
          <w:szCs w:val="24"/>
        </w:rPr>
        <w:t>awareness</w:t>
      </w:r>
      <w:r w:rsidR="00B84355">
        <w:rPr>
          <w:rFonts w:ascii="Times New Roman" w:hAnsi="Times New Roman" w:cs="Times New Roman"/>
          <w:i/>
          <w:iCs/>
          <w:color w:val="000000" w:themeColor="text1"/>
          <w:sz w:val="24"/>
          <w:szCs w:val="24"/>
        </w:rPr>
        <w:t>, including</w:t>
      </w:r>
      <w:r w:rsidR="00A60000" w:rsidRPr="00BE6C78">
        <w:rPr>
          <w:rFonts w:ascii="Times New Roman" w:hAnsi="Times New Roman" w:cs="Times New Roman"/>
          <w:i/>
          <w:iCs/>
          <w:color w:val="000000" w:themeColor="text1"/>
          <w:sz w:val="24"/>
          <w:szCs w:val="24"/>
        </w:rPr>
        <w:t xml:space="preserve"> </w:t>
      </w:r>
      <w:r w:rsidR="00BE6C78" w:rsidRPr="00BE6C78">
        <w:rPr>
          <w:rFonts w:ascii="Times New Roman" w:hAnsi="Times New Roman" w:cs="Times New Roman"/>
          <w:i/>
          <w:iCs/>
          <w:color w:val="000000" w:themeColor="text1"/>
          <w:sz w:val="24"/>
          <w:szCs w:val="24"/>
        </w:rPr>
        <w:t xml:space="preserve">more </w:t>
      </w:r>
      <w:r w:rsidRPr="00BE6C78">
        <w:rPr>
          <w:rFonts w:ascii="Times New Roman" w:hAnsi="Times New Roman" w:cs="Times New Roman"/>
          <w:i/>
          <w:iCs/>
          <w:color w:val="000000" w:themeColor="text1"/>
          <w:sz w:val="24"/>
          <w:szCs w:val="24"/>
        </w:rPr>
        <w:t xml:space="preserve">‘green’ questions raised by investors at </w:t>
      </w:r>
      <w:r w:rsidR="00365FD4" w:rsidRPr="00BE6C78">
        <w:rPr>
          <w:rFonts w:ascii="Times New Roman" w:hAnsi="Times New Roman" w:cs="Times New Roman"/>
          <w:i/>
          <w:iCs/>
          <w:color w:val="000000" w:themeColor="text1"/>
          <w:sz w:val="24"/>
          <w:szCs w:val="24"/>
        </w:rPr>
        <w:t>AGMs</w:t>
      </w:r>
      <w:r w:rsidR="00B84355">
        <w:rPr>
          <w:rFonts w:ascii="Times New Roman" w:hAnsi="Times New Roman" w:cs="Times New Roman"/>
          <w:i/>
          <w:iCs/>
          <w:color w:val="000000" w:themeColor="text1"/>
          <w:sz w:val="24"/>
          <w:szCs w:val="24"/>
        </w:rPr>
        <w:t>;</w:t>
      </w:r>
      <w:r w:rsidRPr="00BE6C78">
        <w:rPr>
          <w:rFonts w:ascii="Times New Roman" w:hAnsi="Times New Roman" w:cs="Times New Roman"/>
          <w:i/>
          <w:iCs/>
          <w:color w:val="000000" w:themeColor="text1"/>
          <w:sz w:val="24"/>
          <w:szCs w:val="24"/>
        </w:rPr>
        <w:t xml:space="preserve"> and </w:t>
      </w:r>
      <w:r w:rsidR="00BE6C78">
        <w:rPr>
          <w:rFonts w:ascii="Times New Roman" w:hAnsi="Times New Roman" w:cs="Times New Roman"/>
          <w:i/>
          <w:iCs/>
          <w:color w:val="000000" w:themeColor="text1"/>
          <w:sz w:val="24"/>
          <w:szCs w:val="24"/>
        </w:rPr>
        <w:t xml:space="preserve">more </w:t>
      </w:r>
      <w:r w:rsidR="00455575">
        <w:rPr>
          <w:rFonts w:ascii="Times New Roman" w:hAnsi="Times New Roman" w:cs="Times New Roman"/>
          <w:i/>
          <w:iCs/>
          <w:color w:val="000000" w:themeColor="text1"/>
          <w:sz w:val="24"/>
          <w:szCs w:val="24"/>
        </w:rPr>
        <w:t>board members</w:t>
      </w:r>
      <w:r w:rsidRPr="00BE6C78">
        <w:rPr>
          <w:rFonts w:ascii="Times New Roman" w:hAnsi="Times New Roman" w:cs="Times New Roman"/>
          <w:i/>
          <w:iCs/>
          <w:color w:val="000000" w:themeColor="text1"/>
          <w:sz w:val="24"/>
          <w:szCs w:val="24"/>
        </w:rPr>
        <w:t xml:space="preserve"> with </w:t>
      </w:r>
      <w:bookmarkStart w:id="5" w:name="_Hlk160065941"/>
      <w:r w:rsidR="006B656D" w:rsidRPr="00BE6C78">
        <w:rPr>
          <w:rFonts w:ascii="Times New Roman" w:hAnsi="Times New Roman" w:cs="Times New Roman"/>
          <w:i/>
          <w:iCs/>
          <w:color w:val="000000" w:themeColor="text1"/>
          <w:sz w:val="24"/>
          <w:szCs w:val="24"/>
        </w:rPr>
        <w:t xml:space="preserve">environmentally orientated </w:t>
      </w:r>
      <w:bookmarkEnd w:id="5"/>
      <w:r w:rsidRPr="00BE6C78">
        <w:rPr>
          <w:rFonts w:ascii="Times New Roman" w:hAnsi="Times New Roman" w:cs="Times New Roman"/>
          <w:i/>
          <w:iCs/>
          <w:color w:val="000000" w:themeColor="text1"/>
          <w:sz w:val="24"/>
          <w:szCs w:val="24"/>
        </w:rPr>
        <w:t xml:space="preserve">academic degrees and working experience. </w:t>
      </w:r>
    </w:p>
    <w:bookmarkEnd w:id="4"/>
    <w:p w14:paraId="7BDC8280" w14:textId="77777777" w:rsidR="002C7270" w:rsidRPr="00724CA2" w:rsidRDefault="002C7270" w:rsidP="0030371B">
      <w:pPr>
        <w:spacing w:afterLines="100" w:after="240" w:line="360" w:lineRule="auto"/>
        <w:jc w:val="both"/>
        <w:rPr>
          <w:rFonts w:ascii="Times New Roman" w:hAnsi="Times New Roman" w:cs="Times New Roman"/>
          <w:b/>
          <w:bCs/>
          <w:color w:val="000000" w:themeColor="text1"/>
          <w:sz w:val="24"/>
          <w:szCs w:val="24"/>
        </w:rPr>
      </w:pPr>
    </w:p>
    <w:p w14:paraId="2272AC26" w14:textId="7D9239C4" w:rsidR="00762E45" w:rsidRPr="00724CA2" w:rsidRDefault="00762E45" w:rsidP="00DF1054">
      <w:pPr>
        <w:spacing w:afterLines="50" w:after="120" w:line="480" w:lineRule="auto"/>
        <w:jc w:val="both"/>
        <w:rPr>
          <w:rFonts w:ascii="Times New Roman" w:hAnsi="Times New Roman" w:cs="Times New Roman"/>
          <w:b/>
          <w:bCs/>
          <w:color w:val="000000" w:themeColor="text1"/>
          <w:sz w:val="24"/>
          <w:szCs w:val="24"/>
        </w:rPr>
      </w:pPr>
      <w:r w:rsidRPr="00724CA2">
        <w:rPr>
          <w:rFonts w:ascii="Times New Roman" w:hAnsi="Times New Roman" w:cs="Times New Roman"/>
          <w:b/>
          <w:bCs/>
          <w:color w:val="000000" w:themeColor="text1"/>
          <w:sz w:val="24"/>
          <w:szCs w:val="24"/>
        </w:rPr>
        <w:t xml:space="preserve">3. </w:t>
      </w:r>
      <w:r w:rsidR="004A50F5" w:rsidRPr="00724CA2">
        <w:rPr>
          <w:rFonts w:ascii="Times New Roman" w:hAnsi="Times New Roman" w:cs="Times New Roman"/>
          <w:b/>
          <w:bCs/>
          <w:color w:val="000000" w:themeColor="text1"/>
          <w:sz w:val="24"/>
          <w:szCs w:val="24"/>
        </w:rPr>
        <w:tab/>
      </w:r>
      <w:r w:rsidRPr="00724CA2">
        <w:rPr>
          <w:rFonts w:ascii="Times New Roman" w:hAnsi="Times New Roman" w:cs="Times New Roman"/>
          <w:b/>
          <w:bCs/>
          <w:color w:val="000000" w:themeColor="text1"/>
          <w:sz w:val="24"/>
          <w:szCs w:val="24"/>
        </w:rPr>
        <w:t>Methodology</w:t>
      </w:r>
    </w:p>
    <w:p w14:paraId="2442FDAE" w14:textId="7B890614" w:rsidR="00762E45" w:rsidRPr="001F201D" w:rsidRDefault="00762E45" w:rsidP="00DF1054">
      <w:pPr>
        <w:pStyle w:val="BodyText2"/>
        <w:spacing w:afterLines="50" w:after="120" w:line="480" w:lineRule="auto"/>
        <w:rPr>
          <w:i/>
          <w:color w:val="000000" w:themeColor="text1"/>
          <w:sz w:val="24"/>
          <w:szCs w:val="24"/>
          <w:lang w:eastAsia="zh-CN"/>
        </w:rPr>
      </w:pPr>
      <w:r w:rsidRPr="001F201D">
        <w:rPr>
          <w:i/>
          <w:color w:val="000000" w:themeColor="text1"/>
          <w:sz w:val="24"/>
          <w:szCs w:val="24"/>
          <w:lang w:eastAsia="zh-CN"/>
        </w:rPr>
        <w:t xml:space="preserve">3.1 </w:t>
      </w:r>
      <w:r w:rsidR="004A50F5" w:rsidRPr="001F201D">
        <w:rPr>
          <w:i/>
          <w:color w:val="000000" w:themeColor="text1"/>
          <w:sz w:val="24"/>
          <w:szCs w:val="24"/>
          <w:lang w:eastAsia="zh-CN"/>
        </w:rPr>
        <w:tab/>
      </w:r>
      <w:r w:rsidRPr="001F201D">
        <w:rPr>
          <w:i/>
          <w:color w:val="000000" w:themeColor="text1"/>
          <w:sz w:val="24"/>
          <w:szCs w:val="24"/>
          <w:lang w:eastAsia="zh-CN"/>
        </w:rPr>
        <w:t xml:space="preserve">Data and Variables  </w:t>
      </w:r>
    </w:p>
    <w:p w14:paraId="390AC7D0" w14:textId="375E6DFD" w:rsidR="00762E45" w:rsidRPr="00724CA2" w:rsidRDefault="00762E45" w:rsidP="001F201D">
      <w:pPr>
        <w:pStyle w:val="BodyText2"/>
        <w:spacing w:afterLines="50" w:after="120" w:line="480" w:lineRule="auto"/>
        <w:ind w:firstLine="284"/>
        <w:rPr>
          <w:color w:val="000000" w:themeColor="text1"/>
          <w:sz w:val="24"/>
          <w:szCs w:val="24"/>
        </w:rPr>
      </w:pPr>
      <w:r w:rsidRPr="00724CA2">
        <w:rPr>
          <w:color w:val="000000" w:themeColor="text1"/>
          <w:sz w:val="24"/>
          <w:szCs w:val="24"/>
        </w:rPr>
        <w:t xml:space="preserve">To examine these hypotheses, we manually collected data </w:t>
      </w:r>
      <w:r w:rsidR="00EA7ECC" w:rsidRPr="00724CA2">
        <w:rPr>
          <w:color w:val="000000" w:themeColor="text1"/>
          <w:sz w:val="24"/>
          <w:szCs w:val="24"/>
        </w:rPr>
        <w:t>on</w:t>
      </w:r>
      <w:r w:rsidRPr="00724CA2">
        <w:rPr>
          <w:color w:val="000000" w:themeColor="text1"/>
          <w:sz w:val="24"/>
          <w:szCs w:val="24"/>
        </w:rPr>
        <w:t xml:space="preserve"> </w:t>
      </w:r>
      <w:r w:rsidRPr="00724CA2">
        <w:rPr>
          <w:color w:val="000000" w:themeColor="text1"/>
          <w:sz w:val="24"/>
          <w:szCs w:val="24"/>
          <w:lang w:eastAsia="zh-CN"/>
        </w:rPr>
        <w:t>co</w:t>
      </w:r>
      <w:r w:rsidRPr="00724CA2">
        <w:rPr>
          <w:color w:val="000000" w:themeColor="text1"/>
          <w:sz w:val="24"/>
          <w:szCs w:val="24"/>
        </w:rPr>
        <w:t xml:space="preserve">rporate environmental spending from annual reports and corporate social responsibility reports. </w:t>
      </w:r>
      <w:r w:rsidR="00F355D3" w:rsidRPr="00724CA2">
        <w:rPr>
          <w:color w:val="000000" w:themeColor="text1"/>
          <w:sz w:val="24"/>
          <w:szCs w:val="24"/>
        </w:rPr>
        <w:t>I</w:t>
      </w:r>
      <w:r w:rsidRPr="00724CA2">
        <w:rPr>
          <w:color w:val="000000" w:themeColor="text1"/>
          <w:sz w:val="24"/>
          <w:szCs w:val="24"/>
        </w:rPr>
        <w:t xml:space="preserve">nstitutional ownership data </w:t>
      </w:r>
      <w:r w:rsidR="00C3642C" w:rsidRPr="00724CA2">
        <w:rPr>
          <w:color w:val="000000" w:themeColor="text1"/>
          <w:sz w:val="24"/>
          <w:szCs w:val="24"/>
        </w:rPr>
        <w:t xml:space="preserve">was </w:t>
      </w:r>
      <w:r w:rsidRPr="00724CA2">
        <w:rPr>
          <w:color w:val="000000" w:themeColor="text1"/>
          <w:sz w:val="24"/>
          <w:szCs w:val="24"/>
        </w:rPr>
        <w:t>downloaded from the RESSET database.</w:t>
      </w:r>
      <w:r w:rsidRPr="00724CA2">
        <w:rPr>
          <w:color w:val="000000" w:themeColor="text1"/>
          <w:sz w:val="24"/>
          <w:szCs w:val="24"/>
          <w:lang w:eastAsia="zh-CN"/>
        </w:rPr>
        <w:t xml:space="preserve"> </w:t>
      </w:r>
      <w:r w:rsidRPr="00724CA2">
        <w:rPr>
          <w:color w:val="000000" w:themeColor="text1"/>
          <w:sz w:val="24"/>
          <w:szCs w:val="24"/>
        </w:rPr>
        <w:t>Corporate governance, financial performance, and firm characteristics data are collected from the China Stock Market and</w:t>
      </w:r>
      <w:r w:rsidRPr="00724CA2">
        <w:rPr>
          <w:color w:val="000000" w:themeColor="text1"/>
          <w:sz w:val="24"/>
          <w:szCs w:val="24"/>
          <w:lang w:eastAsia="zh-CN"/>
        </w:rPr>
        <w:t xml:space="preserve"> </w:t>
      </w:r>
      <w:r w:rsidRPr="00724CA2">
        <w:rPr>
          <w:color w:val="000000" w:themeColor="text1"/>
          <w:sz w:val="24"/>
          <w:szCs w:val="24"/>
        </w:rPr>
        <w:t xml:space="preserve">Research (CSMAR) database. </w:t>
      </w:r>
      <w:r w:rsidR="00CC37F5" w:rsidRPr="00724CA2">
        <w:rPr>
          <w:color w:val="000000" w:themeColor="text1"/>
          <w:sz w:val="24"/>
          <w:szCs w:val="24"/>
        </w:rPr>
        <w:t xml:space="preserve">Society and governance score variables are </w:t>
      </w:r>
      <w:r w:rsidR="0018337A" w:rsidRPr="00724CA2">
        <w:rPr>
          <w:color w:val="000000" w:themeColor="text1"/>
          <w:sz w:val="24"/>
          <w:szCs w:val="24"/>
        </w:rPr>
        <w:t>assembled</w:t>
      </w:r>
      <w:r w:rsidR="00CC37F5" w:rsidRPr="00724CA2">
        <w:rPr>
          <w:color w:val="000000" w:themeColor="text1"/>
          <w:sz w:val="24"/>
          <w:szCs w:val="24"/>
        </w:rPr>
        <w:t xml:space="preserve"> from the Huazheng database. </w:t>
      </w:r>
      <w:r w:rsidRPr="00724CA2">
        <w:rPr>
          <w:color w:val="000000" w:themeColor="text1"/>
          <w:sz w:val="24"/>
          <w:szCs w:val="24"/>
        </w:rPr>
        <w:t xml:space="preserve">The </w:t>
      </w:r>
      <w:r w:rsidR="0082113C" w:rsidRPr="00724CA2">
        <w:rPr>
          <w:color w:val="000000" w:themeColor="text1"/>
          <w:sz w:val="24"/>
          <w:szCs w:val="24"/>
        </w:rPr>
        <w:t xml:space="preserve">AGM </w:t>
      </w:r>
      <w:r w:rsidRPr="00724CA2">
        <w:rPr>
          <w:color w:val="000000" w:themeColor="text1"/>
          <w:sz w:val="24"/>
          <w:szCs w:val="24"/>
        </w:rPr>
        <w:t>investor questions are from the Chinese Research Data Services (CNRDS) database.</w:t>
      </w:r>
      <w:r w:rsidRPr="00724CA2">
        <w:rPr>
          <w:color w:val="000000" w:themeColor="text1"/>
          <w:sz w:val="24"/>
          <w:szCs w:val="24"/>
          <w:lang w:eastAsia="zh-CN"/>
        </w:rPr>
        <w:t xml:space="preserve"> </w:t>
      </w:r>
      <w:r w:rsidRPr="00724CA2">
        <w:rPr>
          <w:color w:val="000000" w:themeColor="text1"/>
          <w:sz w:val="24"/>
          <w:szCs w:val="24"/>
        </w:rPr>
        <w:t xml:space="preserve">As Chinese listed firms </w:t>
      </w:r>
      <w:r w:rsidR="00C3642C" w:rsidRPr="00724CA2">
        <w:rPr>
          <w:color w:val="000000" w:themeColor="text1"/>
          <w:sz w:val="24"/>
          <w:szCs w:val="24"/>
        </w:rPr>
        <w:t xml:space="preserve">have only </w:t>
      </w:r>
      <w:r w:rsidRPr="00724CA2">
        <w:rPr>
          <w:color w:val="000000" w:themeColor="text1"/>
          <w:sz w:val="24"/>
          <w:szCs w:val="24"/>
        </w:rPr>
        <w:t>disclose</w:t>
      </w:r>
      <w:r w:rsidR="00C3642C" w:rsidRPr="00724CA2">
        <w:rPr>
          <w:color w:val="000000" w:themeColor="text1"/>
          <w:sz w:val="24"/>
          <w:szCs w:val="24"/>
        </w:rPr>
        <w:t>d</w:t>
      </w:r>
      <w:r w:rsidRPr="00724CA2">
        <w:rPr>
          <w:color w:val="000000" w:themeColor="text1"/>
          <w:sz w:val="24"/>
          <w:szCs w:val="24"/>
        </w:rPr>
        <w:t xml:space="preserve"> relevant social and environmental information in recent years,</w:t>
      </w:r>
      <w:r w:rsidRPr="00724CA2">
        <w:rPr>
          <w:color w:val="000000" w:themeColor="text1"/>
          <w:sz w:val="24"/>
          <w:szCs w:val="24"/>
          <w:lang w:eastAsia="zh-CN"/>
        </w:rPr>
        <w:t xml:space="preserve"> </w:t>
      </w:r>
      <w:r w:rsidRPr="00724CA2">
        <w:rPr>
          <w:color w:val="000000" w:themeColor="text1"/>
          <w:sz w:val="24"/>
          <w:szCs w:val="24"/>
        </w:rPr>
        <w:t xml:space="preserve">our research sample runs from 2011 to 2018. After excluding the missing values, the final sample contains </w:t>
      </w:r>
      <w:r w:rsidR="00AE4DFB" w:rsidRPr="00724CA2">
        <w:rPr>
          <w:color w:val="000000" w:themeColor="text1"/>
          <w:sz w:val="24"/>
          <w:szCs w:val="24"/>
        </w:rPr>
        <w:t>6</w:t>
      </w:r>
      <w:r w:rsidRPr="00724CA2">
        <w:rPr>
          <w:color w:val="000000" w:themeColor="text1"/>
          <w:sz w:val="24"/>
          <w:szCs w:val="24"/>
        </w:rPr>
        <w:t>,</w:t>
      </w:r>
      <w:r w:rsidR="00AE4DFB" w:rsidRPr="00724CA2">
        <w:rPr>
          <w:color w:val="000000" w:themeColor="text1"/>
          <w:sz w:val="24"/>
          <w:szCs w:val="24"/>
        </w:rPr>
        <w:t>560</w:t>
      </w:r>
      <w:r w:rsidRPr="00724CA2">
        <w:rPr>
          <w:color w:val="000000" w:themeColor="text1"/>
          <w:sz w:val="24"/>
          <w:szCs w:val="24"/>
        </w:rPr>
        <w:t xml:space="preserve"> firm-year observations. To remove the impact of outliers, we winsorize the environmental spending</w:t>
      </w:r>
      <w:r w:rsidR="0019251E">
        <w:rPr>
          <w:rFonts w:hint="eastAsia"/>
          <w:color w:val="000000" w:themeColor="text1"/>
          <w:sz w:val="24"/>
          <w:szCs w:val="24"/>
          <w:lang w:eastAsia="zh-CN"/>
        </w:rPr>
        <w:t>, mutual fund ownership and control</w:t>
      </w:r>
      <w:r w:rsidRPr="00724CA2">
        <w:rPr>
          <w:color w:val="000000" w:themeColor="text1"/>
          <w:sz w:val="24"/>
          <w:szCs w:val="24"/>
        </w:rPr>
        <w:t xml:space="preserve"> variable</w:t>
      </w:r>
      <w:r w:rsidR="0019251E">
        <w:rPr>
          <w:rFonts w:hint="eastAsia"/>
          <w:color w:val="000000" w:themeColor="text1"/>
          <w:sz w:val="24"/>
          <w:szCs w:val="24"/>
          <w:lang w:eastAsia="zh-CN"/>
        </w:rPr>
        <w:t>s</w:t>
      </w:r>
      <w:r w:rsidRPr="00724CA2">
        <w:rPr>
          <w:color w:val="000000" w:themeColor="text1"/>
          <w:sz w:val="24"/>
          <w:szCs w:val="24"/>
        </w:rPr>
        <w:t xml:space="preserve"> at the 1% level.</w:t>
      </w:r>
    </w:p>
    <w:p w14:paraId="3BCE9EDB" w14:textId="22C8866F" w:rsidR="00762E45" w:rsidRPr="00724CA2" w:rsidRDefault="00CC37F5" w:rsidP="00524D43">
      <w:pPr>
        <w:pStyle w:val="BodyText2"/>
        <w:spacing w:line="480" w:lineRule="auto"/>
        <w:ind w:firstLine="284"/>
        <w:rPr>
          <w:iCs/>
          <w:color w:val="000000" w:themeColor="text1"/>
          <w:sz w:val="24"/>
          <w:szCs w:val="24"/>
          <w:lang w:eastAsia="zh-CN"/>
        </w:rPr>
      </w:pPr>
      <w:bookmarkStart w:id="6" w:name="_Hlk138635695"/>
      <w:r w:rsidRPr="00724CA2">
        <w:rPr>
          <w:iCs/>
          <w:color w:val="000000" w:themeColor="text1"/>
          <w:sz w:val="24"/>
          <w:szCs w:val="24"/>
          <w:lang w:eastAsia="zh-CN"/>
        </w:rPr>
        <w:t>The dependent variable, corporate environmental spending</w:t>
      </w:r>
      <w:r w:rsidR="0059034C">
        <w:rPr>
          <w:iCs/>
          <w:color w:val="000000" w:themeColor="text1"/>
          <w:sz w:val="24"/>
          <w:szCs w:val="24"/>
          <w:lang w:eastAsia="zh-CN"/>
        </w:rPr>
        <w:t>,</w:t>
      </w:r>
      <w:r w:rsidRPr="00724CA2">
        <w:rPr>
          <w:iCs/>
          <w:color w:val="000000" w:themeColor="text1"/>
          <w:sz w:val="24"/>
          <w:szCs w:val="24"/>
          <w:lang w:eastAsia="zh-CN"/>
        </w:rPr>
        <w:t xml:space="preserve"> consists of expenses for sewage discharge, cleaning, landscaping, greening and environmental protection</w:t>
      </w:r>
      <w:r w:rsidR="0018337A" w:rsidRPr="00724CA2">
        <w:rPr>
          <w:iCs/>
          <w:color w:val="000000" w:themeColor="text1"/>
          <w:sz w:val="24"/>
          <w:szCs w:val="24"/>
          <w:lang w:val="en-GB" w:eastAsia="zh-CN"/>
        </w:rPr>
        <w:t>;</w:t>
      </w:r>
      <w:r w:rsidR="00342004" w:rsidRPr="00724CA2">
        <w:rPr>
          <w:rStyle w:val="FootnoteReference"/>
          <w:iCs/>
          <w:color w:val="000000" w:themeColor="text1"/>
          <w:sz w:val="24"/>
          <w:szCs w:val="24"/>
          <w:lang w:eastAsia="zh-CN"/>
        </w:rPr>
        <w:footnoteReference w:id="2"/>
      </w:r>
      <w:r w:rsidRPr="00724CA2">
        <w:rPr>
          <w:iCs/>
          <w:color w:val="000000" w:themeColor="text1"/>
          <w:sz w:val="24"/>
          <w:szCs w:val="24"/>
          <w:lang w:eastAsia="zh-CN"/>
        </w:rPr>
        <w:t xml:space="preserve"> </w:t>
      </w:r>
      <w:r w:rsidR="0018337A" w:rsidRPr="00724CA2">
        <w:rPr>
          <w:iCs/>
          <w:color w:val="000000" w:themeColor="text1"/>
          <w:sz w:val="24"/>
          <w:szCs w:val="24"/>
          <w:lang w:eastAsia="zh-CN"/>
        </w:rPr>
        <w:t>a</w:t>
      </w:r>
      <w:r w:rsidRPr="00724CA2">
        <w:rPr>
          <w:iCs/>
          <w:color w:val="000000" w:themeColor="text1"/>
          <w:sz w:val="24"/>
          <w:szCs w:val="24"/>
          <w:lang w:eastAsia="zh-CN"/>
        </w:rPr>
        <w:t xml:space="preserve"> definition </w:t>
      </w:r>
      <w:r w:rsidRPr="00724CA2">
        <w:rPr>
          <w:iCs/>
          <w:color w:val="000000" w:themeColor="text1"/>
          <w:sz w:val="24"/>
          <w:szCs w:val="24"/>
          <w:lang w:eastAsia="zh-CN"/>
        </w:rPr>
        <w:lastRenderedPageBreak/>
        <w:t xml:space="preserve">consistent with recent research </w:t>
      </w:r>
      <w:r w:rsidR="00DC56F4" w:rsidRPr="00724CA2">
        <w:rPr>
          <w:iCs/>
          <w:color w:val="000000" w:themeColor="text1"/>
          <w:sz w:val="24"/>
          <w:szCs w:val="24"/>
          <w:lang w:eastAsia="zh-CN"/>
        </w:rPr>
        <w:t>(</w:t>
      </w:r>
      <w:r w:rsidRPr="00724CA2">
        <w:rPr>
          <w:iCs/>
          <w:color w:val="000000" w:themeColor="text1"/>
          <w:sz w:val="24"/>
          <w:szCs w:val="24"/>
          <w:lang w:eastAsia="zh-CN"/>
        </w:rPr>
        <w:t>Meng and Zhang</w:t>
      </w:r>
      <w:r w:rsidR="00DC56F4" w:rsidRPr="00724CA2">
        <w:rPr>
          <w:iCs/>
          <w:color w:val="000000" w:themeColor="text1"/>
          <w:sz w:val="24"/>
          <w:szCs w:val="24"/>
          <w:lang w:eastAsia="zh-CN"/>
        </w:rPr>
        <w:t xml:space="preserve">, </w:t>
      </w:r>
      <w:r w:rsidRPr="00724CA2">
        <w:rPr>
          <w:iCs/>
          <w:color w:val="000000" w:themeColor="text1"/>
          <w:sz w:val="24"/>
          <w:szCs w:val="24"/>
          <w:lang w:eastAsia="zh-CN"/>
        </w:rPr>
        <w:t xml:space="preserve">2022). </w:t>
      </w:r>
      <w:bookmarkEnd w:id="6"/>
      <w:r w:rsidR="00762E45" w:rsidRPr="00724CA2">
        <w:rPr>
          <w:color w:val="000000" w:themeColor="text1"/>
          <w:sz w:val="24"/>
          <w:szCs w:val="24"/>
        </w:rPr>
        <w:t xml:space="preserve">The independent variables include state-owned enterprises, legal environment, green questions, and green board. </w:t>
      </w:r>
      <w:r w:rsidR="00762E45" w:rsidRPr="00724CA2">
        <w:rPr>
          <w:color w:val="000000" w:themeColor="text1"/>
          <w:sz w:val="24"/>
          <w:szCs w:val="24"/>
          <w:lang w:eastAsia="zh-CN"/>
        </w:rPr>
        <w:t xml:space="preserve">SOEs are represented by a dummy variable, which equals one if </w:t>
      </w:r>
      <w:r w:rsidR="00762E45" w:rsidRPr="00724CA2">
        <w:rPr>
          <w:color w:val="000000" w:themeColor="text1"/>
          <w:sz w:val="24"/>
          <w:szCs w:val="24"/>
        </w:rPr>
        <w:t xml:space="preserve">the ultimate controller of a listed firm is the state or state agencies and zero otherwise. Legal environment refers to the legal development of a province </w:t>
      </w:r>
      <w:r w:rsidR="00762E45" w:rsidRPr="00724CA2">
        <w:rPr>
          <w:color w:val="000000" w:themeColor="text1"/>
          <w:sz w:val="24"/>
          <w:szCs w:val="24"/>
          <w:lang w:eastAsia="zh-CN"/>
        </w:rPr>
        <w:t xml:space="preserve">where a listed firm is located. </w:t>
      </w:r>
      <w:r w:rsidR="00F273CD" w:rsidRPr="00724CA2">
        <w:rPr>
          <w:color w:val="000000" w:themeColor="text1"/>
          <w:sz w:val="24"/>
          <w:szCs w:val="24"/>
          <w:lang w:eastAsia="zh-CN"/>
        </w:rPr>
        <w:t xml:space="preserve">We use the </w:t>
      </w:r>
      <w:r w:rsidR="00762E45" w:rsidRPr="00724CA2">
        <w:rPr>
          <w:color w:val="000000" w:themeColor="text1"/>
          <w:sz w:val="24"/>
          <w:szCs w:val="24"/>
          <w:lang w:eastAsia="zh-CN"/>
        </w:rPr>
        <w:t xml:space="preserve">regional-level legal environment </w:t>
      </w:r>
      <w:r w:rsidR="00D30A65" w:rsidRPr="00724CA2">
        <w:rPr>
          <w:color w:val="000000" w:themeColor="text1"/>
          <w:sz w:val="24"/>
          <w:szCs w:val="24"/>
          <w:lang w:eastAsia="zh-CN"/>
        </w:rPr>
        <w:t xml:space="preserve">index </w:t>
      </w:r>
      <w:r w:rsidR="00AF04F5" w:rsidRPr="00724CA2">
        <w:rPr>
          <w:color w:val="000000" w:themeColor="text1"/>
          <w:sz w:val="24"/>
          <w:szCs w:val="24"/>
          <w:lang w:eastAsia="zh-CN"/>
        </w:rPr>
        <w:t xml:space="preserve">from the </w:t>
      </w:r>
      <w:r w:rsidR="00762E45" w:rsidRPr="00724CA2">
        <w:rPr>
          <w:color w:val="000000" w:themeColor="text1"/>
          <w:sz w:val="24"/>
          <w:szCs w:val="24"/>
          <w:lang w:eastAsia="zh-CN"/>
        </w:rPr>
        <w:t>National Economics Research Institute (NERI)</w:t>
      </w:r>
      <w:r w:rsidR="0082113C" w:rsidRPr="00724CA2">
        <w:rPr>
          <w:color w:val="000000" w:themeColor="text1"/>
          <w:sz w:val="24"/>
          <w:szCs w:val="24"/>
          <w:lang w:eastAsia="zh-CN"/>
        </w:rPr>
        <w:t>, which quantifies</w:t>
      </w:r>
      <w:r w:rsidR="00F273CD" w:rsidRPr="00724CA2">
        <w:rPr>
          <w:color w:val="000000" w:themeColor="text1"/>
          <w:sz w:val="24"/>
          <w:szCs w:val="24"/>
          <w:lang w:eastAsia="zh-CN"/>
        </w:rPr>
        <w:t xml:space="preserve"> </w:t>
      </w:r>
      <w:r w:rsidR="00762E45" w:rsidRPr="00724CA2">
        <w:rPr>
          <w:color w:val="000000" w:themeColor="text1"/>
          <w:sz w:val="24"/>
          <w:szCs w:val="24"/>
          <w:lang w:eastAsia="zh-CN"/>
        </w:rPr>
        <w:t xml:space="preserve">market </w:t>
      </w:r>
      <w:r w:rsidR="0051065E" w:rsidRPr="00724CA2">
        <w:rPr>
          <w:color w:val="000000" w:themeColor="text1"/>
          <w:sz w:val="24"/>
          <w:szCs w:val="24"/>
          <w:lang w:eastAsia="zh-CN"/>
        </w:rPr>
        <w:t>intermediaries’</w:t>
      </w:r>
      <w:r w:rsidR="001256F2" w:rsidRPr="00724CA2">
        <w:rPr>
          <w:color w:val="000000" w:themeColor="text1"/>
          <w:sz w:val="24"/>
          <w:szCs w:val="24"/>
          <w:lang w:eastAsia="zh-CN"/>
        </w:rPr>
        <w:t xml:space="preserve"> </w:t>
      </w:r>
      <w:r w:rsidR="0082113C" w:rsidRPr="00724CA2">
        <w:rPr>
          <w:color w:val="000000" w:themeColor="text1"/>
          <w:sz w:val="24"/>
          <w:szCs w:val="24"/>
          <w:lang w:eastAsia="zh-CN"/>
        </w:rPr>
        <w:t xml:space="preserve">development </w:t>
      </w:r>
      <w:r w:rsidR="001256F2" w:rsidRPr="00724CA2">
        <w:rPr>
          <w:color w:val="000000" w:themeColor="text1"/>
          <w:sz w:val="24"/>
          <w:szCs w:val="24"/>
          <w:lang w:eastAsia="zh-CN"/>
        </w:rPr>
        <w:t>and</w:t>
      </w:r>
      <w:r w:rsidR="00762E45" w:rsidRPr="00724CA2">
        <w:rPr>
          <w:color w:val="000000" w:themeColor="text1"/>
          <w:sz w:val="24"/>
          <w:szCs w:val="24"/>
          <w:lang w:eastAsia="zh-CN"/>
        </w:rPr>
        <w:t xml:space="preserve"> protection</w:t>
      </w:r>
      <w:r w:rsidR="00001E72" w:rsidRPr="00724CA2">
        <w:rPr>
          <w:color w:val="000000" w:themeColor="text1"/>
          <w:sz w:val="24"/>
          <w:szCs w:val="24"/>
          <w:lang w:eastAsia="zh-CN"/>
        </w:rPr>
        <w:t>s</w:t>
      </w:r>
      <w:r w:rsidR="00762E45" w:rsidRPr="00724CA2">
        <w:rPr>
          <w:color w:val="000000" w:themeColor="text1"/>
          <w:sz w:val="24"/>
          <w:szCs w:val="24"/>
          <w:lang w:eastAsia="zh-CN"/>
        </w:rPr>
        <w:t xml:space="preserve"> </w:t>
      </w:r>
      <w:r w:rsidR="00001E72" w:rsidRPr="00724CA2">
        <w:rPr>
          <w:color w:val="000000" w:themeColor="text1"/>
          <w:sz w:val="24"/>
          <w:szCs w:val="24"/>
          <w:lang w:eastAsia="zh-CN"/>
        </w:rPr>
        <w:t xml:space="preserve">for </w:t>
      </w:r>
      <w:r w:rsidR="00762E45" w:rsidRPr="00724CA2">
        <w:rPr>
          <w:color w:val="000000" w:themeColor="text1"/>
          <w:sz w:val="24"/>
          <w:szCs w:val="24"/>
          <w:lang w:eastAsia="zh-CN"/>
        </w:rPr>
        <w:t xml:space="preserve">producers’ interests, intellectual property rights, and consumers’ rights (He et al., 2018). </w:t>
      </w:r>
    </w:p>
    <w:p w14:paraId="00B10B68" w14:textId="13AD1A8C" w:rsidR="00762E45" w:rsidRPr="00724CA2" w:rsidRDefault="00762E45" w:rsidP="001F201D">
      <w:pPr>
        <w:pStyle w:val="BodyText2"/>
        <w:spacing w:afterLines="50" w:after="120" w:line="480" w:lineRule="auto"/>
        <w:ind w:firstLine="284"/>
        <w:rPr>
          <w:color w:val="000000" w:themeColor="text1"/>
          <w:sz w:val="24"/>
          <w:szCs w:val="24"/>
          <w:lang w:eastAsia="zh-CN"/>
        </w:rPr>
      </w:pPr>
      <w:r w:rsidRPr="00724CA2">
        <w:rPr>
          <w:color w:val="000000" w:themeColor="text1"/>
          <w:sz w:val="24"/>
          <w:szCs w:val="24"/>
          <w:lang w:eastAsia="zh-CN"/>
        </w:rPr>
        <w:t>To examine the channels of mutual fund influence</w:t>
      </w:r>
      <w:r w:rsidR="00810C36" w:rsidRPr="00724CA2">
        <w:rPr>
          <w:color w:val="000000" w:themeColor="text1"/>
          <w:sz w:val="24"/>
          <w:szCs w:val="24"/>
          <w:lang w:eastAsia="zh-CN"/>
        </w:rPr>
        <w:t>,</w:t>
      </w:r>
      <w:r w:rsidRPr="00724CA2">
        <w:rPr>
          <w:color w:val="000000" w:themeColor="text1"/>
          <w:sz w:val="24"/>
          <w:szCs w:val="24"/>
          <w:lang w:eastAsia="zh-CN"/>
        </w:rPr>
        <w:t xml:space="preserve"> </w:t>
      </w:r>
      <w:r w:rsidR="00C74C63" w:rsidRPr="00724CA2">
        <w:rPr>
          <w:color w:val="000000" w:themeColor="text1"/>
          <w:sz w:val="24"/>
          <w:szCs w:val="24"/>
          <w:lang w:eastAsia="zh-CN"/>
        </w:rPr>
        <w:t xml:space="preserve">we use </w:t>
      </w:r>
      <w:r w:rsidRPr="00724CA2">
        <w:rPr>
          <w:color w:val="000000" w:themeColor="text1"/>
          <w:sz w:val="24"/>
          <w:szCs w:val="24"/>
          <w:lang w:eastAsia="zh-CN"/>
        </w:rPr>
        <w:t>a ‘green questions’ variable</w:t>
      </w:r>
      <w:r w:rsidR="00C74C63" w:rsidRPr="00724CA2">
        <w:rPr>
          <w:color w:val="000000" w:themeColor="text1"/>
          <w:sz w:val="24"/>
          <w:szCs w:val="24"/>
          <w:lang w:eastAsia="zh-CN"/>
        </w:rPr>
        <w:t>.</w:t>
      </w:r>
      <w:r w:rsidRPr="00724CA2">
        <w:rPr>
          <w:color w:val="000000" w:themeColor="text1"/>
          <w:sz w:val="24"/>
          <w:szCs w:val="24"/>
          <w:lang w:eastAsia="zh-CN"/>
        </w:rPr>
        <w:t xml:space="preserve"> Shareholders are offered opportunities to question the board of directors during </w:t>
      </w:r>
      <w:r w:rsidR="00C74C63" w:rsidRPr="00724CA2">
        <w:rPr>
          <w:color w:val="000000" w:themeColor="text1"/>
          <w:sz w:val="24"/>
          <w:szCs w:val="24"/>
          <w:lang w:eastAsia="zh-CN"/>
        </w:rPr>
        <w:t>AGMs</w:t>
      </w:r>
      <w:r w:rsidRPr="00724CA2">
        <w:rPr>
          <w:color w:val="000000" w:themeColor="text1"/>
          <w:sz w:val="24"/>
          <w:szCs w:val="24"/>
          <w:lang w:eastAsia="zh-CN"/>
        </w:rPr>
        <w:t xml:space="preserve">. The boards of directors and firm representatives </w:t>
      </w:r>
      <w:r w:rsidR="00FE655B" w:rsidRPr="00724CA2">
        <w:rPr>
          <w:color w:val="000000" w:themeColor="text1"/>
          <w:sz w:val="24"/>
          <w:szCs w:val="24"/>
          <w:lang w:eastAsia="zh-CN"/>
        </w:rPr>
        <w:t xml:space="preserve">are obligated to </w:t>
      </w:r>
      <w:r w:rsidRPr="00724CA2">
        <w:rPr>
          <w:color w:val="000000" w:themeColor="text1"/>
          <w:sz w:val="24"/>
          <w:szCs w:val="24"/>
          <w:lang w:eastAsia="zh-CN"/>
        </w:rPr>
        <w:t>answer the</w:t>
      </w:r>
      <w:r w:rsidR="00FE655B" w:rsidRPr="00724CA2">
        <w:rPr>
          <w:color w:val="000000" w:themeColor="text1"/>
          <w:sz w:val="24"/>
          <w:szCs w:val="24"/>
          <w:lang w:eastAsia="zh-CN"/>
        </w:rPr>
        <w:t>se</w:t>
      </w:r>
      <w:r w:rsidRPr="00724CA2">
        <w:rPr>
          <w:color w:val="000000" w:themeColor="text1"/>
          <w:sz w:val="24"/>
          <w:szCs w:val="24"/>
          <w:lang w:eastAsia="zh-CN"/>
        </w:rPr>
        <w:t xml:space="preserve"> questions. </w:t>
      </w:r>
      <w:r w:rsidR="00737F6E" w:rsidRPr="00737F6E">
        <w:rPr>
          <w:color w:val="000000" w:themeColor="text1"/>
          <w:sz w:val="24"/>
          <w:szCs w:val="24"/>
          <w:lang w:eastAsia="zh-CN"/>
        </w:rPr>
        <w:t>This dialogue is often publicly available via conference transcripts (Van der Elst and Lafarre, 2019) and is collected from the CNRDS database</w:t>
      </w:r>
      <w:r w:rsidRPr="00724CA2">
        <w:rPr>
          <w:color w:val="000000" w:themeColor="text1"/>
          <w:sz w:val="24"/>
          <w:szCs w:val="24"/>
          <w:lang w:eastAsia="zh-CN"/>
        </w:rPr>
        <w:t xml:space="preserve">. Green questions are defined as the </w:t>
      </w:r>
      <w:r w:rsidR="00AF7C9C" w:rsidRPr="00724CA2">
        <w:rPr>
          <w:color w:val="000000" w:themeColor="text1"/>
          <w:sz w:val="24"/>
          <w:szCs w:val="24"/>
          <w:lang w:eastAsia="zh-CN"/>
        </w:rPr>
        <w:t xml:space="preserve">proportion of all questions </w:t>
      </w:r>
      <w:r w:rsidR="006F6936" w:rsidRPr="00724CA2">
        <w:rPr>
          <w:color w:val="000000" w:themeColor="text1"/>
          <w:sz w:val="24"/>
          <w:szCs w:val="24"/>
          <w:lang w:eastAsia="zh-CN"/>
        </w:rPr>
        <w:t xml:space="preserve">raised during the AGM which </w:t>
      </w:r>
      <w:r w:rsidR="00AF7C9C" w:rsidRPr="00724CA2">
        <w:rPr>
          <w:color w:val="000000" w:themeColor="text1"/>
          <w:sz w:val="24"/>
          <w:szCs w:val="24"/>
          <w:lang w:eastAsia="zh-CN"/>
        </w:rPr>
        <w:t xml:space="preserve">consider </w:t>
      </w:r>
      <w:r w:rsidRPr="00724CA2">
        <w:rPr>
          <w:color w:val="000000" w:themeColor="text1"/>
          <w:sz w:val="24"/>
          <w:szCs w:val="24"/>
          <w:lang w:eastAsia="zh-CN"/>
        </w:rPr>
        <w:t xml:space="preserve">‘green’ </w:t>
      </w:r>
      <w:r w:rsidR="006F6936" w:rsidRPr="00724CA2">
        <w:rPr>
          <w:color w:val="000000" w:themeColor="text1"/>
          <w:sz w:val="24"/>
          <w:szCs w:val="24"/>
          <w:lang w:eastAsia="zh-CN"/>
        </w:rPr>
        <w:t>issues</w:t>
      </w:r>
      <w:r w:rsidRPr="00724CA2">
        <w:rPr>
          <w:color w:val="000000" w:themeColor="text1"/>
          <w:sz w:val="24"/>
          <w:szCs w:val="24"/>
          <w:lang w:eastAsia="zh-CN"/>
        </w:rPr>
        <w:t xml:space="preserve">. </w:t>
      </w:r>
      <w:r w:rsidR="006F6936" w:rsidRPr="00724CA2">
        <w:rPr>
          <w:color w:val="000000" w:themeColor="text1"/>
          <w:sz w:val="24"/>
          <w:szCs w:val="24"/>
          <w:lang w:eastAsia="zh-CN"/>
        </w:rPr>
        <w:t xml:space="preserve">Green </w:t>
      </w:r>
      <w:r w:rsidRPr="00724CA2">
        <w:rPr>
          <w:color w:val="000000" w:themeColor="text1"/>
          <w:sz w:val="24"/>
          <w:szCs w:val="24"/>
          <w:lang w:eastAsia="zh-CN"/>
        </w:rPr>
        <w:t xml:space="preserve">questions are identified by searching for keywords, including ‘green’, ‘environment protection’, ‘sewage’, ‘energy saving’, ‘emission reduction’, and ‘ecology’. </w:t>
      </w:r>
      <w:r w:rsidR="005322D0" w:rsidRPr="005322D0">
        <w:rPr>
          <w:color w:val="000000" w:themeColor="text1"/>
          <w:sz w:val="24"/>
          <w:szCs w:val="24"/>
          <w:lang w:eastAsia="zh-CN"/>
        </w:rPr>
        <w:t>The variable 'green board' refers to the number of board members who have 'green' professional experience or an environmentally oriented academic degree. This is identified by checking for keywords (e.g., environment, ecology, energy, energy saving, green, sustainability, pollution reduction, and biological) in the working and educational backgrounds of board members in the annual reports</w:t>
      </w:r>
      <w:r w:rsidR="00EB33BE" w:rsidRPr="00724CA2">
        <w:rPr>
          <w:color w:val="000000" w:themeColor="text1"/>
          <w:sz w:val="24"/>
          <w:szCs w:val="24"/>
          <w:lang w:eastAsia="zh-CN"/>
        </w:rPr>
        <w:t>.</w:t>
      </w:r>
    </w:p>
    <w:p w14:paraId="5CCFE7F7" w14:textId="147365CA" w:rsidR="007A72C8" w:rsidRPr="00724CA2" w:rsidRDefault="00762E45" w:rsidP="001F201D">
      <w:pPr>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lang w:eastAsia="zh-CN"/>
        </w:rPr>
        <w:t>The following</w:t>
      </w:r>
      <w:r w:rsidR="00D810DA" w:rsidRPr="00724CA2">
        <w:rPr>
          <w:rFonts w:ascii="Times New Roman" w:hAnsi="Times New Roman" w:cs="Times New Roman"/>
          <w:color w:val="000000" w:themeColor="text1"/>
          <w:sz w:val="24"/>
          <w:szCs w:val="24"/>
          <w:lang w:eastAsia="zh-CN"/>
        </w:rPr>
        <w:t xml:space="preserve"> </w:t>
      </w:r>
      <w:r w:rsidRPr="00724CA2">
        <w:rPr>
          <w:rFonts w:ascii="Times New Roman" w:hAnsi="Times New Roman" w:cs="Times New Roman"/>
          <w:color w:val="000000" w:themeColor="text1"/>
          <w:sz w:val="24"/>
          <w:szCs w:val="24"/>
          <w:lang w:eastAsia="zh-CN"/>
        </w:rPr>
        <w:t xml:space="preserve">variables are controlled in our model. </w:t>
      </w:r>
      <w:bookmarkStart w:id="7" w:name="_Hlk138636769"/>
      <w:r w:rsidR="00A36A3C" w:rsidRPr="00724CA2">
        <w:rPr>
          <w:rFonts w:ascii="Times New Roman" w:hAnsi="Times New Roman" w:cs="Times New Roman"/>
          <w:color w:val="000000" w:themeColor="text1"/>
          <w:sz w:val="24"/>
          <w:szCs w:val="24"/>
        </w:rPr>
        <w:t>First, a firm’s social performance</w:t>
      </w:r>
      <w:r w:rsidR="008327DE" w:rsidRPr="00724CA2">
        <w:rPr>
          <w:rFonts w:ascii="Times New Roman" w:hAnsi="Times New Roman" w:cs="Times New Roman"/>
          <w:color w:val="000000" w:themeColor="text1"/>
          <w:sz w:val="24"/>
          <w:szCs w:val="24"/>
        </w:rPr>
        <w:t xml:space="preserve"> </w:t>
      </w:r>
      <w:r w:rsidR="00BB38DC" w:rsidRPr="00724CA2">
        <w:rPr>
          <w:rFonts w:ascii="Times New Roman" w:hAnsi="Times New Roman" w:cs="Times New Roman"/>
          <w:color w:val="000000" w:themeColor="text1"/>
          <w:sz w:val="24"/>
          <w:szCs w:val="24"/>
        </w:rPr>
        <w:t xml:space="preserve">is controlled, </w:t>
      </w:r>
      <w:r w:rsidR="006C1AA0" w:rsidRPr="00724CA2">
        <w:rPr>
          <w:rFonts w:ascii="Times New Roman" w:hAnsi="Times New Roman" w:cs="Times New Roman"/>
          <w:color w:val="000000" w:themeColor="text1"/>
          <w:sz w:val="24"/>
          <w:szCs w:val="24"/>
        </w:rPr>
        <w:t xml:space="preserve">as </w:t>
      </w:r>
      <w:r w:rsidR="00041627" w:rsidRPr="00724CA2">
        <w:rPr>
          <w:rFonts w:ascii="Times New Roman" w:hAnsi="Times New Roman" w:cs="Times New Roman"/>
          <w:color w:val="000000" w:themeColor="text1"/>
          <w:sz w:val="24"/>
          <w:szCs w:val="24"/>
        </w:rPr>
        <w:t>f</w:t>
      </w:r>
      <w:r w:rsidR="008327DE" w:rsidRPr="00724CA2">
        <w:rPr>
          <w:rFonts w:ascii="Times New Roman" w:hAnsi="Times New Roman" w:cs="Times New Roman"/>
          <w:color w:val="000000" w:themeColor="text1"/>
          <w:sz w:val="24"/>
          <w:szCs w:val="24"/>
        </w:rPr>
        <w:t xml:space="preserve">irms </w:t>
      </w:r>
      <w:r w:rsidR="00B70CDA" w:rsidRPr="00724CA2">
        <w:rPr>
          <w:rFonts w:ascii="Times New Roman" w:hAnsi="Times New Roman" w:cs="Times New Roman"/>
          <w:color w:val="000000" w:themeColor="text1"/>
          <w:sz w:val="24"/>
          <w:szCs w:val="24"/>
        </w:rPr>
        <w:t xml:space="preserve">with </w:t>
      </w:r>
      <w:r w:rsidR="00A36A3C" w:rsidRPr="00724CA2">
        <w:rPr>
          <w:rFonts w:ascii="Times New Roman" w:hAnsi="Times New Roman" w:cs="Times New Roman"/>
          <w:color w:val="000000" w:themeColor="text1"/>
          <w:sz w:val="24"/>
          <w:szCs w:val="24"/>
        </w:rPr>
        <w:t>more social responsibilities</w:t>
      </w:r>
      <w:r w:rsidR="00B70CDA" w:rsidRPr="00724CA2">
        <w:rPr>
          <w:rFonts w:ascii="Times New Roman" w:hAnsi="Times New Roman" w:cs="Times New Roman"/>
          <w:color w:val="000000" w:themeColor="text1"/>
          <w:sz w:val="24"/>
          <w:szCs w:val="24"/>
        </w:rPr>
        <w:t xml:space="preserve"> are likely to </w:t>
      </w:r>
      <w:r w:rsidR="00844602" w:rsidRPr="00724CA2">
        <w:rPr>
          <w:rFonts w:ascii="Times New Roman" w:hAnsi="Times New Roman" w:cs="Times New Roman"/>
          <w:color w:val="000000" w:themeColor="text1"/>
          <w:sz w:val="24"/>
          <w:szCs w:val="24"/>
        </w:rPr>
        <w:t>partic</w:t>
      </w:r>
      <w:r w:rsidR="003655A2" w:rsidRPr="00724CA2">
        <w:rPr>
          <w:rFonts w:ascii="Times New Roman" w:hAnsi="Times New Roman" w:cs="Times New Roman"/>
          <w:color w:val="000000" w:themeColor="text1"/>
          <w:sz w:val="24"/>
          <w:szCs w:val="24"/>
        </w:rPr>
        <w:t>ip</w:t>
      </w:r>
      <w:r w:rsidR="00844602" w:rsidRPr="00724CA2">
        <w:rPr>
          <w:rFonts w:ascii="Times New Roman" w:hAnsi="Times New Roman" w:cs="Times New Roman"/>
          <w:color w:val="000000" w:themeColor="text1"/>
          <w:sz w:val="24"/>
          <w:szCs w:val="24"/>
        </w:rPr>
        <w:t xml:space="preserve">ate in </w:t>
      </w:r>
      <w:r w:rsidR="00A36A3C" w:rsidRPr="00724CA2">
        <w:rPr>
          <w:rFonts w:ascii="Times New Roman" w:hAnsi="Times New Roman" w:cs="Times New Roman"/>
          <w:color w:val="000000" w:themeColor="text1"/>
          <w:sz w:val="24"/>
          <w:szCs w:val="24"/>
        </w:rPr>
        <w:t xml:space="preserve">environmental protection activities, </w:t>
      </w:r>
      <w:r w:rsidR="006E596F" w:rsidRPr="00724CA2">
        <w:rPr>
          <w:rFonts w:ascii="Times New Roman" w:hAnsi="Times New Roman" w:cs="Times New Roman"/>
          <w:color w:val="000000" w:themeColor="text1"/>
          <w:sz w:val="24"/>
          <w:szCs w:val="24"/>
        </w:rPr>
        <w:t xml:space="preserve">increasing corporate </w:t>
      </w:r>
      <w:r w:rsidR="00A36A3C" w:rsidRPr="00724CA2">
        <w:rPr>
          <w:rFonts w:ascii="Times New Roman" w:hAnsi="Times New Roman" w:cs="Times New Roman"/>
          <w:color w:val="000000" w:themeColor="text1"/>
          <w:sz w:val="24"/>
          <w:szCs w:val="24"/>
        </w:rPr>
        <w:t xml:space="preserve">environmental </w:t>
      </w:r>
      <w:r w:rsidR="0007117D" w:rsidRPr="00724CA2">
        <w:rPr>
          <w:rFonts w:ascii="Times New Roman" w:hAnsi="Times New Roman" w:cs="Times New Roman"/>
          <w:color w:val="000000" w:themeColor="text1"/>
          <w:sz w:val="24"/>
          <w:szCs w:val="24"/>
        </w:rPr>
        <w:t xml:space="preserve">spending </w:t>
      </w:r>
      <w:r w:rsidR="00A36A3C" w:rsidRPr="00724CA2">
        <w:rPr>
          <w:rFonts w:ascii="Times New Roman" w:hAnsi="Times New Roman" w:cs="Times New Roman"/>
          <w:color w:val="000000" w:themeColor="text1"/>
          <w:sz w:val="24"/>
          <w:szCs w:val="24"/>
        </w:rPr>
        <w:t>(Deng et al., 2023). We also control for a firm’s governance</w:t>
      </w:r>
      <w:r w:rsidR="00D034D5" w:rsidRPr="00724CA2">
        <w:rPr>
          <w:rFonts w:ascii="Times New Roman" w:hAnsi="Times New Roman" w:cs="Times New Roman"/>
          <w:color w:val="000000" w:themeColor="text1"/>
          <w:sz w:val="24"/>
          <w:szCs w:val="24"/>
        </w:rPr>
        <w:t xml:space="preserve"> </w:t>
      </w:r>
      <w:r w:rsidR="008A1863">
        <w:rPr>
          <w:rFonts w:ascii="Times New Roman" w:hAnsi="Times New Roman" w:cs="Times New Roman" w:hint="eastAsia"/>
          <w:color w:val="000000" w:themeColor="text1"/>
          <w:sz w:val="24"/>
          <w:szCs w:val="24"/>
          <w:lang w:eastAsia="zh-CN"/>
        </w:rPr>
        <w:t xml:space="preserve">scores </w:t>
      </w:r>
      <w:r w:rsidR="00D034D5" w:rsidRPr="00724CA2">
        <w:rPr>
          <w:rFonts w:ascii="Times New Roman" w:hAnsi="Times New Roman" w:cs="Times New Roman"/>
          <w:color w:val="000000" w:themeColor="text1"/>
          <w:sz w:val="24"/>
          <w:szCs w:val="24"/>
        </w:rPr>
        <w:t>as f</w:t>
      </w:r>
      <w:r w:rsidR="00A36A3C" w:rsidRPr="00724CA2">
        <w:rPr>
          <w:rFonts w:ascii="Times New Roman" w:hAnsi="Times New Roman" w:cs="Times New Roman"/>
          <w:color w:val="000000" w:themeColor="text1"/>
          <w:sz w:val="24"/>
          <w:szCs w:val="24"/>
        </w:rPr>
        <w:t>irms with robust corporate governance mechanisms</w:t>
      </w:r>
      <w:r w:rsidR="00185924" w:rsidRPr="00724CA2">
        <w:rPr>
          <w:rFonts w:ascii="Times New Roman" w:hAnsi="Times New Roman" w:cs="Times New Roman"/>
          <w:color w:val="000000" w:themeColor="text1"/>
          <w:sz w:val="24"/>
          <w:szCs w:val="24"/>
        </w:rPr>
        <w:t xml:space="preserve"> </w:t>
      </w:r>
      <w:r w:rsidR="00185924" w:rsidRPr="00724CA2">
        <w:rPr>
          <w:rFonts w:ascii="Times New Roman" w:hAnsi="Times New Roman" w:cs="Times New Roman"/>
          <w:color w:val="000000" w:themeColor="text1"/>
          <w:sz w:val="24"/>
          <w:szCs w:val="24"/>
        </w:rPr>
        <w:lastRenderedPageBreak/>
        <w:t xml:space="preserve">generate more </w:t>
      </w:r>
      <w:r w:rsidR="00A36A3C" w:rsidRPr="00724CA2">
        <w:rPr>
          <w:rFonts w:ascii="Times New Roman" w:hAnsi="Times New Roman" w:cs="Times New Roman"/>
          <w:color w:val="000000" w:themeColor="text1"/>
          <w:sz w:val="24"/>
          <w:szCs w:val="24"/>
        </w:rPr>
        <w:t>CSR related disclosure</w:t>
      </w:r>
      <w:r w:rsidR="003C518A" w:rsidRPr="00724CA2">
        <w:rPr>
          <w:rFonts w:ascii="Times New Roman" w:hAnsi="Times New Roman" w:cs="Times New Roman"/>
          <w:color w:val="000000" w:themeColor="text1"/>
          <w:sz w:val="24"/>
          <w:szCs w:val="24"/>
        </w:rPr>
        <w:t>s</w:t>
      </w:r>
      <w:r w:rsidR="00A36A3C" w:rsidRPr="00724CA2">
        <w:rPr>
          <w:rFonts w:ascii="Times New Roman" w:hAnsi="Times New Roman" w:cs="Times New Roman"/>
          <w:color w:val="000000" w:themeColor="text1"/>
          <w:sz w:val="24"/>
          <w:szCs w:val="24"/>
        </w:rPr>
        <w:t xml:space="preserve"> </w:t>
      </w:r>
      <w:r w:rsidR="003C518A" w:rsidRPr="00724CA2">
        <w:rPr>
          <w:rFonts w:ascii="Times New Roman" w:hAnsi="Times New Roman" w:cs="Times New Roman"/>
          <w:color w:val="000000" w:themeColor="text1"/>
          <w:sz w:val="24"/>
          <w:szCs w:val="24"/>
        </w:rPr>
        <w:t xml:space="preserve">to </w:t>
      </w:r>
      <w:r w:rsidR="00A36A3C" w:rsidRPr="00724CA2">
        <w:rPr>
          <w:rFonts w:ascii="Times New Roman" w:hAnsi="Times New Roman" w:cs="Times New Roman"/>
          <w:color w:val="000000" w:themeColor="text1"/>
          <w:sz w:val="24"/>
          <w:szCs w:val="24"/>
        </w:rPr>
        <w:t xml:space="preserve">address stakeholder concerns (Chan et al., 2014). </w:t>
      </w:r>
      <w:bookmarkEnd w:id="7"/>
      <w:r w:rsidR="00BF0D32" w:rsidRPr="00724CA2">
        <w:rPr>
          <w:rFonts w:ascii="Times New Roman" w:hAnsi="Times New Roman" w:cs="Times New Roman"/>
          <w:color w:val="000000" w:themeColor="text1"/>
          <w:sz w:val="24"/>
          <w:szCs w:val="24"/>
        </w:rPr>
        <w:t xml:space="preserve"> </w:t>
      </w:r>
      <w:r w:rsidR="006442F4" w:rsidRPr="006442F4">
        <w:rPr>
          <w:rFonts w:ascii="Times New Roman" w:hAnsi="Times New Roman" w:cs="Times New Roman"/>
          <w:color w:val="000000" w:themeColor="text1"/>
          <w:sz w:val="24"/>
          <w:szCs w:val="24"/>
          <w:lang w:eastAsia="zh-CN"/>
        </w:rPr>
        <w:t>We control for CEO duality, as CEOs who also hold the chairperson position may prioritize their financial benefits over stakeholders’ interests and negatively influence corporate environmental spending</w:t>
      </w:r>
      <w:r w:rsidR="006442F4">
        <w:rPr>
          <w:rFonts w:ascii="Times New Roman" w:hAnsi="Times New Roman" w:cs="Times New Roman" w:hint="eastAsia"/>
          <w:color w:val="000000" w:themeColor="text1"/>
          <w:sz w:val="24"/>
          <w:szCs w:val="24"/>
          <w:lang w:eastAsia="zh-CN"/>
        </w:rPr>
        <w:t xml:space="preserve"> </w:t>
      </w:r>
      <w:r w:rsidRPr="00724CA2">
        <w:rPr>
          <w:rFonts w:ascii="Times New Roman" w:hAnsi="Times New Roman" w:cs="Times New Roman"/>
          <w:color w:val="000000" w:themeColor="text1"/>
          <w:sz w:val="24"/>
          <w:szCs w:val="24"/>
          <w:lang w:eastAsia="zh-CN"/>
        </w:rPr>
        <w:t>(</w:t>
      </w:r>
      <w:r w:rsidR="00246019" w:rsidRPr="00724CA2">
        <w:rPr>
          <w:rFonts w:ascii="Times New Roman" w:hAnsi="Times New Roman" w:cs="Times New Roman"/>
          <w:color w:val="000000" w:themeColor="text1"/>
          <w:sz w:val="24"/>
          <w:szCs w:val="24"/>
          <w:lang w:eastAsia="zh-CN"/>
        </w:rPr>
        <w:t>Abebe and Acharya, 2022</w:t>
      </w:r>
      <w:r w:rsidRPr="00724CA2">
        <w:rPr>
          <w:rFonts w:ascii="Times New Roman" w:hAnsi="Times New Roman" w:cs="Times New Roman"/>
          <w:color w:val="000000" w:themeColor="text1"/>
          <w:sz w:val="24"/>
          <w:szCs w:val="24"/>
          <w:lang w:eastAsia="zh-CN"/>
        </w:rPr>
        <w:t xml:space="preserve">). ‘Board independence’ is measured as the proportion of independent directors on a board. </w:t>
      </w:r>
      <w:r w:rsidR="0026167B" w:rsidRPr="00724CA2">
        <w:rPr>
          <w:rFonts w:ascii="Times New Roman" w:hAnsi="Times New Roman" w:cs="Times New Roman"/>
          <w:color w:val="000000" w:themeColor="text1"/>
          <w:sz w:val="24"/>
          <w:szCs w:val="24"/>
          <w:lang w:eastAsia="zh-CN"/>
        </w:rPr>
        <w:t>We control</w:t>
      </w:r>
      <w:r w:rsidR="00F84750" w:rsidRPr="00724CA2">
        <w:rPr>
          <w:rFonts w:ascii="Times New Roman" w:hAnsi="Times New Roman" w:cs="Times New Roman"/>
          <w:color w:val="000000" w:themeColor="text1"/>
          <w:sz w:val="24"/>
          <w:szCs w:val="24"/>
          <w:lang w:eastAsia="zh-CN"/>
        </w:rPr>
        <w:t xml:space="preserve"> for</w:t>
      </w:r>
      <w:r w:rsidR="0026167B" w:rsidRPr="00724CA2">
        <w:rPr>
          <w:rFonts w:ascii="Times New Roman" w:hAnsi="Times New Roman" w:cs="Times New Roman"/>
          <w:color w:val="000000" w:themeColor="text1"/>
          <w:sz w:val="24"/>
          <w:szCs w:val="24"/>
          <w:lang w:eastAsia="zh-CN"/>
        </w:rPr>
        <w:t xml:space="preserve"> this </w:t>
      </w:r>
      <w:r w:rsidRPr="00724CA2">
        <w:rPr>
          <w:rFonts w:ascii="Times New Roman" w:hAnsi="Times New Roman" w:cs="Times New Roman"/>
          <w:color w:val="000000" w:themeColor="text1"/>
          <w:sz w:val="24"/>
          <w:szCs w:val="24"/>
          <w:lang w:eastAsia="zh-CN"/>
        </w:rPr>
        <w:t>variable as a higher proportion of independent directors can objectively question and evaluate management, enhancing environmental performance (De Villiers et al., 2011</w:t>
      </w:r>
      <w:r w:rsidR="00963C84" w:rsidRPr="00724CA2">
        <w:rPr>
          <w:rFonts w:ascii="Times New Roman" w:hAnsi="Times New Roman" w:cs="Times New Roman"/>
          <w:color w:val="000000" w:themeColor="text1"/>
          <w:sz w:val="24"/>
          <w:szCs w:val="24"/>
          <w:lang w:eastAsia="zh-CN"/>
        </w:rPr>
        <w:t>; Wang et al., 2019</w:t>
      </w:r>
      <w:r w:rsidRPr="00724CA2">
        <w:rPr>
          <w:rFonts w:ascii="Times New Roman" w:hAnsi="Times New Roman" w:cs="Times New Roman"/>
          <w:color w:val="000000" w:themeColor="text1"/>
          <w:sz w:val="24"/>
          <w:szCs w:val="24"/>
          <w:lang w:eastAsia="zh-CN"/>
        </w:rPr>
        <w:t xml:space="preserve">). </w:t>
      </w:r>
      <w:r w:rsidR="00FD3E08" w:rsidRPr="00724CA2">
        <w:rPr>
          <w:rFonts w:ascii="Times New Roman" w:hAnsi="Times New Roman" w:cs="Times New Roman"/>
          <w:color w:val="000000" w:themeColor="text1"/>
          <w:sz w:val="24"/>
          <w:szCs w:val="24"/>
          <w:lang w:eastAsia="zh-CN"/>
        </w:rPr>
        <w:t>A</w:t>
      </w:r>
      <w:r w:rsidRPr="00724CA2">
        <w:rPr>
          <w:rFonts w:ascii="Times New Roman" w:hAnsi="Times New Roman" w:cs="Times New Roman"/>
          <w:color w:val="000000" w:themeColor="text1"/>
          <w:sz w:val="24"/>
          <w:szCs w:val="24"/>
          <w:lang w:eastAsia="zh-CN"/>
        </w:rPr>
        <w:t xml:space="preserve"> ‘board meeting’ variable </w:t>
      </w:r>
      <w:r w:rsidR="00FD3E08" w:rsidRPr="00724CA2">
        <w:rPr>
          <w:rFonts w:ascii="Times New Roman" w:hAnsi="Times New Roman" w:cs="Times New Roman"/>
          <w:color w:val="000000" w:themeColor="text1"/>
          <w:sz w:val="24"/>
          <w:szCs w:val="24"/>
          <w:lang w:eastAsia="zh-CN"/>
        </w:rPr>
        <w:t>is included to</w:t>
      </w:r>
      <w:r w:rsidR="00891BEE" w:rsidRPr="00724CA2">
        <w:rPr>
          <w:rFonts w:ascii="Times New Roman" w:hAnsi="Times New Roman" w:cs="Times New Roman"/>
          <w:color w:val="000000" w:themeColor="text1"/>
          <w:sz w:val="24"/>
          <w:szCs w:val="24"/>
          <w:lang w:eastAsia="zh-CN"/>
        </w:rPr>
        <w:t xml:space="preserve"> </w:t>
      </w:r>
      <w:r w:rsidRPr="00724CA2">
        <w:rPr>
          <w:rFonts w:ascii="Times New Roman" w:hAnsi="Times New Roman" w:cs="Times New Roman"/>
          <w:color w:val="000000" w:themeColor="text1"/>
          <w:sz w:val="24"/>
          <w:szCs w:val="24"/>
          <w:lang w:eastAsia="zh-CN"/>
        </w:rPr>
        <w:t>measure the frequency of board meetings per annum</w:t>
      </w:r>
      <w:r w:rsidR="003C518A" w:rsidRPr="00724CA2">
        <w:rPr>
          <w:rFonts w:ascii="Times New Roman" w:hAnsi="Times New Roman" w:cs="Times New Roman"/>
          <w:color w:val="000000" w:themeColor="text1"/>
          <w:sz w:val="24"/>
          <w:szCs w:val="24"/>
          <w:lang w:eastAsia="zh-CN"/>
        </w:rPr>
        <w:t xml:space="preserve">, </w:t>
      </w:r>
      <w:r w:rsidR="00891BEE" w:rsidRPr="00724CA2">
        <w:rPr>
          <w:rFonts w:ascii="Times New Roman" w:hAnsi="Times New Roman" w:cs="Times New Roman"/>
          <w:color w:val="000000" w:themeColor="text1"/>
          <w:sz w:val="24"/>
          <w:szCs w:val="24"/>
          <w:lang w:eastAsia="zh-CN"/>
        </w:rPr>
        <w:t xml:space="preserve">as </w:t>
      </w:r>
      <w:r w:rsidR="007870A8" w:rsidRPr="00724CA2">
        <w:rPr>
          <w:rFonts w:ascii="Times New Roman" w:hAnsi="Times New Roman" w:cs="Times New Roman"/>
          <w:color w:val="000000" w:themeColor="text1"/>
          <w:sz w:val="24"/>
          <w:szCs w:val="24"/>
          <w:lang w:eastAsia="zh-CN"/>
        </w:rPr>
        <w:t xml:space="preserve">firms </w:t>
      </w:r>
      <w:r w:rsidR="00AB2C4B" w:rsidRPr="00724CA2">
        <w:rPr>
          <w:rFonts w:ascii="Times New Roman" w:hAnsi="Times New Roman" w:cs="Times New Roman"/>
          <w:color w:val="000000" w:themeColor="text1"/>
          <w:sz w:val="24"/>
          <w:szCs w:val="24"/>
          <w:lang w:eastAsia="zh-CN"/>
        </w:rPr>
        <w:t xml:space="preserve">with </w:t>
      </w:r>
      <w:r w:rsidR="007870A8" w:rsidRPr="00724CA2">
        <w:rPr>
          <w:rFonts w:ascii="Times New Roman" w:hAnsi="Times New Roman" w:cs="Times New Roman"/>
          <w:color w:val="000000" w:themeColor="text1"/>
          <w:sz w:val="24"/>
          <w:szCs w:val="24"/>
          <w:lang w:eastAsia="zh-CN"/>
        </w:rPr>
        <w:t xml:space="preserve">frequent board meetings are more likely to discuss </w:t>
      </w:r>
      <w:r w:rsidR="00410005" w:rsidRPr="00724CA2">
        <w:rPr>
          <w:rFonts w:ascii="Times New Roman" w:hAnsi="Times New Roman" w:cs="Times New Roman"/>
          <w:color w:val="000000" w:themeColor="text1"/>
          <w:sz w:val="24"/>
          <w:szCs w:val="24"/>
          <w:lang w:eastAsia="zh-CN"/>
        </w:rPr>
        <w:t xml:space="preserve">environmental </w:t>
      </w:r>
      <w:r w:rsidRPr="00724CA2">
        <w:rPr>
          <w:rFonts w:ascii="Times New Roman" w:hAnsi="Times New Roman" w:cs="Times New Roman"/>
          <w:color w:val="000000" w:themeColor="text1"/>
          <w:sz w:val="24"/>
          <w:szCs w:val="24"/>
          <w:lang w:eastAsia="zh-CN"/>
        </w:rPr>
        <w:t>issues (Ricart et al., 2005).</w:t>
      </w:r>
    </w:p>
    <w:p w14:paraId="39BA1782" w14:textId="35080DB8" w:rsidR="00762E45" w:rsidRPr="00724CA2" w:rsidRDefault="00762E45" w:rsidP="001F201D">
      <w:pPr>
        <w:pStyle w:val="BodyText2"/>
        <w:spacing w:afterLines="50" w:after="120" w:line="480" w:lineRule="auto"/>
        <w:ind w:firstLine="284"/>
        <w:rPr>
          <w:color w:val="000000" w:themeColor="text1"/>
          <w:sz w:val="24"/>
          <w:szCs w:val="24"/>
          <w:lang w:eastAsia="zh-CN"/>
        </w:rPr>
      </w:pPr>
      <w:r w:rsidRPr="00724CA2">
        <w:rPr>
          <w:color w:val="000000" w:themeColor="text1"/>
          <w:sz w:val="24"/>
          <w:szCs w:val="24"/>
          <w:lang w:eastAsia="zh-CN"/>
        </w:rPr>
        <w:t xml:space="preserve">We </w:t>
      </w:r>
      <w:r w:rsidR="0059034C" w:rsidRPr="00724CA2">
        <w:rPr>
          <w:color w:val="000000" w:themeColor="text1"/>
          <w:sz w:val="24"/>
          <w:szCs w:val="24"/>
          <w:lang w:eastAsia="zh-CN"/>
        </w:rPr>
        <w:t>control</w:t>
      </w:r>
      <w:r w:rsidR="00F96E1B" w:rsidRPr="00724CA2">
        <w:rPr>
          <w:color w:val="000000" w:themeColor="text1"/>
          <w:sz w:val="24"/>
          <w:szCs w:val="24"/>
          <w:lang w:eastAsia="zh-CN"/>
        </w:rPr>
        <w:t xml:space="preserve"> </w:t>
      </w:r>
      <w:r w:rsidR="0059034C">
        <w:rPr>
          <w:color w:val="000000" w:themeColor="text1"/>
          <w:sz w:val="24"/>
          <w:szCs w:val="24"/>
          <w:lang w:eastAsia="zh-CN"/>
        </w:rPr>
        <w:t xml:space="preserve">for </w:t>
      </w:r>
      <w:r w:rsidRPr="00724CA2">
        <w:rPr>
          <w:color w:val="000000" w:themeColor="text1"/>
          <w:sz w:val="24"/>
          <w:szCs w:val="24"/>
          <w:lang w:eastAsia="zh-CN"/>
        </w:rPr>
        <w:t>a firm’s managerial ownership</w:t>
      </w:r>
      <w:r w:rsidR="00850A87" w:rsidRPr="00724CA2">
        <w:rPr>
          <w:color w:val="000000" w:themeColor="text1"/>
          <w:sz w:val="24"/>
          <w:szCs w:val="24"/>
          <w:lang w:eastAsia="zh-CN"/>
        </w:rPr>
        <w:t>,</w:t>
      </w:r>
      <w:r w:rsidR="00254767" w:rsidRPr="00724CA2">
        <w:rPr>
          <w:color w:val="000000" w:themeColor="text1"/>
          <w:sz w:val="24"/>
          <w:szCs w:val="24"/>
          <w:lang w:eastAsia="zh-CN"/>
        </w:rPr>
        <w:t xml:space="preserve"> as </w:t>
      </w:r>
      <w:r w:rsidR="00850A87" w:rsidRPr="00724CA2">
        <w:rPr>
          <w:color w:val="000000" w:themeColor="text1"/>
          <w:sz w:val="24"/>
          <w:szCs w:val="24"/>
          <w:lang w:eastAsia="zh-CN"/>
        </w:rPr>
        <w:t>managers bear greater costs for environmental protection as</w:t>
      </w:r>
      <w:r w:rsidRPr="00724CA2">
        <w:rPr>
          <w:color w:val="000000" w:themeColor="text1"/>
          <w:sz w:val="24"/>
          <w:szCs w:val="24"/>
          <w:lang w:eastAsia="zh-CN"/>
        </w:rPr>
        <w:t xml:space="preserve"> </w:t>
      </w:r>
      <w:r w:rsidR="00850A87" w:rsidRPr="00724CA2">
        <w:rPr>
          <w:color w:val="000000" w:themeColor="text1"/>
          <w:sz w:val="24"/>
          <w:szCs w:val="24"/>
          <w:lang w:eastAsia="zh-CN"/>
        </w:rPr>
        <w:t xml:space="preserve">their </w:t>
      </w:r>
      <w:r w:rsidRPr="00724CA2">
        <w:rPr>
          <w:color w:val="000000" w:themeColor="text1"/>
          <w:sz w:val="24"/>
          <w:szCs w:val="24"/>
          <w:lang w:eastAsia="zh-CN"/>
        </w:rPr>
        <w:t xml:space="preserve">ownership increases (Withisuphakorn and Jiraporn, 2019). </w:t>
      </w:r>
      <w:r w:rsidR="00276BF9" w:rsidRPr="00724CA2">
        <w:rPr>
          <w:color w:val="000000" w:themeColor="text1"/>
          <w:sz w:val="24"/>
          <w:szCs w:val="24"/>
          <w:lang w:eastAsia="zh-CN"/>
        </w:rPr>
        <w:t xml:space="preserve">The </w:t>
      </w:r>
      <w:r w:rsidRPr="00724CA2">
        <w:rPr>
          <w:color w:val="000000" w:themeColor="text1"/>
          <w:sz w:val="24"/>
          <w:szCs w:val="24"/>
          <w:lang w:eastAsia="zh-CN"/>
        </w:rPr>
        <w:t>Z-index</w:t>
      </w:r>
      <w:r w:rsidR="00276BF9" w:rsidRPr="00724CA2">
        <w:rPr>
          <w:color w:val="000000" w:themeColor="text1"/>
          <w:sz w:val="24"/>
          <w:szCs w:val="24"/>
          <w:lang w:eastAsia="zh-CN"/>
        </w:rPr>
        <w:t>, a</w:t>
      </w:r>
      <w:r w:rsidR="0065556C" w:rsidRPr="00724CA2">
        <w:rPr>
          <w:color w:val="000000" w:themeColor="text1"/>
          <w:sz w:val="24"/>
          <w:szCs w:val="24"/>
          <w:lang w:eastAsia="zh-CN"/>
        </w:rPr>
        <w:t xml:space="preserve"> </w:t>
      </w:r>
      <w:r w:rsidR="00276BF9" w:rsidRPr="00724CA2">
        <w:rPr>
          <w:color w:val="000000" w:themeColor="text1"/>
          <w:sz w:val="24"/>
          <w:szCs w:val="24"/>
          <w:lang w:eastAsia="zh-CN"/>
        </w:rPr>
        <w:t>ratio of the largest to the second largest shareholding</w:t>
      </w:r>
      <w:r w:rsidR="0065556C" w:rsidRPr="00724CA2">
        <w:rPr>
          <w:color w:val="000000" w:themeColor="text1"/>
          <w:sz w:val="24"/>
          <w:szCs w:val="24"/>
          <w:lang w:eastAsia="zh-CN"/>
        </w:rPr>
        <w:t xml:space="preserve"> is used </w:t>
      </w:r>
      <w:r w:rsidR="008538ED" w:rsidRPr="00724CA2">
        <w:rPr>
          <w:color w:val="000000" w:themeColor="text1"/>
          <w:sz w:val="24"/>
          <w:szCs w:val="24"/>
          <w:lang w:eastAsia="zh-CN"/>
        </w:rPr>
        <w:t xml:space="preserve">to </w:t>
      </w:r>
      <w:r w:rsidR="00F84750" w:rsidRPr="00724CA2">
        <w:rPr>
          <w:color w:val="000000" w:themeColor="text1"/>
          <w:sz w:val="24"/>
          <w:szCs w:val="24"/>
          <w:lang w:eastAsia="zh-CN"/>
        </w:rPr>
        <w:t xml:space="preserve">represent </w:t>
      </w:r>
      <w:r w:rsidRPr="00724CA2">
        <w:rPr>
          <w:color w:val="000000" w:themeColor="text1"/>
          <w:sz w:val="24"/>
          <w:szCs w:val="24"/>
          <w:lang w:eastAsia="zh-CN"/>
        </w:rPr>
        <w:t xml:space="preserve">ownership concentration. </w:t>
      </w:r>
      <w:r w:rsidR="006255B6" w:rsidRPr="006255B6">
        <w:rPr>
          <w:color w:val="000000" w:themeColor="text1"/>
          <w:sz w:val="24"/>
          <w:szCs w:val="24"/>
          <w:lang w:eastAsia="zh-CN"/>
        </w:rPr>
        <w:t>This variable is included because higher ownership concentration enables effective monitoring by large shareholders, which may improve environmental performance as a result</w:t>
      </w:r>
      <w:r w:rsidR="006255B6">
        <w:rPr>
          <w:rFonts w:hint="eastAsia"/>
          <w:color w:val="000000" w:themeColor="text1"/>
          <w:sz w:val="24"/>
          <w:szCs w:val="24"/>
          <w:lang w:eastAsia="zh-CN"/>
        </w:rPr>
        <w:t xml:space="preserve"> </w:t>
      </w:r>
      <w:r w:rsidRPr="00724CA2">
        <w:rPr>
          <w:color w:val="000000" w:themeColor="text1"/>
          <w:sz w:val="24"/>
          <w:szCs w:val="24"/>
          <w:lang w:eastAsia="zh-CN"/>
        </w:rPr>
        <w:t>(Earnhart and Lizal, 2006). F</w:t>
      </w:r>
      <w:r w:rsidRPr="00724CA2">
        <w:rPr>
          <w:color w:val="000000" w:themeColor="text1"/>
          <w:sz w:val="24"/>
          <w:szCs w:val="24"/>
        </w:rPr>
        <w:t>inancial performance variables are controlled using stock return</w:t>
      </w:r>
      <w:r w:rsidR="000C7817" w:rsidRPr="00724CA2">
        <w:rPr>
          <w:color w:val="000000" w:themeColor="text1"/>
          <w:sz w:val="24"/>
          <w:szCs w:val="24"/>
        </w:rPr>
        <w:t>s</w:t>
      </w:r>
      <w:r w:rsidRPr="00724CA2">
        <w:rPr>
          <w:color w:val="000000" w:themeColor="text1"/>
          <w:sz w:val="24"/>
          <w:szCs w:val="24"/>
        </w:rPr>
        <w:t xml:space="preserve"> an</w:t>
      </w:r>
      <w:r w:rsidRPr="00724CA2">
        <w:rPr>
          <w:color w:val="000000" w:themeColor="text1"/>
          <w:sz w:val="24"/>
          <w:szCs w:val="24"/>
          <w:lang w:eastAsia="zh-CN"/>
        </w:rPr>
        <w:t>d</w:t>
      </w:r>
      <w:r w:rsidRPr="00724CA2">
        <w:rPr>
          <w:color w:val="000000" w:themeColor="text1"/>
          <w:sz w:val="24"/>
          <w:szCs w:val="24"/>
        </w:rPr>
        <w:t xml:space="preserve"> Tobin’s Q variables</w:t>
      </w:r>
      <w:r w:rsidR="002A7916" w:rsidRPr="00724CA2">
        <w:rPr>
          <w:color w:val="000000" w:themeColor="text1"/>
          <w:sz w:val="24"/>
          <w:szCs w:val="24"/>
        </w:rPr>
        <w:t xml:space="preserve">, </w:t>
      </w:r>
      <w:r w:rsidR="00975724" w:rsidRPr="00975724">
        <w:rPr>
          <w:color w:val="000000" w:themeColor="text1"/>
          <w:sz w:val="24"/>
          <w:szCs w:val="24"/>
        </w:rPr>
        <w:t>as firms with better financial performance are more capable of pursuing environmentally friendly business practices</w:t>
      </w:r>
      <w:r w:rsidRPr="00724CA2">
        <w:rPr>
          <w:color w:val="000000" w:themeColor="text1"/>
          <w:sz w:val="24"/>
          <w:szCs w:val="24"/>
        </w:rPr>
        <w:t xml:space="preserve">. </w:t>
      </w:r>
      <w:r w:rsidR="002605A2" w:rsidRPr="002605A2">
        <w:rPr>
          <w:color w:val="000000" w:themeColor="text1"/>
          <w:sz w:val="24"/>
          <w:szCs w:val="24"/>
        </w:rPr>
        <w:t xml:space="preserve">We also control for leverage, as firms may increase their debt levels to finance environmental protection </w:t>
      </w:r>
      <w:r w:rsidR="00676A34" w:rsidRPr="00724CA2">
        <w:rPr>
          <w:color w:val="000000" w:themeColor="text1"/>
          <w:sz w:val="24"/>
          <w:szCs w:val="24"/>
        </w:rPr>
        <w:t>(Clarkson et al. 2008)</w:t>
      </w:r>
      <w:r w:rsidRPr="00724CA2">
        <w:rPr>
          <w:color w:val="000000" w:themeColor="text1"/>
          <w:sz w:val="24"/>
          <w:szCs w:val="24"/>
        </w:rPr>
        <w:t>. We also control for f</w:t>
      </w:r>
      <w:r w:rsidRPr="00724CA2">
        <w:rPr>
          <w:color w:val="000000" w:themeColor="text1"/>
          <w:sz w:val="24"/>
          <w:szCs w:val="24"/>
          <w:lang w:eastAsia="zh-CN"/>
        </w:rPr>
        <w:t xml:space="preserve">irm age, as established firms </w:t>
      </w:r>
      <w:r w:rsidR="00235E9D" w:rsidRPr="00724CA2">
        <w:rPr>
          <w:color w:val="000000" w:themeColor="text1"/>
          <w:sz w:val="24"/>
          <w:szCs w:val="24"/>
          <w:lang w:eastAsia="zh-CN"/>
        </w:rPr>
        <w:t xml:space="preserve">with </w:t>
      </w:r>
      <w:r w:rsidRPr="00724CA2">
        <w:rPr>
          <w:color w:val="000000" w:themeColor="text1"/>
          <w:sz w:val="24"/>
          <w:szCs w:val="24"/>
          <w:lang w:eastAsia="zh-CN"/>
        </w:rPr>
        <w:t xml:space="preserve">more stable cash flows </w:t>
      </w:r>
      <w:r w:rsidR="00235E9D" w:rsidRPr="00724CA2">
        <w:rPr>
          <w:color w:val="000000" w:themeColor="text1"/>
          <w:sz w:val="24"/>
          <w:szCs w:val="24"/>
          <w:lang w:eastAsia="zh-CN"/>
        </w:rPr>
        <w:t>c</w:t>
      </w:r>
      <w:r w:rsidRPr="00724CA2">
        <w:rPr>
          <w:color w:val="000000" w:themeColor="text1"/>
          <w:sz w:val="24"/>
          <w:szCs w:val="24"/>
          <w:lang w:eastAsia="zh-CN"/>
        </w:rPr>
        <w:t>an afford to invest more in environment</w:t>
      </w:r>
      <w:r w:rsidR="00377AF9" w:rsidRPr="00724CA2">
        <w:rPr>
          <w:color w:val="000000" w:themeColor="text1"/>
          <w:sz w:val="24"/>
          <w:szCs w:val="24"/>
          <w:lang w:eastAsia="zh-CN"/>
        </w:rPr>
        <w:t>al</w:t>
      </w:r>
      <w:r w:rsidRPr="00724CA2">
        <w:rPr>
          <w:color w:val="000000" w:themeColor="text1"/>
          <w:sz w:val="24"/>
          <w:szCs w:val="24"/>
          <w:lang w:eastAsia="zh-CN"/>
        </w:rPr>
        <w:t xml:space="preserve"> activities (Withisuphakorn and Jiraporn, 2019). Table 1 summarizes the definition of variables.</w:t>
      </w:r>
    </w:p>
    <w:p w14:paraId="5ADE6B2A" w14:textId="77777777" w:rsidR="00BC7C99" w:rsidRPr="00724CA2" w:rsidRDefault="00BC7C99" w:rsidP="00BC7C99">
      <w:pPr>
        <w:spacing w:afterLines="50" w:after="120" w:line="480" w:lineRule="auto"/>
        <w:ind w:firstLine="284"/>
        <w:jc w:val="center"/>
        <w:rPr>
          <w:rFonts w:ascii="Times New Roman" w:hAnsi="Times New Roman" w:cs="Times New Roman"/>
          <w:b/>
          <w:color w:val="000000" w:themeColor="text1"/>
          <w:sz w:val="24"/>
          <w:szCs w:val="24"/>
        </w:rPr>
      </w:pPr>
      <w:r w:rsidRPr="00724CA2">
        <w:rPr>
          <w:rFonts w:ascii="Times New Roman" w:hAnsi="Times New Roman" w:cs="Times New Roman"/>
          <w:b/>
          <w:color w:val="000000" w:themeColor="text1"/>
          <w:sz w:val="24"/>
          <w:szCs w:val="24"/>
        </w:rPr>
        <w:t>INSERT Table 1</w:t>
      </w:r>
    </w:p>
    <w:p w14:paraId="1940ACC8" w14:textId="4F969CE9" w:rsidR="00A16231" w:rsidRPr="00724CA2" w:rsidRDefault="00A16231" w:rsidP="00470CFD">
      <w:pPr>
        <w:spacing w:afterLines="100" w:after="240" w:line="360" w:lineRule="auto"/>
        <w:jc w:val="both"/>
        <w:rPr>
          <w:rFonts w:ascii="Times New Roman" w:hAnsi="Times New Roman" w:cs="Times New Roman"/>
          <w:b/>
          <w:bCs/>
          <w:color w:val="000000" w:themeColor="text1"/>
          <w:sz w:val="24"/>
          <w:szCs w:val="24"/>
        </w:rPr>
      </w:pPr>
    </w:p>
    <w:p w14:paraId="310615E9" w14:textId="3FDE34A3" w:rsidR="00762E45" w:rsidRPr="001F201D" w:rsidRDefault="00762E45" w:rsidP="00160424">
      <w:pPr>
        <w:spacing w:afterLines="100" w:after="240" w:line="360" w:lineRule="auto"/>
        <w:jc w:val="both"/>
        <w:rPr>
          <w:rFonts w:ascii="Times New Roman" w:hAnsi="Times New Roman" w:cs="Times New Roman"/>
          <w:i/>
          <w:color w:val="000000" w:themeColor="text1"/>
          <w:sz w:val="24"/>
          <w:szCs w:val="24"/>
        </w:rPr>
      </w:pPr>
      <w:r w:rsidRPr="001F201D">
        <w:rPr>
          <w:rFonts w:ascii="Times New Roman" w:hAnsi="Times New Roman" w:cs="Times New Roman"/>
          <w:i/>
          <w:color w:val="000000" w:themeColor="text1"/>
          <w:sz w:val="24"/>
          <w:szCs w:val="24"/>
        </w:rPr>
        <w:lastRenderedPageBreak/>
        <w:t xml:space="preserve">3.2 </w:t>
      </w:r>
      <w:r w:rsidR="004A50F5" w:rsidRPr="001F201D">
        <w:rPr>
          <w:rFonts w:ascii="Times New Roman" w:hAnsi="Times New Roman" w:cs="Times New Roman"/>
          <w:i/>
          <w:color w:val="000000" w:themeColor="text1"/>
          <w:sz w:val="24"/>
          <w:szCs w:val="24"/>
        </w:rPr>
        <w:tab/>
      </w:r>
      <w:r w:rsidRPr="001F201D">
        <w:rPr>
          <w:rFonts w:ascii="Times New Roman" w:hAnsi="Times New Roman" w:cs="Times New Roman"/>
          <w:i/>
          <w:color w:val="000000" w:themeColor="text1"/>
          <w:sz w:val="24"/>
          <w:szCs w:val="24"/>
        </w:rPr>
        <w:t xml:space="preserve">Research </w:t>
      </w:r>
      <w:r w:rsidR="004A50F5" w:rsidRPr="001F201D">
        <w:rPr>
          <w:rFonts w:ascii="Times New Roman" w:hAnsi="Times New Roman" w:cs="Times New Roman"/>
          <w:i/>
          <w:color w:val="000000" w:themeColor="text1"/>
          <w:sz w:val="24"/>
          <w:szCs w:val="24"/>
        </w:rPr>
        <w:t>M</w:t>
      </w:r>
      <w:r w:rsidRPr="001F201D">
        <w:rPr>
          <w:rFonts w:ascii="Times New Roman" w:hAnsi="Times New Roman" w:cs="Times New Roman"/>
          <w:i/>
          <w:color w:val="000000" w:themeColor="text1"/>
          <w:sz w:val="24"/>
          <w:szCs w:val="24"/>
        </w:rPr>
        <w:t>ethod</w:t>
      </w:r>
    </w:p>
    <w:p w14:paraId="362D56F8" w14:textId="2D3B3EFE" w:rsidR="00160424" w:rsidRPr="00724CA2" w:rsidRDefault="00160424" w:rsidP="001F201D">
      <w:pPr>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To examine the relationship between mutual fund ownership and corporate environmental </w:t>
      </w:r>
      <w:r w:rsidR="009D4326" w:rsidRPr="00724CA2">
        <w:rPr>
          <w:rFonts w:ascii="Times New Roman" w:hAnsi="Times New Roman" w:cs="Times New Roman"/>
          <w:color w:val="000000" w:themeColor="text1"/>
          <w:sz w:val="24"/>
          <w:szCs w:val="24"/>
        </w:rPr>
        <w:t>spending</w:t>
      </w:r>
      <w:r w:rsidRPr="00724CA2">
        <w:rPr>
          <w:rFonts w:ascii="Times New Roman" w:hAnsi="Times New Roman" w:cs="Times New Roman"/>
          <w:color w:val="000000" w:themeColor="text1"/>
          <w:sz w:val="24"/>
          <w:szCs w:val="24"/>
        </w:rPr>
        <w:t>, we use a standard fixed-effects model, following Wang and Zhang (2020):</w:t>
      </w:r>
    </w:p>
    <w:p w14:paraId="12B6AF97" w14:textId="6D9DEB75" w:rsidR="00160424" w:rsidRPr="00724CA2" w:rsidRDefault="00160424" w:rsidP="001F201D">
      <w:pPr>
        <w:spacing w:afterLines="50" w:after="120" w:line="480" w:lineRule="auto"/>
        <w:ind w:firstLine="284"/>
        <w:jc w:val="center"/>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Ln</m:t>
        </m:r>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Y</m:t>
                </m:r>
              </m:e>
              <m:sub>
                <m:r>
                  <m:rPr>
                    <m:sty m:val="p"/>
                  </m:rPr>
                  <w:rPr>
                    <w:rFonts w:ascii="Cambria Math" w:hAnsi="Cambria Math" w:cs="Times New Roman"/>
                    <w:color w:val="000000" w:themeColor="text1"/>
                    <w:sz w:val="24"/>
                    <w:szCs w:val="24"/>
                  </w:rPr>
                  <m:t>it</m:t>
                </m:r>
              </m:sub>
            </m:sSub>
            <m:ctrlPr>
              <w:rPr>
                <w:rFonts w:ascii="Cambria Math" w:hAnsi="Cambria Math" w:cs="Times New Roman"/>
                <w:i/>
                <w:color w:val="000000" w:themeColor="text1"/>
                <w:sz w:val="24"/>
                <w:szCs w:val="24"/>
              </w:rPr>
            </m:ctrlPr>
          </m:e>
        </m:d>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Mutual fund</m:t>
            </m:r>
          </m:e>
          <m:sub>
            <m:r>
              <w:rPr>
                <w:rFonts w:ascii="Cambria Math" w:hAnsi="Cambria Math" w:cs="Times New Roman"/>
                <w:color w:val="000000" w:themeColor="text1"/>
                <w:sz w:val="24"/>
                <w:szCs w:val="24"/>
              </w:rPr>
              <m:t>i,t-1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ω</m:t>
            </m:r>
          </m:e>
          <m:sub>
            <m:r>
              <w:rPr>
                <w:rFonts w:ascii="Cambria Math" w:hAnsi="Cambria Math" w:cs="Times New Roman"/>
                <w:color w:val="000000" w:themeColor="text1"/>
                <w:sz w:val="24"/>
                <w:szCs w:val="24"/>
              </w:rPr>
              <m:t>i</m:t>
            </m:r>
          </m:sub>
        </m:sSub>
        <m:sSub>
          <m:sSubPr>
            <m:ctrlPr>
              <w:rPr>
                <w:rFonts w:ascii="Cambria Math" w:hAnsi="Cambria Math" w:cs="Times New Roman"/>
                <w:i/>
                <w:color w:val="000000" w:themeColor="text1"/>
                <w:sz w:val="24"/>
                <w:szCs w:val="24"/>
              </w:rPr>
            </m:ctrlPr>
          </m:sSubPr>
          <m:e>
            <m:r>
              <m:rPr>
                <m:sty m:val="bi"/>
              </m:rPr>
              <w:rPr>
                <w:rFonts w:ascii="Cambria Math" w:hAnsi="Cambria Math" w:cs="Times New Roman"/>
                <w:color w:val="000000" w:themeColor="text1"/>
                <w:sz w:val="24"/>
                <w:szCs w:val="24"/>
              </w:rPr>
              <m:t xml:space="preserve"> X</m:t>
            </m:r>
          </m:e>
          <m:sub>
            <m:r>
              <w:rPr>
                <w:rFonts w:ascii="Cambria Math" w:hAnsi="Cambria Math" w:cs="Times New Roman"/>
                <w:color w:val="000000" w:themeColor="text1"/>
                <w:sz w:val="24"/>
                <w:szCs w:val="24"/>
              </w:rPr>
              <m:t>i,t-1</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α</m:t>
            </m:r>
          </m:e>
          <m:sub>
            <m:r>
              <m:rPr>
                <m:sty m:val="p"/>
              </m:rPr>
              <w:rPr>
                <w:rFonts w:ascii="Cambria Math" w:hAnsi="Cambria Math" w:cs="Times New Roman"/>
                <w:color w:val="000000" w:themeColor="text1"/>
                <w:sz w:val="24"/>
                <w:szCs w:val="24"/>
              </w:rPr>
              <m:t>i</m:t>
            </m:r>
          </m:sub>
        </m:sSub>
        <m:r>
          <m:rPr>
            <m:sty m:val="p"/>
          </m:rPr>
          <w:rPr>
            <w:rFonts w:ascii="Cambria Math" w:hAnsi="Cambria Math" w:cs="Times New Roman"/>
            <w:color w:val="000000" w:themeColor="text1"/>
            <w:sz w:val="24"/>
            <w:szCs w:val="24"/>
          </w:rPr>
          <m:t xml:space="preserve">+ </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γ</m:t>
            </m:r>
          </m:e>
          <m:sub>
            <m:r>
              <m:rPr>
                <m:sty m:val="p"/>
              </m:rPr>
              <w:rPr>
                <w:rFonts w:ascii="Cambria Math" w:hAnsi="Cambria Math" w:cs="Times New Roman"/>
                <w:color w:val="000000" w:themeColor="text1"/>
                <w:sz w:val="24"/>
                <w:szCs w:val="24"/>
              </w:rPr>
              <m:t>t</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ε</m:t>
            </m:r>
          </m:e>
          <m:sub>
            <m:r>
              <m:rPr>
                <m:sty m:val="p"/>
              </m:rPr>
              <w:rPr>
                <w:rFonts w:ascii="Cambria Math" w:hAnsi="Cambria Math" w:cs="Times New Roman"/>
                <w:color w:val="000000" w:themeColor="text1"/>
                <w:sz w:val="24"/>
                <w:szCs w:val="24"/>
              </w:rPr>
              <m:t>it</m:t>
            </m:r>
          </m:sub>
        </m:sSub>
        <m:r>
          <m:rPr>
            <m:sty m:val="p"/>
          </m:rPr>
          <w:rPr>
            <w:rFonts w:ascii="Cambria Math" w:hAnsi="Cambria Math" w:cs="Times New Roman"/>
            <w:color w:val="000000" w:themeColor="text1"/>
            <w:sz w:val="24"/>
            <w:szCs w:val="24"/>
          </w:rPr>
          <m:t xml:space="preserve">                </m:t>
        </m:r>
      </m:oMath>
      <w:r w:rsidRPr="00724CA2">
        <w:rPr>
          <w:rFonts w:ascii="Times New Roman" w:hAnsi="Times New Roman" w:cs="Times New Roman"/>
          <w:color w:val="000000" w:themeColor="text1"/>
          <w:sz w:val="24"/>
          <w:szCs w:val="24"/>
        </w:rPr>
        <w:tab/>
      </w:r>
      <w:r w:rsidRPr="00724CA2">
        <w:rPr>
          <w:rFonts w:ascii="Times New Roman" w:hAnsi="Times New Roman" w:cs="Times New Roman"/>
          <w:color w:val="000000" w:themeColor="text1"/>
          <w:sz w:val="24"/>
          <w:szCs w:val="24"/>
        </w:rPr>
        <w:tab/>
        <w:t>(1)</w:t>
      </w:r>
    </w:p>
    <w:p w14:paraId="057AFE0A" w14:textId="33C2D11A" w:rsidR="00160424" w:rsidRPr="00724CA2" w:rsidRDefault="00160424" w:rsidP="001F201D">
      <w:pPr>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where </w:t>
      </w:r>
      <m:oMath>
        <m:r>
          <w:rPr>
            <w:rFonts w:ascii="Cambria Math" w:hAnsi="Cambria Math" w:cs="Times New Roman"/>
            <w:color w:val="000000" w:themeColor="text1"/>
            <w:sz w:val="24"/>
            <w:szCs w:val="24"/>
          </w:rPr>
          <m:t>Ln</m:t>
        </m:r>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Y</m:t>
                </m:r>
              </m:e>
              <m:sub>
                <m:r>
                  <m:rPr>
                    <m:sty m:val="p"/>
                  </m:rPr>
                  <w:rPr>
                    <w:rFonts w:ascii="Cambria Math" w:hAnsi="Cambria Math" w:cs="Times New Roman"/>
                    <w:color w:val="000000" w:themeColor="text1"/>
                    <w:sz w:val="24"/>
                    <w:szCs w:val="24"/>
                  </w:rPr>
                  <m:t>it</m:t>
                </m:r>
              </m:sub>
            </m:sSub>
            <m:ctrlPr>
              <w:rPr>
                <w:rFonts w:ascii="Cambria Math" w:hAnsi="Cambria Math" w:cs="Times New Roman"/>
                <w:i/>
                <w:color w:val="000000" w:themeColor="text1"/>
                <w:sz w:val="24"/>
                <w:szCs w:val="24"/>
              </w:rPr>
            </m:ctrlPr>
          </m:e>
        </m:d>
      </m:oMath>
      <w:r w:rsidRPr="00724CA2">
        <w:rPr>
          <w:rFonts w:ascii="Times New Roman" w:hAnsi="Times New Roman" w:cs="Times New Roman"/>
          <w:color w:val="000000" w:themeColor="text1"/>
          <w:sz w:val="24"/>
          <w:szCs w:val="24"/>
        </w:rPr>
        <w:t xml:space="preserve"> is the natural logarithm of firm </w:t>
      </w:r>
      <w:r w:rsidRPr="00724CA2">
        <w:rPr>
          <w:rFonts w:ascii="Times New Roman" w:hAnsi="Times New Roman" w:cs="Times New Roman"/>
          <w:i/>
          <w:color w:val="000000" w:themeColor="text1"/>
          <w:sz w:val="24"/>
          <w:szCs w:val="24"/>
        </w:rPr>
        <w:t>i</w:t>
      </w:r>
      <w:r w:rsidRPr="00724CA2">
        <w:rPr>
          <w:rFonts w:ascii="Times New Roman" w:hAnsi="Times New Roman" w:cs="Times New Roman"/>
          <w:color w:val="000000" w:themeColor="text1"/>
          <w:sz w:val="24"/>
          <w:szCs w:val="24"/>
        </w:rPr>
        <w:t xml:space="preserve">’s environmental spending </w:t>
      </w:r>
      <w:r w:rsidRPr="00724CA2">
        <w:rPr>
          <w:rFonts w:ascii="Times New Roman" w:hAnsi="Times New Roman" w:cs="Times New Roman"/>
          <w:i/>
          <w:color w:val="000000" w:themeColor="text1"/>
          <w:sz w:val="24"/>
          <w:szCs w:val="24"/>
        </w:rPr>
        <w:t>i</w:t>
      </w:r>
      <w:r w:rsidRPr="00724CA2">
        <w:rPr>
          <w:rFonts w:ascii="Times New Roman" w:hAnsi="Times New Roman" w:cs="Times New Roman"/>
          <w:color w:val="000000" w:themeColor="text1"/>
          <w:sz w:val="24"/>
          <w:szCs w:val="24"/>
        </w:rPr>
        <w:t xml:space="preserve"> in year </w:t>
      </w:r>
      <w:r w:rsidRPr="00724CA2">
        <w:rPr>
          <w:rFonts w:ascii="Times New Roman" w:hAnsi="Times New Roman" w:cs="Times New Roman"/>
          <w:i/>
          <w:color w:val="000000" w:themeColor="text1"/>
          <w:sz w:val="24"/>
          <w:szCs w:val="24"/>
        </w:rPr>
        <w:t>t</w:t>
      </w:r>
      <w:r w:rsidRPr="00724CA2">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Ln</m:t>
        </m:r>
        <m:sSub>
          <m:sSubPr>
            <m:ctrlPr>
              <w:rPr>
                <w:rFonts w:ascii="Cambria Math" w:hAnsi="Cambria Math" w:cs="Times New Roman"/>
                <w:i/>
                <w:color w:val="000000" w:themeColor="text1"/>
                <w:sz w:val="24"/>
                <w:szCs w:val="24"/>
              </w:rPr>
            </m:ctrlPr>
          </m:sSubPr>
          <m:e>
            <m:d>
              <m:dPr>
                <m:ctrlPr>
                  <w:rPr>
                    <w:rFonts w:ascii="Cambria Math" w:hAnsi="Cambria Math" w:cs="Times New Roman"/>
                    <w:i/>
                    <w:color w:val="000000" w:themeColor="text1"/>
                    <w:sz w:val="24"/>
                    <w:szCs w:val="24"/>
                  </w:rPr>
                </m:ctrlPr>
              </m:dPr>
              <m:e>
                <m:r>
                  <m:rPr>
                    <m:sty m:val="p"/>
                  </m:rPr>
                  <w:rPr>
                    <w:rFonts w:ascii="Cambria Math" w:hAnsi="Cambria Math" w:cs="Times New Roman"/>
                    <w:color w:val="000000" w:themeColor="text1"/>
                    <w:sz w:val="24"/>
                    <w:szCs w:val="24"/>
                  </w:rPr>
                  <m:t>Mutual fund</m:t>
                </m:r>
              </m:e>
            </m:d>
          </m:e>
          <m:sub>
            <m:r>
              <w:rPr>
                <w:rFonts w:ascii="Cambria Math" w:hAnsi="Cambria Math" w:cs="Times New Roman"/>
                <w:color w:val="000000" w:themeColor="text1"/>
                <w:sz w:val="24"/>
                <w:szCs w:val="24"/>
              </w:rPr>
              <m:t>i,t-1</m:t>
            </m:r>
          </m:sub>
        </m:sSub>
      </m:oMath>
      <w:r w:rsidRPr="00724CA2">
        <w:rPr>
          <w:rFonts w:ascii="Times New Roman" w:hAnsi="Times New Roman" w:cs="Times New Roman"/>
          <w:color w:val="000000" w:themeColor="text1"/>
          <w:sz w:val="24"/>
          <w:szCs w:val="24"/>
        </w:rPr>
        <w:t xml:space="preserve">, is the firm </w:t>
      </w:r>
      <w:r w:rsidRPr="00724CA2">
        <w:rPr>
          <w:rFonts w:ascii="Times New Roman" w:hAnsi="Times New Roman" w:cs="Times New Roman"/>
          <w:i/>
          <w:color w:val="000000" w:themeColor="text1"/>
          <w:sz w:val="24"/>
          <w:szCs w:val="24"/>
        </w:rPr>
        <w:t>i</w:t>
      </w:r>
      <w:r w:rsidRPr="00724CA2">
        <w:rPr>
          <w:rFonts w:ascii="Times New Roman" w:hAnsi="Times New Roman" w:cs="Times New Roman"/>
          <w:color w:val="000000" w:themeColor="text1"/>
          <w:sz w:val="24"/>
          <w:szCs w:val="24"/>
        </w:rPr>
        <w:t>’s lagged (</w:t>
      </w:r>
      <w:r w:rsidRPr="00724CA2">
        <w:rPr>
          <w:rFonts w:ascii="Times New Roman" w:hAnsi="Times New Roman" w:cs="Times New Roman"/>
          <w:i/>
          <w:color w:val="000000" w:themeColor="text1"/>
          <w:sz w:val="24"/>
          <w:szCs w:val="24"/>
        </w:rPr>
        <w:t>t-1</w:t>
      </w:r>
      <w:r w:rsidRPr="00724CA2">
        <w:rPr>
          <w:rFonts w:ascii="Times New Roman" w:hAnsi="Times New Roman" w:cs="Times New Roman"/>
          <w:color w:val="000000" w:themeColor="text1"/>
          <w:sz w:val="24"/>
          <w:szCs w:val="24"/>
        </w:rPr>
        <w:t xml:space="preserve">) mutual fund ownership. </w:t>
      </w:r>
      <m:oMath>
        <m:sSub>
          <m:sSubPr>
            <m:ctrlPr>
              <w:rPr>
                <w:rFonts w:ascii="Cambria Math" w:hAnsi="Cambria Math" w:cs="Times New Roman"/>
                <w:i/>
                <w:color w:val="000000" w:themeColor="text1"/>
                <w:sz w:val="24"/>
                <w:szCs w:val="24"/>
              </w:rPr>
            </m:ctrlPr>
          </m:sSubPr>
          <m:e>
            <m:r>
              <m:rPr>
                <m:sty m:val="bi"/>
              </m:rP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it</m:t>
            </m:r>
          </m:sub>
        </m:sSub>
      </m:oMath>
      <w:r w:rsidRPr="00724CA2">
        <w:rPr>
          <w:rFonts w:ascii="Times New Roman" w:hAnsi="Times New Roman" w:cs="Times New Roman"/>
          <w:color w:val="000000" w:themeColor="text1"/>
          <w:sz w:val="24"/>
          <w:szCs w:val="24"/>
        </w:rPr>
        <w:t xml:space="preserve"> denotes firm </w:t>
      </w:r>
      <w:r w:rsidRPr="00724CA2">
        <w:rPr>
          <w:rFonts w:ascii="Times New Roman" w:hAnsi="Times New Roman" w:cs="Times New Roman"/>
          <w:i/>
          <w:color w:val="000000" w:themeColor="text1"/>
          <w:sz w:val="24"/>
          <w:szCs w:val="24"/>
        </w:rPr>
        <w:t>i</w:t>
      </w:r>
      <w:r w:rsidRPr="00724CA2">
        <w:rPr>
          <w:rFonts w:ascii="Times New Roman" w:hAnsi="Times New Roman" w:cs="Times New Roman"/>
          <w:color w:val="000000" w:themeColor="text1"/>
          <w:sz w:val="24"/>
          <w:szCs w:val="24"/>
        </w:rPr>
        <w:t xml:space="preserve">’s control variables.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oMath>
      <w:r w:rsidRPr="00724CA2">
        <w:rPr>
          <w:rFonts w:ascii="Times New Roman" w:hAnsi="Times New Roman" w:cs="Times New Roman" w:hint="eastAsia"/>
          <w:color w:val="000000" w:themeColor="text1"/>
          <w:sz w:val="24"/>
          <w:szCs w:val="24"/>
        </w:rPr>
        <w:t xml:space="preserve"> </w:t>
      </w:r>
      <w:r w:rsidRPr="00724CA2">
        <w:rPr>
          <w:rFonts w:ascii="Times New Roman" w:hAnsi="Times New Roman" w:cs="Times New Roman"/>
          <w:color w:val="000000" w:themeColor="text1"/>
          <w:sz w:val="24"/>
          <w:szCs w:val="24"/>
        </w:rPr>
        <w:t xml:space="preserve">is the coefficient estimate for ‘mutual fund’ variable, and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ω</m:t>
            </m:r>
          </m:e>
          <m:sub>
            <m:r>
              <w:rPr>
                <w:rFonts w:ascii="Cambria Math" w:hAnsi="Cambria Math" w:cs="Times New Roman"/>
                <w:color w:val="000000" w:themeColor="text1"/>
                <w:sz w:val="24"/>
                <w:szCs w:val="24"/>
              </w:rPr>
              <m:t>i</m:t>
            </m:r>
          </m:sub>
        </m:sSub>
      </m:oMath>
      <w:r w:rsidRPr="00724CA2">
        <w:rPr>
          <w:rFonts w:ascii="Times New Roman" w:hAnsi="Times New Roman" w:cs="Times New Roman"/>
          <w:color w:val="000000" w:themeColor="text1"/>
          <w:sz w:val="24"/>
          <w:szCs w:val="24"/>
        </w:rPr>
        <w:t xml:space="preserve"> are the coefficient estimates for a series of control variables. </w:t>
      </w:r>
      <m:oMath>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α</m:t>
            </m:r>
          </m:e>
          <m:sub>
            <m:r>
              <m:rPr>
                <m:sty m:val="p"/>
              </m:rPr>
              <w:rPr>
                <w:rFonts w:ascii="Cambria Math" w:hAnsi="Cambria Math" w:cs="Times New Roman"/>
                <w:color w:val="000000" w:themeColor="text1"/>
                <w:sz w:val="24"/>
                <w:szCs w:val="24"/>
              </w:rPr>
              <m:t>i</m:t>
            </m:r>
          </m:sub>
        </m:sSub>
      </m:oMath>
      <w:r w:rsidRPr="00724CA2">
        <w:rPr>
          <w:rFonts w:ascii="Times New Roman" w:hAnsi="Times New Roman" w:cs="Times New Roman"/>
          <w:color w:val="000000" w:themeColor="text1"/>
          <w:sz w:val="24"/>
          <w:szCs w:val="24"/>
        </w:rPr>
        <w:t xml:space="preserve"> and </w:t>
      </w:r>
      <m:oMath>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γ</m:t>
            </m:r>
          </m:e>
          <m:sub>
            <m:r>
              <m:rPr>
                <m:sty m:val="p"/>
              </m:rPr>
              <w:rPr>
                <w:rFonts w:ascii="Cambria Math" w:hAnsi="Cambria Math" w:cs="Times New Roman"/>
                <w:color w:val="000000" w:themeColor="text1"/>
                <w:sz w:val="24"/>
                <w:szCs w:val="24"/>
              </w:rPr>
              <m:t>t</m:t>
            </m:r>
          </m:sub>
        </m:sSub>
      </m:oMath>
      <w:r w:rsidRPr="00724CA2">
        <w:rPr>
          <w:rFonts w:ascii="Times New Roman" w:hAnsi="Times New Roman" w:cs="Times New Roman"/>
          <w:color w:val="000000" w:themeColor="text1"/>
          <w:sz w:val="24"/>
          <w:szCs w:val="24"/>
        </w:rPr>
        <w:t xml:space="preserve"> are industry and year fixed effects controlling for the unobserved heterogeneities within the industry and the same year. </w:t>
      </w:r>
      <m:oMath>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ε</m:t>
            </m:r>
          </m:e>
          <m:sub>
            <m:r>
              <m:rPr>
                <m:sty m:val="p"/>
              </m:rPr>
              <w:rPr>
                <w:rFonts w:ascii="Cambria Math" w:hAnsi="Cambria Math" w:cs="Times New Roman"/>
                <w:color w:val="000000" w:themeColor="text1"/>
                <w:sz w:val="24"/>
                <w:szCs w:val="24"/>
              </w:rPr>
              <m:t>it</m:t>
            </m:r>
          </m:sub>
        </m:sSub>
      </m:oMath>
      <w:r w:rsidR="00F31771">
        <w:rPr>
          <w:rFonts w:ascii="Times New Roman" w:hAnsi="Times New Roman" w:cs="Times New Roman" w:hint="eastAsia"/>
          <w:color w:val="000000" w:themeColor="text1"/>
          <w:sz w:val="24"/>
          <w:szCs w:val="24"/>
          <w:lang w:eastAsia="zh-CN"/>
        </w:rPr>
        <w:t xml:space="preserve"> is the error term. </w:t>
      </w:r>
      <w:r w:rsidRPr="00724CA2">
        <w:rPr>
          <w:rFonts w:ascii="Times New Roman" w:hAnsi="Times New Roman" w:cs="Times New Roman"/>
          <w:color w:val="000000" w:themeColor="text1"/>
          <w:sz w:val="24"/>
          <w:szCs w:val="24"/>
        </w:rPr>
        <w:t xml:space="preserve">We cluster the standard errors at the industry level to account for arbitrary error autocorrelations within the industry (Petersen, 2009). To validate the inclusion of year fixed effects and industry fixed effects, we run a diagnostic test, </w:t>
      </w:r>
      <w:r w:rsidR="00AE0128" w:rsidRPr="00724CA2">
        <w:rPr>
          <w:rFonts w:ascii="Times New Roman" w:hAnsi="Times New Roman" w:cs="Times New Roman"/>
          <w:color w:val="000000" w:themeColor="text1"/>
          <w:sz w:val="24"/>
          <w:szCs w:val="24"/>
        </w:rPr>
        <w:t>by e</w:t>
      </w:r>
      <w:r w:rsidRPr="00724CA2">
        <w:rPr>
          <w:rFonts w:ascii="Times New Roman" w:hAnsi="Times New Roman" w:cs="Times New Roman"/>
          <w:color w:val="000000" w:themeColor="text1"/>
          <w:sz w:val="24"/>
          <w:szCs w:val="24"/>
        </w:rPr>
        <w:t>stimat</w:t>
      </w:r>
      <w:r w:rsidR="00AE0128" w:rsidRPr="00724CA2">
        <w:rPr>
          <w:rFonts w:ascii="Times New Roman" w:hAnsi="Times New Roman" w:cs="Times New Roman"/>
          <w:color w:val="000000" w:themeColor="text1"/>
          <w:sz w:val="24"/>
          <w:szCs w:val="24"/>
        </w:rPr>
        <w:t>ing</w:t>
      </w:r>
      <w:r w:rsidRPr="00724CA2">
        <w:rPr>
          <w:rFonts w:ascii="Times New Roman" w:hAnsi="Times New Roman" w:cs="Times New Roman"/>
          <w:color w:val="000000" w:themeColor="text1"/>
          <w:sz w:val="24"/>
          <w:szCs w:val="24"/>
        </w:rPr>
        <w:t xml:space="preserve"> the regression equations first and jointly test</w:t>
      </w:r>
      <w:r w:rsidR="00AE0128" w:rsidRPr="00724CA2">
        <w:rPr>
          <w:rFonts w:ascii="Times New Roman" w:hAnsi="Times New Roman" w:cs="Times New Roman"/>
          <w:color w:val="000000" w:themeColor="text1"/>
          <w:sz w:val="24"/>
          <w:szCs w:val="24"/>
        </w:rPr>
        <w:t>ing</w:t>
      </w:r>
      <w:r w:rsidRPr="00724CA2">
        <w:rPr>
          <w:rFonts w:ascii="Times New Roman" w:hAnsi="Times New Roman" w:cs="Times New Roman"/>
          <w:color w:val="000000" w:themeColor="text1"/>
          <w:sz w:val="24"/>
          <w:szCs w:val="24"/>
        </w:rPr>
        <w:t xml:space="preserve"> whether the dummies for all years are equal to zero or not</w:t>
      </w:r>
      <w:r w:rsidR="00770957" w:rsidRPr="00724CA2">
        <w:rPr>
          <w:rFonts w:ascii="Times New Roman" w:hAnsi="Times New Roman" w:cs="Times New Roman"/>
          <w:color w:val="000000" w:themeColor="text1"/>
          <w:sz w:val="24"/>
          <w:szCs w:val="24"/>
        </w:rPr>
        <w:t xml:space="preserve"> (Ashton and Hudson, 2014). </w:t>
      </w:r>
      <w:r w:rsidRPr="00724CA2">
        <w:rPr>
          <w:rFonts w:ascii="Times New Roman" w:hAnsi="Times New Roman" w:cs="Times New Roman"/>
          <w:color w:val="000000" w:themeColor="text1"/>
          <w:sz w:val="24"/>
          <w:szCs w:val="24"/>
        </w:rPr>
        <w:t>We repeat the process for industry fixed effects. In the unreported results, all the P</w:t>
      </w:r>
      <w:r w:rsidR="00805AE6">
        <w:rPr>
          <w:rFonts w:ascii="Times New Roman" w:hAnsi="Times New Roman" w:cs="Times New Roman" w:hint="eastAsia"/>
          <w:color w:val="000000" w:themeColor="text1"/>
          <w:sz w:val="24"/>
          <w:szCs w:val="24"/>
          <w:lang w:eastAsia="zh-CN"/>
        </w:rPr>
        <w:t>-</w:t>
      </w:r>
      <w:r w:rsidRPr="00724CA2">
        <w:rPr>
          <w:rFonts w:ascii="Times New Roman" w:hAnsi="Times New Roman" w:cs="Times New Roman"/>
          <w:color w:val="000000" w:themeColor="text1"/>
          <w:sz w:val="24"/>
          <w:szCs w:val="24"/>
        </w:rPr>
        <w:t>values of the joint tests are less than 0.05, supporting our choice of using both the industry and year fixed effects. To test H</w:t>
      </w:r>
      <w:r w:rsidRPr="004933A4">
        <w:rPr>
          <w:rFonts w:ascii="Times New Roman" w:hAnsi="Times New Roman" w:cs="Times New Roman"/>
          <w:color w:val="000000" w:themeColor="text1"/>
          <w:sz w:val="24"/>
          <w:szCs w:val="24"/>
        </w:rPr>
        <w:t>2</w:t>
      </w:r>
      <w:r w:rsidRPr="00724CA2">
        <w:rPr>
          <w:rFonts w:ascii="Times New Roman" w:hAnsi="Times New Roman" w:cs="Times New Roman"/>
          <w:color w:val="000000" w:themeColor="text1"/>
          <w:sz w:val="24"/>
          <w:szCs w:val="24"/>
        </w:rPr>
        <w:t>, H</w:t>
      </w:r>
      <w:r w:rsidRPr="004933A4">
        <w:rPr>
          <w:rFonts w:ascii="Times New Roman" w:hAnsi="Times New Roman" w:cs="Times New Roman"/>
          <w:color w:val="000000" w:themeColor="text1"/>
          <w:sz w:val="24"/>
          <w:szCs w:val="24"/>
        </w:rPr>
        <w:t>3</w:t>
      </w:r>
      <w:r w:rsidRPr="00724CA2">
        <w:rPr>
          <w:rFonts w:ascii="Times New Roman" w:hAnsi="Times New Roman" w:cs="Times New Roman"/>
          <w:color w:val="000000" w:themeColor="text1"/>
          <w:sz w:val="24"/>
          <w:szCs w:val="24"/>
        </w:rPr>
        <w:t>, and H</w:t>
      </w:r>
      <w:r w:rsidRPr="004933A4">
        <w:rPr>
          <w:rFonts w:ascii="Times New Roman" w:hAnsi="Times New Roman" w:cs="Times New Roman"/>
          <w:color w:val="000000" w:themeColor="text1"/>
          <w:sz w:val="24"/>
          <w:szCs w:val="24"/>
        </w:rPr>
        <w:t>4</w:t>
      </w:r>
      <w:r w:rsidRPr="00724CA2">
        <w:rPr>
          <w:rFonts w:ascii="Times New Roman" w:hAnsi="Times New Roman" w:cs="Times New Roman"/>
          <w:color w:val="000000" w:themeColor="text1"/>
          <w:sz w:val="24"/>
          <w:szCs w:val="24"/>
        </w:rPr>
        <w:t xml:space="preserve">, we incorporate an </w:t>
      </w:r>
      <w:r w:rsidR="00FA3EA9">
        <w:rPr>
          <w:rFonts w:ascii="Times New Roman" w:hAnsi="Times New Roman" w:cs="Times New Roman" w:hint="eastAsia"/>
          <w:color w:val="000000" w:themeColor="text1"/>
          <w:sz w:val="24"/>
          <w:szCs w:val="24"/>
          <w:lang w:eastAsia="zh-CN"/>
        </w:rPr>
        <w:t>i</w:t>
      </w:r>
      <w:r w:rsidRPr="00724CA2">
        <w:rPr>
          <w:rFonts w:ascii="Times New Roman" w:hAnsi="Times New Roman" w:cs="Times New Roman"/>
          <w:color w:val="000000" w:themeColor="text1"/>
          <w:sz w:val="24"/>
          <w:szCs w:val="24"/>
        </w:rPr>
        <w:t>nteraction term to Eq. (1):</w:t>
      </w:r>
    </w:p>
    <w:p w14:paraId="5A70725D" w14:textId="3A6936E9" w:rsidR="00160424" w:rsidRPr="00724CA2" w:rsidRDefault="00160424" w:rsidP="001F201D">
      <w:pPr>
        <w:spacing w:afterLines="50" w:after="120" w:line="480" w:lineRule="auto"/>
        <w:ind w:firstLine="284"/>
        <w:jc w:val="both"/>
        <w:rPr>
          <w:rFonts w:ascii="Times New Roman" w:hAnsi="Times New Roman" w:cs="Times New Roman"/>
          <w:color w:val="000000" w:themeColor="text1"/>
          <w:szCs w:val="21"/>
        </w:rPr>
      </w:pPr>
      <m:oMathPara>
        <m:oMathParaPr>
          <m:jc m:val="center"/>
        </m:oMathParaPr>
        <m:oMath>
          <m:r>
            <w:rPr>
              <w:rFonts w:ascii="Cambria Math" w:hAnsi="Cambria Math" w:cs="Times New Roman"/>
              <w:color w:val="000000" w:themeColor="text1"/>
              <w:szCs w:val="21"/>
            </w:rPr>
            <m:t>Ln</m:t>
          </m:r>
          <m:d>
            <m:dPr>
              <m:ctrlPr>
                <w:rPr>
                  <w:rFonts w:ascii="Cambria Math" w:hAnsi="Cambria Math" w:cs="Times New Roman"/>
                  <w:color w:val="000000" w:themeColor="text1"/>
                  <w:szCs w:val="21"/>
                </w:rPr>
              </m:ctrlPr>
            </m:dPr>
            <m:e>
              <m:sSub>
                <m:sSubPr>
                  <m:ctrlPr>
                    <w:rPr>
                      <w:rFonts w:ascii="Cambria Math" w:hAnsi="Cambria Math" w:cs="Times New Roman"/>
                      <w:color w:val="000000" w:themeColor="text1"/>
                      <w:szCs w:val="21"/>
                    </w:rPr>
                  </m:ctrlPr>
                </m:sSubPr>
                <m:e>
                  <m:r>
                    <m:rPr>
                      <m:sty m:val="p"/>
                    </m:rPr>
                    <w:rPr>
                      <w:rFonts w:ascii="Cambria Math" w:hAnsi="Cambria Math" w:cs="Times New Roman"/>
                      <w:color w:val="000000" w:themeColor="text1"/>
                      <w:szCs w:val="21"/>
                    </w:rPr>
                    <m:t>Y</m:t>
                  </m:r>
                </m:e>
                <m:sub>
                  <m:r>
                    <m:rPr>
                      <m:sty m:val="p"/>
                    </m:rPr>
                    <w:rPr>
                      <w:rFonts w:ascii="Cambria Math" w:hAnsi="Cambria Math" w:cs="Times New Roman"/>
                      <w:color w:val="000000" w:themeColor="text1"/>
                      <w:szCs w:val="21"/>
                    </w:rPr>
                    <m:t>it</m:t>
                  </m:r>
                </m:sub>
              </m:sSub>
              <m:ctrlPr>
                <w:rPr>
                  <w:rFonts w:ascii="Cambria Math" w:hAnsi="Cambria Math" w:cs="Times New Roman"/>
                  <w:i/>
                  <w:color w:val="000000" w:themeColor="text1"/>
                  <w:szCs w:val="21"/>
                </w:rPr>
              </m:ctrlPr>
            </m:e>
          </m:d>
          <m:r>
            <w:rPr>
              <w:rFonts w:ascii="Cambria Math" w:hAnsi="Cambria Math" w:cs="Times New Roman"/>
              <w:color w:val="000000" w:themeColor="text1"/>
              <w:szCs w:val="21"/>
            </w:rPr>
            <m:t>=</m:t>
          </m:r>
          <m:sSub>
            <m:sSubPr>
              <m:ctrlPr>
                <w:rPr>
                  <w:rFonts w:ascii="Cambria Math" w:hAnsi="Cambria Math" w:cs="Times New Roman"/>
                  <w:color w:val="000000" w:themeColor="text1"/>
                  <w:szCs w:val="21"/>
                </w:rPr>
              </m:ctrlPr>
            </m:sSubPr>
            <m:e>
              <m:r>
                <m:rPr>
                  <m:sty m:val="p"/>
                </m:rPr>
                <w:rPr>
                  <w:rFonts w:ascii="Cambria Math" w:hAnsi="Cambria Math" w:cs="Times New Roman"/>
                  <w:color w:val="000000" w:themeColor="text1"/>
                  <w:szCs w:val="21"/>
                </w:rPr>
                <m:t>θ</m:t>
              </m:r>
            </m:e>
            <m:sub>
              <m:r>
                <m:rPr>
                  <m:sty m:val="p"/>
                </m:rPr>
                <w:rPr>
                  <w:rFonts w:ascii="Cambria Math" w:hAnsi="Cambria Math" w:cs="Times New Roman"/>
                  <w:color w:val="000000" w:themeColor="text1"/>
                  <w:szCs w:val="21"/>
                </w:rPr>
                <m:t>i, t</m:t>
              </m:r>
              <m:r>
                <m:rPr>
                  <m:sty m:val="p"/>
                </m:rPr>
                <w:rPr>
                  <w:rFonts w:ascii="Cambria Math" w:eastAsia="Microsoft YaHei" w:hAnsi="Cambria Math" w:cs="Times New Roman"/>
                  <w:color w:val="000000" w:themeColor="text1"/>
                  <w:szCs w:val="21"/>
                </w:rPr>
                <m:t>-</m:t>
              </m:r>
              <m:r>
                <m:rPr>
                  <m:sty m:val="p"/>
                </m:rPr>
                <w:rPr>
                  <w:rFonts w:ascii="Cambria Math" w:hAnsi="Cambria Math" w:cs="Times New Roman"/>
                  <w:color w:val="000000" w:themeColor="text1"/>
                  <w:szCs w:val="21"/>
                </w:rPr>
                <m:t>1</m:t>
              </m:r>
            </m:sub>
          </m:sSub>
          <m:r>
            <w:rPr>
              <w:rFonts w:ascii="Cambria Math" w:hAnsi="Cambria Math" w:cs="Times New Roman"/>
              <w:color w:val="000000" w:themeColor="text1"/>
              <w:szCs w:val="21"/>
            </w:rPr>
            <m:t>×</m:t>
          </m:r>
          <m:sSub>
            <m:sSubPr>
              <m:ctrlPr>
                <w:rPr>
                  <w:rFonts w:ascii="Cambria Math" w:hAnsi="Cambria Math" w:cs="Times New Roman"/>
                  <w:i/>
                  <w:color w:val="000000" w:themeColor="text1"/>
                  <w:szCs w:val="21"/>
                </w:rPr>
              </m:ctrlPr>
            </m:sSubPr>
            <m:e>
              <m:sSub>
                <m:sSubPr>
                  <m:ctrlPr>
                    <w:rPr>
                      <w:rFonts w:ascii="Cambria Math" w:hAnsi="Cambria Math" w:cs="Times New Roman"/>
                      <w:i/>
                      <w:color w:val="000000" w:themeColor="text1"/>
                      <w:szCs w:val="21"/>
                    </w:rPr>
                  </m:ctrlPr>
                </m:sSubPr>
                <m:e>
                  <m:r>
                    <w:rPr>
                      <w:rFonts w:ascii="Cambria Math" w:hAnsi="Cambria Math" w:cs="Times New Roman"/>
                      <w:color w:val="000000" w:themeColor="text1"/>
                      <w:szCs w:val="21"/>
                    </w:rPr>
                    <m:t>β</m:t>
                  </m:r>
                </m:e>
                <m:sub>
                  <m:r>
                    <w:rPr>
                      <w:rFonts w:ascii="Cambria Math" w:hAnsi="Cambria Math" w:cs="Times New Roman"/>
                      <w:color w:val="000000" w:themeColor="text1"/>
                      <w:szCs w:val="21"/>
                    </w:rPr>
                    <m:t>1</m:t>
                  </m:r>
                </m:sub>
              </m:sSub>
              <m:r>
                <w:rPr>
                  <w:rFonts w:ascii="Cambria Math" w:hAnsi="Cambria Math" w:cs="Times New Roman"/>
                  <w:color w:val="000000" w:themeColor="text1"/>
                  <w:szCs w:val="21"/>
                </w:rPr>
                <m:t xml:space="preserve"> Mutual fund</m:t>
              </m:r>
            </m:e>
            <m:sub>
              <m:r>
                <w:rPr>
                  <w:rFonts w:ascii="Cambria Math" w:hAnsi="Cambria Math" w:cs="Times New Roman"/>
                  <w:color w:val="000000" w:themeColor="text1"/>
                  <w:szCs w:val="21"/>
                </w:rPr>
                <m:t>i,t-1</m:t>
              </m:r>
            </m:sub>
          </m:sSub>
          <m:r>
            <w:rPr>
              <w:rFonts w:ascii="Cambria Math" w:hAnsi="Cambria Math" w:cs="Times New Roman"/>
              <w:color w:val="000000" w:themeColor="text1"/>
              <w:szCs w:val="21"/>
            </w:rPr>
            <m:t>+</m:t>
          </m:r>
          <m:sSub>
            <m:sSubPr>
              <m:ctrlPr>
                <w:rPr>
                  <w:rFonts w:ascii="Cambria Math" w:hAnsi="Cambria Math" w:cs="Times New Roman"/>
                  <w:color w:val="000000" w:themeColor="text1"/>
                  <w:szCs w:val="21"/>
                </w:rPr>
              </m:ctrlPr>
            </m:sSubPr>
            <m:e>
              <m:r>
                <m:rPr>
                  <m:sty m:val="p"/>
                </m:rPr>
                <w:rPr>
                  <w:rFonts w:ascii="Cambria Math" w:hAnsi="Cambria Math" w:cs="Times New Roman"/>
                  <w:color w:val="000000" w:themeColor="text1"/>
                  <w:szCs w:val="21"/>
                </w:rPr>
                <m:t>θ</m:t>
              </m:r>
            </m:e>
            <m:sub>
              <m:r>
                <m:rPr>
                  <m:sty m:val="p"/>
                </m:rPr>
                <w:rPr>
                  <w:rFonts w:ascii="Cambria Math" w:hAnsi="Cambria Math" w:cs="Times New Roman"/>
                  <w:color w:val="000000" w:themeColor="text1"/>
                  <w:szCs w:val="21"/>
                </w:rPr>
                <m:t>i, t</m:t>
              </m:r>
              <m:r>
                <m:rPr>
                  <m:sty m:val="p"/>
                </m:rPr>
                <w:rPr>
                  <w:rFonts w:ascii="Cambria Math" w:eastAsia="Microsoft YaHei" w:hAnsi="Cambria Math" w:cs="Times New Roman"/>
                  <w:color w:val="000000" w:themeColor="text1"/>
                  <w:szCs w:val="21"/>
                </w:rPr>
                <m:t>-</m:t>
              </m:r>
              <m:r>
                <m:rPr>
                  <m:sty m:val="p"/>
                </m:rPr>
                <w:rPr>
                  <w:rFonts w:ascii="Cambria Math" w:hAnsi="Cambria Math" w:cs="Times New Roman"/>
                  <w:color w:val="000000" w:themeColor="text1"/>
                  <w:szCs w:val="21"/>
                </w:rPr>
                <m:t>1</m:t>
              </m:r>
            </m:sub>
          </m:sSub>
          <m:r>
            <w:rPr>
              <w:rFonts w:ascii="Cambria Math" w:hAnsi="Cambria Math" w:cs="Times New Roman"/>
              <w:color w:val="000000" w:themeColor="text1"/>
              <w:szCs w:val="21"/>
            </w:rPr>
            <m:t xml:space="preserve">+ </m:t>
          </m:r>
          <m:sSub>
            <m:sSubPr>
              <m:ctrlPr>
                <w:rPr>
                  <w:rFonts w:ascii="Cambria Math" w:hAnsi="Cambria Math" w:cs="Times New Roman"/>
                  <w:i/>
                  <w:color w:val="000000" w:themeColor="text1"/>
                  <w:szCs w:val="21"/>
                </w:rPr>
              </m:ctrlPr>
            </m:sSubPr>
            <m:e>
              <m:sSub>
                <m:sSubPr>
                  <m:ctrlPr>
                    <w:rPr>
                      <w:rFonts w:ascii="Cambria Math" w:hAnsi="Cambria Math" w:cs="Times New Roman"/>
                      <w:i/>
                      <w:color w:val="000000" w:themeColor="text1"/>
                      <w:szCs w:val="21"/>
                    </w:rPr>
                  </m:ctrlPr>
                </m:sSubPr>
                <m:e>
                  <m:r>
                    <w:rPr>
                      <w:rFonts w:ascii="Cambria Math" w:hAnsi="Cambria Math" w:cs="Times New Roman"/>
                      <w:color w:val="000000" w:themeColor="text1"/>
                      <w:szCs w:val="21"/>
                    </w:rPr>
                    <m:t>β</m:t>
                  </m:r>
                </m:e>
                <m:sub>
                  <m:r>
                    <w:rPr>
                      <w:rFonts w:ascii="Cambria Math" w:hAnsi="Cambria Math" w:cs="Times New Roman"/>
                      <w:color w:val="000000" w:themeColor="text1"/>
                      <w:szCs w:val="21"/>
                    </w:rPr>
                    <m:t>1</m:t>
                  </m:r>
                </m:sub>
              </m:sSub>
              <m:r>
                <w:rPr>
                  <w:rFonts w:ascii="Cambria Math" w:hAnsi="Cambria Math" w:cs="Times New Roman"/>
                  <w:color w:val="000000" w:themeColor="text1"/>
                  <w:szCs w:val="21"/>
                </w:rPr>
                <m:t>Mutual fund</m:t>
              </m:r>
            </m:e>
            <m:sub>
              <m:r>
                <w:rPr>
                  <w:rFonts w:ascii="Cambria Math" w:hAnsi="Cambria Math" w:cs="Times New Roman"/>
                  <w:color w:val="000000" w:themeColor="text1"/>
                  <w:szCs w:val="21"/>
                </w:rPr>
                <m:t>i,t-1</m:t>
              </m:r>
            </m:sub>
          </m:sSub>
          <m:r>
            <w:rPr>
              <w:rFonts w:ascii="Cambria Math" w:hAnsi="Cambria Math" w:cs="Times New Roman"/>
              <w:color w:val="000000" w:themeColor="text1"/>
              <w:szCs w:val="21"/>
            </w:rPr>
            <m:t>+</m:t>
          </m:r>
          <m:sSub>
            <m:sSubPr>
              <m:ctrlPr>
                <w:rPr>
                  <w:rFonts w:ascii="Cambria Math" w:hAnsi="Cambria Math" w:cs="Times New Roman"/>
                  <w:i/>
                  <w:color w:val="000000" w:themeColor="text1"/>
                  <w:szCs w:val="21"/>
                </w:rPr>
              </m:ctrlPr>
            </m:sSubPr>
            <m:e>
              <m:sSub>
                <m:sSubPr>
                  <m:ctrlPr>
                    <w:rPr>
                      <w:rFonts w:ascii="Cambria Math" w:hAnsi="Cambria Math" w:cs="Times New Roman"/>
                      <w:i/>
                      <w:color w:val="000000" w:themeColor="text1"/>
                      <w:szCs w:val="21"/>
                    </w:rPr>
                  </m:ctrlPr>
                </m:sSubPr>
                <m:e>
                  <m:r>
                    <w:rPr>
                      <w:rFonts w:ascii="Cambria Math" w:hAnsi="Cambria Math" w:cs="Times New Roman"/>
                      <w:color w:val="000000" w:themeColor="text1"/>
                      <w:szCs w:val="21"/>
                    </w:rPr>
                    <m:t>ω</m:t>
                  </m:r>
                </m:e>
                <m:sub>
                  <m:r>
                    <w:rPr>
                      <w:rFonts w:ascii="Cambria Math" w:hAnsi="Cambria Math" w:cs="Times New Roman"/>
                      <w:color w:val="000000" w:themeColor="text1"/>
                      <w:szCs w:val="21"/>
                    </w:rPr>
                    <m:t>i</m:t>
                  </m:r>
                </m:sub>
              </m:sSub>
              <m:r>
                <m:rPr>
                  <m:sty m:val="bi"/>
                </m:rPr>
                <w:rPr>
                  <w:rFonts w:ascii="Cambria Math" w:hAnsi="Cambria Math" w:cs="Times New Roman"/>
                  <w:color w:val="000000" w:themeColor="text1"/>
                  <w:szCs w:val="21"/>
                </w:rPr>
                <m:t>X</m:t>
              </m:r>
            </m:e>
            <m:sub>
              <m:r>
                <w:rPr>
                  <w:rFonts w:ascii="Cambria Math" w:hAnsi="Cambria Math" w:cs="Times New Roman"/>
                  <w:color w:val="000000" w:themeColor="text1"/>
                  <w:szCs w:val="21"/>
                </w:rPr>
                <m:t>i,t-1</m:t>
              </m:r>
            </m:sub>
          </m:sSub>
          <m:r>
            <m:rPr>
              <m:sty m:val="p"/>
            </m:rPr>
            <w:rPr>
              <w:rFonts w:ascii="Cambria Math" w:hAnsi="Cambria Math" w:cs="Times New Roman"/>
              <w:color w:val="000000" w:themeColor="text1"/>
              <w:szCs w:val="21"/>
            </w:rPr>
            <m:t>+</m:t>
          </m:r>
          <m:sSub>
            <m:sSubPr>
              <m:ctrlPr>
                <w:rPr>
                  <w:rFonts w:ascii="Cambria Math" w:hAnsi="Cambria Math" w:cs="Times New Roman"/>
                  <w:color w:val="000000" w:themeColor="text1"/>
                  <w:szCs w:val="21"/>
                </w:rPr>
              </m:ctrlPr>
            </m:sSubPr>
            <m:e>
              <m:r>
                <m:rPr>
                  <m:sty m:val="p"/>
                </m:rPr>
                <w:rPr>
                  <w:rFonts w:ascii="Cambria Math" w:hAnsi="Cambria Math" w:cs="Times New Roman"/>
                  <w:color w:val="000000" w:themeColor="text1"/>
                  <w:szCs w:val="21"/>
                </w:rPr>
                <m:t>α</m:t>
              </m:r>
            </m:e>
            <m:sub>
              <m:r>
                <m:rPr>
                  <m:sty m:val="p"/>
                </m:rPr>
                <w:rPr>
                  <w:rFonts w:ascii="Cambria Math" w:hAnsi="Cambria Math" w:cs="Times New Roman"/>
                  <w:color w:val="000000" w:themeColor="text1"/>
                  <w:szCs w:val="21"/>
                </w:rPr>
                <m:t>i</m:t>
              </m:r>
            </m:sub>
          </m:sSub>
          <m:r>
            <m:rPr>
              <m:sty m:val="p"/>
            </m:rPr>
            <w:rPr>
              <w:rFonts w:ascii="Cambria Math" w:hAnsi="Cambria Math" w:cs="Times New Roman"/>
              <w:color w:val="000000" w:themeColor="text1"/>
              <w:szCs w:val="21"/>
            </w:rPr>
            <m:t xml:space="preserve">+ </m:t>
          </m:r>
          <m:sSub>
            <m:sSubPr>
              <m:ctrlPr>
                <w:rPr>
                  <w:rFonts w:ascii="Cambria Math" w:hAnsi="Cambria Math" w:cs="Times New Roman"/>
                  <w:color w:val="000000" w:themeColor="text1"/>
                  <w:szCs w:val="21"/>
                </w:rPr>
              </m:ctrlPr>
            </m:sSubPr>
            <m:e>
              <m:r>
                <m:rPr>
                  <m:sty m:val="p"/>
                </m:rPr>
                <w:rPr>
                  <w:rFonts w:ascii="Cambria Math" w:hAnsi="Cambria Math" w:cs="Times New Roman"/>
                  <w:color w:val="000000" w:themeColor="text1"/>
                  <w:szCs w:val="21"/>
                </w:rPr>
                <m:t>γ</m:t>
              </m:r>
            </m:e>
            <m:sub>
              <m:r>
                <m:rPr>
                  <m:sty m:val="p"/>
                </m:rPr>
                <w:rPr>
                  <w:rFonts w:ascii="Cambria Math" w:hAnsi="Cambria Math" w:cs="Times New Roman"/>
                  <w:color w:val="000000" w:themeColor="text1"/>
                  <w:szCs w:val="21"/>
                </w:rPr>
                <m:t>t</m:t>
              </m:r>
            </m:sub>
          </m:sSub>
          <m:r>
            <m:rPr>
              <m:sty m:val="p"/>
            </m:rPr>
            <w:rPr>
              <w:rFonts w:ascii="Cambria Math" w:hAnsi="Cambria Math" w:cs="Times New Roman"/>
              <w:color w:val="000000" w:themeColor="text1"/>
              <w:szCs w:val="21"/>
            </w:rPr>
            <m:t>+</m:t>
          </m:r>
          <m:sSub>
            <m:sSubPr>
              <m:ctrlPr>
                <w:rPr>
                  <w:rFonts w:ascii="Cambria Math" w:hAnsi="Cambria Math" w:cs="Times New Roman"/>
                  <w:color w:val="000000" w:themeColor="text1"/>
                  <w:szCs w:val="21"/>
                </w:rPr>
              </m:ctrlPr>
            </m:sSubPr>
            <m:e>
              <m:r>
                <m:rPr>
                  <m:sty m:val="p"/>
                </m:rPr>
                <w:rPr>
                  <w:rFonts w:ascii="Cambria Math" w:hAnsi="Cambria Math" w:cs="Times New Roman"/>
                  <w:color w:val="000000" w:themeColor="text1"/>
                  <w:szCs w:val="21"/>
                </w:rPr>
                <m:t>ε</m:t>
              </m:r>
            </m:e>
            <m:sub>
              <m:r>
                <m:rPr>
                  <m:sty m:val="p"/>
                </m:rPr>
                <w:rPr>
                  <w:rFonts w:ascii="Cambria Math" w:hAnsi="Cambria Math" w:cs="Times New Roman"/>
                  <w:color w:val="000000" w:themeColor="text1"/>
                  <w:szCs w:val="21"/>
                </w:rPr>
                <m:t>it</m:t>
              </m:r>
            </m:sub>
          </m:sSub>
          <m:r>
            <m:rPr>
              <m:sty m:val="p"/>
            </m:rPr>
            <w:rPr>
              <w:rFonts w:ascii="Cambria Math" w:hAnsi="Cambria Math" w:cs="Times New Roman"/>
              <w:color w:val="000000" w:themeColor="text1"/>
              <w:szCs w:val="21"/>
            </w:rPr>
            <m:t xml:space="preserve">                                                                                                                     </m:t>
          </m:r>
          <m:r>
            <m:rPr>
              <m:sty m:val="p"/>
            </m:rPr>
            <w:rPr>
              <w:rFonts w:ascii="Cambria Math" w:hAnsi="Cambria Math" w:cs="Times New Roman" w:hint="eastAsia"/>
              <w:color w:val="000000" w:themeColor="text1"/>
              <w:szCs w:val="21"/>
            </w:rPr>
            <m:t>(</m:t>
          </m:r>
          <m:r>
            <m:rPr>
              <m:sty m:val="p"/>
            </m:rPr>
            <w:rPr>
              <w:rFonts w:ascii="Cambria Math" w:hAnsi="Cambria Math" w:cs="Times New Roman"/>
              <w:color w:val="000000" w:themeColor="text1"/>
              <w:szCs w:val="21"/>
            </w:rPr>
            <m:t>2</m:t>
          </m:r>
          <m:r>
            <m:rPr>
              <m:sty m:val="p"/>
            </m:rPr>
            <w:rPr>
              <w:rFonts w:ascii="Cambria Math" w:hAnsi="Cambria Math" w:cs="Times New Roman" w:hint="eastAsia"/>
              <w:color w:val="000000" w:themeColor="text1"/>
              <w:szCs w:val="21"/>
            </w:rPr>
            <m:t>)</m:t>
          </m:r>
          <m:r>
            <m:rPr>
              <m:sty m:val="p"/>
            </m:rPr>
            <w:rPr>
              <w:rFonts w:ascii="Cambria Math" w:hAnsi="Cambria Math" w:cs="Times New Roman"/>
              <w:color w:val="000000" w:themeColor="text1"/>
              <w:szCs w:val="21"/>
            </w:rPr>
            <m:t xml:space="preserve">  </m:t>
          </m:r>
        </m:oMath>
      </m:oMathPara>
    </w:p>
    <w:p w14:paraId="73A158E3" w14:textId="12533623" w:rsidR="00762E45" w:rsidRPr="00724CA2" w:rsidRDefault="00160424" w:rsidP="001F201D">
      <w:pPr>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where </w:t>
      </w:r>
      <m:oMath>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θ</m:t>
            </m:r>
          </m:e>
          <m:sub>
            <m:r>
              <m:rPr>
                <m:sty m:val="p"/>
              </m:rPr>
              <w:rPr>
                <w:rFonts w:ascii="Cambria Math" w:hAnsi="Cambria Math" w:cs="Times New Roman"/>
                <w:color w:val="000000" w:themeColor="text1"/>
                <w:sz w:val="24"/>
                <w:szCs w:val="24"/>
              </w:rPr>
              <m:t>i, t</m:t>
            </m:r>
            <m:r>
              <m:rPr>
                <m:sty m:val="p"/>
              </m:rPr>
              <w:rPr>
                <w:rFonts w:ascii="Cambria Math" w:eastAsia="Microsoft YaHei" w:hAnsi="Cambria Math" w:cs="Times New Roman"/>
                <w:color w:val="000000" w:themeColor="text1"/>
                <w:sz w:val="24"/>
                <w:szCs w:val="24"/>
              </w:rPr>
              <m:t>-</m:t>
            </m:r>
            <m:r>
              <m:rPr>
                <m:sty m:val="p"/>
              </m:rPr>
              <w:rPr>
                <w:rFonts w:ascii="Cambria Math" w:hAnsi="Cambria Math" w:cs="Times New Roman"/>
                <w:color w:val="000000" w:themeColor="text1"/>
                <w:sz w:val="24"/>
                <w:szCs w:val="24"/>
              </w:rPr>
              <m:t>1</m:t>
            </m:r>
          </m:sub>
        </m:sSub>
      </m:oMath>
      <w:r w:rsidRPr="00724CA2">
        <w:rPr>
          <w:rFonts w:ascii="Times New Roman" w:hAnsi="Times New Roman" w:cs="Times New Roman"/>
          <w:color w:val="000000" w:themeColor="text1"/>
          <w:sz w:val="24"/>
          <w:szCs w:val="24"/>
        </w:rPr>
        <w:t xml:space="preserve"> is firm </w:t>
      </w:r>
      <w:r w:rsidRPr="00724CA2">
        <w:rPr>
          <w:rFonts w:ascii="Times New Roman" w:hAnsi="Times New Roman" w:cs="Times New Roman"/>
          <w:i/>
          <w:color w:val="000000" w:themeColor="text1"/>
          <w:sz w:val="24"/>
          <w:szCs w:val="24"/>
        </w:rPr>
        <w:t>i</w:t>
      </w:r>
      <w:r w:rsidRPr="00724CA2">
        <w:rPr>
          <w:rFonts w:ascii="Times New Roman" w:hAnsi="Times New Roman" w:cs="Times New Roman"/>
          <w:color w:val="000000" w:themeColor="text1"/>
          <w:sz w:val="24"/>
          <w:szCs w:val="24"/>
        </w:rPr>
        <w:t>’s defining features such as SOE status, legal environment of firms’ residing provinces, green questions raised by investors and green degree or experience of board members. All other firm control variables, fixed effects, and clustered standard errors are the same as Eq. (1)</w:t>
      </w:r>
      <w:r w:rsidR="00762E45" w:rsidRPr="00724CA2">
        <w:rPr>
          <w:rFonts w:ascii="Times New Roman" w:hAnsi="Times New Roman" w:cs="Times New Roman"/>
          <w:color w:val="000000" w:themeColor="text1"/>
          <w:sz w:val="24"/>
          <w:szCs w:val="24"/>
        </w:rPr>
        <w:t>.</w:t>
      </w:r>
      <w:r w:rsidR="007B3E16" w:rsidRPr="00724CA2">
        <w:rPr>
          <w:rFonts w:ascii="Times New Roman" w:hAnsi="Times New Roman" w:cs="Times New Roman"/>
          <w:color w:val="000000" w:themeColor="text1"/>
          <w:sz w:val="24"/>
          <w:szCs w:val="24"/>
        </w:rPr>
        <w:t xml:space="preserve"> </w:t>
      </w:r>
    </w:p>
    <w:p w14:paraId="37ECC283" w14:textId="77777777" w:rsidR="007E00FF" w:rsidRPr="00724CA2" w:rsidRDefault="007E00FF" w:rsidP="00160424">
      <w:pPr>
        <w:spacing w:afterLines="50" w:after="120" w:line="480" w:lineRule="auto"/>
        <w:jc w:val="both"/>
        <w:rPr>
          <w:rFonts w:ascii="Times New Roman" w:hAnsi="Times New Roman" w:cs="Times New Roman"/>
          <w:color w:val="000000" w:themeColor="text1"/>
          <w:sz w:val="24"/>
          <w:szCs w:val="24"/>
        </w:rPr>
      </w:pPr>
    </w:p>
    <w:p w14:paraId="03037A1F" w14:textId="0B22B19D" w:rsidR="00762E45" w:rsidRPr="00724CA2" w:rsidRDefault="00762E45" w:rsidP="0025283F">
      <w:pPr>
        <w:spacing w:afterLines="50" w:after="120" w:line="480" w:lineRule="auto"/>
        <w:jc w:val="both"/>
        <w:rPr>
          <w:rFonts w:ascii="Times New Roman" w:hAnsi="Times New Roman" w:cs="Times New Roman"/>
          <w:b/>
          <w:color w:val="000000" w:themeColor="text1"/>
          <w:sz w:val="24"/>
          <w:szCs w:val="24"/>
        </w:rPr>
      </w:pPr>
      <w:r w:rsidRPr="00724CA2">
        <w:rPr>
          <w:rFonts w:ascii="Times New Roman" w:hAnsi="Times New Roman" w:cs="Times New Roman"/>
          <w:b/>
          <w:color w:val="000000" w:themeColor="text1"/>
          <w:sz w:val="24"/>
          <w:szCs w:val="24"/>
        </w:rPr>
        <w:lastRenderedPageBreak/>
        <w:t xml:space="preserve">4. </w:t>
      </w:r>
      <w:r w:rsidR="004A50F5" w:rsidRPr="00724CA2">
        <w:rPr>
          <w:rFonts w:ascii="Times New Roman" w:hAnsi="Times New Roman" w:cs="Times New Roman"/>
          <w:b/>
          <w:color w:val="000000" w:themeColor="text1"/>
          <w:sz w:val="24"/>
          <w:szCs w:val="24"/>
        </w:rPr>
        <w:tab/>
      </w:r>
      <w:r w:rsidRPr="00724CA2">
        <w:rPr>
          <w:rFonts w:ascii="Times New Roman" w:hAnsi="Times New Roman" w:cs="Times New Roman"/>
          <w:b/>
          <w:color w:val="000000" w:themeColor="text1"/>
          <w:sz w:val="24"/>
          <w:szCs w:val="24"/>
        </w:rPr>
        <w:t>Empirical Findings</w:t>
      </w:r>
    </w:p>
    <w:p w14:paraId="37709815" w14:textId="4D047A8C" w:rsidR="00762E45" w:rsidRPr="002B4459" w:rsidRDefault="00762E45" w:rsidP="0025283F">
      <w:pPr>
        <w:spacing w:afterLines="50" w:after="120" w:line="480" w:lineRule="auto"/>
        <w:jc w:val="both"/>
        <w:rPr>
          <w:rFonts w:ascii="Times New Roman" w:hAnsi="Times New Roman" w:cs="Times New Roman"/>
          <w:bCs/>
          <w:i/>
          <w:color w:val="000000" w:themeColor="text1"/>
          <w:sz w:val="24"/>
          <w:szCs w:val="24"/>
        </w:rPr>
      </w:pPr>
      <w:r w:rsidRPr="002B4459">
        <w:rPr>
          <w:rFonts w:ascii="Times New Roman" w:hAnsi="Times New Roman" w:cs="Times New Roman"/>
          <w:bCs/>
          <w:i/>
          <w:color w:val="000000" w:themeColor="text1"/>
          <w:sz w:val="24"/>
          <w:szCs w:val="24"/>
        </w:rPr>
        <w:t xml:space="preserve">4.1 </w:t>
      </w:r>
      <w:r w:rsidR="004A50F5" w:rsidRPr="002B4459">
        <w:rPr>
          <w:rFonts w:ascii="Times New Roman" w:hAnsi="Times New Roman" w:cs="Times New Roman"/>
          <w:bCs/>
          <w:i/>
          <w:color w:val="000000" w:themeColor="text1"/>
          <w:sz w:val="24"/>
          <w:szCs w:val="24"/>
        </w:rPr>
        <w:tab/>
      </w:r>
      <w:r w:rsidRPr="002B4459">
        <w:rPr>
          <w:rFonts w:ascii="Times New Roman" w:hAnsi="Times New Roman" w:cs="Times New Roman"/>
          <w:bCs/>
          <w:i/>
          <w:color w:val="000000" w:themeColor="text1"/>
          <w:sz w:val="24"/>
          <w:szCs w:val="24"/>
        </w:rPr>
        <w:t>Descriptive statistics</w:t>
      </w:r>
    </w:p>
    <w:p w14:paraId="6D43B871" w14:textId="4735C332" w:rsidR="0014653A" w:rsidRPr="00724CA2" w:rsidRDefault="0014653A" w:rsidP="00B909BA">
      <w:pPr>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Panel A of Table 2 presents the summary statistics. </w:t>
      </w:r>
      <w:r w:rsidRPr="00724CA2">
        <w:rPr>
          <w:rFonts w:ascii="Times New Roman" w:hAnsi="Times New Roman" w:cs="Times New Roman"/>
          <w:bCs/>
          <w:color w:val="000000" w:themeColor="text1"/>
          <w:sz w:val="24"/>
          <w:szCs w:val="24"/>
        </w:rPr>
        <w:t>The mean corporate environmental spending is 3.03 million Yuan (about 42</w:t>
      </w:r>
      <w:r w:rsidR="00457903">
        <w:rPr>
          <w:rFonts w:ascii="Times New Roman" w:hAnsi="Times New Roman" w:cs="Times New Roman" w:hint="eastAsia"/>
          <w:bCs/>
          <w:color w:val="000000" w:themeColor="text1"/>
          <w:sz w:val="24"/>
          <w:szCs w:val="24"/>
          <w:lang w:eastAsia="zh-CN"/>
        </w:rPr>
        <w:t>0</w:t>
      </w:r>
      <w:r w:rsidRPr="00724CA2">
        <w:rPr>
          <w:rFonts w:ascii="Times New Roman" w:hAnsi="Times New Roman" w:cs="Times New Roman"/>
          <w:bCs/>
          <w:color w:val="000000" w:themeColor="text1"/>
          <w:sz w:val="24"/>
          <w:szCs w:val="24"/>
        </w:rPr>
        <w:t>,</w:t>
      </w:r>
      <w:r w:rsidR="00480DDD" w:rsidRPr="00724CA2">
        <w:rPr>
          <w:rFonts w:ascii="Times New Roman" w:hAnsi="Times New Roman" w:cs="Times New Roman"/>
          <w:bCs/>
          <w:color w:val="000000" w:themeColor="text1"/>
          <w:sz w:val="24"/>
          <w:szCs w:val="24"/>
        </w:rPr>
        <w:t>00</w:t>
      </w:r>
      <w:r w:rsidRPr="00724CA2">
        <w:rPr>
          <w:rFonts w:ascii="Times New Roman" w:hAnsi="Times New Roman" w:cs="Times New Roman"/>
          <w:bCs/>
          <w:color w:val="000000" w:themeColor="text1"/>
          <w:sz w:val="24"/>
          <w:szCs w:val="24"/>
        </w:rPr>
        <w:t xml:space="preserve">0 USD). On average, mutual funds own 5.2% of firm stocks. In addition, </w:t>
      </w:r>
      <w:r w:rsidRPr="00724CA2">
        <w:rPr>
          <w:rFonts w:ascii="Times New Roman" w:hAnsi="Times New Roman" w:cs="Times New Roman"/>
          <w:color w:val="000000" w:themeColor="text1"/>
          <w:sz w:val="24"/>
          <w:szCs w:val="24"/>
        </w:rPr>
        <w:t xml:space="preserve">17.8% of CEOs have dual positions. The board of directors holds about </w:t>
      </w:r>
      <w:r w:rsidRPr="00724CA2">
        <w:rPr>
          <w:rFonts w:ascii="Times New Roman" w:hAnsi="Times New Roman" w:cs="Times New Roman" w:hint="eastAsia"/>
          <w:color w:val="000000" w:themeColor="text1"/>
          <w:sz w:val="24"/>
          <w:szCs w:val="24"/>
          <w:lang w:eastAsia="zh-CN"/>
        </w:rPr>
        <w:t>ten</w:t>
      </w:r>
      <w:r w:rsidRPr="00724CA2">
        <w:rPr>
          <w:rFonts w:ascii="Times New Roman" w:hAnsi="Times New Roman" w:cs="Times New Roman"/>
          <w:color w:val="000000" w:themeColor="text1"/>
          <w:sz w:val="24"/>
          <w:szCs w:val="24"/>
        </w:rPr>
        <w:t xml:space="preserve"> meetings per annum, and 37.1% of board members are independent directors. Moreover, firms’ average stock returns are 3.9%, and the mean leverage is 50.1%.</w:t>
      </w:r>
    </w:p>
    <w:p w14:paraId="65FB1148" w14:textId="1E34C2C1" w:rsidR="002550DA" w:rsidRPr="00724CA2" w:rsidRDefault="00762E45" w:rsidP="00B909BA">
      <w:pPr>
        <w:spacing w:afterLines="50" w:after="120" w:line="480" w:lineRule="auto"/>
        <w:ind w:firstLine="284"/>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Panel B presents the average legal environment score a</w:t>
      </w:r>
      <w:r w:rsidR="00DF42E8" w:rsidRPr="00724CA2">
        <w:rPr>
          <w:rFonts w:ascii="Times New Roman" w:hAnsi="Times New Roman" w:cs="Times New Roman"/>
          <w:bCs/>
          <w:color w:val="000000" w:themeColor="text1"/>
          <w:sz w:val="24"/>
          <w:szCs w:val="24"/>
        </w:rPr>
        <w:t xml:space="preserve">cross </w:t>
      </w:r>
      <w:r w:rsidRPr="00724CA2">
        <w:rPr>
          <w:rFonts w:ascii="Times New Roman" w:hAnsi="Times New Roman" w:cs="Times New Roman"/>
          <w:bCs/>
          <w:color w:val="000000" w:themeColor="text1"/>
          <w:sz w:val="24"/>
          <w:szCs w:val="24"/>
        </w:rPr>
        <w:t xml:space="preserve">different Chinese provinces. </w:t>
      </w:r>
      <w:r w:rsidR="009F6BF7" w:rsidRPr="00724CA2">
        <w:rPr>
          <w:rFonts w:ascii="Times New Roman" w:hAnsi="Times New Roman" w:cs="Times New Roman"/>
          <w:bCs/>
          <w:color w:val="000000" w:themeColor="text1"/>
          <w:sz w:val="24"/>
          <w:szCs w:val="24"/>
        </w:rPr>
        <w:t>T</w:t>
      </w:r>
      <w:r w:rsidRPr="00724CA2">
        <w:rPr>
          <w:rFonts w:ascii="Times New Roman" w:hAnsi="Times New Roman" w:cs="Times New Roman"/>
          <w:bCs/>
          <w:color w:val="000000" w:themeColor="text1"/>
          <w:sz w:val="24"/>
          <w:szCs w:val="24"/>
        </w:rPr>
        <w:t xml:space="preserve">he level of legal development and enforcement is higher in coastal provinces (i.e., Zhejiang, Jiangsu and Guangdong) and municipalities (Beijing, Shanghai, Tianjin and Chongqing). </w:t>
      </w:r>
      <w:r w:rsidR="0042536A" w:rsidRPr="00724CA2">
        <w:rPr>
          <w:rFonts w:ascii="Times New Roman" w:hAnsi="Times New Roman" w:cs="Times New Roman"/>
          <w:bCs/>
          <w:color w:val="000000" w:themeColor="text1"/>
          <w:sz w:val="24"/>
          <w:szCs w:val="24"/>
        </w:rPr>
        <w:t>T</w:t>
      </w:r>
      <w:r w:rsidRPr="00724CA2">
        <w:rPr>
          <w:rFonts w:ascii="Times New Roman" w:hAnsi="Times New Roman" w:cs="Times New Roman"/>
          <w:bCs/>
          <w:color w:val="000000" w:themeColor="text1"/>
          <w:sz w:val="24"/>
          <w:szCs w:val="24"/>
        </w:rPr>
        <w:t>he legal environment score is lower in the regions located in northwest China (Xizang, Qinghai, Ningxia and Xinjiang). We conduct a multicollinearity test using variance inflation factor (VIF); the mean VIF value is 1.1</w:t>
      </w:r>
      <w:r w:rsidR="00614B89" w:rsidRPr="00724CA2">
        <w:rPr>
          <w:rFonts w:ascii="Times New Roman" w:hAnsi="Times New Roman" w:cs="Times New Roman"/>
          <w:bCs/>
          <w:color w:val="000000" w:themeColor="text1"/>
          <w:sz w:val="24"/>
          <w:szCs w:val="24"/>
        </w:rPr>
        <w:t>8</w:t>
      </w:r>
      <w:r w:rsidRPr="00724CA2">
        <w:rPr>
          <w:rFonts w:ascii="Times New Roman" w:hAnsi="Times New Roman" w:cs="Times New Roman"/>
          <w:bCs/>
          <w:color w:val="000000" w:themeColor="text1"/>
          <w:sz w:val="24"/>
          <w:szCs w:val="24"/>
        </w:rPr>
        <w:t xml:space="preserve"> suggesting multicollinearity is not a concern.</w:t>
      </w:r>
      <w:r w:rsidR="00466A01" w:rsidRPr="00724CA2">
        <w:rPr>
          <w:rStyle w:val="FootnoteReference"/>
          <w:rFonts w:ascii="Times New Roman" w:hAnsi="Times New Roman" w:cs="Times New Roman"/>
          <w:bCs/>
          <w:color w:val="000000" w:themeColor="text1"/>
          <w:sz w:val="24"/>
          <w:szCs w:val="24"/>
        </w:rPr>
        <w:footnoteReference w:id="3"/>
      </w:r>
    </w:p>
    <w:p w14:paraId="17CE5C6F" w14:textId="3D95CB86" w:rsidR="002C2B7E" w:rsidRPr="00724CA2" w:rsidRDefault="00762E45" w:rsidP="0025283F">
      <w:pPr>
        <w:spacing w:afterLines="50" w:after="120" w:line="480" w:lineRule="auto"/>
        <w:jc w:val="center"/>
        <w:rPr>
          <w:rFonts w:ascii="Times New Roman" w:hAnsi="Times New Roman" w:cs="Times New Roman"/>
          <w:b/>
          <w:bCs/>
          <w:color w:val="000000" w:themeColor="text1"/>
          <w:sz w:val="24"/>
          <w:szCs w:val="24"/>
        </w:rPr>
      </w:pPr>
      <w:r w:rsidRPr="00724CA2">
        <w:rPr>
          <w:rFonts w:ascii="Times New Roman" w:hAnsi="Times New Roman" w:cs="Times New Roman"/>
          <w:b/>
          <w:bCs/>
          <w:color w:val="000000" w:themeColor="text1"/>
          <w:sz w:val="24"/>
          <w:szCs w:val="24"/>
        </w:rPr>
        <w:t>INSERT Table 2</w:t>
      </w:r>
    </w:p>
    <w:p w14:paraId="6ED65669" w14:textId="58D554CA" w:rsidR="00762E45" w:rsidRPr="002B4459" w:rsidRDefault="00762E45" w:rsidP="0025283F">
      <w:pPr>
        <w:spacing w:afterLines="50" w:after="120" w:line="480" w:lineRule="auto"/>
        <w:rPr>
          <w:rFonts w:ascii="Times New Roman" w:hAnsi="Times New Roman" w:cs="Times New Roman"/>
          <w:i/>
          <w:iCs/>
          <w:color w:val="000000" w:themeColor="text1"/>
          <w:sz w:val="24"/>
          <w:szCs w:val="24"/>
        </w:rPr>
      </w:pPr>
      <w:r w:rsidRPr="002B4459">
        <w:rPr>
          <w:rFonts w:ascii="Times New Roman" w:hAnsi="Times New Roman" w:cs="Times New Roman"/>
          <w:i/>
          <w:iCs/>
          <w:color w:val="000000" w:themeColor="text1"/>
          <w:sz w:val="24"/>
          <w:szCs w:val="24"/>
        </w:rPr>
        <w:t xml:space="preserve">4.2 </w:t>
      </w:r>
      <w:r w:rsidR="004A50F5" w:rsidRPr="002B4459">
        <w:rPr>
          <w:rFonts w:ascii="Times New Roman" w:hAnsi="Times New Roman" w:cs="Times New Roman"/>
          <w:i/>
          <w:iCs/>
          <w:color w:val="000000" w:themeColor="text1"/>
          <w:sz w:val="24"/>
          <w:szCs w:val="24"/>
        </w:rPr>
        <w:tab/>
      </w:r>
      <w:r w:rsidRPr="002B4459">
        <w:rPr>
          <w:rFonts w:ascii="Times New Roman" w:hAnsi="Times New Roman" w:cs="Times New Roman"/>
          <w:i/>
          <w:iCs/>
          <w:color w:val="000000" w:themeColor="text1"/>
          <w:sz w:val="24"/>
          <w:szCs w:val="24"/>
        </w:rPr>
        <w:t>Regression results</w:t>
      </w:r>
    </w:p>
    <w:p w14:paraId="4D931097" w14:textId="28EB43CB" w:rsidR="00762E45" w:rsidRPr="00724CA2" w:rsidRDefault="00762E45" w:rsidP="00B909BA">
      <w:pPr>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Model 1 in Table 3 presents results for </w:t>
      </w:r>
      <w:r w:rsidR="00F82F13" w:rsidRPr="00724CA2">
        <w:rPr>
          <w:rFonts w:ascii="Times New Roman" w:hAnsi="Times New Roman" w:cs="Times New Roman"/>
          <w:color w:val="000000" w:themeColor="text1"/>
          <w:sz w:val="24"/>
          <w:szCs w:val="24"/>
        </w:rPr>
        <w:t>H</w:t>
      </w:r>
      <w:r w:rsidR="00F82F13" w:rsidRPr="0005507B">
        <w:rPr>
          <w:rFonts w:ascii="Times New Roman" w:hAnsi="Times New Roman" w:cs="Times New Roman"/>
          <w:color w:val="000000" w:themeColor="text1"/>
          <w:sz w:val="24"/>
          <w:szCs w:val="24"/>
        </w:rPr>
        <w:t>1</w:t>
      </w:r>
      <w:r w:rsidRPr="00724CA2">
        <w:rPr>
          <w:rFonts w:ascii="Times New Roman" w:hAnsi="Times New Roman" w:cs="Times New Roman"/>
          <w:color w:val="000000" w:themeColor="text1"/>
          <w:sz w:val="24"/>
          <w:szCs w:val="24"/>
        </w:rPr>
        <w:t>. The coefficient of mutual fund ownership is significantly positive, indicating that when mutual funds own a greater proportion of a firms</w:t>
      </w:r>
      <w:r w:rsidR="00D17866">
        <w:rPr>
          <w:rFonts w:ascii="Times New Roman" w:hAnsi="Times New Roman" w:cs="Times New Roman"/>
          <w:color w:val="000000" w:themeColor="text1"/>
          <w:sz w:val="24"/>
          <w:szCs w:val="24"/>
        </w:rPr>
        <w:t>’</w:t>
      </w:r>
      <w:r w:rsidRPr="00724CA2">
        <w:rPr>
          <w:rFonts w:ascii="Times New Roman" w:hAnsi="Times New Roman" w:cs="Times New Roman"/>
          <w:color w:val="000000" w:themeColor="text1"/>
          <w:sz w:val="24"/>
          <w:szCs w:val="24"/>
        </w:rPr>
        <w:t xml:space="preserve"> shares, corporate environmental spending is significantly higher. In terms of economic magnitude, a one percentage point increase in the mutual fund ownership, on average, increases a firm’s environmental spending by </w:t>
      </w:r>
      <w:r w:rsidR="005A4C32" w:rsidRPr="00724CA2">
        <w:rPr>
          <w:rFonts w:ascii="Times New Roman" w:hAnsi="Times New Roman" w:cs="Times New Roman"/>
          <w:color w:val="000000" w:themeColor="text1"/>
          <w:sz w:val="24"/>
          <w:szCs w:val="24"/>
        </w:rPr>
        <w:t>3.99</w:t>
      </w:r>
      <w:r w:rsidRPr="00724CA2">
        <w:rPr>
          <w:rFonts w:ascii="Times New Roman" w:hAnsi="Times New Roman" w:cs="Times New Roman"/>
          <w:color w:val="000000" w:themeColor="text1"/>
          <w:sz w:val="24"/>
          <w:szCs w:val="24"/>
        </w:rPr>
        <w:t xml:space="preserve"> percent. </w:t>
      </w:r>
    </w:p>
    <w:p w14:paraId="19424977" w14:textId="76ECAB45" w:rsidR="00762E45" w:rsidRPr="00724CA2" w:rsidRDefault="00762E45" w:rsidP="00B909BA">
      <w:pPr>
        <w:spacing w:afterLines="50" w:after="120" w:line="480" w:lineRule="auto"/>
        <w:ind w:firstLine="284"/>
        <w:jc w:val="center"/>
        <w:rPr>
          <w:rFonts w:ascii="Times New Roman" w:hAnsi="Times New Roman" w:cs="Times New Roman"/>
          <w:b/>
          <w:color w:val="000000" w:themeColor="text1"/>
          <w:sz w:val="24"/>
          <w:szCs w:val="24"/>
        </w:rPr>
      </w:pPr>
      <w:r w:rsidRPr="00724CA2">
        <w:rPr>
          <w:rFonts w:ascii="Times New Roman" w:hAnsi="Times New Roman" w:cs="Times New Roman"/>
          <w:b/>
          <w:color w:val="000000" w:themeColor="text1"/>
          <w:sz w:val="24"/>
          <w:szCs w:val="24"/>
        </w:rPr>
        <w:t>INSERT Table 3</w:t>
      </w:r>
    </w:p>
    <w:p w14:paraId="72AA7489" w14:textId="32BF18A0" w:rsidR="00762E45" w:rsidRPr="00724CA2" w:rsidRDefault="00762E45" w:rsidP="00B909BA">
      <w:pPr>
        <w:spacing w:afterLines="50" w:after="120" w:line="480" w:lineRule="auto"/>
        <w:ind w:firstLine="284"/>
        <w:jc w:val="both"/>
        <w:rPr>
          <w:rFonts w:ascii="Times New Roman" w:hAnsi="Times New Roman" w:cs="Times New Roman"/>
          <w:b/>
          <w:color w:val="000000" w:themeColor="text1"/>
        </w:rPr>
      </w:pPr>
      <w:r w:rsidRPr="00724CA2">
        <w:rPr>
          <w:rFonts w:ascii="Times New Roman" w:hAnsi="Times New Roman" w:cs="Times New Roman"/>
          <w:color w:val="000000" w:themeColor="text1"/>
          <w:sz w:val="24"/>
          <w:szCs w:val="24"/>
        </w:rPr>
        <w:lastRenderedPageBreak/>
        <w:t xml:space="preserve">Model 2 in Table 3 reports the results for </w:t>
      </w:r>
      <w:r w:rsidR="00F82F13" w:rsidRPr="00724CA2">
        <w:rPr>
          <w:rFonts w:ascii="Times New Roman" w:hAnsi="Times New Roman" w:cs="Times New Roman"/>
          <w:color w:val="000000" w:themeColor="text1"/>
          <w:sz w:val="24"/>
          <w:szCs w:val="24"/>
        </w:rPr>
        <w:t>H</w:t>
      </w:r>
      <w:r w:rsidR="00F82F13" w:rsidRPr="0005507B">
        <w:rPr>
          <w:rFonts w:ascii="Times New Roman" w:hAnsi="Times New Roman" w:cs="Times New Roman"/>
          <w:color w:val="000000" w:themeColor="text1"/>
          <w:sz w:val="24"/>
          <w:szCs w:val="24"/>
        </w:rPr>
        <w:t>2</w:t>
      </w:r>
      <w:r w:rsidRPr="00724CA2">
        <w:rPr>
          <w:rFonts w:ascii="Times New Roman" w:hAnsi="Times New Roman" w:cs="Times New Roman"/>
          <w:color w:val="000000" w:themeColor="text1"/>
          <w:sz w:val="24"/>
          <w:szCs w:val="24"/>
        </w:rPr>
        <w:t xml:space="preserve">. Mutual funds are interacted with SOEs to capture their joint impact on environmental spending. A positive coefficient </w:t>
      </w:r>
      <w:r w:rsidR="00D17866">
        <w:rPr>
          <w:rFonts w:ascii="Times New Roman" w:hAnsi="Times New Roman" w:cs="Times New Roman"/>
          <w:color w:val="000000" w:themeColor="text1"/>
          <w:sz w:val="24"/>
          <w:szCs w:val="24"/>
        </w:rPr>
        <w:t>is reported for t</w:t>
      </w:r>
      <w:r w:rsidRPr="00724CA2">
        <w:rPr>
          <w:rFonts w:ascii="Times New Roman" w:hAnsi="Times New Roman" w:cs="Times New Roman"/>
          <w:color w:val="000000" w:themeColor="text1"/>
          <w:sz w:val="24"/>
          <w:szCs w:val="24"/>
        </w:rPr>
        <w:t>he interaction variable ‘Mutual fund*SOEs’</w:t>
      </w:r>
      <w:r w:rsidR="006214FF" w:rsidRPr="00724CA2">
        <w:rPr>
          <w:rFonts w:ascii="Times New Roman" w:hAnsi="Times New Roman" w:cs="Times New Roman"/>
          <w:color w:val="000000" w:themeColor="text1"/>
          <w:sz w:val="24"/>
          <w:szCs w:val="24"/>
        </w:rPr>
        <w:t xml:space="preserve">. This </w:t>
      </w:r>
      <w:r w:rsidRPr="00724CA2">
        <w:rPr>
          <w:rFonts w:ascii="Times New Roman" w:hAnsi="Times New Roman" w:cs="Times New Roman"/>
          <w:color w:val="000000" w:themeColor="text1"/>
          <w:sz w:val="24"/>
          <w:szCs w:val="24"/>
        </w:rPr>
        <w:t>impl</w:t>
      </w:r>
      <w:r w:rsidR="0024603C" w:rsidRPr="00724CA2">
        <w:rPr>
          <w:rFonts w:ascii="Times New Roman" w:hAnsi="Times New Roman" w:cs="Times New Roman"/>
          <w:color w:val="000000" w:themeColor="text1"/>
          <w:sz w:val="24"/>
          <w:szCs w:val="24"/>
        </w:rPr>
        <w:t xml:space="preserve">ies </w:t>
      </w:r>
      <w:r w:rsidRPr="00724CA2">
        <w:rPr>
          <w:rFonts w:ascii="Times New Roman" w:hAnsi="Times New Roman" w:cs="Times New Roman"/>
          <w:color w:val="000000" w:themeColor="text1"/>
          <w:sz w:val="24"/>
          <w:szCs w:val="24"/>
        </w:rPr>
        <w:t xml:space="preserve">the positive impact of mutual funds on corporate environmental spending is more pronounced in SOEs. Model 3 in Table 3 presents the results for </w:t>
      </w:r>
      <w:r w:rsidR="00F82F13" w:rsidRPr="00724CA2">
        <w:rPr>
          <w:rFonts w:ascii="Times New Roman" w:hAnsi="Times New Roman" w:cs="Times New Roman"/>
          <w:color w:val="000000" w:themeColor="text1"/>
          <w:sz w:val="24"/>
          <w:szCs w:val="24"/>
        </w:rPr>
        <w:t>H</w:t>
      </w:r>
      <w:r w:rsidR="00F82F13" w:rsidRPr="0005507B">
        <w:rPr>
          <w:rFonts w:ascii="Times New Roman" w:hAnsi="Times New Roman" w:cs="Times New Roman"/>
          <w:color w:val="000000" w:themeColor="text1"/>
          <w:sz w:val="24"/>
          <w:szCs w:val="24"/>
        </w:rPr>
        <w:t>3</w:t>
      </w:r>
      <w:r w:rsidRPr="00724CA2">
        <w:rPr>
          <w:rFonts w:ascii="Times New Roman" w:hAnsi="Times New Roman" w:cs="Times New Roman"/>
          <w:color w:val="000000" w:themeColor="text1"/>
          <w:sz w:val="24"/>
          <w:szCs w:val="24"/>
        </w:rPr>
        <w:t>. We observe a positive association between mutual funds and environmental spending exists for firms located in the provinces with greater legal development</w:t>
      </w:r>
      <w:r w:rsidR="003E6AE2" w:rsidRPr="00724CA2">
        <w:rPr>
          <w:rFonts w:ascii="Times New Roman" w:hAnsi="Times New Roman" w:cs="Times New Roman"/>
          <w:color w:val="000000" w:themeColor="text1"/>
          <w:sz w:val="24"/>
          <w:szCs w:val="24"/>
        </w:rPr>
        <w:t>;</w:t>
      </w:r>
      <w:r w:rsidR="009F6BF7" w:rsidRPr="00724CA2">
        <w:rPr>
          <w:rFonts w:ascii="Times New Roman" w:hAnsi="Times New Roman" w:cs="Times New Roman"/>
          <w:color w:val="000000" w:themeColor="text1"/>
          <w:sz w:val="24"/>
          <w:szCs w:val="24"/>
        </w:rPr>
        <w:t xml:space="preserve"> a</w:t>
      </w:r>
      <w:r w:rsidRPr="00724CA2">
        <w:rPr>
          <w:rFonts w:ascii="Times New Roman" w:hAnsi="Times New Roman" w:cs="Times New Roman"/>
          <w:color w:val="000000" w:themeColor="text1"/>
          <w:sz w:val="24"/>
          <w:szCs w:val="24"/>
        </w:rPr>
        <w:t xml:space="preserve"> result consistent with </w:t>
      </w:r>
      <w:r w:rsidR="00F82F13" w:rsidRPr="00724CA2">
        <w:rPr>
          <w:rFonts w:ascii="Times New Roman" w:hAnsi="Times New Roman" w:cs="Times New Roman"/>
          <w:color w:val="000000" w:themeColor="text1"/>
          <w:sz w:val="24"/>
          <w:szCs w:val="24"/>
        </w:rPr>
        <w:t>H</w:t>
      </w:r>
      <w:r w:rsidRPr="0005507B">
        <w:rPr>
          <w:rFonts w:ascii="Times New Roman" w:hAnsi="Times New Roman" w:cs="Times New Roman"/>
          <w:color w:val="000000" w:themeColor="text1"/>
          <w:sz w:val="24"/>
          <w:szCs w:val="24"/>
        </w:rPr>
        <w:t>3</w:t>
      </w:r>
      <w:r w:rsidRPr="00724CA2">
        <w:rPr>
          <w:rFonts w:ascii="Times New Roman" w:hAnsi="Times New Roman" w:cs="Times New Roman"/>
          <w:color w:val="000000" w:themeColor="text1"/>
          <w:sz w:val="24"/>
          <w:szCs w:val="24"/>
        </w:rPr>
        <w:t xml:space="preserve">. </w:t>
      </w:r>
    </w:p>
    <w:p w14:paraId="72958F41" w14:textId="2433F0EE" w:rsidR="00762E45" w:rsidRPr="00724CA2" w:rsidRDefault="00762E45" w:rsidP="00B909BA">
      <w:pPr>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Table 4 presents the results for </w:t>
      </w:r>
      <w:r w:rsidR="00F82F13" w:rsidRPr="00724CA2">
        <w:rPr>
          <w:rFonts w:ascii="Times New Roman" w:hAnsi="Times New Roman" w:cs="Times New Roman"/>
          <w:color w:val="000000" w:themeColor="text1"/>
          <w:sz w:val="24"/>
          <w:szCs w:val="24"/>
        </w:rPr>
        <w:t>H</w:t>
      </w:r>
      <w:r w:rsidRPr="0005507B">
        <w:rPr>
          <w:rFonts w:ascii="Times New Roman" w:hAnsi="Times New Roman" w:cs="Times New Roman"/>
          <w:color w:val="000000" w:themeColor="text1"/>
          <w:sz w:val="24"/>
          <w:szCs w:val="24"/>
        </w:rPr>
        <w:t>4</w:t>
      </w:r>
      <w:r w:rsidRPr="00724CA2">
        <w:rPr>
          <w:rFonts w:ascii="Times New Roman" w:hAnsi="Times New Roman" w:cs="Times New Roman"/>
          <w:color w:val="000000" w:themeColor="text1"/>
          <w:sz w:val="24"/>
          <w:szCs w:val="24"/>
        </w:rPr>
        <w:t xml:space="preserve">. First, mutual funds are interacted with green questions to capture their joint impact on environmental spending. The results are reported in Model 1 and align with </w:t>
      </w:r>
      <w:r w:rsidR="00DA7A42" w:rsidRPr="00724CA2">
        <w:rPr>
          <w:rFonts w:ascii="Times New Roman" w:hAnsi="Times New Roman" w:cs="Times New Roman"/>
          <w:color w:val="000000" w:themeColor="text1"/>
          <w:sz w:val="24"/>
          <w:szCs w:val="24"/>
        </w:rPr>
        <w:t xml:space="preserve">the </w:t>
      </w:r>
      <w:r w:rsidRPr="00724CA2">
        <w:rPr>
          <w:rFonts w:ascii="Times New Roman" w:hAnsi="Times New Roman" w:cs="Times New Roman"/>
          <w:color w:val="000000" w:themeColor="text1"/>
          <w:sz w:val="24"/>
          <w:szCs w:val="24"/>
        </w:rPr>
        <w:t>hypothesis</w:t>
      </w:r>
      <w:r w:rsidR="00DA7A42" w:rsidRPr="00724CA2">
        <w:rPr>
          <w:rFonts w:ascii="Times New Roman" w:hAnsi="Times New Roman" w:cs="Times New Roman"/>
          <w:color w:val="000000" w:themeColor="text1"/>
          <w:sz w:val="24"/>
          <w:szCs w:val="24"/>
        </w:rPr>
        <w:t xml:space="preserve">. </w:t>
      </w:r>
      <w:r w:rsidR="00047E39" w:rsidRPr="00724CA2">
        <w:rPr>
          <w:rFonts w:ascii="Times New Roman" w:hAnsi="Times New Roman" w:cs="Times New Roman"/>
          <w:color w:val="000000" w:themeColor="text1"/>
          <w:sz w:val="24"/>
          <w:szCs w:val="24"/>
        </w:rPr>
        <w:t>M</w:t>
      </w:r>
      <w:r w:rsidRPr="00724CA2">
        <w:rPr>
          <w:rFonts w:ascii="Times New Roman" w:hAnsi="Times New Roman" w:cs="Times New Roman"/>
          <w:color w:val="000000" w:themeColor="text1"/>
          <w:sz w:val="24"/>
          <w:szCs w:val="24"/>
        </w:rPr>
        <w:t xml:space="preserve">utual funds </w:t>
      </w:r>
      <w:r w:rsidR="0039113B" w:rsidRPr="00724CA2">
        <w:rPr>
          <w:rFonts w:ascii="Times New Roman" w:hAnsi="Times New Roman" w:cs="Times New Roman"/>
          <w:color w:val="000000" w:themeColor="text1"/>
          <w:sz w:val="24"/>
          <w:szCs w:val="24"/>
        </w:rPr>
        <w:t xml:space="preserve">are </w:t>
      </w:r>
      <w:r w:rsidR="00047E39" w:rsidRPr="00724CA2">
        <w:rPr>
          <w:rFonts w:ascii="Times New Roman" w:hAnsi="Times New Roman" w:cs="Times New Roman"/>
          <w:color w:val="000000" w:themeColor="text1"/>
          <w:sz w:val="24"/>
          <w:szCs w:val="24"/>
        </w:rPr>
        <w:t xml:space="preserve">also </w:t>
      </w:r>
      <w:r w:rsidRPr="00724CA2">
        <w:rPr>
          <w:rFonts w:ascii="Times New Roman" w:hAnsi="Times New Roman" w:cs="Times New Roman"/>
          <w:color w:val="000000" w:themeColor="text1"/>
          <w:sz w:val="24"/>
          <w:szCs w:val="24"/>
        </w:rPr>
        <w:t>interact</w:t>
      </w:r>
      <w:r w:rsidR="0039113B" w:rsidRPr="00724CA2">
        <w:rPr>
          <w:rFonts w:ascii="Times New Roman" w:hAnsi="Times New Roman" w:cs="Times New Roman"/>
          <w:color w:val="000000" w:themeColor="text1"/>
          <w:sz w:val="24"/>
          <w:szCs w:val="24"/>
        </w:rPr>
        <w:t>ed</w:t>
      </w:r>
      <w:r w:rsidRPr="00724CA2">
        <w:rPr>
          <w:rFonts w:ascii="Times New Roman" w:hAnsi="Times New Roman" w:cs="Times New Roman"/>
          <w:color w:val="000000" w:themeColor="text1"/>
          <w:sz w:val="24"/>
          <w:szCs w:val="24"/>
        </w:rPr>
        <w:t xml:space="preserve"> with the green board variable in Model 2</w:t>
      </w:r>
      <w:r w:rsidR="00047E39" w:rsidRPr="00724CA2">
        <w:rPr>
          <w:rFonts w:ascii="Times New Roman" w:hAnsi="Times New Roman" w:cs="Times New Roman"/>
          <w:color w:val="000000" w:themeColor="text1"/>
          <w:sz w:val="24"/>
          <w:szCs w:val="24"/>
        </w:rPr>
        <w:t xml:space="preserve">. </w:t>
      </w:r>
      <w:r w:rsidR="000B0FC0" w:rsidRPr="00724CA2">
        <w:rPr>
          <w:rFonts w:ascii="Times New Roman" w:hAnsi="Times New Roman" w:cs="Times New Roman"/>
          <w:color w:val="000000" w:themeColor="text1"/>
          <w:sz w:val="24"/>
          <w:szCs w:val="24"/>
        </w:rPr>
        <w:t>T</w:t>
      </w:r>
      <w:r w:rsidRPr="00724CA2">
        <w:rPr>
          <w:rFonts w:ascii="Times New Roman" w:hAnsi="Times New Roman" w:cs="Times New Roman"/>
          <w:color w:val="000000" w:themeColor="text1"/>
          <w:sz w:val="24"/>
          <w:szCs w:val="24"/>
        </w:rPr>
        <w:t>he coefficient of the interaction term is positive and significant</w:t>
      </w:r>
      <w:r w:rsidR="000B0FC0" w:rsidRPr="00724CA2">
        <w:rPr>
          <w:rFonts w:ascii="Times New Roman" w:hAnsi="Times New Roman" w:cs="Times New Roman"/>
          <w:color w:val="000000" w:themeColor="text1"/>
          <w:sz w:val="24"/>
          <w:szCs w:val="24"/>
        </w:rPr>
        <w:t xml:space="preserve">, </w:t>
      </w:r>
      <w:r w:rsidR="001F26E8" w:rsidRPr="00724CA2">
        <w:rPr>
          <w:rFonts w:ascii="Times New Roman" w:hAnsi="Times New Roman" w:cs="Times New Roman"/>
          <w:color w:val="000000" w:themeColor="text1"/>
          <w:sz w:val="24"/>
          <w:szCs w:val="24"/>
        </w:rPr>
        <w:t>supporting</w:t>
      </w:r>
      <w:r w:rsidR="00E57315" w:rsidRPr="00724CA2">
        <w:rPr>
          <w:rFonts w:ascii="Times New Roman" w:hAnsi="Times New Roman" w:cs="Times New Roman"/>
          <w:color w:val="000000" w:themeColor="text1"/>
          <w:sz w:val="24"/>
          <w:szCs w:val="24"/>
        </w:rPr>
        <w:t xml:space="preserve"> </w:t>
      </w:r>
      <w:r w:rsidR="00F82F13" w:rsidRPr="00724CA2">
        <w:rPr>
          <w:rFonts w:ascii="Times New Roman" w:hAnsi="Times New Roman" w:cs="Times New Roman"/>
          <w:color w:val="000000" w:themeColor="text1"/>
          <w:sz w:val="24"/>
          <w:szCs w:val="24"/>
        </w:rPr>
        <w:t>H</w:t>
      </w:r>
      <w:r w:rsidRPr="006D550D">
        <w:rPr>
          <w:rFonts w:ascii="Times New Roman" w:hAnsi="Times New Roman" w:cs="Times New Roman"/>
          <w:color w:val="000000" w:themeColor="text1"/>
          <w:sz w:val="24"/>
          <w:szCs w:val="24"/>
        </w:rPr>
        <w:t>4</w:t>
      </w:r>
      <w:r w:rsidRPr="00724CA2">
        <w:rPr>
          <w:rFonts w:ascii="Times New Roman" w:hAnsi="Times New Roman" w:cs="Times New Roman"/>
          <w:color w:val="000000" w:themeColor="text1"/>
          <w:sz w:val="24"/>
          <w:szCs w:val="24"/>
        </w:rPr>
        <w:t xml:space="preserve"> and </w:t>
      </w:r>
      <w:r w:rsidR="001F26E8" w:rsidRPr="00724CA2">
        <w:rPr>
          <w:rFonts w:ascii="Times New Roman" w:hAnsi="Times New Roman" w:cs="Times New Roman"/>
          <w:color w:val="000000" w:themeColor="text1"/>
          <w:sz w:val="24"/>
          <w:szCs w:val="24"/>
        </w:rPr>
        <w:t xml:space="preserve">signifying </w:t>
      </w:r>
      <w:r w:rsidR="009F374D" w:rsidRPr="00724CA2">
        <w:rPr>
          <w:rFonts w:ascii="Times New Roman" w:hAnsi="Times New Roman" w:cs="Times New Roman"/>
          <w:color w:val="000000" w:themeColor="text1"/>
          <w:sz w:val="24"/>
          <w:szCs w:val="24"/>
        </w:rPr>
        <w:t xml:space="preserve">the influence of </w:t>
      </w:r>
      <w:r w:rsidRPr="00724CA2">
        <w:rPr>
          <w:rFonts w:ascii="Times New Roman" w:hAnsi="Times New Roman" w:cs="Times New Roman"/>
          <w:color w:val="000000" w:themeColor="text1"/>
          <w:sz w:val="24"/>
          <w:szCs w:val="24"/>
        </w:rPr>
        <w:t xml:space="preserve">green </w:t>
      </w:r>
      <w:r w:rsidR="00E750C6">
        <w:rPr>
          <w:rFonts w:ascii="Times New Roman" w:hAnsi="Times New Roman" w:cs="Times New Roman" w:hint="eastAsia"/>
          <w:color w:val="000000" w:themeColor="text1"/>
          <w:sz w:val="24"/>
          <w:szCs w:val="24"/>
          <w:lang w:eastAsia="zh-CN"/>
        </w:rPr>
        <w:t>credentials of board members</w:t>
      </w:r>
      <w:r w:rsidR="00A60000" w:rsidRPr="00724CA2">
        <w:rPr>
          <w:rFonts w:ascii="Times New Roman" w:hAnsi="Times New Roman" w:cs="Times New Roman"/>
          <w:color w:val="000000" w:themeColor="text1"/>
          <w:sz w:val="24"/>
          <w:szCs w:val="24"/>
        </w:rPr>
        <w:t xml:space="preserve"> </w:t>
      </w:r>
      <w:r w:rsidR="009F374D" w:rsidRPr="00724CA2">
        <w:rPr>
          <w:rFonts w:ascii="Times New Roman" w:hAnsi="Times New Roman" w:cs="Times New Roman"/>
          <w:color w:val="000000" w:themeColor="text1"/>
          <w:sz w:val="24"/>
          <w:szCs w:val="24"/>
        </w:rPr>
        <w:t>a</w:t>
      </w:r>
      <w:r w:rsidR="0087497D" w:rsidRPr="00724CA2">
        <w:rPr>
          <w:rFonts w:ascii="Times New Roman" w:hAnsi="Times New Roman" w:cs="Times New Roman"/>
          <w:color w:val="000000" w:themeColor="text1"/>
          <w:sz w:val="24"/>
          <w:szCs w:val="24"/>
        </w:rPr>
        <w:t>s a</w:t>
      </w:r>
      <w:r w:rsidR="009F374D" w:rsidRPr="00724CA2">
        <w:rPr>
          <w:rFonts w:ascii="Times New Roman" w:hAnsi="Times New Roman" w:cs="Times New Roman"/>
          <w:color w:val="000000" w:themeColor="text1"/>
          <w:sz w:val="24"/>
          <w:szCs w:val="24"/>
        </w:rPr>
        <w:t xml:space="preserve"> </w:t>
      </w:r>
      <w:r w:rsidRPr="00724CA2">
        <w:rPr>
          <w:rFonts w:ascii="Times New Roman" w:hAnsi="Times New Roman" w:cs="Times New Roman"/>
          <w:color w:val="000000" w:themeColor="text1"/>
          <w:sz w:val="24"/>
          <w:szCs w:val="24"/>
        </w:rPr>
        <w:t xml:space="preserve">channel for </w:t>
      </w:r>
      <w:r w:rsidR="004112AB" w:rsidRPr="00724CA2">
        <w:rPr>
          <w:rFonts w:ascii="Times New Roman" w:hAnsi="Times New Roman" w:cs="Times New Roman"/>
          <w:color w:val="000000" w:themeColor="text1"/>
          <w:sz w:val="24"/>
          <w:szCs w:val="24"/>
        </w:rPr>
        <w:t xml:space="preserve">shaping </w:t>
      </w:r>
      <w:r w:rsidRPr="00724CA2">
        <w:rPr>
          <w:rFonts w:ascii="Times New Roman" w:hAnsi="Times New Roman" w:cs="Times New Roman"/>
          <w:color w:val="000000" w:themeColor="text1"/>
          <w:sz w:val="24"/>
          <w:szCs w:val="24"/>
        </w:rPr>
        <w:t>environmental spending</w:t>
      </w:r>
      <w:r w:rsidR="004965A2" w:rsidRPr="00724CA2">
        <w:rPr>
          <w:rFonts w:ascii="Times New Roman" w:hAnsi="Times New Roman" w:cs="Times New Roman"/>
          <w:color w:val="000000" w:themeColor="text1"/>
          <w:sz w:val="24"/>
          <w:szCs w:val="24"/>
        </w:rPr>
        <w:t xml:space="preserve"> decisions</w:t>
      </w:r>
      <w:r w:rsidRPr="00724CA2">
        <w:rPr>
          <w:rFonts w:ascii="Times New Roman" w:hAnsi="Times New Roman" w:cs="Times New Roman"/>
          <w:color w:val="000000" w:themeColor="text1"/>
          <w:sz w:val="24"/>
          <w:szCs w:val="24"/>
        </w:rPr>
        <w:t>.</w:t>
      </w:r>
    </w:p>
    <w:p w14:paraId="59765D23" w14:textId="2CDDA312" w:rsidR="00762E45" w:rsidRPr="00724CA2" w:rsidRDefault="00F71674" w:rsidP="00B909BA">
      <w:pPr>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Numerous</w:t>
      </w:r>
      <w:r w:rsidR="00762E45" w:rsidRPr="00724CA2">
        <w:rPr>
          <w:rFonts w:ascii="Times New Roman" w:hAnsi="Times New Roman" w:cs="Times New Roman"/>
          <w:color w:val="000000" w:themeColor="text1"/>
          <w:sz w:val="24"/>
          <w:szCs w:val="24"/>
        </w:rPr>
        <w:t xml:space="preserve"> control variables are significant. </w:t>
      </w:r>
      <w:r w:rsidR="00D84EA5" w:rsidRPr="00D84EA5">
        <w:rPr>
          <w:rFonts w:ascii="Times New Roman" w:hAnsi="Times New Roman" w:cs="Times New Roman"/>
          <w:color w:val="000000" w:themeColor="text1"/>
          <w:sz w:val="24"/>
          <w:szCs w:val="24"/>
        </w:rPr>
        <w:t>In Tables 3 and 4, a firm’s social performance and governance quality are positively related to corporate environmental spending</w:t>
      </w:r>
      <w:r w:rsidR="00762E45" w:rsidRPr="00724CA2">
        <w:rPr>
          <w:rFonts w:ascii="Times New Roman" w:hAnsi="Times New Roman" w:cs="Times New Roman"/>
          <w:color w:val="000000" w:themeColor="text1"/>
          <w:sz w:val="24"/>
          <w:szCs w:val="24"/>
        </w:rPr>
        <w:t xml:space="preserve">. Firm stock returns are positively associated with environmental spending, indicating firms with greater market performance increase their environmental </w:t>
      </w:r>
      <w:r w:rsidR="00251FDB" w:rsidRPr="00724CA2">
        <w:rPr>
          <w:rFonts w:ascii="Times New Roman" w:hAnsi="Times New Roman" w:cs="Times New Roman"/>
          <w:color w:val="000000" w:themeColor="text1"/>
          <w:sz w:val="24"/>
          <w:szCs w:val="24"/>
        </w:rPr>
        <w:t>spending</w:t>
      </w:r>
      <w:r w:rsidR="00C221DB" w:rsidRPr="00724CA2">
        <w:rPr>
          <w:rFonts w:ascii="Times New Roman" w:hAnsi="Times New Roman" w:cs="Times New Roman"/>
          <w:color w:val="000000" w:themeColor="text1"/>
          <w:sz w:val="24"/>
          <w:szCs w:val="24"/>
        </w:rPr>
        <w:t xml:space="preserve">. </w:t>
      </w:r>
      <w:r w:rsidR="00FB3E40" w:rsidRPr="00724CA2">
        <w:rPr>
          <w:rFonts w:ascii="Times New Roman" w:hAnsi="Times New Roman" w:cs="Times New Roman"/>
          <w:color w:val="000000" w:themeColor="text1"/>
          <w:sz w:val="24"/>
          <w:szCs w:val="24"/>
        </w:rPr>
        <w:t>The f</w:t>
      </w:r>
      <w:r w:rsidR="00762E45" w:rsidRPr="00724CA2">
        <w:rPr>
          <w:rFonts w:ascii="Times New Roman" w:hAnsi="Times New Roman" w:cs="Times New Roman"/>
          <w:color w:val="000000" w:themeColor="text1"/>
          <w:sz w:val="24"/>
          <w:szCs w:val="24"/>
        </w:rPr>
        <w:t xml:space="preserve">irm leverage </w:t>
      </w:r>
      <w:r w:rsidR="00FB3E40" w:rsidRPr="00724CA2">
        <w:rPr>
          <w:rFonts w:ascii="Times New Roman" w:hAnsi="Times New Roman" w:cs="Times New Roman"/>
          <w:color w:val="000000" w:themeColor="text1"/>
          <w:sz w:val="24"/>
          <w:szCs w:val="24"/>
        </w:rPr>
        <w:t xml:space="preserve">coefficients </w:t>
      </w:r>
      <w:r w:rsidR="00762E45" w:rsidRPr="00724CA2">
        <w:rPr>
          <w:rFonts w:ascii="Times New Roman" w:hAnsi="Times New Roman" w:cs="Times New Roman"/>
          <w:color w:val="000000" w:themeColor="text1"/>
          <w:sz w:val="24"/>
          <w:szCs w:val="24"/>
        </w:rPr>
        <w:t xml:space="preserve">are positive and significant, </w:t>
      </w:r>
      <w:r w:rsidR="00D92680" w:rsidRPr="00724CA2">
        <w:rPr>
          <w:rFonts w:ascii="Times New Roman" w:hAnsi="Times New Roman" w:cs="Times New Roman"/>
          <w:color w:val="000000" w:themeColor="text1"/>
          <w:sz w:val="24"/>
          <w:szCs w:val="24"/>
        </w:rPr>
        <w:t>revealing</w:t>
      </w:r>
      <w:r w:rsidR="00762E45" w:rsidRPr="00724CA2">
        <w:rPr>
          <w:rFonts w:ascii="Times New Roman" w:hAnsi="Times New Roman" w:cs="Times New Roman"/>
          <w:color w:val="000000" w:themeColor="text1"/>
          <w:sz w:val="24"/>
          <w:szCs w:val="24"/>
        </w:rPr>
        <w:t xml:space="preserve"> that highly leveraged firms </w:t>
      </w:r>
      <w:r w:rsidR="00FB3E40" w:rsidRPr="00724CA2">
        <w:rPr>
          <w:rFonts w:ascii="Times New Roman" w:hAnsi="Times New Roman" w:cs="Times New Roman"/>
          <w:color w:val="000000" w:themeColor="text1"/>
          <w:sz w:val="24"/>
          <w:szCs w:val="24"/>
        </w:rPr>
        <w:t>undertake more environmental spending.</w:t>
      </w:r>
    </w:p>
    <w:p w14:paraId="3837E2AB" w14:textId="52F328BD" w:rsidR="00B64466" w:rsidRPr="00724CA2" w:rsidRDefault="00762E45" w:rsidP="00A60000">
      <w:pPr>
        <w:spacing w:afterLines="50" w:after="120" w:line="480" w:lineRule="auto"/>
        <w:jc w:val="center"/>
        <w:rPr>
          <w:rFonts w:ascii="Times New Roman" w:hAnsi="Times New Roman" w:cs="Times New Roman"/>
          <w:b/>
          <w:color w:val="000000" w:themeColor="text1"/>
          <w:sz w:val="24"/>
          <w:szCs w:val="24"/>
        </w:rPr>
      </w:pPr>
      <w:r w:rsidRPr="00724CA2">
        <w:rPr>
          <w:rFonts w:ascii="Times New Roman" w:hAnsi="Times New Roman" w:cs="Times New Roman"/>
          <w:b/>
          <w:color w:val="000000" w:themeColor="text1"/>
          <w:sz w:val="24"/>
          <w:szCs w:val="24"/>
        </w:rPr>
        <w:t>INSERT Table 4</w:t>
      </w:r>
    </w:p>
    <w:p w14:paraId="3E2FD80B" w14:textId="58D6623B" w:rsidR="00762E45" w:rsidRPr="002B4459" w:rsidRDefault="00762E45" w:rsidP="0025283F">
      <w:pPr>
        <w:spacing w:afterLines="50" w:after="120" w:line="480" w:lineRule="auto"/>
        <w:jc w:val="both"/>
        <w:rPr>
          <w:rFonts w:ascii="Times New Roman" w:hAnsi="Times New Roman" w:cs="Times New Roman"/>
          <w:i/>
          <w:iCs/>
          <w:color w:val="000000" w:themeColor="text1"/>
          <w:sz w:val="24"/>
          <w:szCs w:val="24"/>
        </w:rPr>
      </w:pPr>
      <w:r w:rsidRPr="002B4459">
        <w:rPr>
          <w:rFonts w:ascii="Times New Roman" w:hAnsi="Times New Roman" w:cs="Times New Roman"/>
          <w:i/>
          <w:iCs/>
          <w:color w:val="000000" w:themeColor="text1"/>
          <w:sz w:val="24"/>
          <w:szCs w:val="24"/>
        </w:rPr>
        <w:t xml:space="preserve">4.3 </w:t>
      </w:r>
      <w:r w:rsidR="004A50F5" w:rsidRPr="002B4459">
        <w:rPr>
          <w:rFonts w:ascii="Times New Roman" w:hAnsi="Times New Roman" w:cs="Times New Roman"/>
          <w:i/>
          <w:iCs/>
          <w:color w:val="000000" w:themeColor="text1"/>
          <w:sz w:val="24"/>
          <w:szCs w:val="24"/>
        </w:rPr>
        <w:tab/>
      </w:r>
      <w:r w:rsidRPr="002B4459">
        <w:rPr>
          <w:rFonts w:ascii="Times New Roman" w:hAnsi="Times New Roman" w:cs="Times New Roman"/>
          <w:i/>
          <w:iCs/>
          <w:color w:val="000000" w:themeColor="text1"/>
          <w:sz w:val="24"/>
          <w:szCs w:val="24"/>
        </w:rPr>
        <w:t>Endogeneity: a two-stage least squares (2-SLS) approach</w:t>
      </w:r>
    </w:p>
    <w:p w14:paraId="59D5A6A8" w14:textId="41256625" w:rsidR="00762E45" w:rsidRPr="00724CA2" w:rsidRDefault="00762E45" w:rsidP="00B909BA">
      <w:pPr>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To address omitted variable bias, where unobserved factors could simultaneously determine mutual fund’s ownership and corporate environmental spending, we adopt an instrumental variable (IV) approach. </w:t>
      </w:r>
      <w:r w:rsidR="00AB4FDD" w:rsidRPr="00AB4FDD">
        <w:rPr>
          <w:rFonts w:ascii="Times New Roman" w:hAnsi="Times New Roman" w:cs="Times New Roman"/>
          <w:color w:val="000000" w:themeColor="text1"/>
          <w:sz w:val="24"/>
          <w:szCs w:val="24"/>
        </w:rPr>
        <w:t xml:space="preserve">This is important because firms with superior management styles tend </w:t>
      </w:r>
      <w:r w:rsidR="00AB4FDD" w:rsidRPr="00AB4FDD">
        <w:rPr>
          <w:rFonts w:ascii="Times New Roman" w:hAnsi="Times New Roman" w:cs="Times New Roman"/>
          <w:color w:val="000000" w:themeColor="text1"/>
          <w:sz w:val="24"/>
          <w:szCs w:val="24"/>
        </w:rPr>
        <w:lastRenderedPageBreak/>
        <w:t>to undertake more environmental spending, which could attract mutual fund investment</w:t>
      </w:r>
      <w:r w:rsidRPr="00724CA2">
        <w:rPr>
          <w:rFonts w:ascii="Times New Roman" w:hAnsi="Times New Roman" w:cs="Times New Roman"/>
          <w:color w:val="000000" w:themeColor="text1"/>
          <w:sz w:val="24"/>
          <w:szCs w:val="24"/>
        </w:rPr>
        <w:t xml:space="preserve">. To </w:t>
      </w:r>
      <w:r w:rsidR="00BE17AF" w:rsidRPr="00724CA2">
        <w:rPr>
          <w:rFonts w:ascii="Times New Roman" w:hAnsi="Times New Roman" w:cs="Times New Roman"/>
          <w:color w:val="000000" w:themeColor="text1"/>
          <w:sz w:val="24"/>
          <w:szCs w:val="24"/>
        </w:rPr>
        <w:t>examine</w:t>
      </w:r>
      <w:r w:rsidRPr="00724CA2">
        <w:rPr>
          <w:rFonts w:ascii="Times New Roman" w:hAnsi="Times New Roman" w:cs="Times New Roman"/>
          <w:color w:val="000000" w:themeColor="text1"/>
          <w:sz w:val="24"/>
          <w:szCs w:val="24"/>
        </w:rPr>
        <w:t xml:space="preserve"> this endogeneity concern, we choose the following three instrumental variables (</w:t>
      </w:r>
      <w:r w:rsidR="00764D6A" w:rsidRPr="00724CA2">
        <w:rPr>
          <w:rFonts w:ascii="Times New Roman" w:hAnsi="Times New Roman" w:cs="Times New Roman"/>
          <w:color w:val="000000" w:themeColor="text1"/>
          <w:sz w:val="24"/>
          <w:szCs w:val="24"/>
        </w:rPr>
        <w:t>IVs</w:t>
      </w:r>
      <w:r w:rsidRPr="00724CA2">
        <w:rPr>
          <w:rFonts w:ascii="Times New Roman" w:hAnsi="Times New Roman" w:cs="Times New Roman"/>
          <w:color w:val="000000" w:themeColor="text1"/>
          <w:sz w:val="24"/>
          <w:szCs w:val="24"/>
        </w:rPr>
        <w:t xml:space="preserve">). First, and following Chan </w:t>
      </w:r>
      <w:r w:rsidRPr="00724CA2">
        <w:rPr>
          <w:rFonts w:ascii="Times New Roman" w:hAnsi="Times New Roman" w:cs="Times New Roman"/>
          <w:iCs/>
          <w:color w:val="000000" w:themeColor="text1"/>
          <w:sz w:val="24"/>
          <w:szCs w:val="24"/>
        </w:rPr>
        <w:t>et al.</w:t>
      </w:r>
      <w:r w:rsidR="008236CA" w:rsidRPr="00724CA2">
        <w:rPr>
          <w:rFonts w:ascii="Times New Roman" w:hAnsi="Times New Roman" w:cs="Times New Roman"/>
          <w:iCs/>
          <w:color w:val="000000" w:themeColor="text1"/>
          <w:sz w:val="24"/>
          <w:szCs w:val="24"/>
        </w:rPr>
        <w:t>,</w:t>
      </w:r>
      <w:r w:rsidRPr="00724CA2">
        <w:rPr>
          <w:rFonts w:ascii="Times New Roman" w:hAnsi="Times New Roman" w:cs="Times New Roman"/>
          <w:color w:val="000000" w:themeColor="text1"/>
          <w:sz w:val="24"/>
          <w:szCs w:val="24"/>
        </w:rPr>
        <w:t xml:space="preserve"> (2014)</w:t>
      </w:r>
      <w:r w:rsidR="008A1D1D" w:rsidRPr="00724CA2">
        <w:rPr>
          <w:rFonts w:ascii="Times New Roman" w:hAnsi="Times New Roman" w:cs="Times New Roman"/>
          <w:color w:val="000000" w:themeColor="text1"/>
          <w:sz w:val="24"/>
          <w:szCs w:val="24"/>
        </w:rPr>
        <w:t>,</w:t>
      </w:r>
      <w:r w:rsidRPr="00724CA2">
        <w:rPr>
          <w:rFonts w:ascii="Times New Roman" w:hAnsi="Times New Roman" w:cs="Times New Roman"/>
          <w:color w:val="000000" w:themeColor="text1"/>
          <w:sz w:val="24"/>
          <w:szCs w:val="24"/>
        </w:rPr>
        <w:t xml:space="preserve"> we use the lagged (two-period) mutual fund ownership as the instrumental variable</w:t>
      </w:r>
      <w:r w:rsidR="008A1D1D" w:rsidRPr="00724CA2">
        <w:rPr>
          <w:rFonts w:ascii="Times New Roman" w:hAnsi="Times New Roman" w:cs="Times New Roman"/>
          <w:color w:val="000000" w:themeColor="text1"/>
          <w:sz w:val="24"/>
          <w:szCs w:val="24"/>
        </w:rPr>
        <w:t>.</w:t>
      </w:r>
      <w:r w:rsidR="006E66D3" w:rsidRPr="00724CA2">
        <w:rPr>
          <w:rFonts w:ascii="Times New Roman" w:hAnsi="Times New Roman" w:cs="Times New Roman"/>
          <w:color w:val="000000" w:themeColor="text1"/>
          <w:sz w:val="24"/>
          <w:szCs w:val="24"/>
        </w:rPr>
        <w:t xml:space="preserve"> </w:t>
      </w:r>
      <w:r w:rsidR="00596EF9" w:rsidRPr="00724CA2">
        <w:rPr>
          <w:rFonts w:ascii="Times New Roman" w:hAnsi="Times New Roman" w:cs="Times New Roman"/>
          <w:color w:val="000000" w:themeColor="text1"/>
          <w:sz w:val="24"/>
          <w:szCs w:val="24"/>
        </w:rPr>
        <w:t xml:space="preserve">The rationale for using this IV is that the independent variables are simultaneously determined, </w:t>
      </w:r>
      <w:r w:rsidR="00A4007C" w:rsidRPr="00724CA2">
        <w:rPr>
          <w:rFonts w:ascii="Times New Roman" w:hAnsi="Times New Roman" w:cs="Times New Roman"/>
          <w:color w:val="000000" w:themeColor="text1"/>
          <w:sz w:val="24"/>
          <w:szCs w:val="24"/>
        </w:rPr>
        <w:t>and</w:t>
      </w:r>
      <w:r w:rsidR="00596EF9" w:rsidRPr="00724CA2">
        <w:rPr>
          <w:rFonts w:ascii="Times New Roman" w:hAnsi="Times New Roman" w:cs="Times New Roman"/>
          <w:color w:val="000000" w:themeColor="text1"/>
          <w:sz w:val="24"/>
          <w:szCs w:val="24"/>
        </w:rPr>
        <w:t xml:space="preserve"> the lagged variables of mutual fund </w:t>
      </w:r>
      <w:r w:rsidR="00AB35B6" w:rsidRPr="00724CA2">
        <w:rPr>
          <w:rFonts w:ascii="Times New Roman" w:hAnsi="Times New Roman" w:cs="Times New Roman"/>
          <w:color w:val="000000" w:themeColor="text1"/>
          <w:sz w:val="24"/>
          <w:szCs w:val="24"/>
        </w:rPr>
        <w:t xml:space="preserve">ownership </w:t>
      </w:r>
      <w:r w:rsidR="00596EF9" w:rsidRPr="00724CA2">
        <w:rPr>
          <w:rFonts w:ascii="Times New Roman" w:hAnsi="Times New Roman" w:cs="Times New Roman"/>
          <w:color w:val="000000" w:themeColor="text1"/>
          <w:sz w:val="24"/>
          <w:szCs w:val="24"/>
        </w:rPr>
        <w:t>are related to current mutual fund holding</w:t>
      </w:r>
      <w:r w:rsidR="00AB35B6" w:rsidRPr="00724CA2">
        <w:rPr>
          <w:rFonts w:ascii="Times New Roman" w:hAnsi="Times New Roman" w:cs="Times New Roman"/>
          <w:color w:val="000000" w:themeColor="text1"/>
          <w:sz w:val="24"/>
          <w:szCs w:val="24"/>
        </w:rPr>
        <w:t>s</w:t>
      </w:r>
      <w:r w:rsidR="00596EF9" w:rsidRPr="00724CA2">
        <w:rPr>
          <w:rFonts w:ascii="Times New Roman" w:hAnsi="Times New Roman" w:cs="Times New Roman"/>
          <w:color w:val="000000" w:themeColor="text1"/>
          <w:sz w:val="24"/>
          <w:szCs w:val="24"/>
        </w:rPr>
        <w:t xml:space="preserve">. </w:t>
      </w:r>
      <w:r w:rsidR="00C07B39" w:rsidRPr="00C07B39">
        <w:rPr>
          <w:rFonts w:ascii="Times New Roman" w:hAnsi="Times New Roman" w:cs="Times New Roman"/>
          <w:color w:val="000000" w:themeColor="text1"/>
          <w:sz w:val="24"/>
          <w:szCs w:val="24"/>
        </w:rPr>
        <w:t>The lagged variables should be unrelated to environmental spending (Bellemare et al., 2017; Wang and Bellemare, 2019), helping to mitigate endogeneity problems by reducing bias and the root mean square error relative to OLS across a common range of parameter values</w:t>
      </w:r>
      <w:r w:rsidR="00596EF9" w:rsidRPr="00724CA2">
        <w:rPr>
          <w:rFonts w:ascii="Times New Roman" w:hAnsi="Times New Roman" w:cs="Times New Roman"/>
          <w:color w:val="000000" w:themeColor="text1"/>
          <w:sz w:val="24"/>
          <w:szCs w:val="24"/>
        </w:rPr>
        <w:t xml:space="preserve">. </w:t>
      </w:r>
      <w:r w:rsidRPr="00724CA2">
        <w:rPr>
          <w:rFonts w:ascii="Times New Roman" w:hAnsi="Times New Roman" w:cs="Times New Roman"/>
          <w:color w:val="000000" w:themeColor="text1"/>
          <w:sz w:val="24"/>
          <w:szCs w:val="24"/>
        </w:rPr>
        <w:t>Model 1 in Table 5 presents the second-stage result.</w:t>
      </w:r>
      <w:r w:rsidR="005F6128" w:rsidRPr="00724CA2">
        <w:rPr>
          <w:rStyle w:val="FootnoteReference"/>
          <w:rFonts w:ascii="Times New Roman" w:hAnsi="Times New Roman" w:cs="Times New Roman"/>
          <w:color w:val="000000" w:themeColor="text1"/>
          <w:sz w:val="24"/>
          <w:szCs w:val="24"/>
        </w:rPr>
        <w:footnoteReference w:id="4"/>
      </w:r>
      <w:r w:rsidRPr="00724CA2">
        <w:rPr>
          <w:rFonts w:ascii="Times New Roman" w:hAnsi="Times New Roman" w:cs="Times New Roman"/>
          <w:color w:val="000000" w:themeColor="text1"/>
          <w:sz w:val="24"/>
          <w:szCs w:val="24"/>
        </w:rPr>
        <w:t xml:space="preserve"> The statistical significance remains, and the economic magnitude is comparable to the baseline result (</w:t>
      </w:r>
      <w:r w:rsidRPr="00724CA2">
        <w:rPr>
          <w:rFonts w:ascii="Times New Roman" w:hAnsi="Times New Roman" w:cs="Times New Roman"/>
          <w:i/>
          <w:color w:val="000000" w:themeColor="text1"/>
          <w:sz w:val="24"/>
          <w:szCs w:val="24"/>
        </w:rPr>
        <w:t>i.e.</w:t>
      </w:r>
      <w:r w:rsidRPr="00724CA2">
        <w:rPr>
          <w:rFonts w:ascii="Times New Roman" w:hAnsi="Times New Roman" w:cs="Times New Roman"/>
          <w:color w:val="000000" w:themeColor="text1"/>
          <w:sz w:val="24"/>
          <w:szCs w:val="24"/>
        </w:rPr>
        <w:t xml:space="preserve">, Model 1 of Table 3). </w:t>
      </w:r>
    </w:p>
    <w:p w14:paraId="1DA494FC" w14:textId="7416D037" w:rsidR="00170C8B" w:rsidRPr="00724CA2" w:rsidRDefault="0054380F" w:rsidP="00B909BA">
      <w:pPr>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Second, </w:t>
      </w:r>
      <w:r w:rsidR="00500DB1" w:rsidRPr="00724CA2">
        <w:rPr>
          <w:rFonts w:ascii="Times New Roman" w:hAnsi="Times New Roman" w:cs="Times New Roman"/>
          <w:color w:val="000000" w:themeColor="text1"/>
          <w:sz w:val="24"/>
          <w:szCs w:val="24"/>
        </w:rPr>
        <w:t xml:space="preserve">following </w:t>
      </w:r>
      <w:r w:rsidR="00762E45" w:rsidRPr="00724CA2">
        <w:rPr>
          <w:rFonts w:ascii="Times New Roman" w:hAnsi="Times New Roman" w:cs="Times New Roman"/>
          <w:color w:val="000000" w:themeColor="text1"/>
          <w:sz w:val="24"/>
          <w:szCs w:val="24"/>
        </w:rPr>
        <w:t xml:space="preserve">Crane </w:t>
      </w:r>
      <w:r w:rsidR="00762E45" w:rsidRPr="00724CA2">
        <w:rPr>
          <w:rFonts w:ascii="Times New Roman" w:hAnsi="Times New Roman" w:cs="Times New Roman"/>
          <w:i/>
          <w:color w:val="000000" w:themeColor="text1"/>
          <w:sz w:val="24"/>
          <w:szCs w:val="24"/>
        </w:rPr>
        <w:t>et al.</w:t>
      </w:r>
      <w:r w:rsidR="00762E45" w:rsidRPr="00724CA2">
        <w:rPr>
          <w:rFonts w:ascii="Times New Roman" w:hAnsi="Times New Roman" w:cs="Times New Roman"/>
          <w:color w:val="000000" w:themeColor="text1"/>
          <w:sz w:val="24"/>
          <w:szCs w:val="24"/>
        </w:rPr>
        <w:t xml:space="preserve"> (2016), Chen </w:t>
      </w:r>
      <w:r w:rsidR="00762E45" w:rsidRPr="00724CA2">
        <w:rPr>
          <w:rFonts w:ascii="Times New Roman" w:hAnsi="Times New Roman" w:cs="Times New Roman"/>
          <w:i/>
          <w:color w:val="000000" w:themeColor="text1"/>
          <w:sz w:val="24"/>
          <w:szCs w:val="24"/>
        </w:rPr>
        <w:t>et al.</w:t>
      </w:r>
      <w:r w:rsidR="00762E45" w:rsidRPr="00724CA2">
        <w:rPr>
          <w:rFonts w:ascii="Times New Roman" w:hAnsi="Times New Roman" w:cs="Times New Roman"/>
          <w:color w:val="000000" w:themeColor="text1"/>
          <w:sz w:val="24"/>
          <w:szCs w:val="24"/>
        </w:rPr>
        <w:t xml:space="preserve"> (2019), and Hillegeist and Wen</w:t>
      </w:r>
      <w:r w:rsidR="00293305" w:rsidRPr="00724CA2">
        <w:rPr>
          <w:rFonts w:ascii="Times New Roman" w:hAnsi="Times New Roman" w:cs="Times New Roman"/>
          <w:color w:val="000000" w:themeColor="text1"/>
          <w:sz w:val="24"/>
          <w:szCs w:val="24"/>
        </w:rPr>
        <w:t>g</w:t>
      </w:r>
      <w:r w:rsidR="00762E45" w:rsidRPr="00724CA2">
        <w:rPr>
          <w:rFonts w:ascii="Times New Roman" w:hAnsi="Times New Roman" w:cs="Times New Roman"/>
          <w:color w:val="000000" w:themeColor="text1"/>
          <w:sz w:val="24"/>
          <w:szCs w:val="24"/>
        </w:rPr>
        <w:t xml:space="preserve"> (2021),</w:t>
      </w:r>
      <w:r w:rsidR="00B32CBA" w:rsidRPr="00724CA2">
        <w:rPr>
          <w:rFonts w:ascii="Times New Roman" w:hAnsi="Times New Roman" w:cs="Times New Roman"/>
          <w:color w:val="000000" w:themeColor="text1"/>
          <w:sz w:val="24"/>
          <w:szCs w:val="24"/>
        </w:rPr>
        <w:t xml:space="preserve"> </w:t>
      </w:r>
      <w:r w:rsidR="00762E45" w:rsidRPr="00724CA2">
        <w:rPr>
          <w:rFonts w:ascii="Times New Roman" w:hAnsi="Times New Roman" w:cs="Times New Roman"/>
          <w:color w:val="000000" w:themeColor="text1"/>
          <w:sz w:val="24"/>
          <w:szCs w:val="24"/>
        </w:rPr>
        <w:t>we use a listed firm’s CSI 300 index status as the second instrument.</w:t>
      </w:r>
      <w:r w:rsidR="00C46060" w:rsidRPr="00724CA2">
        <w:rPr>
          <w:rStyle w:val="FootnoteReference"/>
          <w:rFonts w:ascii="Times New Roman" w:hAnsi="Times New Roman" w:cs="Times New Roman"/>
          <w:color w:val="000000" w:themeColor="text1"/>
          <w:sz w:val="24"/>
          <w:szCs w:val="24"/>
        </w:rPr>
        <w:footnoteReference w:id="5"/>
      </w:r>
      <w:r w:rsidR="00C46060" w:rsidRPr="00724CA2">
        <w:rPr>
          <w:rFonts w:ascii="Times New Roman" w:hAnsi="Times New Roman" w:cs="Times New Roman"/>
          <w:color w:val="000000" w:themeColor="text1"/>
          <w:sz w:val="24"/>
          <w:szCs w:val="24"/>
        </w:rPr>
        <w:t xml:space="preserve"> </w:t>
      </w:r>
      <w:r w:rsidR="00761E81" w:rsidRPr="00724CA2">
        <w:rPr>
          <w:rFonts w:ascii="Times New Roman" w:hAnsi="Times New Roman" w:cs="Times New Roman"/>
          <w:color w:val="000000" w:themeColor="text1"/>
          <w:sz w:val="24"/>
          <w:szCs w:val="24"/>
        </w:rPr>
        <w:t xml:space="preserve">The identifying assumption is that CSI 300 index assignment is exogenous to corporate environmental spending </w:t>
      </w:r>
      <w:r w:rsidR="00FC149D" w:rsidRPr="00724CA2">
        <w:rPr>
          <w:rFonts w:ascii="Times New Roman" w:hAnsi="Times New Roman" w:cs="Times New Roman"/>
          <w:color w:val="000000" w:themeColor="text1"/>
          <w:sz w:val="24"/>
          <w:szCs w:val="24"/>
        </w:rPr>
        <w:t>only</w:t>
      </w:r>
      <w:r w:rsidR="00761E81" w:rsidRPr="00724CA2">
        <w:rPr>
          <w:rFonts w:ascii="Times New Roman" w:hAnsi="Times New Roman" w:cs="Times New Roman"/>
          <w:color w:val="000000" w:themeColor="text1"/>
          <w:sz w:val="24"/>
          <w:szCs w:val="24"/>
        </w:rPr>
        <w:t xml:space="preserve"> through its effect on quasi-indexer ownership. </w:t>
      </w:r>
      <w:r w:rsidR="00B4676C" w:rsidRPr="00724CA2">
        <w:rPr>
          <w:rFonts w:ascii="Times New Roman" w:hAnsi="Times New Roman" w:cs="Times New Roman"/>
          <w:color w:val="000000" w:themeColor="text1"/>
          <w:sz w:val="24"/>
          <w:szCs w:val="24"/>
        </w:rPr>
        <w:t>Specifically</w:t>
      </w:r>
      <w:r w:rsidR="00761E81" w:rsidRPr="00724CA2">
        <w:rPr>
          <w:rFonts w:ascii="Times New Roman" w:hAnsi="Times New Roman" w:cs="Times New Roman"/>
          <w:color w:val="000000" w:themeColor="text1"/>
          <w:sz w:val="24"/>
          <w:szCs w:val="24"/>
        </w:rPr>
        <w:t>,</w:t>
      </w:r>
      <w:r w:rsidR="00E970F0" w:rsidRPr="00724CA2">
        <w:rPr>
          <w:rFonts w:ascii="Times New Roman" w:hAnsi="Times New Roman" w:cs="Times New Roman"/>
          <w:color w:val="000000" w:themeColor="text1"/>
          <w:sz w:val="24"/>
          <w:szCs w:val="24"/>
        </w:rPr>
        <w:t xml:space="preserve"> the annual index reconstitution could be considered random as firms around the CSI 300 threshold </w:t>
      </w:r>
      <w:r w:rsidR="00761E81" w:rsidRPr="00724CA2">
        <w:rPr>
          <w:rFonts w:ascii="Times New Roman" w:hAnsi="Times New Roman" w:cs="Times New Roman" w:hint="eastAsia"/>
          <w:color w:val="000000" w:themeColor="text1"/>
          <w:sz w:val="24"/>
          <w:szCs w:val="24"/>
          <w:lang w:eastAsia="zh-CN"/>
        </w:rPr>
        <w:t>(i.e</w:t>
      </w:r>
      <w:r w:rsidR="00761E81" w:rsidRPr="00724CA2">
        <w:rPr>
          <w:rFonts w:ascii="Times New Roman" w:hAnsi="Times New Roman" w:cs="Times New Roman"/>
          <w:color w:val="000000" w:themeColor="text1"/>
          <w:sz w:val="24"/>
          <w:szCs w:val="24"/>
          <w:lang w:eastAsia="zh-CN"/>
        </w:rPr>
        <w:t>., those firms moving in or out the index</w:t>
      </w:r>
      <w:r w:rsidR="00761E81" w:rsidRPr="00724CA2">
        <w:rPr>
          <w:rFonts w:ascii="Times New Roman" w:hAnsi="Times New Roman" w:cs="Times New Roman" w:hint="eastAsia"/>
          <w:color w:val="000000" w:themeColor="text1"/>
          <w:sz w:val="24"/>
          <w:szCs w:val="24"/>
          <w:lang w:eastAsia="zh-CN"/>
        </w:rPr>
        <w:t>)</w:t>
      </w:r>
      <w:r w:rsidR="00761E81" w:rsidRPr="00724CA2">
        <w:rPr>
          <w:rFonts w:ascii="Times New Roman" w:hAnsi="Times New Roman" w:cs="Times New Roman"/>
          <w:color w:val="000000" w:themeColor="text1"/>
          <w:sz w:val="24"/>
          <w:szCs w:val="24"/>
          <w:lang w:eastAsia="zh-CN"/>
        </w:rPr>
        <w:t xml:space="preserve"> </w:t>
      </w:r>
      <w:r w:rsidR="00E970F0" w:rsidRPr="00724CA2">
        <w:rPr>
          <w:rFonts w:ascii="Times New Roman" w:hAnsi="Times New Roman" w:cs="Times New Roman"/>
          <w:color w:val="000000" w:themeColor="text1"/>
          <w:sz w:val="24"/>
          <w:szCs w:val="24"/>
        </w:rPr>
        <w:t>are assigned randomly based on their annual market capitalization. Subsequently, benchmarking mutual funds would adjust their quasi-indexer ownership around the threshold and therefore exhibit an exogenous variation</w:t>
      </w:r>
      <w:r w:rsidR="00F66BFA" w:rsidRPr="00724CA2">
        <w:rPr>
          <w:rFonts w:ascii="Times New Roman" w:hAnsi="Times New Roman" w:cs="Times New Roman"/>
          <w:color w:val="000000" w:themeColor="text1"/>
          <w:sz w:val="24"/>
          <w:szCs w:val="24"/>
        </w:rPr>
        <w:t>. This</w:t>
      </w:r>
      <w:r w:rsidR="00B4676C" w:rsidRPr="00724CA2">
        <w:rPr>
          <w:rFonts w:ascii="Times New Roman" w:hAnsi="Times New Roman" w:cs="Times New Roman"/>
          <w:color w:val="000000" w:themeColor="text1"/>
          <w:sz w:val="24"/>
          <w:szCs w:val="24"/>
        </w:rPr>
        <w:t xml:space="preserve"> </w:t>
      </w:r>
      <w:r w:rsidR="00C74318" w:rsidRPr="00724CA2">
        <w:rPr>
          <w:rFonts w:ascii="Times New Roman" w:hAnsi="Times New Roman" w:cs="Times New Roman"/>
          <w:color w:val="000000" w:themeColor="text1"/>
          <w:sz w:val="24"/>
          <w:szCs w:val="24"/>
        </w:rPr>
        <w:t xml:space="preserve">IV </w:t>
      </w:r>
      <w:r w:rsidR="00B4676C" w:rsidRPr="00724CA2">
        <w:rPr>
          <w:rFonts w:ascii="Times New Roman" w:hAnsi="Times New Roman" w:cs="Times New Roman"/>
          <w:color w:val="000000" w:themeColor="text1"/>
          <w:sz w:val="24"/>
          <w:szCs w:val="24"/>
        </w:rPr>
        <w:t xml:space="preserve">design is essentially a sharp regression discontinuity design for the CSI 300 treatment assignment in the first stage to estimate the exogenous level of the quasi-indexer ownership. </w:t>
      </w:r>
      <w:r w:rsidR="008C69B8" w:rsidRPr="00724CA2">
        <w:rPr>
          <w:rFonts w:ascii="Times New Roman" w:hAnsi="Times New Roman" w:cs="Times New Roman"/>
          <w:color w:val="000000" w:themeColor="text1"/>
          <w:sz w:val="24"/>
          <w:szCs w:val="24"/>
        </w:rPr>
        <w:t xml:space="preserve">We use both </w:t>
      </w:r>
      <w:r w:rsidR="008C69B8" w:rsidRPr="00724CA2">
        <w:rPr>
          <w:rFonts w:ascii="Times New Roman" w:hAnsi="Times New Roman" w:cs="Times New Roman"/>
          <w:color w:val="000000" w:themeColor="text1"/>
          <w:sz w:val="24"/>
          <w:szCs w:val="24"/>
        </w:rPr>
        <w:lastRenderedPageBreak/>
        <w:t xml:space="preserve">lagged mutual fund ownership and CSI 300 index </w:t>
      </w:r>
      <w:r w:rsidR="008C69B8" w:rsidRPr="00724CA2">
        <w:rPr>
          <w:rFonts w:ascii="Times New Roman" w:hAnsi="Times New Roman" w:cs="Times New Roman" w:hint="eastAsia"/>
          <w:color w:val="000000" w:themeColor="text1"/>
          <w:sz w:val="24"/>
          <w:szCs w:val="24"/>
          <w:lang w:eastAsia="zh-CN"/>
        </w:rPr>
        <w:t>as</w:t>
      </w:r>
      <w:r w:rsidR="008C69B8" w:rsidRPr="00724CA2">
        <w:rPr>
          <w:rFonts w:ascii="Times New Roman" w:hAnsi="Times New Roman" w:cs="Times New Roman"/>
          <w:color w:val="000000" w:themeColor="text1"/>
          <w:sz w:val="24"/>
          <w:szCs w:val="24"/>
        </w:rPr>
        <w:t xml:space="preserve"> </w:t>
      </w:r>
      <w:r w:rsidR="000C47B9" w:rsidRPr="00724CA2">
        <w:rPr>
          <w:rFonts w:ascii="Times New Roman" w:hAnsi="Times New Roman" w:cs="Times New Roman"/>
          <w:color w:val="000000" w:themeColor="text1"/>
          <w:sz w:val="24"/>
          <w:szCs w:val="24"/>
          <w:lang w:eastAsia="zh-CN"/>
        </w:rPr>
        <w:t>IV</w:t>
      </w:r>
      <w:r w:rsidR="000C47B9" w:rsidRPr="00724CA2">
        <w:rPr>
          <w:rFonts w:ascii="Times New Roman" w:hAnsi="Times New Roman" w:cs="Times New Roman"/>
          <w:color w:val="000000" w:themeColor="text1"/>
          <w:sz w:val="24"/>
          <w:szCs w:val="24"/>
        </w:rPr>
        <w:t xml:space="preserve">s </w:t>
      </w:r>
      <w:r w:rsidR="00DF663B" w:rsidRPr="00724CA2">
        <w:rPr>
          <w:rFonts w:ascii="Times New Roman" w:hAnsi="Times New Roman" w:cs="Times New Roman"/>
          <w:color w:val="000000" w:themeColor="text1"/>
          <w:sz w:val="24"/>
          <w:szCs w:val="24"/>
        </w:rPr>
        <w:t>and</w:t>
      </w:r>
      <w:r w:rsidR="008C69B8" w:rsidRPr="00724CA2">
        <w:rPr>
          <w:rFonts w:ascii="Times New Roman" w:hAnsi="Times New Roman" w:cs="Times New Roman"/>
          <w:color w:val="000000" w:themeColor="text1"/>
          <w:sz w:val="24"/>
          <w:szCs w:val="24"/>
        </w:rPr>
        <w:t xml:space="preserve"> include other control variables to run against the dependent variable of mutual fund </w:t>
      </w:r>
      <w:r w:rsidR="00CB6B36">
        <w:rPr>
          <w:rFonts w:ascii="Times New Roman" w:hAnsi="Times New Roman" w:cs="Times New Roman" w:hint="eastAsia"/>
          <w:color w:val="000000" w:themeColor="text1"/>
          <w:sz w:val="24"/>
          <w:szCs w:val="24"/>
          <w:lang w:eastAsia="zh-CN"/>
        </w:rPr>
        <w:t>ownership</w:t>
      </w:r>
      <w:r w:rsidR="008C69B8" w:rsidRPr="00724CA2">
        <w:rPr>
          <w:rFonts w:ascii="Times New Roman" w:hAnsi="Times New Roman" w:cs="Times New Roman"/>
          <w:color w:val="000000" w:themeColor="text1"/>
          <w:sz w:val="24"/>
          <w:szCs w:val="24"/>
        </w:rPr>
        <w:t xml:space="preserve"> in the first stage. </w:t>
      </w:r>
      <w:r w:rsidR="00E970F0" w:rsidRPr="00724CA2">
        <w:rPr>
          <w:rFonts w:ascii="Times New Roman" w:hAnsi="Times New Roman" w:cs="Times New Roman"/>
          <w:color w:val="000000" w:themeColor="text1"/>
          <w:sz w:val="24"/>
          <w:szCs w:val="24"/>
        </w:rPr>
        <w:t>The second stage result</w:t>
      </w:r>
      <w:r w:rsidR="00C53418" w:rsidRPr="00724CA2">
        <w:rPr>
          <w:rFonts w:ascii="Times New Roman" w:hAnsi="Times New Roman" w:cs="Times New Roman"/>
          <w:color w:val="000000" w:themeColor="text1"/>
          <w:sz w:val="24"/>
          <w:szCs w:val="24"/>
        </w:rPr>
        <w:t>s</w:t>
      </w:r>
      <w:r w:rsidR="00E970F0" w:rsidRPr="00724CA2">
        <w:rPr>
          <w:rFonts w:ascii="Times New Roman" w:hAnsi="Times New Roman" w:cs="Times New Roman"/>
          <w:color w:val="000000" w:themeColor="text1"/>
          <w:sz w:val="24"/>
          <w:szCs w:val="24"/>
        </w:rPr>
        <w:t xml:space="preserve"> </w:t>
      </w:r>
      <w:r w:rsidR="00C53418" w:rsidRPr="00724CA2">
        <w:rPr>
          <w:rFonts w:ascii="Times New Roman" w:hAnsi="Times New Roman" w:cs="Times New Roman"/>
          <w:color w:val="000000" w:themeColor="text1"/>
          <w:sz w:val="24"/>
          <w:szCs w:val="24"/>
        </w:rPr>
        <w:t>are</w:t>
      </w:r>
      <w:r w:rsidR="00E970F0" w:rsidRPr="00724CA2">
        <w:rPr>
          <w:rFonts w:ascii="Times New Roman" w:hAnsi="Times New Roman" w:cs="Times New Roman"/>
          <w:color w:val="000000" w:themeColor="text1"/>
          <w:sz w:val="24"/>
          <w:szCs w:val="24"/>
        </w:rPr>
        <w:t xml:space="preserve"> shown in Model 2 from Table 5; we observe a similar statistical significance and economic magnitude as the first IV (Model 1 of Table 5).</w:t>
      </w:r>
    </w:p>
    <w:p w14:paraId="46938F4C" w14:textId="1A0E357C" w:rsidR="008D306D" w:rsidRPr="00724CA2" w:rsidRDefault="00486C4A" w:rsidP="00B909BA">
      <w:pPr>
        <w:spacing w:afterLines="50" w:after="120" w:line="480" w:lineRule="auto"/>
        <w:ind w:firstLine="284"/>
        <w:jc w:val="center"/>
        <w:rPr>
          <w:rFonts w:ascii="Times New Roman" w:hAnsi="Times New Roman" w:cs="Times New Roman"/>
          <w:b/>
          <w:color w:val="000000" w:themeColor="text1"/>
          <w:sz w:val="24"/>
          <w:szCs w:val="24"/>
        </w:rPr>
      </w:pPr>
      <w:r w:rsidRPr="00724CA2">
        <w:rPr>
          <w:rFonts w:ascii="Times New Roman" w:hAnsi="Times New Roman" w:cs="Times New Roman"/>
          <w:b/>
          <w:color w:val="000000" w:themeColor="text1"/>
          <w:sz w:val="24"/>
          <w:szCs w:val="24"/>
        </w:rPr>
        <w:t>INSERT Table 5</w:t>
      </w:r>
    </w:p>
    <w:p w14:paraId="7D897717" w14:textId="08472798" w:rsidR="003C19C2" w:rsidRPr="00724CA2" w:rsidRDefault="00254F5C" w:rsidP="00B909BA">
      <w:pPr>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For our third IV</w:t>
      </w:r>
      <w:r w:rsidR="00DE68EF" w:rsidRPr="00724CA2">
        <w:rPr>
          <w:rFonts w:ascii="Times New Roman" w:hAnsi="Times New Roman" w:cs="Times New Roman"/>
          <w:color w:val="000000" w:themeColor="text1"/>
          <w:sz w:val="24"/>
          <w:szCs w:val="24"/>
        </w:rPr>
        <w:t xml:space="preserve">, we employ the industry mean mutual fund holding </w:t>
      </w:r>
      <w:r w:rsidR="00CE6E18" w:rsidRPr="00724CA2">
        <w:rPr>
          <w:rFonts w:ascii="Times New Roman" w:hAnsi="Times New Roman" w:cs="Times New Roman"/>
          <w:color w:val="000000" w:themeColor="text1"/>
          <w:sz w:val="24"/>
          <w:szCs w:val="24"/>
        </w:rPr>
        <w:t>as</w:t>
      </w:r>
      <w:r w:rsidR="00B14FC3" w:rsidRPr="00724CA2">
        <w:rPr>
          <w:rFonts w:ascii="Times New Roman" w:hAnsi="Times New Roman" w:cs="Times New Roman"/>
          <w:color w:val="000000" w:themeColor="text1"/>
          <w:sz w:val="24"/>
          <w:szCs w:val="24"/>
        </w:rPr>
        <w:t xml:space="preserve"> listed firms in the same industry may have </w:t>
      </w:r>
      <w:r w:rsidR="007843B8" w:rsidRPr="00724CA2">
        <w:rPr>
          <w:rFonts w:ascii="Times New Roman" w:hAnsi="Times New Roman" w:cs="Times New Roman"/>
          <w:color w:val="000000" w:themeColor="text1"/>
          <w:sz w:val="24"/>
          <w:szCs w:val="24"/>
        </w:rPr>
        <w:t xml:space="preserve">a </w:t>
      </w:r>
      <w:r w:rsidR="00B14FC3" w:rsidRPr="00724CA2">
        <w:rPr>
          <w:rFonts w:ascii="Times New Roman" w:hAnsi="Times New Roman" w:cs="Times New Roman"/>
          <w:color w:val="000000" w:themeColor="text1"/>
          <w:sz w:val="24"/>
          <w:szCs w:val="24"/>
        </w:rPr>
        <w:t>similar proportion of mutual fund investment.</w:t>
      </w:r>
      <w:r w:rsidR="00CE6E18" w:rsidRPr="00724CA2">
        <w:rPr>
          <w:rFonts w:ascii="Times New Roman" w:hAnsi="Times New Roman" w:cs="Times New Roman"/>
          <w:color w:val="000000" w:themeColor="text1"/>
          <w:sz w:val="24"/>
          <w:szCs w:val="24"/>
        </w:rPr>
        <w:t xml:space="preserve"> U</w:t>
      </w:r>
      <w:r w:rsidR="003508A8" w:rsidRPr="00724CA2">
        <w:rPr>
          <w:rFonts w:ascii="Times New Roman" w:hAnsi="Times New Roman" w:cs="Times New Roman"/>
          <w:color w:val="000000" w:themeColor="text1"/>
          <w:sz w:val="24"/>
          <w:szCs w:val="24"/>
        </w:rPr>
        <w:t xml:space="preserve">sing </w:t>
      </w:r>
      <w:r w:rsidR="00A95794" w:rsidRPr="00724CA2">
        <w:rPr>
          <w:rFonts w:ascii="Times New Roman" w:hAnsi="Times New Roman" w:cs="Times New Roman"/>
          <w:color w:val="000000" w:themeColor="text1"/>
          <w:sz w:val="24"/>
          <w:szCs w:val="24"/>
        </w:rPr>
        <w:t xml:space="preserve">an </w:t>
      </w:r>
      <w:r w:rsidR="003508A8" w:rsidRPr="00724CA2">
        <w:rPr>
          <w:rFonts w:ascii="Times New Roman" w:hAnsi="Times New Roman" w:cs="Times New Roman"/>
          <w:color w:val="000000" w:themeColor="text1"/>
          <w:sz w:val="24"/>
          <w:szCs w:val="24"/>
        </w:rPr>
        <w:t>industry average mutual funding holding as an IV</w:t>
      </w:r>
      <w:r w:rsidR="00343310" w:rsidRPr="00724CA2">
        <w:rPr>
          <w:rFonts w:ascii="Times New Roman" w:hAnsi="Times New Roman" w:cs="Times New Roman"/>
          <w:color w:val="000000" w:themeColor="text1"/>
          <w:sz w:val="24"/>
          <w:szCs w:val="24"/>
        </w:rPr>
        <w:t xml:space="preserve"> </w:t>
      </w:r>
      <w:r w:rsidR="003508A8" w:rsidRPr="00724CA2">
        <w:rPr>
          <w:rFonts w:ascii="Times New Roman" w:hAnsi="Times New Roman" w:cs="Times New Roman"/>
          <w:color w:val="000000" w:themeColor="text1"/>
          <w:sz w:val="24"/>
          <w:szCs w:val="24"/>
        </w:rPr>
        <w:t>could</w:t>
      </w:r>
      <w:r w:rsidR="00343310" w:rsidRPr="00724CA2">
        <w:rPr>
          <w:rFonts w:ascii="Times New Roman" w:hAnsi="Times New Roman" w:cs="Times New Roman"/>
          <w:color w:val="000000" w:themeColor="text1"/>
          <w:sz w:val="24"/>
          <w:szCs w:val="24"/>
        </w:rPr>
        <w:t xml:space="preserve"> leave the </w:t>
      </w:r>
      <w:r w:rsidR="00062F4B" w:rsidRPr="00724CA2">
        <w:rPr>
          <w:rFonts w:ascii="Times New Roman" w:hAnsi="Times New Roman" w:cs="Times New Roman"/>
          <w:color w:val="000000" w:themeColor="text1"/>
          <w:sz w:val="24"/>
          <w:szCs w:val="24"/>
        </w:rPr>
        <w:t xml:space="preserve">first </w:t>
      </w:r>
      <w:r w:rsidR="009B7112" w:rsidRPr="00724CA2">
        <w:rPr>
          <w:rFonts w:ascii="Times New Roman" w:hAnsi="Times New Roman" w:cs="Times New Roman"/>
          <w:color w:val="000000" w:themeColor="text1"/>
          <w:sz w:val="24"/>
          <w:szCs w:val="24"/>
        </w:rPr>
        <w:t>stage residuals at the firm-specific level.</w:t>
      </w:r>
      <w:r w:rsidR="003508A8" w:rsidRPr="00724CA2">
        <w:rPr>
          <w:rFonts w:ascii="Times New Roman" w:hAnsi="Times New Roman" w:cs="Times New Roman"/>
          <w:color w:val="000000" w:themeColor="text1"/>
          <w:sz w:val="24"/>
          <w:szCs w:val="24"/>
        </w:rPr>
        <w:t xml:space="preserve"> </w:t>
      </w:r>
      <w:r w:rsidR="005857FD" w:rsidRPr="00724CA2">
        <w:rPr>
          <w:rFonts w:ascii="Times New Roman" w:hAnsi="Times New Roman" w:cs="Times New Roman"/>
          <w:color w:val="000000" w:themeColor="text1"/>
          <w:sz w:val="24"/>
          <w:szCs w:val="24"/>
        </w:rPr>
        <w:t xml:space="preserve">Following </w:t>
      </w:r>
      <w:r w:rsidR="00DE68EF" w:rsidRPr="00724CA2">
        <w:rPr>
          <w:rFonts w:ascii="Times New Roman" w:hAnsi="Times New Roman" w:cs="Times New Roman"/>
          <w:color w:val="000000" w:themeColor="text1"/>
          <w:sz w:val="24"/>
          <w:szCs w:val="24"/>
        </w:rPr>
        <w:t xml:space="preserve">Lin et al. (2011), the industry median level variable would net out firm-specific factors if the endogeneity is not at the industry level. </w:t>
      </w:r>
    </w:p>
    <w:p w14:paraId="6682236E" w14:textId="1479FA66" w:rsidR="008E02AB" w:rsidRPr="00724CA2" w:rsidRDefault="00DE68EF" w:rsidP="00B909BA">
      <w:pPr>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To maximize the validity of our IV approach, we use all the three </w:t>
      </w:r>
      <w:r w:rsidR="00062F4B" w:rsidRPr="00724CA2">
        <w:rPr>
          <w:rFonts w:ascii="Times New Roman" w:hAnsi="Times New Roman" w:cs="Times New Roman"/>
          <w:color w:val="000000" w:themeColor="text1"/>
          <w:sz w:val="24"/>
          <w:szCs w:val="24"/>
        </w:rPr>
        <w:t>I</w:t>
      </w:r>
      <w:r w:rsidRPr="00724CA2">
        <w:rPr>
          <w:rFonts w:ascii="Times New Roman" w:hAnsi="Times New Roman" w:cs="Times New Roman"/>
          <w:color w:val="000000" w:themeColor="text1"/>
          <w:sz w:val="24"/>
          <w:szCs w:val="24"/>
        </w:rPr>
        <w:t xml:space="preserve">Vs </w:t>
      </w:r>
      <w:r w:rsidR="00986283" w:rsidRPr="00724CA2">
        <w:rPr>
          <w:rFonts w:ascii="Times New Roman" w:hAnsi="Times New Roman" w:cs="Times New Roman"/>
          <w:color w:val="000000" w:themeColor="text1"/>
          <w:sz w:val="24"/>
          <w:szCs w:val="24"/>
        </w:rPr>
        <w:t xml:space="preserve">i.e., lagged mutual fund ownership, CSI 300 index </w:t>
      </w:r>
      <w:r w:rsidR="00986283" w:rsidRPr="00724CA2">
        <w:rPr>
          <w:rFonts w:ascii="Times New Roman" w:hAnsi="Times New Roman" w:cs="Times New Roman"/>
          <w:color w:val="000000" w:themeColor="text1"/>
          <w:sz w:val="24"/>
          <w:szCs w:val="24"/>
          <w:lang w:eastAsia="zh-CN"/>
        </w:rPr>
        <w:t xml:space="preserve">and industry mean mutual fund holding. The first stage is estimated using mutual fund ownership as the dependent variable, three </w:t>
      </w:r>
      <w:r w:rsidR="00062F4B" w:rsidRPr="00724CA2">
        <w:rPr>
          <w:rFonts w:ascii="Times New Roman" w:hAnsi="Times New Roman" w:cs="Times New Roman"/>
          <w:color w:val="000000" w:themeColor="text1"/>
          <w:sz w:val="24"/>
          <w:szCs w:val="24"/>
          <w:lang w:eastAsia="zh-CN"/>
        </w:rPr>
        <w:t>I</w:t>
      </w:r>
      <w:r w:rsidR="00986283" w:rsidRPr="00724CA2">
        <w:rPr>
          <w:rFonts w:ascii="Times New Roman" w:hAnsi="Times New Roman" w:cs="Times New Roman"/>
          <w:color w:val="000000" w:themeColor="text1"/>
          <w:sz w:val="24"/>
          <w:szCs w:val="24"/>
          <w:lang w:eastAsia="zh-CN"/>
        </w:rPr>
        <w:t>Vs and other control variables as</w:t>
      </w:r>
      <w:r w:rsidR="00BD0A64" w:rsidRPr="00724CA2">
        <w:rPr>
          <w:rFonts w:ascii="Times New Roman" w:hAnsi="Times New Roman" w:cs="Times New Roman"/>
          <w:color w:val="000000" w:themeColor="text1"/>
          <w:sz w:val="24"/>
          <w:szCs w:val="24"/>
          <w:lang w:eastAsia="zh-CN"/>
        </w:rPr>
        <w:t xml:space="preserve"> the explanatory variables.</w:t>
      </w:r>
      <w:r w:rsidR="00B50029" w:rsidRPr="00724CA2">
        <w:rPr>
          <w:rStyle w:val="FootnoteReference"/>
          <w:rFonts w:ascii="Times New Roman" w:hAnsi="Times New Roman" w:cs="Times New Roman"/>
          <w:color w:val="000000" w:themeColor="text1"/>
          <w:sz w:val="24"/>
          <w:szCs w:val="24"/>
          <w:lang w:eastAsia="zh-CN"/>
        </w:rPr>
        <w:footnoteReference w:id="6"/>
      </w:r>
      <w:r w:rsidR="00BD0A64" w:rsidRPr="00724CA2">
        <w:rPr>
          <w:rFonts w:ascii="Times New Roman" w:hAnsi="Times New Roman" w:cs="Times New Roman"/>
          <w:color w:val="000000" w:themeColor="text1"/>
          <w:sz w:val="24"/>
          <w:szCs w:val="24"/>
          <w:lang w:eastAsia="zh-CN"/>
        </w:rPr>
        <w:t xml:space="preserve"> </w:t>
      </w:r>
      <w:r w:rsidR="00A81DA7" w:rsidRPr="00724CA2">
        <w:rPr>
          <w:rFonts w:ascii="Times New Roman" w:hAnsi="Times New Roman" w:cs="Times New Roman"/>
          <w:color w:val="000000" w:themeColor="text1"/>
          <w:sz w:val="24"/>
          <w:szCs w:val="24"/>
        </w:rPr>
        <w:t>We</w:t>
      </w:r>
      <w:r w:rsidRPr="00724CA2">
        <w:rPr>
          <w:rFonts w:ascii="Times New Roman" w:hAnsi="Times New Roman" w:cs="Times New Roman"/>
          <w:color w:val="000000" w:themeColor="text1"/>
          <w:sz w:val="24"/>
          <w:szCs w:val="24"/>
        </w:rPr>
        <w:t xml:space="preserve"> show the second stage results for H</w:t>
      </w:r>
      <w:r w:rsidR="000B502D">
        <w:rPr>
          <w:rFonts w:ascii="Times New Roman" w:hAnsi="Times New Roman" w:cs="Times New Roman" w:hint="eastAsia"/>
          <w:color w:val="000000" w:themeColor="text1"/>
          <w:sz w:val="24"/>
          <w:szCs w:val="24"/>
          <w:lang w:eastAsia="zh-CN"/>
        </w:rPr>
        <w:t>1</w:t>
      </w:r>
      <w:r w:rsidRPr="00724CA2">
        <w:rPr>
          <w:rFonts w:ascii="Times New Roman" w:hAnsi="Times New Roman" w:cs="Times New Roman"/>
          <w:color w:val="000000" w:themeColor="text1"/>
          <w:sz w:val="24"/>
          <w:szCs w:val="24"/>
        </w:rPr>
        <w:t>, H</w:t>
      </w:r>
      <w:r w:rsidR="000B502D">
        <w:rPr>
          <w:rFonts w:ascii="Times New Roman" w:hAnsi="Times New Roman" w:cs="Times New Roman" w:hint="eastAsia"/>
          <w:color w:val="000000" w:themeColor="text1"/>
          <w:sz w:val="24"/>
          <w:szCs w:val="24"/>
          <w:lang w:eastAsia="zh-CN"/>
        </w:rPr>
        <w:t>2</w:t>
      </w:r>
      <w:r w:rsidRPr="00724CA2">
        <w:rPr>
          <w:rFonts w:ascii="Times New Roman" w:hAnsi="Times New Roman" w:cs="Times New Roman"/>
          <w:color w:val="000000" w:themeColor="text1"/>
          <w:sz w:val="24"/>
          <w:szCs w:val="24"/>
        </w:rPr>
        <w:t xml:space="preserve"> and H</w:t>
      </w:r>
      <w:r w:rsidR="000B502D">
        <w:rPr>
          <w:rFonts w:ascii="Times New Roman" w:hAnsi="Times New Roman" w:cs="Times New Roman" w:hint="eastAsia"/>
          <w:color w:val="000000" w:themeColor="text1"/>
          <w:sz w:val="24"/>
          <w:szCs w:val="24"/>
          <w:lang w:eastAsia="zh-CN"/>
        </w:rPr>
        <w:t>3</w:t>
      </w:r>
      <w:r w:rsidRPr="00724CA2">
        <w:rPr>
          <w:rFonts w:ascii="Times New Roman" w:hAnsi="Times New Roman" w:cs="Times New Roman"/>
          <w:color w:val="000000" w:themeColor="text1"/>
          <w:sz w:val="24"/>
          <w:szCs w:val="24"/>
        </w:rPr>
        <w:t xml:space="preserve"> in Model 3, 4, and 5 of Table 5, respectively. We also present the second stage results for H</w:t>
      </w:r>
      <w:r w:rsidR="000B502D">
        <w:rPr>
          <w:rFonts w:ascii="Times New Roman" w:hAnsi="Times New Roman" w:cs="Times New Roman" w:hint="eastAsia"/>
          <w:color w:val="000000" w:themeColor="text1"/>
          <w:sz w:val="24"/>
          <w:szCs w:val="24"/>
          <w:lang w:eastAsia="zh-CN"/>
        </w:rPr>
        <w:t>4</w:t>
      </w:r>
      <w:r w:rsidRPr="00724CA2">
        <w:rPr>
          <w:rFonts w:ascii="Times New Roman" w:hAnsi="Times New Roman" w:cs="Times New Roman"/>
          <w:color w:val="000000" w:themeColor="text1"/>
          <w:sz w:val="24"/>
          <w:szCs w:val="24"/>
        </w:rPr>
        <w:t xml:space="preserve"> in Table 6.</w:t>
      </w:r>
      <w:r w:rsidRPr="00724CA2">
        <w:rPr>
          <w:rFonts w:ascii="Times New Roman" w:hAnsi="Times New Roman" w:cs="Times New Roman"/>
          <w:color w:val="000000" w:themeColor="text1"/>
          <w:sz w:val="24"/>
          <w:szCs w:val="24"/>
          <w:lang w:eastAsia="zh-CN"/>
        </w:rPr>
        <w:t xml:space="preserve"> </w:t>
      </w:r>
      <w:r w:rsidR="00A81DA7" w:rsidRPr="00724CA2">
        <w:rPr>
          <w:rFonts w:ascii="Times New Roman" w:hAnsi="Times New Roman" w:cs="Times New Roman"/>
          <w:color w:val="000000" w:themeColor="text1"/>
          <w:sz w:val="24"/>
          <w:szCs w:val="24"/>
          <w:lang w:eastAsia="zh-CN"/>
        </w:rPr>
        <w:t xml:space="preserve">The results are </w:t>
      </w:r>
      <w:r w:rsidR="005857FD" w:rsidRPr="00724CA2">
        <w:rPr>
          <w:rFonts w:ascii="Times New Roman" w:hAnsi="Times New Roman" w:cs="Times New Roman"/>
          <w:color w:val="000000" w:themeColor="text1"/>
          <w:sz w:val="24"/>
          <w:szCs w:val="24"/>
          <w:lang w:eastAsia="zh-CN"/>
        </w:rPr>
        <w:t>consistent</w:t>
      </w:r>
      <w:r w:rsidR="00A81DA7" w:rsidRPr="00724CA2">
        <w:rPr>
          <w:rFonts w:ascii="Times New Roman" w:hAnsi="Times New Roman" w:cs="Times New Roman"/>
          <w:color w:val="000000" w:themeColor="text1"/>
          <w:sz w:val="24"/>
          <w:szCs w:val="24"/>
          <w:lang w:eastAsia="zh-CN"/>
        </w:rPr>
        <w:t xml:space="preserve"> with our baseline findings.</w:t>
      </w:r>
    </w:p>
    <w:p w14:paraId="3DCC9E90" w14:textId="32BB5E0F" w:rsidR="003B3FD1" w:rsidRPr="00724CA2" w:rsidRDefault="00F7187D" w:rsidP="00B909BA">
      <w:pPr>
        <w:spacing w:afterLines="50" w:after="120" w:line="480" w:lineRule="auto"/>
        <w:ind w:firstLine="284"/>
        <w:jc w:val="both"/>
        <w:rPr>
          <w:rFonts w:ascii="Times New Roman" w:hAnsi="Times New Roman" w:cs="Times New Roman"/>
          <w:iCs/>
          <w:color w:val="000000" w:themeColor="text1"/>
          <w:sz w:val="24"/>
          <w:szCs w:val="24"/>
        </w:rPr>
      </w:pPr>
      <w:r w:rsidRPr="00724CA2">
        <w:rPr>
          <w:rFonts w:ascii="Times New Roman" w:hAnsi="Times New Roman" w:cs="Times New Roman"/>
          <w:iCs/>
          <w:color w:val="000000" w:themeColor="text1"/>
          <w:sz w:val="24"/>
          <w:szCs w:val="24"/>
        </w:rPr>
        <w:t>Our instrument</w:t>
      </w:r>
      <w:r w:rsidR="008E65E1" w:rsidRPr="00724CA2">
        <w:rPr>
          <w:rFonts w:ascii="Times New Roman" w:hAnsi="Times New Roman" w:cs="Times New Roman"/>
          <w:iCs/>
          <w:color w:val="000000" w:themeColor="text1"/>
          <w:sz w:val="24"/>
          <w:szCs w:val="24"/>
        </w:rPr>
        <w:t>al</w:t>
      </w:r>
      <w:r w:rsidRPr="00724CA2">
        <w:rPr>
          <w:rFonts w:ascii="Times New Roman" w:hAnsi="Times New Roman" w:cs="Times New Roman"/>
          <w:iCs/>
          <w:color w:val="000000" w:themeColor="text1"/>
          <w:sz w:val="24"/>
          <w:szCs w:val="24"/>
        </w:rPr>
        <w:t xml:space="preserve"> variables </w:t>
      </w:r>
      <w:r w:rsidR="00295CBF" w:rsidRPr="00724CA2">
        <w:rPr>
          <w:rFonts w:ascii="Times New Roman" w:hAnsi="Times New Roman" w:cs="Times New Roman"/>
          <w:iCs/>
          <w:color w:val="000000" w:themeColor="text1"/>
          <w:sz w:val="24"/>
          <w:szCs w:val="24"/>
        </w:rPr>
        <w:t>meet</w:t>
      </w:r>
      <w:r w:rsidRPr="00724CA2">
        <w:rPr>
          <w:rFonts w:ascii="Times New Roman" w:hAnsi="Times New Roman" w:cs="Times New Roman"/>
          <w:iCs/>
          <w:color w:val="000000" w:themeColor="text1"/>
          <w:sz w:val="24"/>
          <w:szCs w:val="24"/>
        </w:rPr>
        <w:t xml:space="preserve"> the requirements of the instrument relevance and instrument exogeneity. </w:t>
      </w:r>
      <w:r w:rsidR="0020134C" w:rsidRPr="00724CA2">
        <w:rPr>
          <w:rFonts w:ascii="Times New Roman" w:hAnsi="Times New Roman" w:cs="Times New Roman"/>
          <w:iCs/>
          <w:color w:val="000000" w:themeColor="text1"/>
          <w:sz w:val="24"/>
          <w:szCs w:val="24"/>
        </w:rPr>
        <w:t>A</w:t>
      </w:r>
      <w:r w:rsidR="0067691C" w:rsidRPr="00724CA2">
        <w:rPr>
          <w:rFonts w:ascii="Times New Roman" w:hAnsi="Times New Roman" w:cs="Times New Roman"/>
          <w:iCs/>
          <w:color w:val="000000" w:themeColor="text1"/>
          <w:sz w:val="24"/>
          <w:szCs w:val="24"/>
        </w:rPr>
        <w:t xml:space="preserve">s shown in Tables 5 and 6, </w:t>
      </w:r>
      <w:r w:rsidRPr="00724CA2">
        <w:rPr>
          <w:rFonts w:ascii="Times New Roman" w:hAnsi="Times New Roman" w:cs="Times New Roman"/>
          <w:iCs/>
          <w:color w:val="000000" w:themeColor="text1"/>
          <w:sz w:val="24"/>
          <w:szCs w:val="24"/>
        </w:rPr>
        <w:t>the Cragg-Donal</w:t>
      </w:r>
      <w:r w:rsidR="00D810DA" w:rsidRPr="00724CA2">
        <w:rPr>
          <w:rFonts w:ascii="Times New Roman" w:hAnsi="Times New Roman" w:cs="Times New Roman"/>
          <w:iCs/>
          <w:color w:val="000000" w:themeColor="text1"/>
          <w:sz w:val="24"/>
          <w:szCs w:val="24"/>
        </w:rPr>
        <w:t>’</w:t>
      </w:r>
      <w:r w:rsidRPr="00724CA2">
        <w:rPr>
          <w:rFonts w:ascii="Times New Roman" w:hAnsi="Times New Roman" w:cs="Times New Roman"/>
          <w:iCs/>
          <w:color w:val="000000" w:themeColor="text1"/>
          <w:sz w:val="24"/>
          <w:szCs w:val="24"/>
        </w:rPr>
        <w:t>s Wald F-statistic</w:t>
      </w:r>
      <w:r w:rsidR="0067691C" w:rsidRPr="00724CA2">
        <w:rPr>
          <w:rFonts w:ascii="Times New Roman" w:hAnsi="Times New Roman" w:cs="Times New Roman"/>
          <w:iCs/>
          <w:color w:val="000000" w:themeColor="text1"/>
          <w:sz w:val="24"/>
          <w:szCs w:val="24"/>
        </w:rPr>
        <w:t xml:space="preserve">s are above the </w:t>
      </w:r>
      <w:r w:rsidR="00EA4BEB" w:rsidRPr="00724CA2">
        <w:rPr>
          <w:rFonts w:ascii="Times New Roman" w:hAnsi="Times New Roman" w:cs="Times New Roman"/>
          <w:color w:val="000000" w:themeColor="text1"/>
          <w:sz w:val="24"/>
          <w:szCs w:val="24"/>
          <w:shd w:val="clear" w:color="auto" w:fill="FFFFFF"/>
        </w:rPr>
        <w:t>Wang</w:t>
      </w:r>
      <w:r w:rsidRPr="00724CA2">
        <w:rPr>
          <w:rFonts w:ascii="Times New Roman" w:hAnsi="Times New Roman" w:cs="Times New Roman"/>
          <w:iCs/>
          <w:color w:val="000000" w:themeColor="text1"/>
          <w:sz w:val="24"/>
          <w:szCs w:val="24"/>
        </w:rPr>
        <w:t>-Yogo weak identification test</w:t>
      </w:r>
      <w:r w:rsidR="008E65E1" w:rsidRPr="00724CA2">
        <w:rPr>
          <w:rFonts w:ascii="Times New Roman" w:hAnsi="Times New Roman" w:cs="Times New Roman"/>
          <w:iCs/>
          <w:color w:val="000000" w:themeColor="text1"/>
          <w:sz w:val="24"/>
          <w:szCs w:val="24"/>
        </w:rPr>
        <w:t>s</w:t>
      </w:r>
      <w:r w:rsidRPr="00724CA2">
        <w:rPr>
          <w:rFonts w:ascii="Times New Roman" w:hAnsi="Times New Roman" w:cs="Times New Roman"/>
          <w:iCs/>
          <w:color w:val="000000" w:themeColor="text1"/>
          <w:sz w:val="24"/>
          <w:szCs w:val="24"/>
        </w:rPr>
        <w:t xml:space="preserve"> of 10% critical value</w:t>
      </w:r>
      <w:r w:rsidR="008E65E1" w:rsidRPr="00724CA2">
        <w:rPr>
          <w:rFonts w:ascii="Times New Roman" w:hAnsi="Times New Roman" w:cs="Times New Roman"/>
          <w:iCs/>
          <w:color w:val="000000" w:themeColor="text1"/>
          <w:sz w:val="24"/>
          <w:szCs w:val="24"/>
        </w:rPr>
        <w:t>s</w:t>
      </w:r>
      <w:r w:rsidRPr="00724CA2">
        <w:rPr>
          <w:rFonts w:ascii="Times New Roman" w:hAnsi="Times New Roman" w:cs="Times New Roman"/>
          <w:iCs/>
          <w:color w:val="000000" w:themeColor="text1"/>
          <w:sz w:val="24"/>
          <w:szCs w:val="24"/>
        </w:rPr>
        <w:t xml:space="preserve">, </w:t>
      </w:r>
      <w:r w:rsidR="00893D49" w:rsidRPr="00724CA2">
        <w:rPr>
          <w:rFonts w:ascii="Times New Roman" w:hAnsi="Times New Roman" w:cs="Times New Roman"/>
          <w:iCs/>
          <w:color w:val="000000" w:themeColor="text1"/>
          <w:sz w:val="24"/>
          <w:szCs w:val="24"/>
        </w:rPr>
        <w:t xml:space="preserve">enabling the </w:t>
      </w:r>
      <w:r w:rsidR="008E65E1" w:rsidRPr="00724CA2">
        <w:rPr>
          <w:rFonts w:ascii="Times New Roman" w:hAnsi="Times New Roman" w:cs="Times New Roman"/>
          <w:iCs/>
          <w:color w:val="000000" w:themeColor="text1"/>
          <w:sz w:val="24"/>
          <w:szCs w:val="24"/>
        </w:rPr>
        <w:t>reject</w:t>
      </w:r>
      <w:r w:rsidR="00893D49" w:rsidRPr="00724CA2">
        <w:rPr>
          <w:rFonts w:ascii="Times New Roman" w:hAnsi="Times New Roman" w:cs="Times New Roman"/>
          <w:iCs/>
          <w:color w:val="000000" w:themeColor="text1"/>
          <w:sz w:val="24"/>
          <w:szCs w:val="24"/>
        </w:rPr>
        <w:t xml:space="preserve">ion of </w:t>
      </w:r>
      <w:r w:rsidR="008E65E1" w:rsidRPr="00724CA2">
        <w:rPr>
          <w:rFonts w:ascii="Times New Roman" w:hAnsi="Times New Roman" w:cs="Times New Roman"/>
          <w:iCs/>
          <w:color w:val="000000" w:themeColor="text1"/>
          <w:sz w:val="24"/>
          <w:szCs w:val="24"/>
        </w:rPr>
        <w:t xml:space="preserve">the null hypothesis of weak instruments and </w:t>
      </w:r>
      <w:r w:rsidR="003B7F5C" w:rsidRPr="00724CA2">
        <w:rPr>
          <w:rFonts w:ascii="Times New Roman" w:hAnsi="Times New Roman" w:cs="Times New Roman"/>
          <w:iCs/>
          <w:color w:val="000000" w:themeColor="text1"/>
          <w:sz w:val="24"/>
          <w:szCs w:val="24"/>
        </w:rPr>
        <w:t xml:space="preserve">signifying the strength of our </w:t>
      </w:r>
      <w:r w:rsidRPr="00724CA2">
        <w:rPr>
          <w:rFonts w:ascii="Times New Roman" w:hAnsi="Times New Roman" w:cs="Times New Roman"/>
          <w:iCs/>
          <w:color w:val="000000" w:themeColor="text1"/>
          <w:sz w:val="24"/>
          <w:szCs w:val="24"/>
        </w:rPr>
        <w:t xml:space="preserve">instrumental variables (Stock and Yogo, 2005). </w:t>
      </w:r>
      <w:r w:rsidR="008E65E1" w:rsidRPr="00724CA2">
        <w:rPr>
          <w:rFonts w:ascii="Times New Roman" w:hAnsi="Times New Roman" w:cs="Times New Roman"/>
          <w:iCs/>
          <w:color w:val="000000" w:themeColor="text1"/>
          <w:sz w:val="24"/>
          <w:szCs w:val="24"/>
        </w:rPr>
        <w:t xml:space="preserve">We have also conducted Sargan-Hansen tests to examine whether our instrumental variables are </w:t>
      </w:r>
      <w:r w:rsidR="005556BF" w:rsidRPr="00724CA2">
        <w:rPr>
          <w:rFonts w:ascii="Times New Roman" w:hAnsi="Times New Roman" w:cs="Times New Roman"/>
          <w:iCs/>
          <w:color w:val="000000" w:themeColor="text1"/>
          <w:sz w:val="24"/>
          <w:szCs w:val="24"/>
        </w:rPr>
        <w:t>correlated</w:t>
      </w:r>
      <w:r w:rsidR="008E65E1" w:rsidRPr="00724CA2">
        <w:rPr>
          <w:rFonts w:ascii="Times New Roman" w:hAnsi="Times New Roman" w:cs="Times New Roman"/>
          <w:iCs/>
          <w:color w:val="000000" w:themeColor="text1"/>
          <w:sz w:val="24"/>
          <w:szCs w:val="24"/>
        </w:rPr>
        <w:t xml:space="preserve"> </w:t>
      </w:r>
      <w:r w:rsidR="00295CBF" w:rsidRPr="00724CA2">
        <w:rPr>
          <w:rFonts w:ascii="Times New Roman" w:hAnsi="Times New Roman" w:cs="Times New Roman"/>
          <w:iCs/>
          <w:color w:val="000000" w:themeColor="text1"/>
          <w:sz w:val="24"/>
          <w:szCs w:val="24"/>
        </w:rPr>
        <w:t xml:space="preserve">with </w:t>
      </w:r>
      <w:r w:rsidR="008E65E1" w:rsidRPr="00724CA2">
        <w:rPr>
          <w:rFonts w:ascii="Times New Roman" w:hAnsi="Times New Roman" w:cs="Times New Roman"/>
          <w:iCs/>
          <w:color w:val="000000" w:themeColor="text1"/>
          <w:sz w:val="24"/>
          <w:szCs w:val="24"/>
        </w:rPr>
        <w:t xml:space="preserve">the error terms in the estimated equations (1) and (2). The p-values of the Sargan-Hansen statistics are all above 0.1 across </w:t>
      </w:r>
      <w:r w:rsidR="008E65E1" w:rsidRPr="00724CA2">
        <w:rPr>
          <w:rFonts w:ascii="Times New Roman" w:hAnsi="Times New Roman" w:cs="Times New Roman"/>
          <w:iCs/>
          <w:color w:val="000000" w:themeColor="text1"/>
          <w:sz w:val="24"/>
          <w:szCs w:val="24"/>
        </w:rPr>
        <w:lastRenderedPageBreak/>
        <w:t xml:space="preserve">different columns in Tables 5 and 6, implying that </w:t>
      </w:r>
      <w:r w:rsidR="005556BF" w:rsidRPr="00724CA2">
        <w:rPr>
          <w:rFonts w:ascii="Times New Roman" w:hAnsi="Times New Roman" w:cs="Times New Roman"/>
          <w:iCs/>
          <w:color w:val="000000" w:themeColor="text1"/>
          <w:sz w:val="24"/>
          <w:szCs w:val="24"/>
        </w:rPr>
        <w:t>all instruments are not correlated with the error terms</w:t>
      </w:r>
      <w:r w:rsidR="0011250D" w:rsidRPr="00724CA2">
        <w:rPr>
          <w:rFonts w:ascii="Times New Roman" w:hAnsi="Times New Roman" w:cs="Times New Roman"/>
          <w:iCs/>
          <w:color w:val="000000" w:themeColor="text1"/>
          <w:sz w:val="24"/>
          <w:szCs w:val="24"/>
        </w:rPr>
        <w:t xml:space="preserve"> (Wang et al., 2021)</w:t>
      </w:r>
      <w:r w:rsidR="00B651EC" w:rsidRPr="00724CA2">
        <w:rPr>
          <w:rFonts w:ascii="Times New Roman" w:hAnsi="Times New Roman" w:cs="Times New Roman"/>
          <w:iCs/>
          <w:color w:val="000000" w:themeColor="text1"/>
          <w:sz w:val="24"/>
          <w:szCs w:val="24"/>
        </w:rPr>
        <w:t xml:space="preserve"> and </w:t>
      </w:r>
      <w:r w:rsidR="005556BF" w:rsidRPr="00724CA2">
        <w:rPr>
          <w:rFonts w:ascii="Times New Roman" w:hAnsi="Times New Roman" w:cs="Times New Roman"/>
          <w:iCs/>
          <w:color w:val="000000" w:themeColor="text1"/>
          <w:sz w:val="24"/>
          <w:szCs w:val="24"/>
        </w:rPr>
        <w:t xml:space="preserve">our instrumental variables are valid. </w:t>
      </w:r>
      <w:r w:rsidR="00DE68EF" w:rsidRPr="00724CA2">
        <w:rPr>
          <w:rFonts w:ascii="Times New Roman" w:hAnsi="Times New Roman" w:cs="Times New Roman"/>
          <w:iCs/>
          <w:color w:val="000000" w:themeColor="text1"/>
          <w:sz w:val="24"/>
          <w:szCs w:val="24"/>
        </w:rPr>
        <w:t xml:space="preserve">The </w:t>
      </w:r>
      <w:r w:rsidR="005556BF" w:rsidRPr="00724CA2">
        <w:rPr>
          <w:rFonts w:ascii="Times New Roman" w:hAnsi="Times New Roman" w:cs="Times New Roman"/>
          <w:iCs/>
          <w:color w:val="000000" w:themeColor="text1"/>
          <w:sz w:val="24"/>
          <w:szCs w:val="24"/>
        </w:rPr>
        <w:t xml:space="preserve">second-stage estimation </w:t>
      </w:r>
      <w:r w:rsidR="00DE68EF" w:rsidRPr="00724CA2">
        <w:rPr>
          <w:rFonts w:ascii="Times New Roman" w:hAnsi="Times New Roman" w:cs="Times New Roman"/>
          <w:iCs/>
          <w:color w:val="000000" w:themeColor="text1"/>
          <w:sz w:val="24"/>
          <w:szCs w:val="24"/>
        </w:rPr>
        <w:t xml:space="preserve">results indicate that all the previous conclusions hold. </w:t>
      </w:r>
    </w:p>
    <w:p w14:paraId="0B861BFF" w14:textId="58EA8ADF" w:rsidR="002F4EAC" w:rsidRPr="00724CA2" w:rsidRDefault="003B3FD1" w:rsidP="00B909BA">
      <w:pPr>
        <w:spacing w:afterLines="50" w:after="120" w:line="480" w:lineRule="auto"/>
        <w:ind w:firstLine="284"/>
        <w:jc w:val="both"/>
        <w:rPr>
          <w:rFonts w:ascii="Times New Roman" w:hAnsi="Times New Roman" w:cs="Times New Roman"/>
          <w:iCs/>
          <w:color w:val="000000" w:themeColor="text1"/>
          <w:sz w:val="24"/>
          <w:szCs w:val="24"/>
        </w:rPr>
      </w:pPr>
      <w:r w:rsidRPr="00724CA2">
        <w:rPr>
          <w:rFonts w:ascii="Times New Roman" w:hAnsi="Times New Roman" w:cs="Times New Roman"/>
          <w:iCs/>
          <w:color w:val="000000" w:themeColor="text1"/>
          <w:sz w:val="24"/>
          <w:szCs w:val="24"/>
        </w:rPr>
        <w:t>To summarise</w:t>
      </w:r>
      <w:r w:rsidR="003C19C2" w:rsidRPr="00724CA2">
        <w:rPr>
          <w:rFonts w:ascii="Times New Roman" w:hAnsi="Times New Roman" w:cs="Times New Roman"/>
          <w:iCs/>
          <w:color w:val="000000" w:themeColor="text1"/>
          <w:sz w:val="24"/>
          <w:szCs w:val="24"/>
        </w:rPr>
        <w:t>,</w:t>
      </w:r>
      <w:r w:rsidRPr="00724CA2">
        <w:rPr>
          <w:rFonts w:ascii="Times New Roman" w:hAnsi="Times New Roman" w:cs="Times New Roman"/>
          <w:iCs/>
          <w:color w:val="000000" w:themeColor="text1"/>
          <w:sz w:val="24"/>
          <w:szCs w:val="24"/>
        </w:rPr>
        <w:t xml:space="preserve"> m</w:t>
      </w:r>
      <w:r w:rsidR="002C1614" w:rsidRPr="00724CA2">
        <w:rPr>
          <w:rFonts w:ascii="Times New Roman" w:hAnsi="Times New Roman" w:cs="Times New Roman"/>
          <w:iCs/>
          <w:color w:val="000000" w:themeColor="text1"/>
          <w:sz w:val="24"/>
          <w:szCs w:val="24"/>
        </w:rPr>
        <w:t xml:space="preserve">utual fund investment increases corporate environmental </w:t>
      </w:r>
      <w:r w:rsidR="007553F6" w:rsidRPr="00724CA2">
        <w:rPr>
          <w:rFonts w:ascii="Times New Roman" w:hAnsi="Times New Roman" w:cs="Times New Roman"/>
          <w:iCs/>
          <w:color w:val="000000" w:themeColor="text1"/>
          <w:sz w:val="24"/>
          <w:szCs w:val="24"/>
        </w:rPr>
        <w:t>spending,</w:t>
      </w:r>
      <w:r w:rsidR="006C721F" w:rsidRPr="00724CA2">
        <w:rPr>
          <w:rFonts w:ascii="Times New Roman" w:hAnsi="Times New Roman" w:cs="Times New Roman"/>
          <w:iCs/>
          <w:color w:val="000000" w:themeColor="text1"/>
          <w:sz w:val="24"/>
          <w:szCs w:val="24"/>
        </w:rPr>
        <w:t xml:space="preserve"> and this </w:t>
      </w:r>
      <w:r w:rsidR="002C1614" w:rsidRPr="00724CA2">
        <w:rPr>
          <w:rFonts w:ascii="Times New Roman" w:hAnsi="Times New Roman" w:cs="Times New Roman"/>
          <w:iCs/>
          <w:color w:val="000000" w:themeColor="text1"/>
          <w:sz w:val="24"/>
          <w:szCs w:val="24"/>
        </w:rPr>
        <w:t xml:space="preserve">impact </w:t>
      </w:r>
      <w:r w:rsidR="004F5AD0" w:rsidRPr="00724CA2">
        <w:rPr>
          <w:rFonts w:ascii="Times New Roman" w:hAnsi="Times New Roman" w:cs="Times New Roman"/>
          <w:iCs/>
          <w:color w:val="000000" w:themeColor="text1"/>
          <w:sz w:val="24"/>
          <w:szCs w:val="24"/>
        </w:rPr>
        <w:t>is amplified fo</w:t>
      </w:r>
      <w:r w:rsidR="002C1614" w:rsidRPr="00724CA2">
        <w:rPr>
          <w:rFonts w:ascii="Times New Roman" w:hAnsi="Times New Roman" w:cs="Times New Roman"/>
          <w:iCs/>
          <w:color w:val="000000" w:themeColor="text1"/>
          <w:sz w:val="24"/>
          <w:szCs w:val="24"/>
        </w:rPr>
        <w:t xml:space="preserve">r state-owned enterprises and </w:t>
      </w:r>
      <w:r w:rsidR="00235A89" w:rsidRPr="00724CA2">
        <w:rPr>
          <w:rFonts w:ascii="Times New Roman" w:hAnsi="Times New Roman" w:cs="Times New Roman"/>
          <w:iCs/>
          <w:color w:val="000000" w:themeColor="text1"/>
          <w:sz w:val="24"/>
          <w:szCs w:val="24"/>
        </w:rPr>
        <w:t xml:space="preserve">for </w:t>
      </w:r>
      <w:r w:rsidR="002C1614" w:rsidRPr="00724CA2">
        <w:rPr>
          <w:rFonts w:ascii="Times New Roman" w:hAnsi="Times New Roman" w:cs="Times New Roman"/>
          <w:iCs/>
          <w:color w:val="000000" w:themeColor="text1"/>
          <w:sz w:val="24"/>
          <w:szCs w:val="24"/>
        </w:rPr>
        <w:t xml:space="preserve">firms from regions with stronger legal environments. Moreover, ‘green’ questions raised by investors during </w:t>
      </w:r>
      <w:r w:rsidR="002D2AFF" w:rsidRPr="00724CA2">
        <w:rPr>
          <w:rFonts w:ascii="Times New Roman" w:hAnsi="Times New Roman" w:cs="Times New Roman"/>
          <w:iCs/>
          <w:color w:val="000000" w:themeColor="text1"/>
          <w:sz w:val="24"/>
          <w:szCs w:val="24"/>
        </w:rPr>
        <w:t>shareholder</w:t>
      </w:r>
      <w:r w:rsidR="002C1614" w:rsidRPr="00724CA2">
        <w:rPr>
          <w:rFonts w:ascii="Times New Roman" w:hAnsi="Times New Roman" w:cs="Times New Roman"/>
          <w:iCs/>
          <w:color w:val="000000" w:themeColor="text1"/>
          <w:sz w:val="24"/>
          <w:szCs w:val="24"/>
        </w:rPr>
        <w:t xml:space="preserve"> meetings and the board members with ‘green’ degrees or work experiences are important channels </w:t>
      </w:r>
      <w:r w:rsidR="005F16FC" w:rsidRPr="00724CA2">
        <w:rPr>
          <w:rFonts w:ascii="Times New Roman" w:hAnsi="Times New Roman" w:cs="Times New Roman"/>
          <w:iCs/>
          <w:color w:val="000000" w:themeColor="text1"/>
          <w:sz w:val="24"/>
          <w:szCs w:val="24"/>
        </w:rPr>
        <w:t xml:space="preserve">through which </w:t>
      </w:r>
      <w:r w:rsidR="002C1614" w:rsidRPr="00724CA2">
        <w:rPr>
          <w:rFonts w:ascii="Times New Roman" w:hAnsi="Times New Roman" w:cs="Times New Roman"/>
          <w:iCs/>
          <w:color w:val="000000" w:themeColor="text1"/>
          <w:sz w:val="24"/>
          <w:szCs w:val="24"/>
        </w:rPr>
        <w:t>mutual funds affect corporate environmental spending.</w:t>
      </w:r>
    </w:p>
    <w:p w14:paraId="7BA8EAD6" w14:textId="4D59DA8C" w:rsidR="00DE68EF" w:rsidRPr="00724CA2" w:rsidRDefault="00486C4A" w:rsidP="0025283F">
      <w:pPr>
        <w:spacing w:afterLines="50" w:after="120" w:line="480" w:lineRule="auto"/>
        <w:jc w:val="center"/>
        <w:rPr>
          <w:rFonts w:ascii="Times New Roman" w:hAnsi="Times New Roman" w:cs="Times New Roman"/>
          <w:b/>
          <w:color w:val="000000" w:themeColor="text1"/>
          <w:sz w:val="24"/>
          <w:szCs w:val="24"/>
        </w:rPr>
      </w:pPr>
      <w:r w:rsidRPr="00724CA2">
        <w:rPr>
          <w:rFonts w:ascii="Times New Roman" w:hAnsi="Times New Roman" w:cs="Times New Roman"/>
          <w:b/>
          <w:color w:val="000000" w:themeColor="text1"/>
          <w:sz w:val="24"/>
          <w:szCs w:val="24"/>
        </w:rPr>
        <w:t>INSERT Table 6</w:t>
      </w:r>
    </w:p>
    <w:p w14:paraId="362409C3" w14:textId="5A0CBEF3" w:rsidR="00495EFA" w:rsidRPr="002A35EB" w:rsidRDefault="00495EFA" w:rsidP="0025283F">
      <w:pPr>
        <w:spacing w:afterLines="50" w:after="120" w:line="480" w:lineRule="auto"/>
        <w:jc w:val="both"/>
        <w:rPr>
          <w:rFonts w:ascii="Times New Roman" w:hAnsi="Times New Roman" w:cs="Times New Roman"/>
          <w:i/>
          <w:color w:val="000000" w:themeColor="text1"/>
          <w:sz w:val="24"/>
          <w:szCs w:val="24"/>
        </w:rPr>
      </w:pPr>
      <w:r w:rsidRPr="002A35EB">
        <w:rPr>
          <w:rFonts w:ascii="Times New Roman" w:hAnsi="Times New Roman" w:cs="Times New Roman"/>
          <w:i/>
          <w:color w:val="000000" w:themeColor="text1"/>
          <w:sz w:val="24"/>
          <w:szCs w:val="24"/>
        </w:rPr>
        <w:t xml:space="preserve">4.4 </w:t>
      </w:r>
      <w:r w:rsidR="004A50F5" w:rsidRPr="002A35EB">
        <w:rPr>
          <w:rFonts w:ascii="Times New Roman" w:hAnsi="Times New Roman" w:cs="Times New Roman"/>
          <w:i/>
          <w:color w:val="000000" w:themeColor="text1"/>
          <w:sz w:val="24"/>
          <w:szCs w:val="24"/>
        </w:rPr>
        <w:tab/>
      </w:r>
      <w:bookmarkStart w:id="8" w:name="_Hlk160067788"/>
      <w:r w:rsidRPr="002A35EB">
        <w:rPr>
          <w:rFonts w:ascii="Times New Roman" w:hAnsi="Times New Roman" w:cs="Times New Roman"/>
          <w:i/>
          <w:color w:val="000000" w:themeColor="text1"/>
          <w:sz w:val="24"/>
          <w:szCs w:val="24"/>
        </w:rPr>
        <w:t>Additional analysis</w:t>
      </w:r>
      <w:r w:rsidR="004C0EED" w:rsidRPr="002A35EB">
        <w:rPr>
          <w:rFonts w:ascii="Times New Roman" w:hAnsi="Times New Roman" w:cs="Times New Roman"/>
          <w:i/>
          <w:color w:val="000000" w:themeColor="text1"/>
          <w:sz w:val="24"/>
          <w:szCs w:val="24"/>
          <w:lang w:eastAsia="zh-CN"/>
        </w:rPr>
        <w:t>: Green mutual fund investments</w:t>
      </w:r>
      <w:bookmarkEnd w:id="8"/>
    </w:p>
    <w:p w14:paraId="6FA167B9" w14:textId="240DFED4" w:rsidR="00D26EBB" w:rsidRPr="00724CA2" w:rsidRDefault="00944A81" w:rsidP="00B909BA">
      <w:pPr>
        <w:autoSpaceDE w:val="0"/>
        <w:autoSpaceDN w:val="0"/>
        <w:adjustRightInd w:val="0"/>
        <w:spacing w:after="120" w:line="480" w:lineRule="auto"/>
        <w:ind w:firstLine="284"/>
        <w:jc w:val="both"/>
        <w:rPr>
          <w:rFonts w:ascii="Times New Roman" w:hAnsi="Times New Roman" w:cs="Times New Roman"/>
          <w:bCs/>
          <w:iCs/>
          <w:color w:val="000000" w:themeColor="text1"/>
          <w:sz w:val="24"/>
          <w:szCs w:val="24"/>
        </w:rPr>
      </w:pPr>
      <w:bookmarkStart w:id="9" w:name="_Hlk160066234"/>
      <w:bookmarkStart w:id="10" w:name="_Hlk160067570"/>
      <w:r w:rsidRPr="00724CA2">
        <w:rPr>
          <w:rFonts w:ascii="Times New Roman" w:hAnsi="Times New Roman" w:cs="Times New Roman"/>
          <w:color w:val="000000" w:themeColor="text1"/>
          <w:sz w:val="24"/>
          <w:szCs w:val="24"/>
          <w:lang w:eastAsia="zh-CN"/>
        </w:rPr>
        <w:t xml:space="preserve">In this section, </w:t>
      </w:r>
      <w:r w:rsidR="00AA5952" w:rsidRPr="00724CA2">
        <w:rPr>
          <w:rFonts w:ascii="Times New Roman" w:hAnsi="Times New Roman" w:cs="Times New Roman"/>
          <w:color w:val="000000" w:themeColor="text1"/>
          <w:sz w:val="24"/>
          <w:szCs w:val="24"/>
          <w:lang w:eastAsia="zh-CN"/>
        </w:rPr>
        <w:t xml:space="preserve">we examine the impact of mutual fund ownership on corporate environmental spending, </w:t>
      </w:r>
      <w:r w:rsidR="00162537" w:rsidRPr="00724CA2">
        <w:rPr>
          <w:rFonts w:ascii="Times New Roman" w:hAnsi="Times New Roman" w:cs="Times New Roman"/>
          <w:color w:val="000000" w:themeColor="text1"/>
          <w:sz w:val="24"/>
          <w:szCs w:val="24"/>
          <w:lang w:eastAsia="zh-CN"/>
        </w:rPr>
        <w:t xml:space="preserve">whilst incorporating </w:t>
      </w:r>
      <w:r w:rsidR="00AA5952" w:rsidRPr="00724CA2">
        <w:rPr>
          <w:rFonts w:ascii="Times New Roman" w:hAnsi="Times New Roman" w:cs="Times New Roman"/>
          <w:color w:val="000000" w:themeColor="text1"/>
          <w:sz w:val="24"/>
          <w:szCs w:val="24"/>
          <w:lang w:eastAsia="zh-CN"/>
        </w:rPr>
        <w:t>the moderating impact of green mutual fund investment objectives</w:t>
      </w:r>
      <w:bookmarkEnd w:id="9"/>
      <w:r w:rsidR="003E3C97" w:rsidRPr="00724CA2">
        <w:rPr>
          <w:rFonts w:ascii="Times New Roman" w:hAnsi="Times New Roman" w:cs="Times New Roman"/>
          <w:color w:val="000000" w:themeColor="text1"/>
          <w:sz w:val="24"/>
          <w:szCs w:val="24"/>
          <w:lang w:eastAsia="zh-CN"/>
        </w:rPr>
        <w:t xml:space="preserve">. Initially, </w:t>
      </w:r>
      <w:r w:rsidR="006C721F" w:rsidRPr="00724CA2">
        <w:rPr>
          <w:rFonts w:ascii="Times New Roman" w:hAnsi="Times New Roman" w:cs="Times New Roman"/>
          <w:color w:val="000000" w:themeColor="text1"/>
          <w:sz w:val="24"/>
          <w:szCs w:val="24"/>
          <w:lang w:eastAsia="zh-CN"/>
        </w:rPr>
        <w:t xml:space="preserve">we </w:t>
      </w:r>
      <w:r w:rsidR="003C67E3" w:rsidRPr="00724CA2">
        <w:rPr>
          <w:rFonts w:ascii="Times New Roman" w:hAnsi="Times New Roman" w:cs="Times New Roman"/>
          <w:bCs/>
          <w:iCs/>
          <w:color w:val="000000" w:themeColor="text1"/>
          <w:sz w:val="24"/>
          <w:szCs w:val="24"/>
        </w:rPr>
        <w:t xml:space="preserve">examine whether mutual funds with sustainable and green investment objectives </w:t>
      </w:r>
      <w:r w:rsidR="008A57D8" w:rsidRPr="00724CA2">
        <w:rPr>
          <w:rFonts w:ascii="Times New Roman" w:hAnsi="Times New Roman" w:cs="Times New Roman"/>
          <w:bCs/>
          <w:iCs/>
          <w:color w:val="000000" w:themeColor="text1"/>
          <w:sz w:val="24"/>
          <w:szCs w:val="24"/>
        </w:rPr>
        <w:t xml:space="preserve">have </w:t>
      </w:r>
      <w:r w:rsidR="003C67E3" w:rsidRPr="00724CA2">
        <w:rPr>
          <w:rFonts w:ascii="Times New Roman" w:hAnsi="Times New Roman" w:cs="Times New Roman"/>
          <w:bCs/>
          <w:iCs/>
          <w:color w:val="000000" w:themeColor="text1"/>
          <w:sz w:val="24"/>
          <w:szCs w:val="24"/>
        </w:rPr>
        <w:t xml:space="preserve">significantly </w:t>
      </w:r>
      <w:r w:rsidR="008A57D8" w:rsidRPr="00724CA2">
        <w:rPr>
          <w:rFonts w:ascii="Times New Roman" w:hAnsi="Times New Roman" w:cs="Times New Roman"/>
          <w:bCs/>
          <w:iCs/>
          <w:color w:val="000000" w:themeColor="text1"/>
          <w:sz w:val="24"/>
          <w:szCs w:val="24"/>
        </w:rPr>
        <w:t xml:space="preserve">higher </w:t>
      </w:r>
      <w:r w:rsidR="00821332" w:rsidRPr="00724CA2">
        <w:rPr>
          <w:rFonts w:ascii="Times New Roman" w:hAnsi="Times New Roman" w:cs="Times New Roman"/>
          <w:bCs/>
          <w:iCs/>
          <w:color w:val="000000" w:themeColor="text1"/>
          <w:sz w:val="24"/>
          <w:szCs w:val="24"/>
        </w:rPr>
        <w:t>c</w:t>
      </w:r>
      <w:r w:rsidR="003C67E3" w:rsidRPr="00724CA2">
        <w:rPr>
          <w:rFonts w:ascii="Times New Roman" w:hAnsi="Times New Roman" w:cs="Times New Roman"/>
          <w:bCs/>
          <w:iCs/>
          <w:color w:val="000000" w:themeColor="text1"/>
          <w:sz w:val="24"/>
          <w:szCs w:val="24"/>
        </w:rPr>
        <w:t xml:space="preserve">orporate environmental spending. </w:t>
      </w:r>
      <w:r w:rsidR="00134474" w:rsidRPr="00724CA2">
        <w:rPr>
          <w:rFonts w:ascii="Times New Roman" w:hAnsi="Times New Roman" w:cs="Times New Roman"/>
          <w:bCs/>
          <w:iCs/>
          <w:color w:val="000000" w:themeColor="text1"/>
          <w:sz w:val="24"/>
          <w:szCs w:val="24"/>
        </w:rPr>
        <w:t>F</w:t>
      </w:r>
      <w:r w:rsidR="00455F33" w:rsidRPr="00724CA2">
        <w:rPr>
          <w:rFonts w:ascii="Times New Roman" w:hAnsi="Times New Roman" w:cs="Times New Roman"/>
          <w:bCs/>
          <w:iCs/>
          <w:color w:val="000000" w:themeColor="text1"/>
          <w:sz w:val="24"/>
          <w:szCs w:val="24"/>
        </w:rPr>
        <w:t xml:space="preserve">unds adopting green investment principles </w:t>
      </w:r>
      <w:r w:rsidR="00332395" w:rsidRPr="00724CA2">
        <w:rPr>
          <w:rFonts w:ascii="Times New Roman" w:hAnsi="Times New Roman" w:cs="Times New Roman"/>
          <w:bCs/>
          <w:iCs/>
          <w:color w:val="000000" w:themeColor="text1"/>
          <w:sz w:val="24"/>
          <w:szCs w:val="24"/>
        </w:rPr>
        <w:t xml:space="preserve">may </w:t>
      </w:r>
      <w:r w:rsidR="00455F33" w:rsidRPr="00724CA2">
        <w:rPr>
          <w:rFonts w:ascii="Times New Roman" w:hAnsi="Times New Roman" w:cs="Times New Roman"/>
          <w:bCs/>
          <w:iCs/>
          <w:color w:val="000000" w:themeColor="text1"/>
          <w:sz w:val="24"/>
          <w:szCs w:val="24"/>
        </w:rPr>
        <w:t xml:space="preserve">support </w:t>
      </w:r>
      <w:r w:rsidR="00332395" w:rsidRPr="00724CA2">
        <w:rPr>
          <w:rFonts w:ascii="Times New Roman" w:hAnsi="Times New Roman" w:cs="Times New Roman"/>
          <w:bCs/>
          <w:iCs/>
          <w:color w:val="000000" w:themeColor="text1"/>
          <w:sz w:val="24"/>
          <w:szCs w:val="24"/>
        </w:rPr>
        <w:t xml:space="preserve">their beneficiaries </w:t>
      </w:r>
      <w:r w:rsidR="00E661CD" w:rsidRPr="00724CA2">
        <w:rPr>
          <w:rFonts w:ascii="Times New Roman" w:hAnsi="Times New Roman" w:cs="Times New Roman"/>
          <w:bCs/>
          <w:iCs/>
          <w:color w:val="000000" w:themeColor="text1"/>
          <w:sz w:val="24"/>
          <w:szCs w:val="24"/>
        </w:rPr>
        <w:t xml:space="preserve">in achieving </w:t>
      </w:r>
      <w:r w:rsidR="00455F33" w:rsidRPr="00724CA2">
        <w:rPr>
          <w:rFonts w:ascii="Times New Roman" w:hAnsi="Times New Roman" w:cs="Times New Roman"/>
          <w:bCs/>
          <w:iCs/>
          <w:color w:val="000000" w:themeColor="text1"/>
          <w:sz w:val="24"/>
          <w:szCs w:val="24"/>
        </w:rPr>
        <w:t xml:space="preserve">sustainable operational targets, </w:t>
      </w:r>
      <w:r w:rsidR="00E661CD" w:rsidRPr="00724CA2">
        <w:rPr>
          <w:rFonts w:ascii="Times New Roman" w:hAnsi="Times New Roman" w:cs="Times New Roman"/>
          <w:bCs/>
          <w:iCs/>
          <w:color w:val="000000" w:themeColor="text1"/>
          <w:sz w:val="24"/>
          <w:szCs w:val="24"/>
        </w:rPr>
        <w:t xml:space="preserve">including </w:t>
      </w:r>
      <w:r w:rsidR="00455F33" w:rsidRPr="00724CA2">
        <w:rPr>
          <w:rFonts w:ascii="Times New Roman" w:hAnsi="Times New Roman" w:cs="Times New Roman"/>
          <w:bCs/>
          <w:iCs/>
          <w:color w:val="000000" w:themeColor="text1"/>
          <w:sz w:val="24"/>
          <w:szCs w:val="24"/>
        </w:rPr>
        <w:t xml:space="preserve">the adoption of green technology, clean energy, and green transport (Jin and Han, 2018). </w:t>
      </w:r>
      <w:r w:rsidR="005052A6" w:rsidRPr="00724CA2">
        <w:rPr>
          <w:rFonts w:ascii="Times New Roman" w:hAnsi="Times New Roman" w:cs="Times New Roman"/>
          <w:bCs/>
          <w:iCs/>
          <w:color w:val="000000" w:themeColor="text1"/>
          <w:sz w:val="24"/>
          <w:szCs w:val="24"/>
        </w:rPr>
        <w:t xml:space="preserve">We first examine the investment objectives of each mutual fund. Traditionally, </w:t>
      </w:r>
      <w:r w:rsidR="00872ED6" w:rsidRPr="00724CA2">
        <w:rPr>
          <w:rFonts w:ascii="Times New Roman" w:hAnsi="Times New Roman" w:cs="Times New Roman"/>
          <w:bCs/>
          <w:iCs/>
          <w:color w:val="000000" w:themeColor="text1"/>
          <w:sz w:val="24"/>
          <w:szCs w:val="24"/>
        </w:rPr>
        <w:t xml:space="preserve">while </w:t>
      </w:r>
      <w:r w:rsidR="00D47B07" w:rsidRPr="00724CA2">
        <w:rPr>
          <w:rFonts w:ascii="Times New Roman" w:hAnsi="Times New Roman" w:cs="Times New Roman"/>
          <w:bCs/>
          <w:iCs/>
          <w:color w:val="000000" w:themeColor="text1"/>
          <w:sz w:val="24"/>
          <w:szCs w:val="24"/>
        </w:rPr>
        <w:t xml:space="preserve">most </w:t>
      </w:r>
      <w:r w:rsidR="005052A6" w:rsidRPr="00724CA2">
        <w:rPr>
          <w:rFonts w:ascii="Times New Roman" w:hAnsi="Times New Roman" w:cs="Times New Roman"/>
          <w:bCs/>
          <w:iCs/>
          <w:color w:val="000000" w:themeColor="text1"/>
          <w:sz w:val="24"/>
          <w:szCs w:val="24"/>
        </w:rPr>
        <w:t>investment objectives have been financially oriented, with a dominant focus on income or growth</w:t>
      </w:r>
      <w:r w:rsidR="00784E7C" w:rsidRPr="00724CA2">
        <w:rPr>
          <w:rFonts w:ascii="Times New Roman" w:hAnsi="Times New Roman" w:cs="Times New Roman"/>
          <w:bCs/>
          <w:iCs/>
          <w:color w:val="000000" w:themeColor="text1"/>
          <w:sz w:val="24"/>
          <w:szCs w:val="24"/>
        </w:rPr>
        <w:t xml:space="preserve"> (Wang et al., 2019b)</w:t>
      </w:r>
      <w:r w:rsidR="004E075E" w:rsidRPr="00724CA2">
        <w:rPr>
          <w:rFonts w:ascii="Times New Roman" w:hAnsi="Times New Roman" w:cs="Times New Roman"/>
          <w:bCs/>
          <w:iCs/>
          <w:color w:val="000000" w:themeColor="text1"/>
          <w:sz w:val="24"/>
          <w:szCs w:val="24"/>
        </w:rPr>
        <w:t>,</w:t>
      </w:r>
      <w:r w:rsidR="005052A6" w:rsidRPr="00724CA2">
        <w:rPr>
          <w:rFonts w:ascii="Times New Roman" w:hAnsi="Times New Roman" w:cs="Times New Roman"/>
          <w:bCs/>
          <w:iCs/>
          <w:color w:val="000000" w:themeColor="text1"/>
          <w:sz w:val="24"/>
          <w:szCs w:val="24"/>
        </w:rPr>
        <w:t xml:space="preserve"> </w:t>
      </w:r>
      <w:r w:rsidR="004E075E" w:rsidRPr="00724CA2">
        <w:rPr>
          <w:rFonts w:ascii="Times New Roman" w:hAnsi="Times New Roman" w:cs="Times New Roman"/>
          <w:bCs/>
          <w:iCs/>
          <w:color w:val="000000" w:themeColor="text1"/>
          <w:sz w:val="24"/>
          <w:szCs w:val="24"/>
        </w:rPr>
        <w:t>o</w:t>
      </w:r>
      <w:r w:rsidR="00D26EBB" w:rsidRPr="00724CA2">
        <w:rPr>
          <w:rFonts w:ascii="Times New Roman" w:hAnsi="Times New Roman" w:cs="Times New Roman"/>
          <w:bCs/>
          <w:iCs/>
          <w:color w:val="000000" w:themeColor="text1"/>
          <w:sz w:val="24"/>
          <w:szCs w:val="24"/>
        </w:rPr>
        <w:t xml:space="preserve">vertime </w:t>
      </w:r>
      <w:r w:rsidR="00CE2D52" w:rsidRPr="00724CA2">
        <w:rPr>
          <w:rFonts w:ascii="Times New Roman" w:hAnsi="Times New Roman" w:cs="Times New Roman"/>
          <w:bCs/>
          <w:iCs/>
          <w:color w:val="000000" w:themeColor="text1"/>
          <w:sz w:val="24"/>
          <w:szCs w:val="24"/>
        </w:rPr>
        <w:t xml:space="preserve">mutual funds have </w:t>
      </w:r>
      <w:r w:rsidR="00416BE1" w:rsidRPr="00724CA2">
        <w:rPr>
          <w:rFonts w:ascii="Times New Roman" w:hAnsi="Times New Roman" w:cs="Times New Roman"/>
          <w:bCs/>
          <w:iCs/>
          <w:color w:val="000000" w:themeColor="text1"/>
          <w:sz w:val="24"/>
          <w:szCs w:val="24"/>
        </w:rPr>
        <w:t xml:space="preserve">identified an increasing number of </w:t>
      </w:r>
      <w:r w:rsidR="005052A6" w:rsidRPr="00724CA2">
        <w:rPr>
          <w:rFonts w:ascii="Times New Roman" w:hAnsi="Times New Roman" w:cs="Times New Roman"/>
          <w:bCs/>
          <w:iCs/>
          <w:color w:val="000000" w:themeColor="text1"/>
          <w:sz w:val="24"/>
          <w:szCs w:val="24"/>
        </w:rPr>
        <w:t xml:space="preserve">non-financial objectives, such as green and sustainable investments. </w:t>
      </w:r>
    </w:p>
    <w:p w14:paraId="19EA7AE3" w14:textId="1F486630" w:rsidR="003C67E3" w:rsidRPr="00724CA2" w:rsidRDefault="005052A6" w:rsidP="00B909BA">
      <w:pPr>
        <w:autoSpaceDE w:val="0"/>
        <w:autoSpaceDN w:val="0"/>
        <w:adjustRightInd w:val="0"/>
        <w:spacing w:after="120" w:line="480" w:lineRule="auto"/>
        <w:ind w:firstLine="284"/>
        <w:jc w:val="both"/>
        <w:rPr>
          <w:rFonts w:ascii="Times New Roman" w:hAnsi="Times New Roman" w:cs="Times New Roman"/>
          <w:bCs/>
          <w:iCs/>
          <w:color w:val="000000" w:themeColor="text1"/>
          <w:sz w:val="24"/>
          <w:szCs w:val="24"/>
        </w:rPr>
      </w:pPr>
      <w:r w:rsidRPr="00724CA2">
        <w:rPr>
          <w:rFonts w:ascii="Times New Roman" w:hAnsi="Times New Roman" w:cs="Times New Roman"/>
          <w:bCs/>
          <w:iCs/>
          <w:color w:val="000000" w:themeColor="text1"/>
          <w:sz w:val="24"/>
          <w:szCs w:val="24"/>
        </w:rPr>
        <w:t>For each firm, multiple mutual fund investments</w:t>
      </w:r>
      <w:r w:rsidR="002B4B37" w:rsidRPr="00724CA2">
        <w:rPr>
          <w:rFonts w:ascii="Times New Roman" w:hAnsi="Times New Roman" w:cs="Times New Roman"/>
          <w:bCs/>
          <w:iCs/>
          <w:color w:val="000000" w:themeColor="text1"/>
          <w:sz w:val="24"/>
          <w:szCs w:val="24"/>
        </w:rPr>
        <w:t xml:space="preserve"> may exist</w:t>
      </w:r>
      <w:r w:rsidRPr="00724CA2">
        <w:rPr>
          <w:rFonts w:ascii="Times New Roman" w:hAnsi="Times New Roman" w:cs="Times New Roman"/>
          <w:bCs/>
          <w:iCs/>
          <w:color w:val="000000" w:themeColor="text1"/>
          <w:sz w:val="24"/>
          <w:szCs w:val="24"/>
        </w:rPr>
        <w:t xml:space="preserve">, and we examine each </w:t>
      </w:r>
      <w:r w:rsidR="00625246" w:rsidRPr="00724CA2">
        <w:rPr>
          <w:rFonts w:ascii="Times New Roman" w:hAnsi="Times New Roman" w:cs="Times New Roman"/>
          <w:bCs/>
          <w:iCs/>
          <w:color w:val="000000" w:themeColor="text1"/>
          <w:sz w:val="24"/>
          <w:szCs w:val="24"/>
        </w:rPr>
        <w:t xml:space="preserve">of these </w:t>
      </w:r>
      <w:r w:rsidRPr="00724CA2">
        <w:rPr>
          <w:rFonts w:ascii="Times New Roman" w:hAnsi="Times New Roman" w:cs="Times New Roman"/>
          <w:bCs/>
          <w:iCs/>
          <w:color w:val="000000" w:themeColor="text1"/>
          <w:sz w:val="24"/>
          <w:szCs w:val="24"/>
        </w:rPr>
        <w:t>to determine whether a firm has received investment from a mutual fund identified as having green and sustainable investment objectives</w:t>
      </w:r>
      <w:r w:rsidR="002B4B37" w:rsidRPr="00724CA2">
        <w:rPr>
          <w:rFonts w:ascii="Times New Roman" w:hAnsi="Times New Roman" w:cs="Times New Roman"/>
          <w:bCs/>
          <w:iCs/>
          <w:color w:val="000000" w:themeColor="text1"/>
          <w:sz w:val="24"/>
          <w:szCs w:val="24"/>
        </w:rPr>
        <w:t xml:space="preserve"> or otherwise</w:t>
      </w:r>
      <w:r w:rsidR="007F1A58" w:rsidRPr="00724CA2">
        <w:rPr>
          <w:rFonts w:ascii="Times New Roman" w:hAnsi="Times New Roman" w:cs="Times New Roman"/>
          <w:bCs/>
          <w:iCs/>
          <w:color w:val="000000" w:themeColor="text1"/>
          <w:sz w:val="24"/>
          <w:szCs w:val="24"/>
        </w:rPr>
        <w:t xml:space="preserve">. </w:t>
      </w:r>
      <w:r w:rsidR="00FD68F8" w:rsidRPr="00FD68F8">
        <w:rPr>
          <w:rFonts w:ascii="Times New Roman" w:hAnsi="Times New Roman" w:cs="Times New Roman"/>
          <w:bCs/>
          <w:iCs/>
          <w:color w:val="000000" w:themeColor="text1"/>
          <w:sz w:val="24"/>
          <w:szCs w:val="24"/>
        </w:rPr>
        <w:t xml:space="preserve">Subsequently, we divide our sample </w:t>
      </w:r>
      <w:r w:rsidR="00FD68F8" w:rsidRPr="00FD68F8">
        <w:rPr>
          <w:rFonts w:ascii="Times New Roman" w:hAnsi="Times New Roman" w:cs="Times New Roman"/>
          <w:bCs/>
          <w:iCs/>
          <w:color w:val="000000" w:themeColor="text1"/>
          <w:sz w:val="24"/>
          <w:szCs w:val="24"/>
        </w:rPr>
        <w:lastRenderedPageBreak/>
        <w:t>into two sub-groups and re-estimate hypothesis one: one for a group of firms receiving investment from mutual funds with green/sustainable objectives, and the other for firms associated with mutual funds without green/sustainable objectives</w:t>
      </w:r>
      <w:r w:rsidR="007F1A58" w:rsidRPr="00724CA2">
        <w:rPr>
          <w:rFonts w:ascii="Times New Roman" w:hAnsi="Times New Roman" w:cs="Times New Roman"/>
          <w:bCs/>
          <w:iCs/>
          <w:color w:val="000000" w:themeColor="text1"/>
          <w:sz w:val="24"/>
          <w:szCs w:val="24"/>
        </w:rPr>
        <w:t xml:space="preserve">. </w:t>
      </w:r>
      <w:r w:rsidR="00673B06" w:rsidRPr="00724CA2">
        <w:rPr>
          <w:rFonts w:ascii="Times New Roman" w:hAnsi="Times New Roman" w:cs="Times New Roman"/>
          <w:bCs/>
          <w:iCs/>
          <w:color w:val="000000" w:themeColor="text1"/>
          <w:sz w:val="24"/>
          <w:szCs w:val="24"/>
        </w:rPr>
        <w:t xml:space="preserve">The </w:t>
      </w:r>
      <w:r w:rsidR="00812333" w:rsidRPr="00724CA2">
        <w:rPr>
          <w:rFonts w:ascii="Times New Roman" w:hAnsi="Times New Roman" w:cs="Times New Roman"/>
          <w:bCs/>
          <w:iCs/>
          <w:color w:val="000000" w:themeColor="text1"/>
          <w:sz w:val="24"/>
          <w:szCs w:val="24"/>
        </w:rPr>
        <w:t>green</w:t>
      </w:r>
      <w:r w:rsidR="00833880" w:rsidRPr="00724CA2">
        <w:rPr>
          <w:rFonts w:ascii="Times New Roman" w:hAnsi="Times New Roman" w:cs="Times New Roman"/>
          <w:bCs/>
          <w:iCs/>
          <w:color w:val="000000" w:themeColor="text1"/>
          <w:sz w:val="24"/>
          <w:szCs w:val="24"/>
        </w:rPr>
        <w:t xml:space="preserve"> </w:t>
      </w:r>
      <w:r w:rsidR="00812333" w:rsidRPr="00724CA2">
        <w:rPr>
          <w:rFonts w:ascii="Times New Roman" w:hAnsi="Times New Roman" w:cs="Times New Roman"/>
          <w:bCs/>
          <w:iCs/>
          <w:color w:val="000000" w:themeColor="text1"/>
          <w:sz w:val="24"/>
          <w:szCs w:val="24"/>
        </w:rPr>
        <w:t xml:space="preserve">investment </w:t>
      </w:r>
      <w:r w:rsidR="004922F9" w:rsidRPr="00724CA2">
        <w:rPr>
          <w:rFonts w:ascii="Times New Roman" w:hAnsi="Times New Roman" w:cs="Times New Roman"/>
          <w:bCs/>
          <w:iCs/>
          <w:color w:val="000000" w:themeColor="text1"/>
          <w:sz w:val="24"/>
          <w:szCs w:val="24"/>
        </w:rPr>
        <w:t>objectives</w:t>
      </w:r>
      <w:r w:rsidR="00812333" w:rsidRPr="00724CA2">
        <w:rPr>
          <w:rFonts w:ascii="Times New Roman" w:hAnsi="Times New Roman" w:cs="Times New Roman"/>
          <w:bCs/>
          <w:iCs/>
          <w:color w:val="000000" w:themeColor="text1"/>
          <w:sz w:val="24"/>
          <w:szCs w:val="24"/>
        </w:rPr>
        <w:t xml:space="preserve"> </w:t>
      </w:r>
      <w:r w:rsidR="003C67E3" w:rsidRPr="00724CA2">
        <w:rPr>
          <w:rFonts w:ascii="Times New Roman" w:hAnsi="Times New Roman" w:cs="Times New Roman"/>
          <w:bCs/>
          <w:iCs/>
          <w:color w:val="000000" w:themeColor="text1"/>
          <w:sz w:val="24"/>
          <w:szCs w:val="24"/>
        </w:rPr>
        <w:t>includ</w:t>
      </w:r>
      <w:r w:rsidR="00812333" w:rsidRPr="00724CA2">
        <w:rPr>
          <w:rFonts w:ascii="Times New Roman" w:hAnsi="Times New Roman" w:cs="Times New Roman"/>
          <w:bCs/>
          <w:iCs/>
          <w:color w:val="000000" w:themeColor="text1"/>
          <w:sz w:val="24"/>
          <w:szCs w:val="24"/>
        </w:rPr>
        <w:t>e</w:t>
      </w:r>
      <w:r w:rsidR="003C67E3" w:rsidRPr="00724CA2">
        <w:rPr>
          <w:rFonts w:ascii="Times New Roman" w:hAnsi="Times New Roman" w:cs="Times New Roman"/>
          <w:bCs/>
          <w:iCs/>
          <w:color w:val="000000" w:themeColor="text1"/>
          <w:sz w:val="24"/>
          <w:szCs w:val="24"/>
        </w:rPr>
        <w:t xml:space="preserve"> environmental protection, energy saving, adoption of clean energy, reduction of pollution and carbon emission</w:t>
      </w:r>
      <w:r w:rsidR="00E810AC" w:rsidRPr="00724CA2">
        <w:rPr>
          <w:rFonts w:ascii="Times New Roman" w:hAnsi="Times New Roman" w:cs="Times New Roman"/>
          <w:bCs/>
          <w:iCs/>
          <w:color w:val="000000" w:themeColor="text1"/>
          <w:sz w:val="24"/>
          <w:szCs w:val="24"/>
        </w:rPr>
        <w:t>s</w:t>
      </w:r>
      <w:r w:rsidR="003C67E3" w:rsidRPr="00724CA2">
        <w:rPr>
          <w:rFonts w:ascii="Times New Roman" w:hAnsi="Times New Roman" w:cs="Times New Roman"/>
          <w:bCs/>
          <w:iCs/>
          <w:color w:val="000000" w:themeColor="text1"/>
          <w:sz w:val="24"/>
          <w:szCs w:val="24"/>
        </w:rPr>
        <w:t xml:space="preserve"> </w:t>
      </w:r>
      <w:r w:rsidR="00B94A6A" w:rsidRPr="00724CA2">
        <w:rPr>
          <w:rFonts w:ascii="Times New Roman" w:hAnsi="Times New Roman" w:cs="Times New Roman"/>
          <w:bCs/>
          <w:iCs/>
          <w:color w:val="000000" w:themeColor="text1"/>
          <w:sz w:val="24"/>
          <w:szCs w:val="24"/>
        </w:rPr>
        <w:t xml:space="preserve">and </w:t>
      </w:r>
      <w:r w:rsidR="003C67E3" w:rsidRPr="00724CA2">
        <w:rPr>
          <w:rFonts w:ascii="Times New Roman" w:hAnsi="Times New Roman" w:cs="Times New Roman"/>
          <w:bCs/>
          <w:iCs/>
          <w:color w:val="000000" w:themeColor="text1"/>
          <w:sz w:val="24"/>
          <w:szCs w:val="24"/>
        </w:rPr>
        <w:t>only invest</w:t>
      </w:r>
      <w:r w:rsidR="00134474" w:rsidRPr="00724CA2">
        <w:rPr>
          <w:rFonts w:ascii="Times New Roman" w:hAnsi="Times New Roman" w:cs="Times New Roman"/>
          <w:bCs/>
          <w:iCs/>
          <w:color w:val="000000" w:themeColor="text1"/>
          <w:sz w:val="24"/>
          <w:szCs w:val="24"/>
        </w:rPr>
        <w:t xml:space="preserve">ing </w:t>
      </w:r>
      <w:r w:rsidR="003C67E3" w:rsidRPr="00724CA2">
        <w:rPr>
          <w:rFonts w:ascii="Times New Roman" w:hAnsi="Times New Roman" w:cs="Times New Roman"/>
          <w:bCs/>
          <w:iCs/>
          <w:color w:val="000000" w:themeColor="text1"/>
          <w:sz w:val="24"/>
          <w:szCs w:val="24"/>
        </w:rPr>
        <w:t xml:space="preserve">in firms </w:t>
      </w:r>
      <w:r w:rsidR="00EB7973" w:rsidRPr="00724CA2">
        <w:rPr>
          <w:rFonts w:ascii="Times New Roman" w:hAnsi="Times New Roman" w:cs="Times New Roman"/>
          <w:bCs/>
          <w:iCs/>
          <w:color w:val="000000" w:themeColor="text1"/>
          <w:sz w:val="24"/>
          <w:szCs w:val="24"/>
        </w:rPr>
        <w:t xml:space="preserve">which </w:t>
      </w:r>
      <w:r w:rsidR="001872CA" w:rsidRPr="00724CA2">
        <w:rPr>
          <w:rFonts w:ascii="Times New Roman" w:hAnsi="Times New Roman" w:cs="Times New Roman"/>
          <w:bCs/>
          <w:iCs/>
          <w:color w:val="000000" w:themeColor="text1"/>
          <w:sz w:val="24"/>
          <w:szCs w:val="24"/>
        </w:rPr>
        <w:t xml:space="preserve">operate </w:t>
      </w:r>
      <w:r w:rsidR="00C015C0" w:rsidRPr="00724CA2">
        <w:rPr>
          <w:rFonts w:ascii="Times New Roman" w:hAnsi="Times New Roman" w:cs="Times New Roman"/>
          <w:bCs/>
          <w:iCs/>
          <w:color w:val="000000" w:themeColor="text1"/>
          <w:sz w:val="24"/>
          <w:szCs w:val="24"/>
        </w:rPr>
        <w:t xml:space="preserve">in an </w:t>
      </w:r>
      <w:r w:rsidR="003C67E3" w:rsidRPr="00724CA2">
        <w:rPr>
          <w:rFonts w:ascii="Times New Roman" w:hAnsi="Times New Roman" w:cs="Times New Roman"/>
          <w:bCs/>
          <w:iCs/>
          <w:color w:val="000000" w:themeColor="text1"/>
          <w:sz w:val="24"/>
          <w:szCs w:val="24"/>
        </w:rPr>
        <w:t xml:space="preserve">environmentally responsible </w:t>
      </w:r>
      <w:r w:rsidR="00C015C0" w:rsidRPr="00724CA2">
        <w:rPr>
          <w:rFonts w:ascii="Times New Roman" w:hAnsi="Times New Roman" w:cs="Times New Roman"/>
          <w:bCs/>
          <w:iCs/>
          <w:color w:val="000000" w:themeColor="text1"/>
          <w:sz w:val="24"/>
          <w:szCs w:val="24"/>
        </w:rPr>
        <w:t>manner</w:t>
      </w:r>
      <w:r w:rsidR="003C67E3" w:rsidRPr="00724CA2">
        <w:rPr>
          <w:rFonts w:ascii="Times New Roman" w:hAnsi="Times New Roman" w:cs="Times New Roman"/>
          <w:bCs/>
          <w:iCs/>
          <w:color w:val="000000" w:themeColor="text1"/>
          <w:sz w:val="24"/>
          <w:szCs w:val="24"/>
        </w:rPr>
        <w:t xml:space="preserve">. </w:t>
      </w:r>
    </w:p>
    <w:bookmarkEnd w:id="10"/>
    <w:p w14:paraId="4307DF4F" w14:textId="41ED5405" w:rsidR="00557251" w:rsidRPr="00724CA2" w:rsidRDefault="00D810DA" w:rsidP="00B909BA">
      <w:pPr>
        <w:autoSpaceDE w:val="0"/>
        <w:autoSpaceDN w:val="0"/>
        <w:adjustRightInd w:val="0"/>
        <w:spacing w:after="120" w:line="480" w:lineRule="auto"/>
        <w:ind w:firstLine="284"/>
        <w:jc w:val="both"/>
        <w:rPr>
          <w:rFonts w:ascii="Times New Roman" w:hAnsi="Times New Roman" w:cs="Times New Roman"/>
          <w:bCs/>
          <w:iCs/>
          <w:color w:val="000000" w:themeColor="text1"/>
          <w:sz w:val="24"/>
          <w:szCs w:val="24"/>
        </w:rPr>
      </w:pPr>
      <w:r w:rsidRPr="00724CA2">
        <w:rPr>
          <w:rFonts w:ascii="Times New Roman" w:hAnsi="Times New Roman" w:cs="Times New Roman"/>
          <w:bCs/>
          <w:iCs/>
          <w:color w:val="000000" w:themeColor="text1"/>
          <w:sz w:val="24"/>
          <w:szCs w:val="24"/>
        </w:rPr>
        <w:t xml:space="preserve">We observe </w:t>
      </w:r>
      <w:r w:rsidR="003C67E3" w:rsidRPr="00724CA2">
        <w:rPr>
          <w:rFonts w:ascii="Times New Roman" w:hAnsi="Times New Roman" w:cs="Times New Roman"/>
          <w:bCs/>
          <w:iCs/>
          <w:color w:val="000000" w:themeColor="text1"/>
          <w:sz w:val="24"/>
          <w:szCs w:val="24"/>
        </w:rPr>
        <w:t>a significant and positive relationship between mutual fund ownership and corporate environmental spending in both sub-groups in Table 7.</w:t>
      </w:r>
      <w:r w:rsidR="00C015C0" w:rsidRPr="00724CA2">
        <w:rPr>
          <w:rFonts w:ascii="Times New Roman" w:hAnsi="Times New Roman" w:cs="Times New Roman"/>
          <w:bCs/>
          <w:iCs/>
          <w:color w:val="000000" w:themeColor="text1"/>
          <w:sz w:val="24"/>
          <w:szCs w:val="24"/>
        </w:rPr>
        <w:t xml:space="preserve"> </w:t>
      </w:r>
      <w:r w:rsidR="00442C3D" w:rsidRPr="00724CA2">
        <w:rPr>
          <w:rFonts w:ascii="Times New Roman" w:hAnsi="Times New Roman" w:cs="Times New Roman"/>
          <w:bCs/>
          <w:iCs/>
          <w:color w:val="000000" w:themeColor="text1"/>
          <w:sz w:val="24"/>
          <w:szCs w:val="24"/>
        </w:rPr>
        <w:t>F</w:t>
      </w:r>
      <w:r w:rsidR="003C67E3" w:rsidRPr="00724CA2">
        <w:rPr>
          <w:rFonts w:ascii="Times New Roman" w:hAnsi="Times New Roman" w:cs="Times New Roman"/>
          <w:bCs/>
          <w:iCs/>
          <w:color w:val="000000" w:themeColor="text1"/>
          <w:sz w:val="24"/>
          <w:szCs w:val="24"/>
        </w:rPr>
        <w:t xml:space="preserve">irms </w:t>
      </w:r>
      <w:r w:rsidR="0095046B" w:rsidRPr="00724CA2">
        <w:rPr>
          <w:rFonts w:ascii="Times New Roman" w:hAnsi="Times New Roman" w:cs="Times New Roman"/>
          <w:bCs/>
          <w:iCs/>
          <w:color w:val="000000" w:themeColor="text1"/>
          <w:sz w:val="24"/>
          <w:szCs w:val="24"/>
        </w:rPr>
        <w:t xml:space="preserve">receiving </w:t>
      </w:r>
      <w:r w:rsidR="00442C3D" w:rsidRPr="00724CA2">
        <w:rPr>
          <w:rFonts w:ascii="Times New Roman" w:hAnsi="Times New Roman" w:cs="Times New Roman"/>
          <w:bCs/>
          <w:iCs/>
          <w:color w:val="000000" w:themeColor="text1"/>
          <w:sz w:val="24"/>
          <w:szCs w:val="24"/>
        </w:rPr>
        <w:t xml:space="preserve">investment from a mutual fund adopting </w:t>
      </w:r>
      <w:r w:rsidR="003C67E3" w:rsidRPr="00724CA2">
        <w:rPr>
          <w:rFonts w:ascii="Times New Roman" w:hAnsi="Times New Roman" w:cs="Times New Roman"/>
          <w:bCs/>
          <w:iCs/>
          <w:color w:val="000000" w:themeColor="text1"/>
          <w:sz w:val="24"/>
          <w:szCs w:val="24"/>
        </w:rPr>
        <w:t xml:space="preserve">green </w:t>
      </w:r>
      <w:r w:rsidR="00442C3D" w:rsidRPr="00724CA2">
        <w:rPr>
          <w:rFonts w:ascii="Times New Roman" w:hAnsi="Times New Roman" w:cs="Times New Roman"/>
          <w:bCs/>
          <w:iCs/>
          <w:color w:val="000000" w:themeColor="text1"/>
          <w:sz w:val="24"/>
          <w:szCs w:val="24"/>
        </w:rPr>
        <w:t>investment principles</w:t>
      </w:r>
      <w:r w:rsidR="00EA11ED" w:rsidRPr="00724CA2">
        <w:rPr>
          <w:rFonts w:ascii="Times New Roman" w:hAnsi="Times New Roman" w:cs="Times New Roman"/>
          <w:bCs/>
          <w:iCs/>
          <w:color w:val="000000" w:themeColor="text1"/>
          <w:sz w:val="24"/>
          <w:szCs w:val="24"/>
        </w:rPr>
        <w:t>,</w:t>
      </w:r>
      <w:r w:rsidR="00442C3D" w:rsidRPr="00724CA2">
        <w:rPr>
          <w:rFonts w:ascii="Times New Roman" w:hAnsi="Times New Roman" w:cs="Times New Roman"/>
          <w:bCs/>
          <w:iCs/>
          <w:color w:val="000000" w:themeColor="text1"/>
          <w:sz w:val="24"/>
          <w:szCs w:val="24"/>
        </w:rPr>
        <w:t xml:space="preserve"> h</w:t>
      </w:r>
      <w:r w:rsidR="00A3551F" w:rsidRPr="00724CA2">
        <w:rPr>
          <w:rFonts w:ascii="Times New Roman" w:hAnsi="Times New Roman" w:cs="Times New Roman"/>
          <w:bCs/>
          <w:iCs/>
          <w:color w:val="000000" w:themeColor="text1"/>
          <w:sz w:val="24"/>
          <w:szCs w:val="24"/>
        </w:rPr>
        <w:t xml:space="preserve">ave </w:t>
      </w:r>
      <w:r w:rsidR="003C67E3" w:rsidRPr="00724CA2">
        <w:rPr>
          <w:rFonts w:ascii="Times New Roman" w:hAnsi="Times New Roman" w:cs="Times New Roman"/>
          <w:bCs/>
          <w:iCs/>
          <w:color w:val="000000" w:themeColor="text1"/>
          <w:sz w:val="24"/>
          <w:szCs w:val="24"/>
        </w:rPr>
        <w:t>greater level</w:t>
      </w:r>
      <w:r w:rsidR="00496699" w:rsidRPr="00724CA2">
        <w:rPr>
          <w:rFonts w:ascii="Times New Roman" w:hAnsi="Times New Roman" w:cs="Times New Roman"/>
          <w:bCs/>
          <w:iCs/>
          <w:color w:val="000000" w:themeColor="text1"/>
          <w:sz w:val="24"/>
          <w:szCs w:val="24"/>
        </w:rPr>
        <w:t>s</w:t>
      </w:r>
      <w:r w:rsidR="003C67E3" w:rsidRPr="00724CA2">
        <w:rPr>
          <w:rFonts w:ascii="Times New Roman" w:hAnsi="Times New Roman" w:cs="Times New Roman"/>
          <w:bCs/>
          <w:iCs/>
          <w:color w:val="000000" w:themeColor="text1"/>
          <w:sz w:val="24"/>
          <w:szCs w:val="24"/>
        </w:rPr>
        <w:t xml:space="preserve"> of corporate environmental spending. This is evidenced by the magnitude of </w:t>
      </w:r>
      <w:r w:rsidR="00496699" w:rsidRPr="00724CA2">
        <w:rPr>
          <w:rFonts w:ascii="Times New Roman" w:hAnsi="Times New Roman" w:cs="Times New Roman"/>
          <w:bCs/>
          <w:iCs/>
          <w:color w:val="000000" w:themeColor="text1"/>
          <w:sz w:val="24"/>
          <w:szCs w:val="24"/>
        </w:rPr>
        <w:t xml:space="preserve">the </w:t>
      </w:r>
      <w:r w:rsidR="003C67E3" w:rsidRPr="00724CA2">
        <w:rPr>
          <w:rFonts w:ascii="Times New Roman" w:hAnsi="Times New Roman" w:cs="Times New Roman"/>
          <w:bCs/>
          <w:iCs/>
          <w:color w:val="000000" w:themeColor="text1"/>
          <w:sz w:val="24"/>
          <w:szCs w:val="24"/>
        </w:rPr>
        <w:t xml:space="preserve">coefficient estimate of ‘mutual fund’ in Model </w:t>
      </w:r>
      <w:r w:rsidR="0014175F" w:rsidRPr="00724CA2">
        <w:rPr>
          <w:rFonts w:ascii="Times New Roman" w:hAnsi="Times New Roman" w:cs="Times New Roman"/>
          <w:bCs/>
          <w:iCs/>
          <w:color w:val="000000" w:themeColor="text1"/>
          <w:sz w:val="24"/>
          <w:szCs w:val="24"/>
        </w:rPr>
        <w:t>1</w:t>
      </w:r>
      <w:r w:rsidR="003C67E3" w:rsidRPr="00724CA2">
        <w:rPr>
          <w:rFonts w:ascii="Times New Roman" w:hAnsi="Times New Roman" w:cs="Times New Roman"/>
          <w:bCs/>
          <w:iCs/>
          <w:color w:val="000000" w:themeColor="text1"/>
          <w:sz w:val="24"/>
          <w:szCs w:val="24"/>
        </w:rPr>
        <w:t xml:space="preserve"> (4.2</w:t>
      </w:r>
      <w:r w:rsidR="005A4C32" w:rsidRPr="00724CA2">
        <w:rPr>
          <w:rFonts w:ascii="Times New Roman" w:hAnsi="Times New Roman" w:cs="Times New Roman"/>
          <w:bCs/>
          <w:iCs/>
          <w:color w:val="000000" w:themeColor="text1"/>
          <w:sz w:val="24"/>
          <w:szCs w:val="24"/>
        </w:rPr>
        <w:t>23</w:t>
      </w:r>
      <w:r w:rsidR="003C67E3" w:rsidRPr="00724CA2">
        <w:rPr>
          <w:rFonts w:ascii="Times New Roman" w:hAnsi="Times New Roman" w:cs="Times New Roman"/>
          <w:bCs/>
          <w:iCs/>
          <w:color w:val="000000" w:themeColor="text1"/>
          <w:sz w:val="24"/>
          <w:szCs w:val="24"/>
        </w:rPr>
        <w:t xml:space="preserve">), which is higher than the coefficient estimates in Model </w:t>
      </w:r>
      <w:r w:rsidR="0014175F" w:rsidRPr="00724CA2">
        <w:rPr>
          <w:rFonts w:ascii="Times New Roman" w:hAnsi="Times New Roman" w:cs="Times New Roman"/>
          <w:bCs/>
          <w:iCs/>
          <w:color w:val="000000" w:themeColor="text1"/>
          <w:sz w:val="24"/>
          <w:szCs w:val="24"/>
        </w:rPr>
        <w:t>2</w:t>
      </w:r>
      <w:r w:rsidR="003C67E3" w:rsidRPr="00724CA2">
        <w:rPr>
          <w:rFonts w:ascii="Times New Roman" w:hAnsi="Times New Roman" w:cs="Times New Roman"/>
          <w:bCs/>
          <w:iCs/>
          <w:color w:val="000000" w:themeColor="text1"/>
          <w:sz w:val="24"/>
          <w:szCs w:val="24"/>
        </w:rPr>
        <w:t xml:space="preserve"> (3.625) and in</w:t>
      </w:r>
      <w:r w:rsidR="00496699" w:rsidRPr="00724CA2">
        <w:rPr>
          <w:rFonts w:ascii="Times New Roman" w:hAnsi="Times New Roman" w:cs="Times New Roman"/>
          <w:bCs/>
          <w:iCs/>
          <w:color w:val="000000" w:themeColor="text1"/>
          <w:sz w:val="24"/>
          <w:szCs w:val="24"/>
        </w:rPr>
        <w:t xml:space="preserve"> the</w:t>
      </w:r>
      <w:r w:rsidR="003C67E3" w:rsidRPr="00724CA2">
        <w:rPr>
          <w:rFonts w:ascii="Times New Roman" w:hAnsi="Times New Roman" w:cs="Times New Roman"/>
          <w:bCs/>
          <w:iCs/>
          <w:color w:val="000000" w:themeColor="text1"/>
          <w:sz w:val="24"/>
          <w:szCs w:val="24"/>
        </w:rPr>
        <w:t xml:space="preserve"> baseline regression (3.990). Our results confirm that mutual funds </w:t>
      </w:r>
      <w:r w:rsidR="00F60D59" w:rsidRPr="00724CA2">
        <w:rPr>
          <w:rFonts w:ascii="Times New Roman" w:hAnsi="Times New Roman" w:cs="Times New Roman"/>
          <w:bCs/>
          <w:iCs/>
          <w:color w:val="000000" w:themeColor="text1"/>
          <w:sz w:val="24"/>
          <w:szCs w:val="24"/>
        </w:rPr>
        <w:t>applying green investment prin</w:t>
      </w:r>
      <w:r w:rsidR="00751F81" w:rsidRPr="00724CA2">
        <w:rPr>
          <w:rFonts w:ascii="Times New Roman" w:hAnsi="Times New Roman" w:cs="Times New Roman"/>
          <w:bCs/>
          <w:iCs/>
          <w:color w:val="000000" w:themeColor="text1"/>
          <w:sz w:val="24"/>
          <w:szCs w:val="24"/>
        </w:rPr>
        <w:t>c</w:t>
      </w:r>
      <w:r w:rsidR="00F60D59" w:rsidRPr="00724CA2">
        <w:rPr>
          <w:rFonts w:ascii="Times New Roman" w:hAnsi="Times New Roman" w:cs="Times New Roman"/>
          <w:bCs/>
          <w:iCs/>
          <w:color w:val="000000" w:themeColor="text1"/>
          <w:sz w:val="24"/>
          <w:szCs w:val="24"/>
        </w:rPr>
        <w:t xml:space="preserve">iples </w:t>
      </w:r>
      <w:r w:rsidR="00751F81" w:rsidRPr="00724CA2">
        <w:rPr>
          <w:rFonts w:ascii="Times New Roman" w:hAnsi="Times New Roman" w:cs="Times New Roman"/>
          <w:bCs/>
          <w:iCs/>
          <w:color w:val="000000" w:themeColor="text1"/>
          <w:sz w:val="24"/>
          <w:szCs w:val="24"/>
        </w:rPr>
        <w:t xml:space="preserve">enhance </w:t>
      </w:r>
      <w:r w:rsidR="003C67E3" w:rsidRPr="00724CA2">
        <w:rPr>
          <w:rFonts w:ascii="Times New Roman" w:hAnsi="Times New Roman" w:cs="Times New Roman"/>
          <w:bCs/>
          <w:iCs/>
          <w:color w:val="000000" w:themeColor="text1"/>
          <w:sz w:val="24"/>
          <w:szCs w:val="24"/>
        </w:rPr>
        <w:t xml:space="preserve">corporate environmental </w:t>
      </w:r>
      <w:r w:rsidR="00751F81" w:rsidRPr="00724CA2">
        <w:rPr>
          <w:rFonts w:ascii="Times New Roman" w:hAnsi="Times New Roman" w:cs="Times New Roman"/>
          <w:bCs/>
          <w:iCs/>
          <w:color w:val="000000" w:themeColor="text1"/>
          <w:sz w:val="24"/>
          <w:szCs w:val="24"/>
        </w:rPr>
        <w:t>spending</w:t>
      </w:r>
      <w:r w:rsidR="003C67E3" w:rsidRPr="00724CA2">
        <w:rPr>
          <w:rFonts w:ascii="Times New Roman" w:hAnsi="Times New Roman" w:cs="Times New Roman"/>
          <w:bCs/>
          <w:iCs/>
          <w:color w:val="000000" w:themeColor="text1"/>
          <w:sz w:val="24"/>
          <w:szCs w:val="24"/>
        </w:rPr>
        <w:t>.</w:t>
      </w:r>
    </w:p>
    <w:p w14:paraId="1DD4DCFD" w14:textId="190C6A91" w:rsidR="004E0456" w:rsidRPr="00724CA2" w:rsidRDefault="00557251" w:rsidP="00B909BA">
      <w:pPr>
        <w:autoSpaceDE w:val="0"/>
        <w:autoSpaceDN w:val="0"/>
        <w:adjustRightInd w:val="0"/>
        <w:spacing w:after="120" w:line="480" w:lineRule="auto"/>
        <w:ind w:firstLine="284"/>
        <w:jc w:val="both"/>
        <w:rPr>
          <w:rFonts w:ascii="Times New Roman" w:hAnsi="Times New Roman" w:cs="Times New Roman"/>
          <w:bCs/>
          <w:iCs/>
          <w:color w:val="000000" w:themeColor="text1"/>
          <w:sz w:val="24"/>
          <w:szCs w:val="24"/>
        </w:rPr>
      </w:pPr>
      <w:r w:rsidRPr="00724CA2">
        <w:rPr>
          <w:rFonts w:ascii="Times New Roman" w:hAnsi="Times New Roman" w:cs="Times New Roman"/>
          <w:bCs/>
          <w:iCs/>
          <w:color w:val="000000" w:themeColor="text1"/>
          <w:sz w:val="24"/>
          <w:szCs w:val="24"/>
        </w:rPr>
        <w:t>In Models 3-4 (Table 7), we present the results of the second-stage regression using the instrumental variable approach. Three instrumental variables</w:t>
      </w:r>
      <w:r w:rsidR="00EA11ED" w:rsidRPr="00724CA2">
        <w:rPr>
          <w:rFonts w:ascii="Times New Roman" w:hAnsi="Times New Roman" w:cs="Times New Roman"/>
          <w:bCs/>
          <w:iCs/>
          <w:color w:val="000000" w:themeColor="text1"/>
          <w:sz w:val="24"/>
          <w:szCs w:val="24"/>
        </w:rPr>
        <w:t xml:space="preserve">, </w:t>
      </w:r>
      <w:r w:rsidRPr="00724CA2">
        <w:rPr>
          <w:rFonts w:ascii="Times New Roman" w:hAnsi="Times New Roman" w:cs="Times New Roman"/>
          <w:bCs/>
          <w:iCs/>
          <w:color w:val="000000" w:themeColor="text1"/>
          <w:sz w:val="24"/>
          <w:szCs w:val="24"/>
        </w:rPr>
        <w:t>namely, lagged mutual fund ownership, the CSI 300 index, and industry mean mutual fund holdings</w:t>
      </w:r>
      <w:r w:rsidR="00EA11ED" w:rsidRPr="00724CA2">
        <w:rPr>
          <w:rFonts w:ascii="Times New Roman" w:hAnsi="Times New Roman" w:cs="Times New Roman"/>
          <w:bCs/>
          <w:iCs/>
          <w:color w:val="000000" w:themeColor="text1"/>
          <w:sz w:val="24"/>
          <w:szCs w:val="24"/>
        </w:rPr>
        <w:t xml:space="preserve">, </w:t>
      </w:r>
      <w:r w:rsidRPr="00724CA2">
        <w:rPr>
          <w:rFonts w:ascii="Times New Roman" w:hAnsi="Times New Roman" w:cs="Times New Roman"/>
          <w:bCs/>
          <w:iCs/>
          <w:color w:val="000000" w:themeColor="text1"/>
          <w:sz w:val="24"/>
          <w:szCs w:val="24"/>
        </w:rPr>
        <w:t xml:space="preserve">are adopted to re-estimate the results presented in Models 1 and 2 (Table 7). These instrumental variables have met the instrumental exogeneity and relevance conditions, as evidenced by the Cragg-Donald's Wald F-statistic and Sargan-Hansen test statistic. Notably, the coefficient estimate for 'mutual fund' in Model 3 is higher than that </w:t>
      </w:r>
      <w:r w:rsidR="00E05990" w:rsidRPr="00724CA2">
        <w:rPr>
          <w:rFonts w:ascii="Times New Roman" w:hAnsi="Times New Roman" w:cs="Times New Roman"/>
          <w:bCs/>
          <w:iCs/>
          <w:color w:val="000000" w:themeColor="text1"/>
          <w:sz w:val="24"/>
          <w:szCs w:val="24"/>
        </w:rPr>
        <w:t xml:space="preserve">observed </w:t>
      </w:r>
      <w:r w:rsidRPr="00724CA2">
        <w:rPr>
          <w:rFonts w:ascii="Times New Roman" w:hAnsi="Times New Roman" w:cs="Times New Roman"/>
          <w:bCs/>
          <w:iCs/>
          <w:color w:val="000000" w:themeColor="text1"/>
          <w:sz w:val="24"/>
          <w:szCs w:val="24"/>
        </w:rPr>
        <w:t>in Model 4. These findings confirm that mutual funds with green investment objectives significantly enhance corporate environmental spending</w:t>
      </w:r>
      <w:r w:rsidR="00333863" w:rsidRPr="00724CA2">
        <w:rPr>
          <w:rFonts w:ascii="Times New Roman" w:hAnsi="Times New Roman" w:cs="Times New Roman"/>
          <w:bCs/>
          <w:iCs/>
          <w:color w:val="000000" w:themeColor="text1"/>
          <w:sz w:val="24"/>
          <w:szCs w:val="24"/>
        </w:rPr>
        <w:t>.</w:t>
      </w:r>
      <w:r w:rsidR="0032036D" w:rsidRPr="00724CA2">
        <w:rPr>
          <w:rFonts w:ascii="Times New Roman" w:hAnsi="Times New Roman" w:cs="Times New Roman"/>
          <w:bCs/>
          <w:iCs/>
          <w:color w:val="000000" w:themeColor="text1"/>
          <w:sz w:val="24"/>
          <w:szCs w:val="24"/>
        </w:rPr>
        <w:t xml:space="preserve"> </w:t>
      </w:r>
    </w:p>
    <w:p w14:paraId="2C351A6D" w14:textId="75FF3F08" w:rsidR="006957A4" w:rsidRPr="00724CA2" w:rsidRDefault="0004508D" w:rsidP="00B909BA">
      <w:pPr>
        <w:autoSpaceDE w:val="0"/>
        <w:autoSpaceDN w:val="0"/>
        <w:adjustRightInd w:val="0"/>
        <w:spacing w:after="120" w:line="480" w:lineRule="auto"/>
        <w:ind w:firstLine="284"/>
        <w:jc w:val="both"/>
        <w:rPr>
          <w:rFonts w:ascii="Times New Roman" w:hAnsi="Times New Roman" w:cs="Times New Roman"/>
          <w:bCs/>
          <w:iCs/>
          <w:color w:val="000000" w:themeColor="text1"/>
          <w:sz w:val="24"/>
          <w:szCs w:val="24"/>
        </w:rPr>
      </w:pPr>
      <w:bookmarkStart w:id="11" w:name="_Hlk160067981"/>
      <w:bookmarkStart w:id="12" w:name="_Hlk160067994"/>
      <w:r w:rsidRPr="00724CA2">
        <w:rPr>
          <w:rFonts w:ascii="Times New Roman" w:hAnsi="Times New Roman" w:cs="Times New Roman"/>
          <w:bCs/>
          <w:iCs/>
          <w:color w:val="000000" w:themeColor="text1"/>
          <w:sz w:val="24"/>
          <w:szCs w:val="24"/>
        </w:rPr>
        <w:t xml:space="preserve">Moreover, we define a new variable, ‘green mutual fund,’ to examine the relationship between the proportion of green fund investment and corporate environmental spending. This variable </w:t>
      </w:r>
      <w:bookmarkStart w:id="13" w:name="_Hlk160067891"/>
      <w:r w:rsidRPr="00724CA2">
        <w:rPr>
          <w:rFonts w:ascii="Times New Roman" w:hAnsi="Times New Roman" w:cs="Times New Roman"/>
          <w:bCs/>
          <w:iCs/>
          <w:color w:val="000000" w:themeColor="text1"/>
          <w:sz w:val="24"/>
          <w:szCs w:val="24"/>
        </w:rPr>
        <w:t xml:space="preserve">captures the percentage of shareholding coming from sustainable and green mutual </w:t>
      </w:r>
      <w:r w:rsidRPr="00724CA2">
        <w:rPr>
          <w:rFonts w:ascii="Times New Roman" w:hAnsi="Times New Roman" w:cs="Times New Roman"/>
          <w:bCs/>
          <w:iCs/>
          <w:color w:val="000000" w:themeColor="text1"/>
          <w:sz w:val="24"/>
          <w:szCs w:val="24"/>
        </w:rPr>
        <w:lastRenderedPageBreak/>
        <w:t xml:space="preserve">funds </w:t>
      </w:r>
      <w:r w:rsidR="00EA11ED" w:rsidRPr="00724CA2">
        <w:rPr>
          <w:rFonts w:ascii="Times New Roman" w:hAnsi="Times New Roman" w:cs="Times New Roman"/>
          <w:bCs/>
          <w:iCs/>
          <w:color w:val="000000" w:themeColor="text1"/>
          <w:sz w:val="24"/>
          <w:szCs w:val="24"/>
        </w:rPr>
        <w:t>with</w:t>
      </w:r>
      <w:r w:rsidRPr="00724CA2">
        <w:rPr>
          <w:rFonts w:ascii="Times New Roman" w:hAnsi="Times New Roman" w:cs="Times New Roman"/>
          <w:bCs/>
          <w:iCs/>
          <w:color w:val="000000" w:themeColor="text1"/>
          <w:sz w:val="24"/>
          <w:szCs w:val="24"/>
        </w:rPr>
        <w:t xml:space="preserve">in </w:t>
      </w:r>
      <w:r w:rsidR="00EA11ED" w:rsidRPr="00724CA2">
        <w:rPr>
          <w:rFonts w:ascii="Times New Roman" w:hAnsi="Times New Roman" w:cs="Times New Roman"/>
          <w:bCs/>
          <w:iCs/>
          <w:color w:val="000000" w:themeColor="text1"/>
          <w:sz w:val="24"/>
          <w:szCs w:val="24"/>
        </w:rPr>
        <w:t xml:space="preserve">the </w:t>
      </w:r>
      <w:r w:rsidRPr="00724CA2">
        <w:rPr>
          <w:rFonts w:ascii="Times New Roman" w:hAnsi="Times New Roman" w:cs="Times New Roman"/>
          <w:bCs/>
          <w:iCs/>
          <w:color w:val="000000" w:themeColor="text1"/>
          <w:sz w:val="24"/>
          <w:szCs w:val="24"/>
        </w:rPr>
        <w:t xml:space="preserve">total shareholding </w:t>
      </w:r>
      <w:r w:rsidR="00357707">
        <w:rPr>
          <w:rFonts w:ascii="Times New Roman" w:hAnsi="Times New Roman" w:cs="Times New Roman" w:hint="eastAsia"/>
          <w:bCs/>
          <w:iCs/>
          <w:color w:val="000000" w:themeColor="text1"/>
          <w:sz w:val="24"/>
          <w:szCs w:val="24"/>
          <w:lang w:eastAsia="zh-CN"/>
        </w:rPr>
        <w:t>of</w:t>
      </w:r>
      <w:r w:rsidRPr="00724CA2">
        <w:rPr>
          <w:rFonts w:ascii="Times New Roman" w:hAnsi="Times New Roman" w:cs="Times New Roman"/>
          <w:bCs/>
          <w:iCs/>
          <w:color w:val="000000" w:themeColor="text1"/>
          <w:sz w:val="24"/>
          <w:szCs w:val="24"/>
        </w:rPr>
        <w:t xml:space="preserve"> each firm</w:t>
      </w:r>
      <w:bookmarkEnd w:id="13"/>
      <w:r w:rsidRPr="00724CA2">
        <w:rPr>
          <w:rFonts w:ascii="Times New Roman" w:hAnsi="Times New Roman" w:cs="Times New Roman"/>
          <w:bCs/>
          <w:iCs/>
          <w:color w:val="000000" w:themeColor="text1"/>
          <w:sz w:val="24"/>
          <w:szCs w:val="24"/>
        </w:rPr>
        <w:t xml:space="preserve">. The results are presented in Model 5 (Table 7). </w:t>
      </w:r>
      <w:r w:rsidR="00B97E8C" w:rsidRPr="00724CA2">
        <w:rPr>
          <w:rFonts w:ascii="Times New Roman" w:hAnsi="Times New Roman" w:cs="Times New Roman"/>
          <w:bCs/>
          <w:iCs/>
          <w:color w:val="000000" w:themeColor="text1"/>
          <w:sz w:val="24"/>
          <w:szCs w:val="24"/>
        </w:rPr>
        <w:t xml:space="preserve">We </w:t>
      </w:r>
      <w:r w:rsidRPr="00724CA2">
        <w:rPr>
          <w:rFonts w:ascii="Times New Roman" w:hAnsi="Times New Roman" w:cs="Times New Roman"/>
          <w:bCs/>
          <w:iCs/>
          <w:color w:val="000000" w:themeColor="text1"/>
          <w:sz w:val="24"/>
          <w:szCs w:val="24"/>
        </w:rPr>
        <w:t xml:space="preserve">report that the coefficient of ‘green mutual fund’ is significantly positive, indicating that </w:t>
      </w:r>
      <w:r w:rsidR="000459BC" w:rsidRPr="00724CA2">
        <w:rPr>
          <w:rFonts w:ascii="Times New Roman" w:hAnsi="Times New Roman" w:cs="Times New Roman"/>
          <w:bCs/>
          <w:iCs/>
          <w:color w:val="000000" w:themeColor="text1"/>
          <w:sz w:val="24"/>
          <w:szCs w:val="24"/>
        </w:rPr>
        <w:t xml:space="preserve">corporate environmental spending is significantly </w:t>
      </w:r>
      <w:r w:rsidR="00EA11ED" w:rsidRPr="00724CA2">
        <w:rPr>
          <w:rFonts w:ascii="Times New Roman" w:hAnsi="Times New Roman" w:cs="Times New Roman"/>
          <w:bCs/>
          <w:iCs/>
          <w:color w:val="000000" w:themeColor="text1"/>
          <w:sz w:val="24"/>
          <w:szCs w:val="24"/>
        </w:rPr>
        <w:t>higher</w:t>
      </w:r>
      <w:r w:rsidR="000459BC" w:rsidRPr="00724CA2" w:rsidDel="00B97E8C">
        <w:rPr>
          <w:rFonts w:ascii="Times New Roman" w:hAnsi="Times New Roman" w:cs="Times New Roman"/>
          <w:bCs/>
          <w:iCs/>
          <w:color w:val="000000" w:themeColor="text1"/>
          <w:sz w:val="24"/>
          <w:szCs w:val="24"/>
        </w:rPr>
        <w:t xml:space="preserve"> </w:t>
      </w:r>
      <w:r w:rsidR="000459BC" w:rsidRPr="00724CA2">
        <w:rPr>
          <w:rFonts w:ascii="Times New Roman" w:hAnsi="Times New Roman" w:cs="Times New Roman"/>
          <w:bCs/>
          <w:iCs/>
          <w:color w:val="000000" w:themeColor="text1"/>
          <w:sz w:val="24"/>
          <w:szCs w:val="24"/>
        </w:rPr>
        <w:t xml:space="preserve">when </w:t>
      </w:r>
      <w:r w:rsidRPr="00724CA2">
        <w:rPr>
          <w:rFonts w:ascii="Times New Roman" w:hAnsi="Times New Roman" w:cs="Times New Roman"/>
          <w:bCs/>
          <w:iCs/>
          <w:color w:val="000000" w:themeColor="text1"/>
          <w:sz w:val="24"/>
          <w:szCs w:val="24"/>
        </w:rPr>
        <w:t>green mutual funds own a greater proportion of a firm’s shares</w:t>
      </w:r>
      <w:r w:rsidR="001A28E3" w:rsidRPr="00724CA2">
        <w:rPr>
          <w:rFonts w:ascii="Times New Roman" w:hAnsi="Times New Roman" w:cs="Times New Roman"/>
          <w:bCs/>
          <w:iCs/>
          <w:color w:val="000000" w:themeColor="text1"/>
          <w:sz w:val="24"/>
          <w:szCs w:val="24"/>
        </w:rPr>
        <w:t>.</w:t>
      </w:r>
      <w:bookmarkEnd w:id="11"/>
    </w:p>
    <w:bookmarkEnd w:id="12"/>
    <w:p w14:paraId="2D401D04" w14:textId="4C689FCB" w:rsidR="00220DA1" w:rsidRPr="00724CA2" w:rsidRDefault="009E1174" w:rsidP="002B4459">
      <w:pPr>
        <w:spacing w:afterLines="50" w:after="120" w:line="480" w:lineRule="auto"/>
        <w:jc w:val="center"/>
        <w:rPr>
          <w:rFonts w:ascii="Times New Roman" w:hAnsi="Times New Roman" w:cs="Times New Roman"/>
          <w:b/>
          <w:color w:val="000000" w:themeColor="text1"/>
          <w:sz w:val="24"/>
          <w:szCs w:val="24"/>
        </w:rPr>
      </w:pPr>
      <w:r w:rsidRPr="00724CA2">
        <w:rPr>
          <w:rFonts w:ascii="Times New Roman" w:hAnsi="Times New Roman" w:cs="Times New Roman"/>
          <w:b/>
          <w:color w:val="000000" w:themeColor="text1"/>
          <w:sz w:val="24"/>
          <w:szCs w:val="24"/>
        </w:rPr>
        <w:t>INSERT Table 7</w:t>
      </w:r>
    </w:p>
    <w:p w14:paraId="6BC8452B" w14:textId="15649474" w:rsidR="00220DA1" w:rsidRPr="00014FBC" w:rsidRDefault="00220DA1" w:rsidP="00220DA1">
      <w:pPr>
        <w:spacing w:afterLines="50" w:after="120" w:line="480" w:lineRule="auto"/>
        <w:jc w:val="both"/>
        <w:rPr>
          <w:rFonts w:ascii="Times New Roman" w:hAnsi="Times New Roman" w:cs="Times New Roman"/>
          <w:i/>
          <w:color w:val="000000" w:themeColor="text1"/>
          <w:sz w:val="24"/>
          <w:szCs w:val="24"/>
        </w:rPr>
      </w:pPr>
      <w:r w:rsidRPr="00014FBC">
        <w:rPr>
          <w:rFonts w:ascii="Times New Roman" w:hAnsi="Times New Roman" w:cs="Times New Roman"/>
          <w:i/>
          <w:color w:val="000000" w:themeColor="text1"/>
          <w:sz w:val="24"/>
          <w:szCs w:val="24"/>
        </w:rPr>
        <w:t xml:space="preserve">4.5 </w:t>
      </w:r>
      <w:r w:rsidRPr="00014FBC">
        <w:rPr>
          <w:rFonts w:ascii="Times New Roman" w:hAnsi="Times New Roman" w:cs="Times New Roman"/>
          <w:i/>
          <w:color w:val="000000" w:themeColor="text1"/>
          <w:sz w:val="24"/>
          <w:szCs w:val="24"/>
        </w:rPr>
        <w:tab/>
        <w:t>Robustness tests</w:t>
      </w:r>
    </w:p>
    <w:p w14:paraId="698754EB" w14:textId="5E2093EE" w:rsidR="002E20FF" w:rsidRPr="00724CA2" w:rsidRDefault="003743B3" w:rsidP="00181EB3">
      <w:pPr>
        <w:spacing w:after="120" w:line="480" w:lineRule="auto"/>
        <w:ind w:firstLine="284"/>
        <w:jc w:val="both"/>
        <w:rPr>
          <w:rFonts w:ascii="Times New Roman" w:hAnsi="Times New Roman" w:cs="Times New Roman"/>
          <w:bCs/>
          <w:iCs/>
          <w:color w:val="000000" w:themeColor="text1"/>
          <w:sz w:val="24"/>
          <w:szCs w:val="24"/>
        </w:rPr>
      </w:pPr>
      <w:r w:rsidRPr="00724CA2">
        <w:rPr>
          <w:rFonts w:ascii="Times New Roman" w:hAnsi="Times New Roman" w:cs="Times New Roman"/>
          <w:bCs/>
          <w:iCs/>
          <w:color w:val="000000" w:themeColor="text1"/>
          <w:sz w:val="24"/>
          <w:szCs w:val="24"/>
        </w:rPr>
        <w:t>We conduct following robustness tests to examine the stability and reliability of the results</w:t>
      </w:r>
      <w:r w:rsidR="00BC1AC7" w:rsidRPr="00724CA2">
        <w:rPr>
          <w:rFonts w:ascii="Times New Roman" w:hAnsi="Times New Roman" w:cs="Times New Roman"/>
          <w:bCs/>
          <w:iCs/>
          <w:color w:val="000000" w:themeColor="text1"/>
          <w:sz w:val="24"/>
          <w:szCs w:val="24"/>
        </w:rPr>
        <w:t>. First, w</w:t>
      </w:r>
      <w:r w:rsidR="002E20FF" w:rsidRPr="00724CA2">
        <w:rPr>
          <w:rFonts w:ascii="Times New Roman" w:hAnsi="Times New Roman" w:cs="Times New Roman"/>
          <w:bCs/>
          <w:iCs/>
          <w:color w:val="000000" w:themeColor="text1"/>
          <w:sz w:val="24"/>
          <w:szCs w:val="24"/>
        </w:rPr>
        <w:t xml:space="preserve">e re-estimate hypothesis 2 by dividing </w:t>
      </w:r>
      <w:r w:rsidR="00F51B8F" w:rsidRPr="00724CA2">
        <w:rPr>
          <w:rFonts w:ascii="Times New Roman" w:hAnsi="Times New Roman" w:cs="Times New Roman"/>
          <w:bCs/>
          <w:iCs/>
          <w:color w:val="000000" w:themeColor="text1"/>
          <w:sz w:val="24"/>
          <w:szCs w:val="24"/>
        </w:rPr>
        <w:t xml:space="preserve">the </w:t>
      </w:r>
      <w:r w:rsidR="002E20FF" w:rsidRPr="00724CA2">
        <w:rPr>
          <w:rFonts w:ascii="Times New Roman" w:hAnsi="Times New Roman" w:cs="Times New Roman"/>
          <w:bCs/>
          <w:iCs/>
          <w:color w:val="000000" w:themeColor="text1"/>
          <w:sz w:val="24"/>
          <w:szCs w:val="24"/>
        </w:rPr>
        <w:t>sample into two sub-groups</w:t>
      </w:r>
      <w:r w:rsidR="00E86F5B" w:rsidRPr="00724CA2">
        <w:rPr>
          <w:rFonts w:ascii="Times New Roman" w:hAnsi="Times New Roman" w:cs="Times New Roman"/>
          <w:bCs/>
          <w:iCs/>
          <w:color w:val="000000" w:themeColor="text1"/>
          <w:sz w:val="24"/>
          <w:szCs w:val="24"/>
        </w:rPr>
        <w:t xml:space="preserve"> including SOEs and non-SOEs and examine the impact of mutual fund </w:t>
      </w:r>
      <w:r w:rsidR="00892127" w:rsidRPr="00724CA2">
        <w:rPr>
          <w:rFonts w:ascii="Times New Roman" w:hAnsi="Times New Roman" w:cs="Times New Roman"/>
          <w:bCs/>
          <w:iCs/>
          <w:color w:val="000000" w:themeColor="text1"/>
          <w:sz w:val="24"/>
          <w:szCs w:val="24"/>
        </w:rPr>
        <w:t xml:space="preserve">ownership </w:t>
      </w:r>
      <w:r w:rsidR="00E86F5B" w:rsidRPr="00724CA2">
        <w:rPr>
          <w:rFonts w:ascii="Times New Roman" w:hAnsi="Times New Roman" w:cs="Times New Roman"/>
          <w:bCs/>
          <w:iCs/>
          <w:color w:val="000000" w:themeColor="text1"/>
          <w:sz w:val="24"/>
          <w:szCs w:val="24"/>
        </w:rPr>
        <w:t xml:space="preserve">on corporate environmental spending </w:t>
      </w:r>
      <w:r w:rsidR="00892127" w:rsidRPr="00724CA2">
        <w:rPr>
          <w:rFonts w:ascii="Times New Roman" w:hAnsi="Times New Roman" w:cs="Times New Roman"/>
          <w:bCs/>
          <w:iCs/>
          <w:color w:val="000000" w:themeColor="text1"/>
          <w:sz w:val="24"/>
          <w:szCs w:val="24"/>
        </w:rPr>
        <w:t xml:space="preserve">for </w:t>
      </w:r>
      <w:r w:rsidR="00E86F5B" w:rsidRPr="00724CA2">
        <w:rPr>
          <w:rFonts w:ascii="Times New Roman" w:hAnsi="Times New Roman" w:cs="Times New Roman"/>
          <w:bCs/>
          <w:iCs/>
          <w:color w:val="000000" w:themeColor="text1"/>
          <w:sz w:val="24"/>
          <w:szCs w:val="24"/>
        </w:rPr>
        <w:t>each sub-group respectively.</w:t>
      </w:r>
      <w:r w:rsidR="002E20FF" w:rsidRPr="00724CA2">
        <w:rPr>
          <w:rFonts w:ascii="Times New Roman" w:hAnsi="Times New Roman" w:cs="Times New Roman"/>
          <w:bCs/>
          <w:iCs/>
          <w:color w:val="000000" w:themeColor="text1"/>
          <w:sz w:val="24"/>
          <w:szCs w:val="24"/>
        </w:rPr>
        <w:t xml:space="preserve"> </w:t>
      </w:r>
      <w:r w:rsidR="00EA315F" w:rsidRPr="00EA315F">
        <w:rPr>
          <w:rFonts w:ascii="Times New Roman" w:hAnsi="Times New Roman" w:cs="Times New Roman"/>
          <w:bCs/>
          <w:iCs/>
          <w:color w:val="000000" w:themeColor="text1"/>
          <w:sz w:val="24"/>
          <w:szCs w:val="24"/>
        </w:rPr>
        <w:t xml:space="preserve">This is assessed considering that the influence of mutual fund ownership could be stronger in SOEs, given </w:t>
      </w:r>
      <w:r w:rsidR="00EA315F">
        <w:rPr>
          <w:rFonts w:ascii="Times New Roman" w:hAnsi="Times New Roman" w:cs="Times New Roman" w:hint="eastAsia"/>
          <w:bCs/>
          <w:iCs/>
          <w:color w:val="000000" w:themeColor="text1"/>
          <w:sz w:val="24"/>
          <w:szCs w:val="24"/>
          <w:lang w:eastAsia="zh-CN"/>
        </w:rPr>
        <w:t>SOEs</w:t>
      </w:r>
      <w:r w:rsidR="00EA315F">
        <w:rPr>
          <w:rFonts w:ascii="Times New Roman" w:hAnsi="Times New Roman" w:cs="Times New Roman"/>
          <w:bCs/>
          <w:iCs/>
          <w:color w:val="000000" w:themeColor="text1"/>
          <w:sz w:val="24"/>
          <w:szCs w:val="24"/>
          <w:lang w:eastAsia="zh-CN"/>
        </w:rPr>
        <w:t>’</w:t>
      </w:r>
      <w:r w:rsidR="00EA315F" w:rsidRPr="00EA315F">
        <w:rPr>
          <w:rFonts w:ascii="Times New Roman" w:hAnsi="Times New Roman" w:cs="Times New Roman"/>
          <w:bCs/>
          <w:iCs/>
          <w:color w:val="000000" w:themeColor="text1"/>
          <w:sz w:val="24"/>
          <w:szCs w:val="24"/>
        </w:rPr>
        <w:t xml:space="preserve"> greater access to financial resources for undertaking environmental activities</w:t>
      </w:r>
      <w:r w:rsidR="002E20FF" w:rsidRPr="00724CA2">
        <w:rPr>
          <w:rFonts w:ascii="Times New Roman" w:hAnsi="Times New Roman" w:cs="Times New Roman"/>
          <w:bCs/>
          <w:iCs/>
          <w:color w:val="000000" w:themeColor="text1"/>
          <w:sz w:val="24"/>
          <w:szCs w:val="24"/>
        </w:rPr>
        <w:t xml:space="preserve">. The results are reported in Models 1-2 of Table 8. </w:t>
      </w:r>
      <w:r w:rsidR="003F53A2" w:rsidRPr="00724CA2">
        <w:rPr>
          <w:rFonts w:ascii="Times New Roman" w:hAnsi="Times New Roman" w:cs="Times New Roman"/>
          <w:bCs/>
          <w:iCs/>
          <w:color w:val="000000" w:themeColor="text1"/>
          <w:sz w:val="24"/>
          <w:szCs w:val="24"/>
        </w:rPr>
        <w:t>We</w:t>
      </w:r>
      <w:r w:rsidR="002E20FF" w:rsidRPr="00724CA2">
        <w:rPr>
          <w:rFonts w:ascii="Times New Roman" w:hAnsi="Times New Roman" w:cs="Times New Roman"/>
          <w:bCs/>
          <w:iCs/>
          <w:color w:val="000000" w:themeColor="text1"/>
          <w:sz w:val="24"/>
          <w:szCs w:val="24"/>
        </w:rPr>
        <w:t xml:space="preserve"> observe that mutual funds positively affect corporate environmental spending in </w:t>
      </w:r>
      <w:r w:rsidR="00E53D4A" w:rsidRPr="00724CA2">
        <w:rPr>
          <w:rFonts w:ascii="Times New Roman" w:hAnsi="Times New Roman" w:cs="Times New Roman"/>
          <w:bCs/>
          <w:iCs/>
          <w:color w:val="000000" w:themeColor="text1"/>
          <w:sz w:val="24"/>
          <w:szCs w:val="24"/>
        </w:rPr>
        <w:t xml:space="preserve">both </w:t>
      </w:r>
      <w:r w:rsidR="002E20FF" w:rsidRPr="00724CA2">
        <w:rPr>
          <w:rFonts w:ascii="Times New Roman" w:hAnsi="Times New Roman" w:cs="Times New Roman"/>
          <w:bCs/>
          <w:iCs/>
          <w:color w:val="000000" w:themeColor="text1"/>
          <w:sz w:val="24"/>
          <w:szCs w:val="24"/>
        </w:rPr>
        <w:t>sub-group</w:t>
      </w:r>
      <w:r w:rsidR="00E53D4A" w:rsidRPr="00724CA2">
        <w:rPr>
          <w:rFonts w:ascii="Times New Roman" w:hAnsi="Times New Roman" w:cs="Times New Roman"/>
          <w:bCs/>
          <w:iCs/>
          <w:color w:val="000000" w:themeColor="text1"/>
          <w:sz w:val="24"/>
          <w:szCs w:val="24"/>
        </w:rPr>
        <w:t>s</w:t>
      </w:r>
      <w:r w:rsidR="002E20FF" w:rsidRPr="00724CA2">
        <w:rPr>
          <w:rFonts w:ascii="Times New Roman" w:hAnsi="Times New Roman" w:cs="Times New Roman"/>
          <w:bCs/>
          <w:iCs/>
          <w:color w:val="000000" w:themeColor="text1"/>
          <w:sz w:val="24"/>
          <w:szCs w:val="24"/>
        </w:rPr>
        <w:t xml:space="preserve">, </w:t>
      </w:r>
      <w:r w:rsidR="001479A8" w:rsidRPr="00724CA2">
        <w:rPr>
          <w:rFonts w:ascii="Times New Roman" w:hAnsi="Times New Roman" w:cs="Times New Roman"/>
          <w:bCs/>
          <w:iCs/>
          <w:color w:val="000000" w:themeColor="text1"/>
          <w:sz w:val="24"/>
          <w:szCs w:val="24"/>
        </w:rPr>
        <w:t xml:space="preserve">with this </w:t>
      </w:r>
      <w:r w:rsidR="002E20FF" w:rsidRPr="00724CA2">
        <w:rPr>
          <w:rFonts w:ascii="Times New Roman" w:hAnsi="Times New Roman" w:cs="Times New Roman"/>
          <w:bCs/>
          <w:iCs/>
          <w:color w:val="000000" w:themeColor="text1"/>
          <w:sz w:val="24"/>
          <w:szCs w:val="24"/>
        </w:rPr>
        <w:t xml:space="preserve">influence </w:t>
      </w:r>
      <w:r w:rsidR="001479A8" w:rsidRPr="00724CA2">
        <w:rPr>
          <w:rFonts w:ascii="Times New Roman" w:hAnsi="Times New Roman" w:cs="Times New Roman"/>
          <w:bCs/>
          <w:iCs/>
          <w:color w:val="000000" w:themeColor="text1"/>
          <w:sz w:val="24"/>
          <w:szCs w:val="24"/>
        </w:rPr>
        <w:t xml:space="preserve">pronounced in </w:t>
      </w:r>
      <w:r w:rsidR="002E20FF" w:rsidRPr="00724CA2">
        <w:rPr>
          <w:rFonts w:ascii="Times New Roman" w:hAnsi="Times New Roman" w:cs="Times New Roman"/>
          <w:bCs/>
          <w:iCs/>
          <w:color w:val="000000" w:themeColor="text1"/>
          <w:sz w:val="24"/>
          <w:szCs w:val="24"/>
        </w:rPr>
        <w:t xml:space="preserve">the SOE group. This is evidenced by the magnitude of </w:t>
      </w:r>
      <w:r w:rsidR="00EB7973" w:rsidRPr="00724CA2">
        <w:rPr>
          <w:rFonts w:ascii="Times New Roman" w:hAnsi="Times New Roman" w:cs="Times New Roman"/>
          <w:bCs/>
          <w:iCs/>
          <w:color w:val="000000" w:themeColor="text1"/>
          <w:sz w:val="24"/>
          <w:szCs w:val="24"/>
        </w:rPr>
        <w:t xml:space="preserve">the </w:t>
      </w:r>
      <w:r w:rsidR="002E20FF" w:rsidRPr="00724CA2">
        <w:rPr>
          <w:rFonts w:ascii="Times New Roman" w:hAnsi="Times New Roman" w:cs="Times New Roman"/>
          <w:bCs/>
          <w:iCs/>
          <w:color w:val="000000" w:themeColor="text1"/>
          <w:sz w:val="24"/>
          <w:szCs w:val="24"/>
        </w:rPr>
        <w:t>mutual fund coefficient, which is greater for the SOE group (4.578) compared to the non-</w:t>
      </w:r>
      <w:r w:rsidR="002E20FF" w:rsidRPr="00724CA2">
        <w:rPr>
          <w:rFonts w:ascii="Times New Roman" w:hAnsi="Times New Roman" w:cs="Times New Roman" w:hint="eastAsia"/>
          <w:bCs/>
          <w:iCs/>
          <w:color w:val="000000" w:themeColor="text1"/>
          <w:sz w:val="24"/>
          <w:szCs w:val="24"/>
        </w:rPr>
        <w:t>SOE</w:t>
      </w:r>
      <w:r w:rsidR="002E20FF" w:rsidRPr="00724CA2">
        <w:rPr>
          <w:rFonts w:ascii="Times New Roman" w:hAnsi="Times New Roman" w:cs="Times New Roman"/>
          <w:bCs/>
          <w:iCs/>
          <w:color w:val="000000" w:themeColor="text1"/>
          <w:sz w:val="24"/>
          <w:szCs w:val="24"/>
        </w:rPr>
        <w:t xml:space="preserve"> </w:t>
      </w:r>
      <w:r w:rsidR="002E20FF" w:rsidRPr="00724CA2">
        <w:rPr>
          <w:rFonts w:ascii="Times New Roman" w:hAnsi="Times New Roman" w:cs="Times New Roman" w:hint="eastAsia"/>
          <w:bCs/>
          <w:iCs/>
          <w:color w:val="000000" w:themeColor="text1"/>
          <w:sz w:val="24"/>
          <w:szCs w:val="24"/>
        </w:rPr>
        <w:t>gr</w:t>
      </w:r>
      <w:r w:rsidR="002E20FF" w:rsidRPr="00724CA2">
        <w:rPr>
          <w:rFonts w:ascii="Times New Roman" w:hAnsi="Times New Roman" w:cs="Times New Roman"/>
          <w:bCs/>
          <w:iCs/>
          <w:color w:val="000000" w:themeColor="text1"/>
          <w:sz w:val="24"/>
          <w:szCs w:val="24"/>
        </w:rPr>
        <w:t xml:space="preserve">oup (3.438). </w:t>
      </w:r>
      <w:r w:rsidR="009C08AD" w:rsidRPr="009C08AD">
        <w:rPr>
          <w:rFonts w:ascii="Times New Roman" w:hAnsi="Times New Roman" w:cs="Times New Roman"/>
          <w:bCs/>
          <w:iCs/>
          <w:color w:val="000000" w:themeColor="text1"/>
          <w:sz w:val="24"/>
          <w:szCs w:val="24"/>
        </w:rPr>
        <w:t>This result further confirms that mutual fund investment can significantly increase corporate environmental spending in SOEs</w:t>
      </w:r>
      <w:r w:rsidR="002E20FF" w:rsidRPr="00724CA2">
        <w:rPr>
          <w:rFonts w:ascii="Times New Roman" w:hAnsi="Times New Roman" w:cs="Times New Roman"/>
          <w:bCs/>
          <w:iCs/>
          <w:color w:val="000000" w:themeColor="text1"/>
          <w:sz w:val="24"/>
          <w:szCs w:val="24"/>
        </w:rPr>
        <w:t>.</w:t>
      </w:r>
    </w:p>
    <w:p w14:paraId="7952027B" w14:textId="7CE1B9A0" w:rsidR="003C67E3" w:rsidRPr="00724CA2" w:rsidRDefault="002E20FF" w:rsidP="00181EB3">
      <w:pPr>
        <w:spacing w:afterLines="50" w:after="120" w:line="480" w:lineRule="auto"/>
        <w:ind w:firstLine="284"/>
        <w:jc w:val="both"/>
        <w:rPr>
          <w:rFonts w:ascii="Times New Roman" w:hAnsi="Times New Roman" w:cs="Times New Roman"/>
          <w:bCs/>
          <w:iCs/>
          <w:color w:val="000000" w:themeColor="text1"/>
          <w:sz w:val="24"/>
          <w:szCs w:val="24"/>
          <w:lang w:eastAsia="zh-CN"/>
        </w:rPr>
      </w:pPr>
      <w:r w:rsidRPr="00724CA2">
        <w:rPr>
          <w:rFonts w:ascii="Times New Roman" w:hAnsi="Times New Roman" w:cs="Times New Roman"/>
          <w:bCs/>
          <w:iCs/>
          <w:color w:val="000000" w:themeColor="text1"/>
          <w:sz w:val="24"/>
          <w:szCs w:val="24"/>
        </w:rPr>
        <w:t xml:space="preserve">Similarly, we divide </w:t>
      </w:r>
      <w:r w:rsidR="008E0389" w:rsidRPr="00724CA2">
        <w:rPr>
          <w:rFonts w:ascii="Times New Roman" w:hAnsi="Times New Roman" w:cs="Times New Roman"/>
          <w:bCs/>
          <w:iCs/>
          <w:color w:val="000000" w:themeColor="text1"/>
          <w:sz w:val="24"/>
          <w:szCs w:val="24"/>
        </w:rPr>
        <w:t xml:space="preserve">the </w:t>
      </w:r>
      <w:r w:rsidRPr="00724CA2">
        <w:rPr>
          <w:rFonts w:ascii="Times New Roman" w:hAnsi="Times New Roman" w:cs="Times New Roman"/>
          <w:bCs/>
          <w:iCs/>
          <w:color w:val="000000" w:themeColor="text1"/>
          <w:sz w:val="24"/>
          <w:szCs w:val="24"/>
        </w:rPr>
        <w:t xml:space="preserve">sample into firms located in provinces with </w:t>
      </w:r>
      <w:r w:rsidR="003D1321" w:rsidRPr="00724CA2">
        <w:rPr>
          <w:rFonts w:ascii="Times New Roman" w:hAnsi="Times New Roman" w:cs="Times New Roman"/>
          <w:bCs/>
          <w:iCs/>
          <w:color w:val="000000" w:themeColor="text1"/>
          <w:sz w:val="24"/>
          <w:szCs w:val="24"/>
        </w:rPr>
        <w:t xml:space="preserve">a </w:t>
      </w:r>
      <w:r w:rsidRPr="00724CA2">
        <w:rPr>
          <w:rFonts w:ascii="Times New Roman" w:hAnsi="Times New Roman" w:cs="Times New Roman"/>
          <w:bCs/>
          <w:iCs/>
          <w:color w:val="000000" w:themeColor="text1"/>
          <w:sz w:val="24"/>
          <w:szCs w:val="24"/>
        </w:rPr>
        <w:t xml:space="preserve">weak legal environment and those </w:t>
      </w:r>
      <w:r w:rsidR="00A27290" w:rsidRPr="00724CA2">
        <w:rPr>
          <w:rFonts w:ascii="Times New Roman" w:hAnsi="Times New Roman" w:cs="Times New Roman"/>
          <w:bCs/>
          <w:iCs/>
          <w:color w:val="000000" w:themeColor="text1"/>
          <w:sz w:val="24"/>
          <w:szCs w:val="24"/>
        </w:rPr>
        <w:t xml:space="preserve">firms </w:t>
      </w:r>
      <w:r w:rsidRPr="00724CA2">
        <w:rPr>
          <w:rFonts w:ascii="Times New Roman" w:hAnsi="Times New Roman" w:cs="Times New Roman"/>
          <w:bCs/>
          <w:iCs/>
          <w:color w:val="000000" w:themeColor="text1"/>
          <w:sz w:val="24"/>
          <w:szCs w:val="24"/>
        </w:rPr>
        <w:t xml:space="preserve">located in provinces with </w:t>
      </w:r>
      <w:r w:rsidR="003D1321" w:rsidRPr="00724CA2">
        <w:rPr>
          <w:rFonts w:ascii="Times New Roman" w:hAnsi="Times New Roman" w:cs="Times New Roman"/>
          <w:bCs/>
          <w:iCs/>
          <w:color w:val="000000" w:themeColor="text1"/>
          <w:sz w:val="24"/>
          <w:szCs w:val="24"/>
        </w:rPr>
        <w:t xml:space="preserve">a </w:t>
      </w:r>
      <w:r w:rsidRPr="00724CA2">
        <w:rPr>
          <w:rFonts w:ascii="Times New Roman" w:hAnsi="Times New Roman" w:cs="Times New Roman"/>
          <w:bCs/>
          <w:iCs/>
          <w:color w:val="000000" w:themeColor="text1"/>
          <w:sz w:val="24"/>
          <w:szCs w:val="24"/>
        </w:rPr>
        <w:t>strong legal environment</w:t>
      </w:r>
      <w:r w:rsidR="00EB3308">
        <w:rPr>
          <w:rFonts w:ascii="Times New Roman" w:hAnsi="Times New Roman" w:cs="Times New Roman" w:hint="eastAsia"/>
          <w:bCs/>
          <w:iCs/>
          <w:color w:val="000000" w:themeColor="text1"/>
          <w:sz w:val="24"/>
          <w:szCs w:val="24"/>
          <w:lang w:eastAsia="zh-CN"/>
        </w:rPr>
        <w:t xml:space="preserve"> to </w:t>
      </w:r>
      <w:r w:rsidR="00EB3308" w:rsidRPr="00724CA2">
        <w:rPr>
          <w:rFonts w:ascii="Times New Roman" w:hAnsi="Times New Roman" w:cs="Times New Roman"/>
          <w:bCs/>
          <w:iCs/>
          <w:color w:val="000000" w:themeColor="text1"/>
          <w:sz w:val="24"/>
          <w:szCs w:val="24"/>
        </w:rPr>
        <w:t xml:space="preserve">re-estimate hypothesis </w:t>
      </w:r>
      <w:r w:rsidR="00EB3308">
        <w:rPr>
          <w:rFonts w:ascii="Times New Roman" w:hAnsi="Times New Roman" w:cs="Times New Roman" w:hint="eastAsia"/>
          <w:bCs/>
          <w:iCs/>
          <w:color w:val="000000" w:themeColor="text1"/>
          <w:sz w:val="24"/>
          <w:szCs w:val="24"/>
          <w:lang w:eastAsia="zh-CN"/>
        </w:rPr>
        <w:t>3</w:t>
      </w:r>
      <w:r w:rsidRPr="00724CA2">
        <w:rPr>
          <w:rFonts w:ascii="Times New Roman" w:hAnsi="Times New Roman" w:cs="Times New Roman"/>
          <w:bCs/>
          <w:iCs/>
          <w:color w:val="000000" w:themeColor="text1"/>
          <w:sz w:val="24"/>
          <w:szCs w:val="24"/>
        </w:rPr>
        <w:t xml:space="preserve">. The results are presented in Models 3-4 of Table 8. </w:t>
      </w:r>
      <w:r w:rsidR="00E21F48" w:rsidRPr="00724CA2">
        <w:rPr>
          <w:rFonts w:ascii="Times New Roman" w:hAnsi="Times New Roman" w:cs="Times New Roman"/>
          <w:bCs/>
          <w:iCs/>
          <w:color w:val="000000" w:themeColor="text1"/>
          <w:sz w:val="24"/>
          <w:szCs w:val="24"/>
        </w:rPr>
        <w:t xml:space="preserve">We </w:t>
      </w:r>
      <w:r w:rsidRPr="00724CA2">
        <w:rPr>
          <w:rFonts w:ascii="Times New Roman" w:hAnsi="Times New Roman" w:cs="Times New Roman"/>
          <w:bCs/>
          <w:iCs/>
          <w:color w:val="000000" w:themeColor="text1"/>
          <w:sz w:val="24"/>
          <w:szCs w:val="24"/>
        </w:rPr>
        <w:t xml:space="preserve">report that a positive relationship </w:t>
      </w:r>
      <w:r w:rsidR="00EC3F1A" w:rsidRPr="00724CA2">
        <w:rPr>
          <w:rFonts w:ascii="Times New Roman" w:hAnsi="Times New Roman" w:cs="Times New Roman"/>
          <w:bCs/>
          <w:iCs/>
          <w:color w:val="000000" w:themeColor="text1"/>
          <w:sz w:val="24"/>
          <w:szCs w:val="24"/>
        </w:rPr>
        <w:t xml:space="preserve">exists </w:t>
      </w:r>
      <w:r w:rsidRPr="00724CA2">
        <w:rPr>
          <w:rFonts w:ascii="Times New Roman" w:hAnsi="Times New Roman" w:cs="Times New Roman"/>
          <w:bCs/>
          <w:iCs/>
          <w:color w:val="000000" w:themeColor="text1"/>
          <w:sz w:val="24"/>
          <w:szCs w:val="24"/>
        </w:rPr>
        <w:t xml:space="preserve">between mutual fund ownership and corporate environmental spending in each sub-group. </w:t>
      </w:r>
      <w:r w:rsidR="004B5DF0" w:rsidRPr="00724CA2">
        <w:rPr>
          <w:rFonts w:ascii="Times New Roman" w:hAnsi="Times New Roman" w:cs="Times New Roman"/>
          <w:bCs/>
          <w:iCs/>
          <w:color w:val="000000" w:themeColor="text1"/>
          <w:sz w:val="24"/>
          <w:szCs w:val="24"/>
        </w:rPr>
        <w:t xml:space="preserve">This </w:t>
      </w:r>
      <w:r w:rsidRPr="00724CA2">
        <w:rPr>
          <w:rFonts w:ascii="Times New Roman" w:hAnsi="Times New Roman" w:cs="Times New Roman"/>
          <w:bCs/>
          <w:iCs/>
          <w:color w:val="000000" w:themeColor="text1"/>
          <w:sz w:val="24"/>
          <w:szCs w:val="24"/>
        </w:rPr>
        <w:t xml:space="preserve">positive impact is pronounced </w:t>
      </w:r>
      <w:r w:rsidR="002B3A85" w:rsidRPr="00724CA2">
        <w:rPr>
          <w:rFonts w:ascii="Times New Roman" w:hAnsi="Times New Roman" w:cs="Times New Roman"/>
          <w:bCs/>
          <w:iCs/>
          <w:color w:val="000000" w:themeColor="text1"/>
          <w:sz w:val="24"/>
          <w:szCs w:val="24"/>
        </w:rPr>
        <w:t xml:space="preserve">for </w:t>
      </w:r>
      <w:r w:rsidRPr="00724CA2">
        <w:rPr>
          <w:rFonts w:ascii="Times New Roman" w:hAnsi="Times New Roman" w:cs="Times New Roman"/>
          <w:bCs/>
          <w:iCs/>
          <w:color w:val="000000" w:themeColor="text1"/>
          <w:sz w:val="24"/>
          <w:szCs w:val="24"/>
        </w:rPr>
        <w:t xml:space="preserve">firms located in provinces with </w:t>
      </w:r>
      <w:r w:rsidR="004B5DF0" w:rsidRPr="00724CA2">
        <w:rPr>
          <w:rFonts w:ascii="Times New Roman" w:hAnsi="Times New Roman" w:cs="Times New Roman"/>
          <w:bCs/>
          <w:iCs/>
          <w:color w:val="000000" w:themeColor="text1"/>
          <w:sz w:val="24"/>
          <w:szCs w:val="24"/>
        </w:rPr>
        <w:t xml:space="preserve">a </w:t>
      </w:r>
      <w:r w:rsidRPr="00724CA2">
        <w:rPr>
          <w:rFonts w:ascii="Times New Roman" w:hAnsi="Times New Roman" w:cs="Times New Roman"/>
          <w:bCs/>
          <w:iCs/>
          <w:color w:val="000000" w:themeColor="text1"/>
          <w:sz w:val="24"/>
          <w:szCs w:val="24"/>
        </w:rPr>
        <w:t>strong legal environment</w:t>
      </w:r>
      <w:r w:rsidR="00974549" w:rsidRPr="00724CA2">
        <w:rPr>
          <w:rFonts w:ascii="Times New Roman" w:hAnsi="Times New Roman" w:cs="Times New Roman"/>
          <w:bCs/>
          <w:iCs/>
          <w:color w:val="000000" w:themeColor="text1"/>
          <w:sz w:val="24"/>
          <w:szCs w:val="24"/>
        </w:rPr>
        <w:t xml:space="preserve">, with a mutual fund </w:t>
      </w:r>
      <w:r w:rsidRPr="00724CA2">
        <w:rPr>
          <w:rFonts w:ascii="Times New Roman" w:hAnsi="Times New Roman" w:cs="Times New Roman"/>
          <w:bCs/>
          <w:iCs/>
          <w:color w:val="000000" w:themeColor="text1"/>
          <w:sz w:val="24"/>
          <w:szCs w:val="24"/>
        </w:rPr>
        <w:t xml:space="preserve">coefficient </w:t>
      </w:r>
      <w:r w:rsidR="00974549" w:rsidRPr="00724CA2">
        <w:rPr>
          <w:rFonts w:ascii="Times New Roman" w:hAnsi="Times New Roman" w:cs="Times New Roman"/>
          <w:bCs/>
          <w:iCs/>
          <w:color w:val="000000" w:themeColor="text1"/>
          <w:sz w:val="24"/>
          <w:szCs w:val="24"/>
        </w:rPr>
        <w:t xml:space="preserve">of </w:t>
      </w:r>
      <w:r w:rsidRPr="00724CA2">
        <w:rPr>
          <w:rFonts w:ascii="Times New Roman" w:hAnsi="Times New Roman" w:cs="Times New Roman"/>
          <w:bCs/>
          <w:iCs/>
          <w:color w:val="000000" w:themeColor="text1"/>
          <w:sz w:val="24"/>
          <w:szCs w:val="24"/>
        </w:rPr>
        <w:t>4.537</w:t>
      </w:r>
      <w:r w:rsidR="005252C2" w:rsidRPr="00724CA2">
        <w:rPr>
          <w:rFonts w:ascii="Times New Roman" w:hAnsi="Times New Roman" w:cs="Times New Roman"/>
          <w:bCs/>
          <w:iCs/>
          <w:color w:val="000000" w:themeColor="text1"/>
          <w:sz w:val="24"/>
          <w:szCs w:val="24"/>
        </w:rPr>
        <w:t xml:space="preserve">, </w:t>
      </w:r>
      <w:r w:rsidR="00862392" w:rsidRPr="00724CA2">
        <w:rPr>
          <w:rFonts w:ascii="Times New Roman" w:hAnsi="Times New Roman" w:cs="Times New Roman"/>
          <w:bCs/>
          <w:iCs/>
          <w:color w:val="000000" w:themeColor="text1"/>
          <w:sz w:val="24"/>
          <w:szCs w:val="24"/>
        </w:rPr>
        <w:t xml:space="preserve">relative to the </w:t>
      </w:r>
      <w:r w:rsidR="00611B2B" w:rsidRPr="00724CA2">
        <w:rPr>
          <w:rFonts w:ascii="Times New Roman" w:hAnsi="Times New Roman" w:cs="Times New Roman"/>
          <w:bCs/>
          <w:iCs/>
          <w:color w:val="000000" w:themeColor="text1"/>
          <w:sz w:val="24"/>
          <w:szCs w:val="24"/>
        </w:rPr>
        <w:t xml:space="preserve">estimate </w:t>
      </w:r>
      <w:r w:rsidR="0074627D" w:rsidRPr="00724CA2">
        <w:rPr>
          <w:rFonts w:ascii="Times New Roman" w:hAnsi="Times New Roman" w:cs="Times New Roman"/>
          <w:bCs/>
          <w:iCs/>
          <w:color w:val="000000" w:themeColor="text1"/>
          <w:sz w:val="24"/>
          <w:szCs w:val="24"/>
        </w:rPr>
        <w:lastRenderedPageBreak/>
        <w:t xml:space="preserve">recorded </w:t>
      </w:r>
      <w:r w:rsidR="00862392" w:rsidRPr="00724CA2">
        <w:rPr>
          <w:rFonts w:ascii="Times New Roman" w:hAnsi="Times New Roman" w:cs="Times New Roman"/>
          <w:bCs/>
          <w:iCs/>
          <w:color w:val="000000" w:themeColor="text1"/>
          <w:sz w:val="24"/>
          <w:szCs w:val="24"/>
        </w:rPr>
        <w:t xml:space="preserve">for </w:t>
      </w:r>
      <w:r w:rsidR="00B30839" w:rsidRPr="00724CA2">
        <w:rPr>
          <w:rFonts w:ascii="Times New Roman" w:hAnsi="Times New Roman" w:cs="Times New Roman"/>
          <w:bCs/>
          <w:iCs/>
          <w:color w:val="000000" w:themeColor="text1"/>
          <w:sz w:val="24"/>
          <w:szCs w:val="24"/>
        </w:rPr>
        <w:t xml:space="preserve">firms operating in </w:t>
      </w:r>
      <w:r w:rsidR="00862392" w:rsidRPr="00724CA2">
        <w:rPr>
          <w:rFonts w:ascii="Times New Roman" w:hAnsi="Times New Roman" w:cs="Times New Roman"/>
          <w:bCs/>
          <w:iCs/>
          <w:color w:val="000000" w:themeColor="text1"/>
          <w:sz w:val="24"/>
          <w:szCs w:val="24"/>
        </w:rPr>
        <w:t xml:space="preserve">regions with a </w:t>
      </w:r>
      <w:r w:rsidRPr="00724CA2">
        <w:rPr>
          <w:rFonts w:ascii="Times New Roman" w:hAnsi="Times New Roman" w:cs="Times New Roman"/>
          <w:bCs/>
          <w:iCs/>
          <w:color w:val="000000" w:themeColor="text1"/>
          <w:sz w:val="24"/>
          <w:szCs w:val="24"/>
        </w:rPr>
        <w:t>weaker legal environment (3.089).</w:t>
      </w:r>
      <w:r w:rsidR="009819EC">
        <w:rPr>
          <w:rFonts w:ascii="Times New Roman" w:hAnsi="Times New Roman" w:cs="Times New Roman" w:hint="eastAsia"/>
          <w:bCs/>
          <w:iCs/>
          <w:color w:val="000000" w:themeColor="text1"/>
          <w:sz w:val="24"/>
          <w:szCs w:val="24"/>
          <w:lang w:eastAsia="zh-CN"/>
        </w:rPr>
        <w:t xml:space="preserve"> This is consistent with our baseline result.</w:t>
      </w:r>
    </w:p>
    <w:p w14:paraId="0903E008" w14:textId="7BCBAE2F" w:rsidR="003C67E3" w:rsidRPr="00724CA2" w:rsidRDefault="009E1174" w:rsidP="00181EB3">
      <w:pPr>
        <w:spacing w:afterLines="50" w:after="120" w:line="480" w:lineRule="auto"/>
        <w:ind w:firstLine="284"/>
        <w:jc w:val="center"/>
        <w:rPr>
          <w:rFonts w:ascii="Times New Roman" w:hAnsi="Times New Roman" w:cs="Times New Roman"/>
          <w:b/>
          <w:color w:val="000000" w:themeColor="text1"/>
          <w:sz w:val="24"/>
          <w:szCs w:val="24"/>
        </w:rPr>
      </w:pPr>
      <w:r w:rsidRPr="00724CA2">
        <w:rPr>
          <w:rFonts w:ascii="Times New Roman" w:hAnsi="Times New Roman" w:cs="Times New Roman"/>
          <w:b/>
          <w:color w:val="000000" w:themeColor="text1"/>
          <w:sz w:val="24"/>
          <w:szCs w:val="24"/>
        </w:rPr>
        <w:t>INSERT Table 8</w:t>
      </w:r>
    </w:p>
    <w:p w14:paraId="4C526729" w14:textId="48FB701D" w:rsidR="000C38A0" w:rsidRPr="00724CA2" w:rsidRDefault="003C67E3" w:rsidP="00181EB3">
      <w:pPr>
        <w:pStyle w:val="BodyText2"/>
        <w:spacing w:afterLines="50" w:after="120" w:line="480" w:lineRule="auto"/>
        <w:ind w:firstLine="284"/>
        <w:rPr>
          <w:color w:val="000000" w:themeColor="text1"/>
          <w:sz w:val="24"/>
          <w:szCs w:val="24"/>
          <w:lang w:eastAsia="zh-CN"/>
        </w:rPr>
      </w:pPr>
      <w:r w:rsidRPr="00724CA2">
        <w:rPr>
          <w:color w:val="000000" w:themeColor="text1"/>
          <w:sz w:val="24"/>
          <w:szCs w:val="24"/>
          <w:lang w:eastAsia="zh-CN"/>
        </w:rPr>
        <w:t>W</w:t>
      </w:r>
      <w:r w:rsidR="00495EFA" w:rsidRPr="00724CA2">
        <w:rPr>
          <w:color w:val="000000" w:themeColor="text1"/>
          <w:sz w:val="24"/>
          <w:szCs w:val="24"/>
          <w:lang w:eastAsia="zh-CN"/>
        </w:rPr>
        <w:t xml:space="preserve">e </w:t>
      </w:r>
      <w:r w:rsidR="00D92615" w:rsidRPr="00724CA2">
        <w:rPr>
          <w:color w:val="000000" w:themeColor="text1"/>
          <w:sz w:val="24"/>
          <w:szCs w:val="24"/>
          <w:lang w:eastAsia="zh-CN"/>
        </w:rPr>
        <w:t xml:space="preserve">also </w:t>
      </w:r>
      <w:r w:rsidR="00EC3F1A" w:rsidRPr="00724CA2">
        <w:rPr>
          <w:color w:val="000000" w:themeColor="text1"/>
          <w:sz w:val="24"/>
          <w:szCs w:val="24"/>
          <w:lang w:eastAsia="zh-CN"/>
        </w:rPr>
        <w:t>examine whether</w:t>
      </w:r>
      <w:r w:rsidR="00E970F0" w:rsidRPr="00724CA2">
        <w:rPr>
          <w:color w:val="000000" w:themeColor="text1"/>
          <w:sz w:val="24"/>
          <w:szCs w:val="24"/>
          <w:lang w:eastAsia="zh-CN"/>
        </w:rPr>
        <w:t xml:space="preserve"> </w:t>
      </w:r>
      <w:r w:rsidR="00495EFA" w:rsidRPr="00724CA2">
        <w:rPr>
          <w:color w:val="000000" w:themeColor="text1"/>
          <w:sz w:val="24"/>
          <w:szCs w:val="24"/>
          <w:lang w:eastAsia="zh-CN"/>
        </w:rPr>
        <w:t>our results are robust to alternative dependent variable</w:t>
      </w:r>
      <w:r w:rsidR="00B30839" w:rsidRPr="00724CA2">
        <w:rPr>
          <w:color w:val="000000" w:themeColor="text1"/>
          <w:sz w:val="24"/>
          <w:szCs w:val="24"/>
          <w:lang w:eastAsia="zh-CN"/>
        </w:rPr>
        <w:t xml:space="preserve"> specifications</w:t>
      </w:r>
      <w:r w:rsidR="00495EFA" w:rsidRPr="00724CA2">
        <w:rPr>
          <w:color w:val="000000" w:themeColor="text1"/>
          <w:sz w:val="24"/>
          <w:szCs w:val="24"/>
          <w:lang w:eastAsia="zh-CN"/>
        </w:rPr>
        <w:t>. We replace ‘corporate environment spending’ with ‘environmental score’ and ‘environmental policy index’. These variables are collected from the Sustainalytics database</w:t>
      </w:r>
      <w:r w:rsidR="002F6C6A" w:rsidRPr="00724CA2">
        <w:rPr>
          <w:color w:val="000000" w:themeColor="text1"/>
          <w:sz w:val="24"/>
          <w:szCs w:val="24"/>
          <w:lang w:eastAsia="zh-CN"/>
        </w:rPr>
        <w:t xml:space="preserve">, which </w:t>
      </w:r>
      <w:r w:rsidR="009D630C" w:rsidRPr="00724CA2">
        <w:rPr>
          <w:color w:val="000000" w:themeColor="text1"/>
          <w:sz w:val="24"/>
          <w:szCs w:val="24"/>
          <w:lang w:eastAsia="zh-CN"/>
        </w:rPr>
        <w:t xml:space="preserve">quantifies </w:t>
      </w:r>
      <w:r w:rsidR="00B610E9" w:rsidRPr="00724CA2">
        <w:rPr>
          <w:color w:val="000000" w:themeColor="text1"/>
          <w:sz w:val="24"/>
          <w:szCs w:val="24"/>
          <w:lang w:eastAsia="zh-CN"/>
        </w:rPr>
        <w:t>corporate environmental orientation. T</w:t>
      </w:r>
      <w:r w:rsidR="00495EFA" w:rsidRPr="00724CA2">
        <w:rPr>
          <w:color w:val="000000" w:themeColor="text1"/>
          <w:sz w:val="24"/>
          <w:szCs w:val="24"/>
          <w:lang w:eastAsia="zh-CN"/>
        </w:rPr>
        <w:t>h</w:t>
      </w:r>
      <w:r w:rsidR="00AF15AB" w:rsidRPr="00724CA2">
        <w:rPr>
          <w:color w:val="000000" w:themeColor="text1"/>
          <w:sz w:val="24"/>
          <w:szCs w:val="24"/>
          <w:lang w:eastAsia="zh-CN"/>
        </w:rPr>
        <w:t>e</w:t>
      </w:r>
      <w:r w:rsidR="00495EFA" w:rsidRPr="00724CA2">
        <w:rPr>
          <w:color w:val="000000" w:themeColor="text1"/>
          <w:sz w:val="24"/>
          <w:szCs w:val="24"/>
          <w:lang w:eastAsia="zh-CN"/>
        </w:rPr>
        <w:t xml:space="preserve"> environmental score </w:t>
      </w:r>
      <w:r w:rsidR="00AF15AB" w:rsidRPr="00724CA2">
        <w:rPr>
          <w:color w:val="000000" w:themeColor="text1"/>
          <w:sz w:val="24"/>
          <w:szCs w:val="24"/>
          <w:lang w:eastAsia="zh-CN"/>
        </w:rPr>
        <w:t xml:space="preserve">variable </w:t>
      </w:r>
      <w:r w:rsidR="00495EFA" w:rsidRPr="00724CA2">
        <w:rPr>
          <w:color w:val="000000" w:themeColor="text1"/>
          <w:sz w:val="24"/>
          <w:szCs w:val="24"/>
          <w:lang w:eastAsia="zh-CN"/>
        </w:rPr>
        <w:t xml:space="preserve">examines how a company manages environmental performance through its environmental policies, programs, targets, </w:t>
      </w:r>
      <w:r w:rsidR="00BE17AF" w:rsidRPr="00724CA2">
        <w:rPr>
          <w:color w:val="000000" w:themeColor="text1"/>
          <w:sz w:val="24"/>
          <w:szCs w:val="24"/>
          <w:lang w:eastAsia="zh-CN"/>
        </w:rPr>
        <w:t xml:space="preserve">and </w:t>
      </w:r>
      <w:r w:rsidR="00495EFA" w:rsidRPr="00724CA2">
        <w:rPr>
          <w:color w:val="000000" w:themeColor="text1"/>
          <w:sz w:val="24"/>
          <w:szCs w:val="24"/>
          <w:lang w:eastAsia="zh-CN"/>
        </w:rPr>
        <w:t xml:space="preserve">certifications. The ‘Environmental policy index’ </w:t>
      </w:r>
      <w:r w:rsidR="00AF15AB" w:rsidRPr="00724CA2">
        <w:rPr>
          <w:color w:val="000000" w:themeColor="text1"/>
          <w:sz w:val="24"/>
          <w:szCs w:val="24"/>
          <w:lang w:eastAsia="zh-CN"/>
        </w:rPr>
        <w:t xml:space="preserve">variable </w:t>
      </w:r>
      <w:r w:rsidR="00495EFA" w:rsidRPr="00724CA2">
        <w:rPr>
          <w:color w:val="000000" w:themeColor="text1"/>
          <w:sz w:val="24"/>
          <w:szCs w:val="24"/>
          <w:lang w:eastAsia="zh-CN"/>
        </w:rPr>
        <w:t xml:space="preserve">measures the extent to which a firm has a strong and detailed environmental policy to guide its environmental-related activities (Graafland </w:t>
      </w:r>
      <w:r w:rsidR="00936354" w:rsidRPr="00724CA2">
        <w:rPr>
          <w:color w:val="000000" w:themeColor="text1"/>
          <w:sz w:val="24"/>
          <w:szCs w:val="24"/>
          <w:lang w:eastAsia="zh-CN"/>
        </w:rPr>
        <w:t xml:space="preserve">and </w:t>
      </w:r>
      <w:r w:rsidR="00495EFA" w:rsidRPr="00724CA2">
        <w:rPr>
          <w:color w:val="000000" w:themeColor="text1"/>
          <w:sz w:val="24"/>
          <w:szCs w:val="24"/>
          <w:lang w:eastAsia="zh-CN"/>
        </w:rPr>
        <w:t xml:space="preserve">Smid, 2013). </w:t>
      </w:r>
      <w:r w:rsidR="00BE17AF" w:rsidRPr="00724CA2">
        <w:rPr>
          <w:color w:val="000000" w:themeColor="text1"/>
          <w:sz w:val="24"/>
          <w:szCs w:val="24"/>
          <w:lang w:eastAsia="zh-CN"/>
        </w:rPr>
        <w:t>T</w:t>
      </w:r>
      <w:r w:rsidR="00495EFA" w:rsidRPr="00724CA2">
        <w:rPr>
          <w:color w:val="000000" w:themeColor="text1"/>
          <w:sz w:val="24"/>
          <w:szCs w:val="24"/>
          <w:lang w:eastAsia="zh-CN"/>
        </w:rPr>
        <w:t>he results</w:t>
      </w:r>
      <w:r w:rsidR="005F16FC" w:rsidRPr="00724CA2">
        <w:rPr>
          <w:color w:val="000000" w:themeColor="text1"/>
          <w:sz w:val="24"/>
          <w:szCs w:val="24"/>
          <w:lang w:eastAsia="zh-CN"/>
        </w:rPr>
        <w:t xml:space="preserve"> </w:t>
      </w:r>
      <w:r w:rsidR="004B73F5" w:rsidRPr="00724CA2">
        <w:rPr>
          <w:color w:val="000000" w:themeColor="text1"/>
          <w:sz w:val="24"/>
          <w:szCs w:val="24"/>
          <w:lang w:eastAsia="zh-CN"/>
        </w:rPr>
        <w:t xml:space="preserve">are </w:t>
      </w:r>
      <w:r w:rsidR="009D630C" w:rsidRPr="00724CA2">
        <w:rPr>
          <w:color w:val="000000" w:themeColor="text1"/>
          <w:sz w:val="24"/>
          <w:szCs w:val="24"/>
          <w:lang w:eastAsia="zh-CN"/>
        </w:rPr>
        <w:t xml:space="preserve">recorded </w:t>
      </w:r>
      <w:r w:rsidR="005F16FC" w:rsidRPr="00724CA2">
        <w:rPr>
          <w:color w:val="000000" w:themeColor="text1"/>
          <w:sz w:val="24"/>
          <w:szCs w:val="24"/>
          <w:lang w:eastAsia="zh-CN"/>
        </w:rPr>
        <w:t xml:space="preserve">in Table </w:t>
      </w:r>
      <w:r w:rsidRPr="00724CA2">
        <w:rPr>
          <w:color w:val="000000" w:themeColor="text1"/>
          <w:sz w:val="24"/>
          <w:szCs w:val="24"/>
          <w:lang w:eastAsia="zh-CN"/>
        </w:rPr>
        <w:t>9</w:t>
      </w:r>
      <w:r w:rsidR="005F16FC" w:rsidRPr="00724CA2">
        <w:rPr>
          <w:color w:val="000000" w:themeColor="text1"/>
          <w:sz w:val="24"/>
          <w:szCs w:val="24"/>
          <w:lang w:eastAsia="zh-CN"/>
        </w:rPr>
        <w:t xml:space="preserve"> (</w:t>
      </w:r>
      <w:r w:rsidR="00EC2E2B" w:rsidRPr="00724CA2">
        <w:rPr>
          <w:color w:val="000000" w:themeColor="text1"/>
          <w:sz w:val="24"/>
          <w:szCs w:val="24"/>
          <w:lang w:eastAsia="zh-CN"/>
        </w:rPr>
        <w:t>M</w:t>
      </w:r>
      <w:r w:rsidR="005F16FC" w:rsidRPr="00724CA2">
        <w:rPr>
          <w:color w:val="000000" w:themeColor="text1"/>
          <w:sz w:val="24"/>
          <w:szCs w:val="24"/>
          <w:lang w:eastAsia="zh-CN"/>
        </w:rPr>
        <w:t>odels 1-2)</w:t>
      </w:r>
      <w:r w:rsidR="00495EFA" w:rsidRPr="00724CA2">
        <w:rPr>
          <w:color w:val="000000" w:themeColor="text1"/>
          <w:sz w:val="24"/>
          <w:szCs w:val="24"/>
          <w:lang w:eastAsia="zh-CN"/>
        </w:rPr>
        <w:t xml:space="preserve"> </w:t>
      </w:r>
      <w:r w:rsidR="004B73F5" w:rsidRPr="00724CA2">
        <w:rPr>
          <w:color w:val="000000" w:themeColor="text1"/>
          <w:sz w:val="24"/>
          <w:szCs w:val="24"/>
          <w:lang w:eastAsia="zh-CN"/>
        </w:rPr>
        <w:t xml:space="preserve">and </w:t>
      </w:r>
      <w:r w:rsidR="005F16FC" w:rsidRPr="00724CA2">
        <w:rPr>
          <w:color w:val="000000" w:themeColor="text1"/>
          <w:sz w:val="24"/>
          <w:szCs w:val="24"/>
          <w:lang w:eastAsia="zh-CN"/>
        </w:rPr>
        <w:t xml:space="preserve">display </w:t>
      </w:r>
      <w:r w:rsidR="00495EFA" w:rsidRPr="00724CA2">
        <w:rPr>
          <w:color w:val="000000" w:themeColor="text1"/>
          <w:sz w:val="24"/>
          <w:szCs w:val="24"/>
          <w:lang w:eastAsia="zh-CN"/>
        </w:rPr>
        <w:t xml:space="preserve">statistical significance, </w:t>
      </w:r>
      <w:r w:rsidR="009D630C" w:rsidRPr="00724CA2">
        <w:rPr>
          <w:color w:val="000000" w:themeColor="text1"/>
          <w:sz w:val="24"/>
          <w:szCs w:val="24"/>
          <w:lang w:eastAsia="zh-CN"/>
        </w:rPr>
        <w:t>implying</w:t>
      </w:r>
      <w:r w:rsidR="00495EFA" w:rsidRPr="00724CA2">
        <w:rPr>
          <w:color w:val="000000" w:themeColor="text1"/>
          <w:sz w:val="24"/>
          <w:szCs w:val="24"/>
          <w:lang w:eastAsia="zh-CN"/>
        </w:rPr>
        <w:t xml:space="preserve"> the presence of mutual fund investment </w:t>
      </w:r>
      <w:r w:rsidR="009D630C" w:rsidRPr="00724CA2">
        <w:rPr>
          <w:color w:val="000000" w:themeColor="text1"/>
          <w:sz w:val="24"/>
          <w:szCs w:val="24"/>
          <w:lang w:eastAsia="zh-CN"/>
        </w:rPr>
        <w:t xml:space="preserve">enhances </w:t>
      </w:r>
      <w:r w:rsidR="00495EFA" w:rsidRPr="00724CA2">
        <w:rPr>
          <w:color w:val="000000" w:themeColor="text1"/>
          <w:sz w:val="24"/>
          <w:szCs w:val="24"/>
          <w:lang w:eastAsia="zh-CN"/>
        </w:rPr>
        <w:t xml:space="preserve">corporate environmental </w:t>
      </w:r>
      <w:r w:rsidR="007B0E9C">
        <w:rPr>
          <w:rFonts w:hint="eastAsia"/>
          <w:color w:val="000000" w:themeColor="text1"/>
          <w:sz w:val="24"/>
          <w:szCs w:val="24"/>
          <w:lang w:eastAsia="zh-CN"/>
        </w:rPr>
        <w:t>performance</w:t>
      </w:r>
      <w:r w:rsidR="00495EFA" w:rsidRPr="00724CA2">
        <w:rPr>
          <w:color w:val="000000" w:themeColor="text1"/>
          <w:sz w:val="24"/>
          <w:szCs w:val="24"/>
          <w:lang w:eastAsia="zh-CN"/>
        </w:rPr>
        <w:t>.</w:t>
      </w:r>
      <w:r w:rsidR="0015663F" w:rsidRPr="00724CA2">
        <w:rPr>
          <w:color w:val="000000" w:themeColor="text1"/>
          <w:sz w:val="24"/>
          <w:szCs w:val="24"/>
          <w:lang w:eastAsia="zh-CN"/>
        </w:rPr>
        <w:t xml:space="preserve"> I</w:t>
      </w:r>
      <w:r w:rsidR="007F43F2" w:rsidRPr="00724CA2">
        <w:rPr>
          <w:color w:val="000000" w:themeColor="text1"/>
          <w:sz w:val="24"/>
          <w:szCs w:val="24"/>
          <w:lang w:eastAsia="zh-CN"/>
        </w:rPr>
        <w:t xml:space="preserve">n Model 3 </w:t>
      </w:r>
      <w:r w:rsidR="000C38A0" w:rsidRPr="00724CA2">
        <w:rPr>
          <w:color w:val="000000" w:themeColor="text1"/>
          <w:sz w:val="24"/>
          <w:szCs w:val="24"/>
          <w:lang w:eastAsia="zh-CN"/>
        </w:rPr>
        <w:t xml:space="preserve">we replace our dependent variable </w:t>
      </w:r>
      <w:r w:rsidR="007F43F2" w:rsidRPr="00724CA2">
        <w:rPr>
          <w:color w:val="000000" w:themeColor="text1"/>
          <w:sz w:val="24"/>
          <w:szCs w:val="24"/>
          <w:lang w:eastAsia="zh-CN"/>
        </w:rPr>
        <w:t xml:space="preserve">with the ratio of the </w:t>
      </w:r>
      <w:r w:rsidRPr="00724CA2">
        <w:rPr>
          <w:color w:val="000000" w:themeColor="text1"/>
          <w:sz w:val="24"/>
          <w:szCs w:val="24"/>
          <w:lang w:eastAsia="zh-CN"/>
        </w:rPr>
        <w:t>environmental spending</w:t>
      </w:r>
      <w:r w:rsidR="000C38A0" w:rsidRPr="00724CA2">
        <w:rPr>
          <w:color w:val="000000" w:themeColor="text1"/>
          <w:sz w:val="24"/>
          <w:szCs w:val="24"/>
          <w:lang w:eastAsia="zh-CN"/>
        </w:rPr>
        <w:t xml:space="preserve"> to total assets</w:t>
      </w:r>
      <w:r w:rsidR="00A27290" w:rsidRPr="00724CA2">
        <w:rPr>
          <w:color w:val="000000" w:themeColor="text1"/>
          <w:sz w:val="24"/>
          <w:szCs w:val="24"/>
          <w:lang w:eastAsia="zh-CN"/>
        </w:rPr>
        <w:t xml:space="preserve"> (Shen et al. 2019)</w:t>
      </w:r>
      <w:r w:rsidR="005F5294" w:rsidRPr="00724CA2">
        <w:rPr>
          <w:color w:val="000000" w:themeColor="text1"/>
          <w:sz w:val="24"/>
          <w:szCs w:val="24"/>
          <w:lang w:eastAsia="zh-CN"/>
        </w:rPr>
        <w:t xml:space="preserve"> as </w:t>
      </w:r>
      <w:r w:rsidR="00C00298" w:rsidRPr="00724CA2">
        <w:rPr>
          <w:color w:val="000000" w:themeColor="text1"/>
          <w:sz w:val="24"/>
          <w:szCs w:val="24"/>
          <w:lang w:eastAsia="zh-CN"/>
        </w:rPr>
        <w:t xml:space="preserve">increasing </w:t>
      </w:r>
      <w:r w:rsidR="00A20991" w:rsidRPr="00724CA2">
        <w:rPr>
          <w:color w:val="000000" w:themeColor="text1"/>
          <w:sz w:val="24"/>
          <w:szCs w:val="24"/>
          <w:lang w:eastAsia="zh-CN"/>
        </w:rPr>
        <w:t xml:space="preserve">environmental spending </w:t>
      </w:r>
      <w:r w:rsidR="007F43F2" w:rsidRPr="00724CA2">
        <w:rPr>
          <w:color w:val="000000" w:themeColor="text1"/>
          <w:sz w:val="24"/>
          <w:szCs w:val="24"/>
          <w:lang w:eastAsia="zh-CN"/>
        </w:rPr>
        <w:t xml:space="preserve">is </w:t>
      </w:r>
      <w:r w:rsidR="00074E84" w:rsidRPr="00724CA2">
        <w:rPr>
          <w:color w:val="000000" w:themeColor="text1"/>
          <w:sz w:val="24"/>
          <w:szCs w:val="24"/>
          <w:lang w:eastAsia="zh-CN"/>
        </w:rPr>
        <w:t xml:space="preserve">challenging </w:t>
      </w:r>
      <w:r w:rsidR="00C00298" w:rsidRPr="00724CA2">
        <w:rPr>
          <w:color w:val="000000" w:themeColor="text1"/>
          <w:sz w:val="24"/>
          <w:szCs w:val="24"/>
          <w:lang w:eastAsia="zh-CN"/>
        </w:rPr>
        <w:t xml:space="preserve">for </w:t>
      </w:r>
      <w:r w:rsidR="00A20991" w:rsidRPr="00724CA2">
        <w:rPr>
          <w:color w:val="000000" w:themeColor="text1"/>
          <w:sz w:val="24"/>
          <w:szCs w:val="24"/>
          <w:lang w:eastAsia="zh-CN"/>
        </w:rPr>
        <w:t>smaller firms</w:t>
      </w:r>
      <w:r w:rsidR="005F5294" w:rsidRPr="00724CA2">
        <w:rPr>
          <w:color w:val="000000" w:themeColor="text1"/>
          <w:sz w:val="24"/>
          <w:szCs w:val="24"/>
          <w:lang w:eastAsia="zh-CN"/>
        </w:rPr>
        <w:t>.</w:t>
      </w:r>
      <w:r w:rsidR="00A20991" w:rsidRPr="00724CA2">
        <w:rPr>
          <w:color w:val="000000" w:themeColor="text1"/>
          <w:sz w:val="24"/>
          <w:szCs w:val="24"/>
          <w:lang w:eastAsia="zh-CN"/>
        </w:rPr>
        <w:t xml:space="preserve"> The results are presented in Model 3 of Table </w:t>
      </w:r>
      <w:r w:rsidRPr="00724CA2">
        <w:rPr>
          <w:color w:val="000000" w:themeColor="text1"/>
          <w:sz w:val="24"/>
          <w:szCs w:val="24"/>
          <w:lang w:eastAsia="zh-CN"/>
        </w:rPr>
        <w:t>9</w:t>
      </w:r>
      <w:r w:rsidR="00A20991" w:rsidRPr="00724CA2">
        <w:rPr>
          <w:color w:val="000000" w:themeColor="text1"/>
          <w:sz w:val="24"/>
          <w:szCs w:val="24"/>
          <w:lang w:eastAsia="zh-CN"/>
        </w:rPr>
        <w:t xml:space="preserve"> and </w:t>
      </w:r>
      <w:r w:rsidR="00AB0EDB" w:rsidRPr="00724CA2">
        <w:rPr>
          <w:color w:val="000000" w:themeColor="text1"/>
          <w:sz w:val="24"/>
          <w:szCs w:val="24"/>
          <w:lang w:eastAsia="zh-CN"/>
        </w:rPr>
        <w:t>are</w:t>
      </w:r>
      <w:r w:rsidR="00A20991" w:rsidRPr="00724CA2">
        <w:rPr>
          <w:color w:val="000000" w:themeColor="text1"/>
          <w:sz w:val="24"/>
          <w:szCs w:val="24"/>
          <w:lang w:eastAsia="zh-CN"/>
        </w:rPr>
        <w:t xml:space="preserve"> consistent with our baseline findings.</w:t>
      </w:r>
    </w:p>
    <w:p w14:paraId="08094E0E" w14:textId="7C6E9E04" w:rsidR="00495EFA" w:rsidRPr="00724CA2" w:rsidRDefault="003C67E3" w:rsidP="00181EB3">
      <w:pPr>
        <w:pStyle w:val="BodyText2"/>
        <w:spacing w:afterLines="50" w:after="120" w:line="480" w:lineRule="auto"/>
        <w:ind w:firstLine="284"/>
        <w:rPr>
          <w:color w:val="000000" w:themeColor="text1"/>
          <w:sz w:val="24"/>
          <w:szCs w:val="24"/>
          <w:lang w:eastAsia="zh-CN"/>
        </w:rPr>
      </w:pPr>
      <w:r w:rsidRPr="00724CA2">
        <w:rPr>
          <w:color w:val="000000" w:themeColor="text1"/>
          <w:sz w:val="24"/>
          <w:szCs w:val="24"/>
          <w:lang w:eastAsia="zh-CN"/>
        </w:rPr>
        <w:t>W</w:t>
      </w:r>
      <w:r w:rsidR="00495EFA" w:rsidRPr="00724CA2">
        <w:rPr>
          <w:color w:val="000000" w:themeColor="text1"/>
          <w:sz w:val="24"/>
          <w:szCs w:val="24"/>
          <w:lang w:eastAsia="zh-CN"/>
        </w:rPr>
        <w:t xml:space="preserve">e </w:t>
      </w:r>
      <w:r w:rsidRPr="00724CA2">
        <w:rPr>
          <w:color w:val="000000" w:themeColor="text1"/>
          <w:sz w:val="24"/>
          <w:szCs w:val="24"/>
          <w:lang w:eastAsia="zh-CN"/>
        </w:rPr>
        <w:t xml:space="preserve">also </w:t>
      </w:r>
      <w:r w:rsidR="00495EFA" w:rsidRPr="00724CA2">
        <w:rPr>
          <w:color w:val="000000" w:themeColor="text1"/>
          <w:sz w:val="24"/>
          <w:szCs w:val="24"/>
          <w:lang w:eastAsia="zh-CN"/>
        </w:rPr>
        <w:t xml:space="preserve">examine the relationship between </w:t>
      </w:r>
      <w:r w:rsidR="00495EFA" w:rsidRPr="00724CA2">
        <w:rPr>
          <w:color w:val="000000" w:themeColor="text1"/>
          <w:sz w:val="24"/>
          <w:szCs w:val="24"/>
        </w:rPr>
        <w:t xml:space="preserve">mutual fund </w:t>
      </w:r>
      <w:r w:rsidR="00CD398A" w:rsidRPr="00724CA2">
        <w:rPr>
          <w:color w:val="000000" w:themeColor="text1"/>
          <w:sz w:val="24"/>
          <w:szCs w:val="24"/>
        </w:rPr>
        <w:t xml:space="preserve">investment </w:t>
      </w:r>
      <w:r w:rsidR="00495EFA" w:rsidRPr="00724CA2">
        <w:rPr>
          <w:color w:val="000000" w:themeColor="text1"/>
          <w:sz w:val="24"/>
          <w:szCs w:val="24"/>
        </w:rPr>
        <w:t xml:space="preserve">and corporate environmental spending while </w:t>
      </w:r>
      <w:r w:rsidR="00E970F0" w:rsidRPr="00724CA2">
        <w:rPr>
          <w:color w:val="000000" w:themeColor="text1"/>
          <w:sz w:val="24"/>
          <w:szCs w:val="24"/>
        </w:rPr>
        <w:t xml:space="preserve">accounting </w:t>
      </w:r>
      <w:r w:rsidR="0019035C" w:rsidRPr="00724CA2">
        <w:rPr>
          <w:color w:val="000000" w:themeColor="text1"/>
          <w:sz w:val="24"/>
          <w:szCs w:val="24"/>
        </w:rPr>
        <w:t xml:space="preserve">for </w:t>
      </w:r>
      <w:r w:rsidR="00495EFA" w:rsidRPr="00724CA2">
        <w:rPr>
          <w:color w:val="000000" w:themeColor="text1"/>
          <w:sz w:val="24"/>
          <w:szCs w:val="24"/>
        </w:rPr>
        <w:t xml:space="preserve">firms </w:t>
      </w:r>
      <w:r w:rsidR="0019035C" w:rsidRPr="00724CA2">
        <w:rPr>
          <w:color w:val="000000" w:themeColor="text1"/>
          <w:sz w:val="24"/>
          <w:szCs w:val="24"/>
        </w:rPr>
        <w:t xml:space="preserve">which </w:t>
      </w:r>
      <w:r w:rsidR="004472A7" w:rsidRPr="00724CA2">
        <w:rPr>
          <w:color w:val="000000" w:themeColor="text1"/>
          <w:sz w:val="24"/>
          <w:szCs w:val="24"/>
        </w:rPr>
        <w:t xml:space="preserve">use one of the </w:t>
      </w:r>
      <w:r w:rsidR="00495EFA" w:rsidRPr="00724CA2">
        <w:rPr>
          <w:color w:val="000000" w:themeColor="text1"/>
          <w:sz w:val="24"/>
          <w:szCs w:val="24"/>
        </w:rPr>
        <w:t>big four auditors</w:t>
      </w:r>
      <w:r w:rsidR="004472A7" w:rsidRPr="00724CA2">
        <w:rPr>
          <w:color w:val="000000" w:themeColor="text1"/>
          <w:sz w:val="24"/>
          <w:szCs w:val="24"/>
        </w:rPr>
        <w:t xml:space="preserve"> or otherwise</w:t>
      </w:r>
      <w:r w:rsidR="00495EFA" w:rsidRPr="00724CA2">
        <w:rPr>
          <w:color w:val="000000" w:themeColor="text1"/>
          <w:sz w:val="24"/>
          <w:szCs w:val="24"/>
        </w:rPr>
        <w:t xml:space="preserve">. </w:t>
      </w:r>
      <w:r w:rsidR="00E970F0" w:rsidRPr="00724CA2">
        <w:rPr>
          <w:color w:val="000000" w:themeColor="text1"/>
          <w:sz w:val="24"/>
          <w:szCs w:val="24"/>
        </w:rPr>
        <w:t>We propose t</w:t>
      </w:r>
      <w:r w:rsidR="00495EFA" w:rsidRPr="00724CA2">
        <w:rPr>
          <w:color w:val="000000" w:themeColor="text1"/>
          <w:sz w:val="24"/>
          <w:szCs w:val="24"/>
        </w:rPr>
        <w:t>he presence of big auditor</w:t>
      </w:r>
      <w:r w:rsidR="00C7309F">
        <w:rPr>
          <w:rFonts w:hint="eastAsia"/>
          <w:color w:val="000000" w:themeColor="text1"/>
          <w:sz w:val="24"/>
          <w:szCs w:val="24"/>
          <w:lang w:eastAsia="zh-CN"/>
        </w:rPr>
        <w:t>s</w:t>
      </w:r>
      <w:r w:rsidR="00295269" w:rsidRPr="00724CA2">
        <w:rPr>
          <w:color w:val="000000" w:themeColor="text1"/>
          <w:sz w:val="24"/>
          <w:szCs w:val="24"/>
        </w:rPr>
        <w:t xml:space="preserve"> </w:t>
      </w:r>
      <w:r w:rsidR="00495EFA" w:rsidRPr="00724CA2">
        <w:rPr>
          <w:color w:val="000000" w:themeColor="text1"/>
          <w:sz w:val="24"/>
          <w:szCs w:val="24"/>
        </w:rPr>
        <w:t>encourage firms to enhance the quality of financial and CSR reporting. The</w:t>
      </w:r>
      <w:r w:rsidR="00A16231" w:rsidRPr="00724CA2">
        <w:rPr>
          <w:color w:val="000000" w:themeColor="text1"/>
          <w:sz w:val="24"/>
          <w:szCs w:val="24"/>
        </w:rPr>
        <w:t>se</w:t>
      </w:r>
      <w:r w:rsidR="00495EFA" w:rsidRPr="00724CA2">
        <w:rPr>
          <w:color w:val="000000" w:themeColor="text1"/>
          <w:sz w:val="24"/>
          <w:szCs w:val="24"/>
        </w:rPr>
        <w:t xml:space="preserve"> results</w:t>
      </w:r>
      <w:r w:rsidR="0019035C" w:rsidRPr="00724CA2">
        <w:rPr>
          <w:color w:val="000000" w:themeColor="text1"/>
          <w:sz w:val="24"/>
          <w:szCs w:val="24"/>
        </w:rPr>
        <w:t>,</w:t>
      </w:r>
      <w:r w:rsidR="00495EFA" w:rsidRPr="00724CA2">
        <w:rPr>
          <w:color w:val="000000" w:themeColor="text1"/>
          <w:sz w:val="24"/>
          <w:szCs w:val="24"/>
        </w:rPr>
        <w:t xml:space="preserve"> </w:t>
      </w:r>
      <w:r w:rsidR="0019035C" w:rsidRPr="00724CA2">
        <w:rPr>
          <w:color w:val="000000" w:themeColor="text1"/>
          <w:sz w:val="24"/>
          <w:szCs w:val="24"/>
        </w:rPr>
        <w:t xml:space="preserve">recorded </w:t>
      </w:r>
      <w:r w:rsidR="00495EFA" w:rsidRPr="00724CA2">
        <w:rPr>
          <w:color w:val="000000" w:themeColor="text1"/>
          <w:sz w:val="24"/>
          <w:szCs w:val="24"/>
        </w:rPr>
        <w:t xml:space="preserve">in </w:t>
      </w:r>
      <w:r w:rsidR="00495EFA" w:rsidRPr="00724CA2">
        <w:rPr>
          <w:color w:val="000000" w:themeColor="text1"/>
          <w:sz w:val="24"/>
          <w:szCs w:val="24"/>
          <w:lang w:eastAsia="zh-CN"/>
        </w:rPr>
        <w:t xml:space="preserve">Model </w:t>
      </w:r>
      <w:r w:rsidR="000C38A0" w:rsidRPr="00724CA2">
        <w:rPr>
          <w:color w:val="000000" w:themeColor="text1"/>
          <w:sz w:val="24"/>
          <w:szCs w:val="24"/>
          <w:lang w:eastAsia="zh-CN"/>
        </w:rPr>
        <w:t>4</w:t>
      </w:r>
      <w:r w:rsidR="00495EFA" w:rsidRPr="00724CA2">
        <w:rPr>
          <w:color w:val="000000" w:themeColor="text1"/>
          <w:sz w:val="24"/>
          <w:szCs w:val="24"/>
          <w:lang w:eastAsia="zh-CN"/>
        </w:rPr>
        <w:t xml:space="preserve"> of Table </w:t>
      </w:r>
      <w:r w:rsidRPr="00724CA2">
        <w:rPr>
          <w:color w:val="000000" w:themeColor="text1"/>
          <w:sz w:val="24"/>
          <w:szCs w:val="24"/>
          <w:lang w:eastAsia="zh-CN"/>
        </w:rPr>
        <w:t>9</w:t>
      </w:r>
      <w:r w:rsidR="00A16231" w:rsidRPr="00724CA2">
        <w:rPr>
          <w:color w:val="000000" w:themeColor="text1"/>
          <w:sz w:val="24"/>
          <w:szCs w:val="24"/>
          <w:lang w:eastAsia="zh-CN"/>
        </w:rPr>
        <w:t xml:space="preserve">, </w:t>
      </w:r>
      <w:r w:rsidR="00495EFA" w:rsidRPr="00724CA2">
        <w:rPr>
          <w:color w:val="000000" w:themeColor="text1"/>
          <w:sz w:val="24"/>
          <w:szCs w:val="24"/>
          <w:lang w:eastAsia="zh-CN"/>
        </w:rPr>
        <w:t xml:space="preserve">are </w:t>
      </w:r>
      <w:r w:rsidR="009805B6" w:rsidRPr="00724CA2">
        <w:rPr>
          <w:color w:val="000000" w:themeColor="text1"/>
          <w:sz w:val="24"/>
          <w:szCs w:val="24"/>
          <w:lang w:eastAsia="zh-CN"/>
        </w:rPr>
        <w:t xml:space="preserve">consistent with </w:t>
      </w:r>
      <w:r w:rsidR="008A486F" w:rsidRPr="00724CA2">
        <w:rPr>
          <w:color w:val="000000" w:themeColor="text1"/>
          <w:sz w:val="24"/>
          <w:szCs w:val="24"/>
          <w:lang w:eastAsia="zh-CN"/>
        </w:rPr>
        <w:t>other studies (</w:t>
      </w:r>
      <w:r w:rsidR="00495EFA" w:rsidRPr="00724CA2">
        <w:rPr>
          <w:color w:val="000000" w:themeColor="text1"/>
          <w:sz w:val="24"/>
          <w:szCs w:val="24"/>
        </w:rPr>
        <w:t xml:space="preserve">Pucheta-Martínez </w:t>
      </w:r>
      <w:r w:rsidR="00495EFA" w:rsidRPr="00724CA2">
        <w:rPr>
          <w:i/>
          <w:color w:val="000000" w:themeColor="text1"/>
          <w:sz w:val="24"/>
          <w:szCs w:val="24"/>
        </w:rPr>
        <w:t>et al.</w:t>
      </w:r>
      <w:r w:rsidR="00495EFA" w:rsidRPr="00724CA2">
        <w:rPr>
          <w:color w:val="000000" w:themeColor="text1"/>
          <w:sz w:val="24"/>
          <w:szCs w:val="24"/>
        </w:rPr>
        <w:t xml:space="preserve"> 2019)</w:t>
      </w:r>
      <w:r w:rsidR="009805B6" w:rsidRPr="00724CA2">
        <w:rPr>
          <w:color w:val="000000" w:themeColor="text1"/>
          <w:sz w:val="24"/>
          <w:szCs w:val="24"/>
        </w:rPr>
        <w:t xml:space="preserve">. The </w:t>
      </w:r>
      <w:r w:rsidR="00495EFA" w:rsidRPr="00724CA2">
        <w:rPr>
          <w:color w:val="000000" w:themeColor="text1"/>
          <w:sz w:val="24"/>
          <w:szCs w:val="24"/>
        </w:rPr>
        <w:t>positive relationship between mutual fund ownership and environmental spending is pronounced for firms that hire</w:t>
      </w:r>
      <w:r w:rsidR="008D306D" w:rsidRPr="00724CA2">
        <w:rPr>
          <w:color w:val="000000" w:themeColor="text1"/>
          <w:sz w:val="24"/>
          <w:szCs w:val="24"/>
        </w:rPr>
        <w:t xml:space="preserve"> one of the</w:t>
      </w:r>
      <w:r w:rsidR="00495EFA" w:rsidRPr="00724CA2">
        <w:rPr>
          <w:color w:val="000000" w:themeColor="text1"/>
          <w:sz w:val="24"/>
          <w:szCs w:val="24"/>
        </w:rPr>
        <w:t xml:space="preserve"> big four auditors. </w:t>
      </w:r>
    </w:p>
    <w:p w14:paraId="1F416D8A" w14:textId="07F16B0F" w:rsidR="005F16FC" w:rsidRPr="00724CA2" w:rsidRDefault="00E30B5E" w:rsidP="00181EB3">
      <w:pPr>
        <w:pStyle w:val="BodyText2"/>
        <w:spacing w:afterLines="50" w:after="120" w:line="480" w:lineRule="auto"/>
        <w:ind w:firstLine="284"/>
        <w:rPr>
          <w:color w:val="000000" w:themeColor="text1"/>
          <w:sz w:val="24"/>
          <w:szCs w:val="24"/>
          <w:lang w:eastAsia="zh-CN"/>
        </w:rPr>
      </w:pPr>
      <w:r w:rsidRPr="00724CA2">
        <w:rPr>
          <w:color w:val="000000" w:themeColor="text1"/>
          <w:sz w:val="24"/>
          <w:szCs w:val="24"/>
          <w:lang w:eastAsia="zh-CN"/>
        </w:rPr>
        <w:lastRenderedPageBreak/>
        <w:t>W</w:t>
      </w:r>
      <w:r w:rsidR="00495EFA" w:rsidRPr="00724CA2">
        <w:rPr>
          <w:color w:val="000000" w:themeColor="text1"/>
          <w:sz w:val="24"/>
          <w:szCs w:val="24"/>
          <w:lang w:eastAsia="zh-CN"/>
        </w:rPr>
        <w:t xml:space="preserve">e </w:t>
      </w:r>
      <w:r w:rsidRPr="00724CA2">
        <w:rPr>
          <w:color w:val="000000" w:themeColor="text1"/>
          <w:sz w:val="24"/>
          <w:szCs w:val="24"/>
          <w:lang w:eastAsia="zh-CN"/>
        </w:rPr>
        <w:t xml:space="preserve">also assess </w:t>
      </w:r>
      <w:r w:rsidR="00495EFA" w:rsidRPr="00724CA2">
        <w:rPr>
          <w:color w:val="000000" w:themeColor="text1"/>
          <w:sz w:val="24"/>
          <w:szCs w:val="24"/>
          <w:lang w:eastAsia="zh-CN"/>
        </w:rPr>
        <w:t xml:space="preserve">the impact of grey institutional investors on corporate environmental spending. </w:t>
      </w:r>
      <w:r w:rsidR="003E0603" w:rsidRPr="003E0603">
        <w:rPr>
          <w:color w:val="000000" w:themeColor="text1"/>
          <w:sz w:val="24"/>
          <w:szCs w:val="24"/>
          <w:lang w:eastAsia="zh-CN"/>
        </w:rPr>
        <w:t xml:space="preserve">Grey institutions include securities companies, insurance companies, trust companies, and pension funds. They tend to hold shares without reacting to management actions, often regarded as 'passive' investors </w:t>
      </w:r>
      <w:r w:rsidR="00495EFA" w:rsidRPr="00724CA2">
        <w:rPr>
          <w:color w:val="000000" w:themeColor="text1"/>
          <w:sz w:val="24"/>
          <w:szCs w:val="24"/>
          <w:lang w:eastAsia="zh-CN"/>
        </w:rPr>
        <w:t xml:space="preserve">(Aggarwal et al., 2015). </w:t>
      </w:r>
      <w:r w:rsidR="008324CC">
        <w:rPr>
          <w:rFonts w:hint="eastAsia"/>
          <w:color w:val="000000" w:themeColor="text1"/>
          <w:sz w:val="24"/>
          <w:szCs w:val="24"/>
          <w:lang w:eastAsia="zh-CN"/>
        </w:rPr>
        <w:t>In addition, a</w:t>
      </w:r>
      <w:r w:rsidR="008D306D" w:rsidRPr="00724CA2">
        <w:rPr>
          <w:color w:val="000000" w:themeColor="text1"/>
          <w:sz w:val="24"/>
          <w:szCs w:val="24"/>
          <w:lang w:eastAsia="zh-CN"/>
        </w:rPr>
        <w:t xml:space="preserve">s </w:t>
      </w:r>
      <w:r w:rsidR="00495EFA" w:rsidRPr="00724CA2">
        <w:rPr>
          <w:color w:val="000000" w:themeColor="text1"/>
          <w:sz w:val="24"/>
          <w:szCs w:val="24"/>
          <w:lang w:eastAsia="zh-CN"/>
        </w:rPr>
        <w:t xml:space="preserve">grey institutional investors in China hold a small proportion of shares in </w:t>
      </w:r>
      <w:r w:rsidR="004614D3" w:rsidRPr="00724CA2">
        <w:rPr>
          <w:color w:val="000000" w:themeColor="text1"/>
          <w:sz w:val="24"/>
          <w:szCs w:val="24"/>
          <w:lang w:eastAsia="zh-CN"/>
        </w:rPr>
        <w:t>their beneficiaries r</w:t>
      </w:r>
      <w:r w:rsidR="008D306D" w:rsidRPr="00724CA2">
        <w:rPr>
          <w:color w:val="000000" w:themeColor="text1"/>
          <w:sz w:val="24"/>
          <w:szCs w:val="24"/>
          <w:lang w:eastAsia="zh-CN"/>
        </w:rPr>
        <w:t>elative to the holding</w:t>
      </w:r>
      <w:r w:rsidR="00EA095C" w:rsidRPr="00724CA2">
        <w:rPr>
          <w:color w:val="000000" w:themeColor="text1"/>
          <w:sz w:val="24"/>
          <w:szCs w:val="24"/>
          <w:lang w:eastAsia="zh-CN"/>
        </w:rPr>
        <w:t>s</w:t>
      </w:r>
      <w:r w:rsidR="008D306D" w:rsidRPr="00724CA2">
        <w:rPr>
          <w:color w:val="000000" w:themeColor="text1"/>
          <w:sz w:val="24"/>
          <w:szCs w:val="24"/>
          <w:lang w:eastAsia="zh-CN"/>
        </w:rPr>
        <w:t xml:space="preserve"> of mutual funds </w:t>
      </w:r>
      <w:r w:rsidR="00495EFA" w:rsidRPr="00724CA2">
        <w:rPr>
          <w:color w:val="000000" w:themeColor="text1"/>
          <w:sz w:val="24"/>
          <w:szCs w:val="24"/>
          <w:lang w:eastAsia="zh-CN"/>
        </w:rPr>
        <w:t>(Chi et al., 2019)</w:t>
      </w:r>
      <w:r w:rsidR="008D306D" w:rsidRPr="00724CA2">
        <w:rPr>
          <w:color w:val="000000" w:themeColor="text1"/>
          <w:sz w:val="24"/>
          <w:szCs w:val="24"/>
          <w:lang w:eastAsia="zh-CN"/>
        </w:rPr>
        <w:t>,</w:t>
      </w:r>
      <w:r w:rsidR="00495EFA" w:rsidRPr="00724CA2">
        <w:rPr>
          <w:color w:val="000000" w:themeColor="text1"/>
          <w:sz w:val="24"/>
          <w:szCs w:val="24"/>
          <w:lang w:eastAsia="zh-CN"/>
        </w:rPr>
        <w:t xml:space="preserve"> </w:t>
      </w:r>
      <w:r w:rsidR="004614D3" w:rsidRPr="00724CA2">
        <w:rPr>
          <w:color w:val="000000" w:themeColor="text1"/>
          <w:sz w:val="24"/>
          <w:szCs w:val="24"/>
          <w:lang w:eastAsia="zh-CN"/>
        </w:rPr>
        <w:t xml:space="preserve">grey </w:t>
      </w:r>
      <w:r w:rsidR="00495EFA" w:rsidRPr="00724CA2">
        <w:rPr>
          <w:color w:val="000000" w:themeColor="text1"/>
          <w:sz w:val="24"/>
          <w:szCs w:val="24"/>
          <w:lang w:eastAsia="zh-CN"/>
        </w:rPr>
        <w:t xml:space="preserve">investors should have </w:t>
      </w:r>
      <w:r w:rsidR="00420826">
        <w:rPr>
          <w:rFonts w:hint="eastAsia"/>
          <w:color w:val="000000" w:themeColor="text1"/>
          <w:sz w:val="24"/>
          <w:szCs w:val="24"/>
          <w:lang w:eastAsia="zh-CN"/>
        </w:rPr>
        <w:t xml:space="preserve">little </w:t>
      </w:r>
      <w:r w:rsidR="00495EFA" w:rsidRPr="00724CA2">
        <w:rPr>
          <w:color w:val="000000" w:themeColor="text1"/>
          <w:sz w:val="24"/>
          <w:szCs w:val="24"/>
          <w:lang w:eastAsia="zh-CN"/>
        </w:rPr>
        <w:t xml:space="preserve">impact on environmental performance. Model </w:t>
      </w:r>
      <w:r w:rsidR="000C38A0" w:rsidRPr="00724CA2">
        <w:rPr>
          <w:color w:val="000000" w:themeColor="text1"/>
          <w:sz w:val="24"/>
          <w:szCs w:val="24"/>
          <w:lang w:eastAsia="zh-CN"/>
        </w:rPr>
        <w:t>5</w:t>
      </w:r>
      <w:r w:rsidR="00495EFA" w:rsidRPr="00724CA2">
        <w:rPr>
          <w:color w:val="000000" w:themeColor="text1"/>
          <w:sz w:val="24"/>
          <w:szCs w:val="24"/>
          <w:lang w:eastAsia="zh-CN"/>
        </w:rPr>
        <w:t xml:space="preserve"> </w:t>
      </w:r>
      <w:r w:rsidR="008D306D" w:rsidRPr="00724CA2">
        <w:rPr>
          <w:color w:val="000000" w:themeColor="text1"/>
          <w:sz w:val="24"/>
          <w:szCs w:val="24"/>
          <w:lang w:eastAsia="zh-CN"/>
        </w:rPr>
        <w:t>in</w:t>
      </w:r>
      <w:r w:rsidR="00495EFA" w:rsidRPr="00724CA2">
        <w:rPr>
          <w:color w:val="000000" w:themeColor="text1"/>
          <w:sz w:val="24"/>
          <w:szCs w:val="24"/>
          <w:lang w:eastAsia="zh-CN"/>
        </w:rPr>
        <w:t xml:space="preserve"> Table </w:t>
      </w:r>
      <w:r w:rsidR="003C67E3" w:rsidRPr="00724CA2">
        <w:rPr>
          <w:color w:val="000000" w:themeColor="text1"/>
          <w:sz w:val="24"/>
          <w:szCs w:val="24"/>
          <w:lang w:eastAsia="zh-CN"/>
        </w:rPr>
        <w:t>9</w:t>
      </w:r>
      <w:r w:rsidR="00495EFA" w:rsidRPr="00724CA2">
        <w:rPr>
          <w:color w:val="000000" w:themeColor="text1"/>
          <w:sz w:val="24"/>
          <w:szCs w:val="24"/>
          <w:lang w:eastAsia="zh-CN"/>
        </w:rPr>
        <w:t xml:space="preserve"> reports </w:t>
      </w:r>
      <w:r w:rsidR="00141654" w:rsidRPr="00724CA2">
        <w:rPr>
          <w:color w:val="000000" w:themeColor="text1"/>
          <w:sz w:val="24"/>
          <w:szCs w:val="24"/>
          <w:lang w:eastAsia="zh-CN"/>
        </w:rPr>
        <w:t xml:space="preserve">findings </w:t>
      </w:r>
      <w:r w:rsidR="00495EFA" w:rsidRPr="00724CA2">
        <w:rPr>
          <w:color w:val="000000" w:themeColor="text1"/>
          <w:sz w:val="24"/>
          <w:szCs w:val="24"/>
          <w:lang w:eastAsia="zh-CN"/>
        </w:rPr>
        <w:t>in line with expectations</w:t>
      </w:r>
      <w:r w:rsidR="008D306D" w:rsidRPr="00724CA2">
        <w:rPr>
          <w:color w:val="000000" w:themeColor="text1"/>
          <w:sz w:val="24"/>
          <w:szCs w:val="24"/>
          <w:lang w:eastAsia="zh-CN"/>
        </w:rPr>
        <w:t xml:space="preserve"> that </w:t>
      </w:r>
      <w:r w:rsidR="00495EFA" w:rsidRPr="00724CA2">
        <w:rPr>
          <w:color w:val="000000" w:themeColor="text1"/>
          <w:sz w:val="24"/>
          <w:szCs w:val="24"/>
          <w:lang w:eastAsia="zh-CN"/>
        </w:rPr>
        <w:t xml:space="preserve">grey institutional investment </w:t>
      </w:r>
      <w:r w:rsidR="00B64466" w:rsidRPr="00724CA2">
        <w:rPr>
          <w:color w:val="000000" w:themeColor="text1"/>
          <w:sz w:val="24"/>
          <w:szCs w:val="24"/>
          <w:lang w:eastAsia="zh-CN"/>
        </w:rPr>
        <w:t>doesn’t</w:t>
      </w:r>
      <w:r w:rsidR="00E56210" w:rsidRPr="00724CA2">
        <w:rPr>
          <w:color w:val="000000" w:themeColor="text1"/>
          <w:sz w:val="24"/>
          <w:szCs w:val="24"/>
          <w:lang w:eastAsia="zh-CN"/>
        </w:rPr>
        <w:t xml:space="preserve"> influence </w:t>
      </w:r>
      <w:r w:rsidR="00495EFA" w:rsidRPr="00724CA2">
        <w:rPr>
          <w:color w:val="000000" w:themeColor="text1"/>
          <w:sz w:val="24"/>
          <w:szCs w:val="24"/>
          <w:lang w:eastAsia="zh-CN"/>
        </w:rPr>
        <w:t xml:space="preserve">corporate environmental spending. </w:t>
      </w:r>
    </w:p>
    <w:p w14:paraId="17E25B9D" w14:textId="3A6EF309" w:rsidR="008D306D" w:rsidRPr="00724CA2" w:rsidRDefault="00486C4A" w:rsidP="00181EB3">
      <w:pPr>
        <w:spacing w:afterLines="50" w:after="120" w:line="480" w:lineRule="auto"/>
        <w:ind w:firstLine="284"/>
        <w:jc w:val="center"/>
        <w:rPr>
          <w:rFonts w:ascii="Times New Roman" w:hAnsi="Times New Roman" w:cs="Times New Roman"/>
          <w:b/>
          <w:color w:val="000000" w:themeColor="text1"/>
          <w:sz w:val="24"/>
          <w:szCs w:val="24"/>
        </w:rPr>
      </w:pPr>
      <w:r w:rsidRPr="00724CA2">
        <w:rPr>
          <w:rFonts w:ascii="Times New Roman" w:hAnsi="Times New Roman" w:cs="Times New Roman"/>
          <w:b/>
          <w:color w:val="000000" w:themeColor="text1"/>
          <w:sz w:val="24"/>
          <w:szCs w:val="24"/>
        </w:rPr>
        <w:t xml:space="preserve">INSERT Table </w:t>
      </w:r>
      <w:r w:rsidR="003C67E3" w:rsidRPr="00724CA2">
        <w:rPr>
          <w:rFonts w:ascii="Times New Roman" w:hAnsi="Times New Roman" w:cs="Times New Roman"/>
          <w:b/>
          <w:color w:val="000000" w:themeColor="text1"/>
          <w:sz w:val="24"/>
          <w:szCs w:val="24"/>
        </w:rPr>
        <w:t>9</w:t>
      </w:r>
    </w:p>
    <w:p w14:paraId="18BAFF3B" w14:textId="790CD2DC" w:rsidR="005F16FC" w:rsidRPr="00724CA2" w:rsidRDefault="00495EFA" w:rsidP="00181EB3">
      <w:pPr>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Lastly, we </w:t>
      </w:r>
      <w:r w:rsidR="00F20FEF" w:rsidRPr="00724CA2">
        <w:rPr>
          <w:rFonts w:ascii="Times New Roman" w:hAnsi="Times New Roman" w:cs="Times New Roman"/>
          <w:color w:val="000000" w:themeColor="text1"/>
          <w:sz w:val="24"/>
          <w:szCs w:val="24"/>
        </w:rPr>
        <w:t>investigate</w:t>
      </w:r>
      <w:r w:rsidRPr="00724CA2">
        <w:rPr>
          <w:rFonts w:ascii="Times New Roman" w:hAnsi="Times New Roman" w:cs="Times New Roman"/>
          <w:color w:val="000000" w:themeColor="text1"/>
          <w:sz w:val="24"/>
          <w:szCs w:val="24"/>
        </w:rPr>
        <w:t xml:space="preserve"> the impact of qualified foreign institutional investors (QFII) on corporate environmental spending. The Chinese government launched the QFII scheme in 2002, allow</w:t>
      </w:r>
      <w:r w:rsidR="009B4AD9" w:rsidRPr="00724CA2">
        <w:rPr>
          <w:rFonts w:ascii="Times New Roman" w:hAnsi="Times New Roman" w:cs="Times New Roman"/>
          <w:color w:val="000000" w:themeColor="text1"/>
          <w:sz w:val="24"/>
          <w:szCs w:val="24"/>
        </w:rPr>
        <w:t>ing</w:t>
      </w:r>
      <w:r w:rsidRPr="00724CA2">
        <w:rPr>
          <w:rFonts w:ascii="Times New Roman" w:hAnsi="Times New Roman" w:cs="Times New Roman"/>
          <w:color w:val="000000" w:themeColor="text1"/>
          <w:sz w:val="24"/>
          <w:szCs w:val="24"/>
        </w:rPr>
        <w:t xml:space="preserve"> foreign institutional investors to access to Chinese capital markets. Previous studies </w:t>
      </w:r>
      <w:r w:rsidR="004B3319" w:rsidRPr="00724CA2">
        <w:rPr>
          <w:rFonts w:ascii="Times New Roman" w:hAnsi="Times New Roman" w:cs="Times New Roman"/>
          <w:color w:val="000000" w:themeColor="text1"/>
          <w:sz w:val="24"/>
          <w:szCs w:val="24"/>
        </w:rPr>
        <w:t xml:space="preserve">report </w:t>
      </w:r>
      <w:r w:rsidRPr="00724CA2">
        <w:rPr>
          <w:rFonts w:ascii="Times New Roman" w:hAnsi="Times New Roman" w:cs="Times New Roman"/>
          <w:color w:val="000000" w:themeColor="text1"/>
          <w:sz w:val="24"/>
          <w:szCs w:val="24"/>
        </w:rPr>
        <w:t xml:space="preserve">that foreign institutional investors, especially QFII from developed economies, enhance the transparency of firm information disclosure and reduce the likelihood of earnings management (Lel, 2019). </w:t>
      </w:r>
      <w:r w:rsidR="006A15B0" w:rsidRPr="006A15B0">
        <w:rPr>
          <w:rFonts w:ascii="Times New Roman" w:hAnsi="Times New Roman" w:cs="Times New Roman"/>
          <w:color w:val="000000" w:themeColor="text1"/>
          <w:sz w:val="24"/>
          <w:szCs w:val="24"/>
        </w:rPr>
        <w:t>We propose that QFII are independent</w:t>
      </w:r>
      <w:r w:rsidR="00316870">
        <w:rPr>
          <w:rFonts w:ascii="Times New Roman" w:hAnsi="Times New Roman" w:cs="Times New Roman" w:hint="eastAsia"/>
          <w:color w:val="000000" w:themeColor="text1"/>
          <w:sz w:val="24"/>
          <w:szCs w:val="24"/>
          <w:lang w:eastAsia="zh-CN"/>
        </w:rPr>
        <w:t xml:space="preserve"> and active</w:t>
      </w:r>
      <w:r w:rsidR="006A15B0" w:rsidRPr="006A15B0">
        <w:rPr>
          <w:rFonts w:ascii="Times New Roman" w:hAnsi="Times New Roman" w:cs="Times New Roman"/>
          <w:color w:val="000000" w:themeColor="text1"/>
          <w:sz w:val="24"/>
          <w:szCs w:val="24"/>
        </w:rPr>
        <w:t xml:space="preserve"> institutional investors who can greatly encourage firms to </w:t>
      </w:r>
      <w:r w:rsidR="00E5298B" w:rsidRPr="006A15B0">
        <w:rPr>
          <w:rFonts w:ascii="Times New Roman" w:hAnsi="Times New Roman" w:cs="Times New Roman"/>
          <w:color w:val="000000" w:themeColor="text1"/>
          <w:sz w:val="24"/>
          <w:szCs w:val="24"/>
        </w:rPr>
        <w:t>fulfil</w:t>
      </w:r>
      <w:r w:rsidR="006A15B0" w:rsidRPr="006A15B0">
        <w:rPr>
          <w:rFonts w:ascii="Times New Roman" w:hAnsi="Times New Roman" w:cs="Times New Roman"/>
          <w:color w:val="000000" w:themeColor="text1"/>
          <w:sz w:val="24"/>
          <w:szCs w:val="24"/>
        </w:rPr>
        <w:t xml:space="preserve"> their social and environmental responsibilities</w:t>
      </w:r>
      <w:r w:rsidR="006A15B0">
        <w:rPr>
          <w:rFonts w:ascii="Times New Roman" w:hAnsi="Times New Roman" w:cs="Times New Roman" w:hint="eastAsia"/>
          <w:color w:val="000000" w:themeColor="text1"/>
          <w:sz w:val="24"/>
          <w:szCs w:val="24"/>
          <w:lang w:eastAsia="zh-CN"/>
        </w:rPr>
        <w:t xml:space="preserve">. </w:t>
      </w:r>
      <w:r w:rsidRPr="00724CA2">
        <w:rPr>
          <w:rFonts w:ascii="Times New Roman" w:hAnsi="Times New Roman" w:cs="Times New Roman"/>
          <w:color w:val="000000" w:themeColor="text1"/>
          <w:sz w:val="24"/>
          <w:szCs w:val="24"/>
        </w:rPr>
        <w:t xml:space="preserve">The results are reported in Table </w:t>
      </w:r>
      <w:r w:rsidR="004C2CD7" w:rsidRPr="00724CA2">
        <w:rPr>
          <w:rFonts w:ascii="Times New Roman" w:hAnsi="Times New Roman" w:cs="Times New Roman"/>
          <w:color w:val="000000" w:themeColor="text1"/>
          <w:sz w:val="24"/>
          <w:szCs w:val="24"/>
        </w:rPr>
        <w:t>10</w:t>
      </w:r>
      <w:r w:rsidR="00E66FE8" w:rsidRPr="00724CA2">
        <w:rPr>
          <w:rFonts w:ascii="Times New Roman" w:hAnsi="Times New Roman" w:cs="Times New Roman"/>
          <w:color w:val="000000" w:themeColor="text1"/>
          <w:sz w:val="24"/>
          <w:szCs w:val="24"/>
        </w:rPr>
        <w:t xml:space="preserve">, and suggest </w:t>
      </w:r>
      <w:r w:rsidRPr="00724CA2">
        <w:rPr>
          <w:rFonts w:ascii="Times New Roman" w:hAnsi="Times New Roman" w:cs="Times New Roman"/>
          <w:color w:val="000000" w:themeColor="text1"/>
          <w:sz w:val="24"/>
          <w:szCs w:val="24"/>
        </w:rPr>
        <w:t xml:space="preserve">foreign institutional investors positively impact corporate environmental spending, and </w:t>
      </w:r>
      <w:r w:rsidR="004472A7" w:rsidRPr="00724CA2">
        <w:rPr>
          <w:rFonts w:ascii="Times New Roman" w:hAnsi="Times New Roman" w:cs="Times New Roman"/>
          <w:color w:val="000000" w:themeColor="text1"/>
          <w:sz w:val="24"/>
          <w:szCs w:val="24"/>
        </w:rPr>
        <w:t xml:space="preserve">that this </w:t>
      </w:r>
      <w:r w:rsidRPr="00724CA2">
        <w:rPr>
          <w:rFonts w:ascii="Times New Roman" w:hAnsi="Times New Roman" w:cs="Times New Roman"/>
          <w:color w:val="000000" w:themeColor="text1"/>
          <w:sz w:val="24"/>
          <w:szCs w:val="24"/>
        </w:rPr>
        <w:t xml:space="preserve">positive </w:t>
      </w:r>
      <w:r w:rsidR="00E970F0" w:rsidRPr="00724CA2">
        <w:rPr>
          <w:rFonts w:ascii="Times New Roman" w:hAnsi="Times New Roman" w:cs="Times New Roman"/>
          <w:color w:val="000000" w:themeColor="text1"/>
          <w:sz w:val="24"/>
          <w:szCs w:val="24"/>
        </w:rPr>
        <w:t>influence</w:t>
      </w:r>
      <w:r w:rsidRPr="00724CA2">
        <w:rPr>
          <w:rFonts w:ascii="Times New Roman" w:hAnsi="Times New Roman" w:cs="Times New Roman"/>
          <w:color w:val="000000" w:themeColor="text1"/>
          <w:sz w:val="24"/>
          <w:szCs w:val="24"/>
        </w:rPr>
        <w:t xml:space="preserve"> is pronounced </w:t>
      </w:r>
      <w:r w:rsidR="00E73C1B" w:rsidRPr="00724CA2">
        <w:rPr>
          <w:rFonts w:ascii="Times New Roman" w:hAnsi="Times New Roman" w:cs="Times New Roman"/>
          <w:color w:val="000000" w:themeColor="text1"/>
          <w:sz w:val="24"/>
          <w:szCs w:val="24"/>
        </w:rPr>
        <w:t>for</w:t>
      </w:r>
      <w:r w:rsidRPr="00724CA2">
        <w:rPr>
          <w:rFonts w:ascii="Times New Roman" w:hAnsi="Times New Roman" w:cs="Times New Roman"/>
          <w:color w:val="000000" w:themeColor="text1"/>
          <w:sz w:val="24"/>
          <w:szCs w:val="24"/>
        </w:rPr>
        <w:t xml:space="preserve"> SOEs and </w:t>
      </w:r>
      <w:r w:rsidR="00E73C1B" w:rsidRPr="00724CA2">
        <w:rPr>
          <w:rFonts w:ascii="Times New Roman" w:hAnsi="Times New Roman" w:cs="Times New Roman"/>
          <w:color w:val="000000" w:themeColor="text1"/>
          <w:sz w:val="24"/>
          <w:szCs w:val="24"/>
        </w:rPr>
        <w:t xml:space="preserve">firms </w:t>
      </w:r>
      <w:r w:rsidR="00871FD1" w:rsidRPr="00724CA2">
        <w:rPr>
          <w:rFonts w:ascii="Times New Roman" w:hAnsi="Times New Roman" w:cs="Times New Roman"/>
          <w:color w:val="000000" w:themeColor="text1"/>
          <w:sz w:val="24"/>
          <w:szCs w:val="24"/>
        </w:rPr>
        <w:t xml:space="preserve">operating in </w:t>
      </w:r>
      <w:r w:rsidRPr="00724CA2">
        <w:rPr>
          <w:rFonts w:ascii="Times New Roman" w:hAnsi="Times New Roman" w:cs="Times New Roman"/>
          <w:color w:val="000000" w:themeColor="text1"/>
          <w:sz w:val="24"/>
          <w:szCs w:val="24"/>
        </w:rPr>
        <w:t>provinces with a strong</w:t>
      </w:r>
      <w:r w:rsidR="004472A7" w:rsidRPr="00724CA2">
        <w:rPr>
          <w:rFonts w:ascii="Times New Roman" w:hAnsi="Times New Roman" w:cs="Times New Roman"/>
          <w:color w:val="000000" w:themeColor="text1"/>
          <w:sz w:val="24"/>
          <w:szCs w:val="24"/>
        </w:rPr>
        <w:t>er</w:t>
      </w:r>
      <w:r w:rsidRPr="00724CA2">
        <w:rPr>
          <w:rFonts w:ascii="Times New Roman" w:hAnsi="Times New Roman" w:cs="Times New Roman"/>
          <w:color w:val="000000" w:themeColor="text1"/>
          <w:sz w:val="24"/>
          <w:szCs w:val="24"/>
        </w:rPr>
        <w:t xml:space="preserve"> legal environment. These results support </w:t>
      </w:r>
      <w:r w:rsidR="004472A7" w:rsidRPr="00724CA2">
        <w:rPr>
          <w:rFonts w:ascii="Times New Roman" w:hAnsi="Times New Roman" w:cs="Times New Roman"/>
          <w:color w:val="000000" w:themeColor="text1"/>
          <w:sz w:val="24"/>
          <w:szCs w:val="24"/>
        </w:rPr>
        <w:t xml:space="preserve">the conjecture that </w:t>
      </w:r>
      <w:r w:rsidRPr="00724CA2">
        <w:rPr>
          <w:rFonts w:ascii="Times New Roman" w:hAnsi="Times New Roman" w:cs="Times New Roman"/>
          <w:color w:val="000000" w:themeColor="text1"/>
          <w:sz w:val="24"/>
          <w:szCs w:val="24"/>
        </w:rPr>
        <w:t xml:space="preserve">QFII </w:t>
      </w:r>
      <w:r w:rsidR="004472A7" w:rsidRPr="00724CA2">
        <w:rPr>
          <w:rFonts w:ascii="Times New Roman" w:hAnsi="Times New Roman" w:cs="Times New Roman"/>
          <w:color w:val="000000" w:themeColor="text1"/>
          <w:sz w:val="24"/>
          <w:szCs w:val="24"/>
        </w:rPr>
        <w:t xml:space="preserve">are </w:t>
      </w:r>
      <w:r w:rsidRPr="00724CA2">
        <w:rPr>
          <w:rFonts w:ascii="Times New Roman" w:hAnsi="Times New Roman" w:cs="Times New Roman"/>
          <w:color w:val="000000" w:themeColor="text1"/>
          <w:sz w:val="24"/>
          <w:szCs w:val="24"/>
        </w:rPr>
        <w:t>active institutional investor</w:t>
      </w:r>
      <w:r w:rsidR="004472A7" w:rsidRPr="00724CA2">
        <w:rPr>
          <w:rFonts w:ascii="Times New Roman" w:hAnsi="Times New Roman" w:cs="Times New Roman"/>
          <w:color w:val="000000" w:themeColor="text1"/>
          <w:sz w:val="24"/>
          <w:szCs w:val="24"/>
        </w:rPr>
        <w:t>s</w:t>
      </w:r>
      <w:r w:rsidRPr="00724CA2">
        <w:rPr>
          <w:rFonts w:ascii="Times New Roman" w:hAnsi="Times New Roman" w:cs="Times New Roman"/>
          <w:color w:val="000000" w:themeColor="text1"/>
          <w:sz w:val="24"/>
          <w:szCs w:val="24"/>
        </w:rPr>
        <w:t xml:space="preserve"> and display a strong commitment to environmental issues.</w:t>
      </w:r>
    </w:p>
    <w:p w14:paraId="2F6A5CEB" w14:textId="06695C2B" w:rsidR="008C7053" w:rsidRPr="00724CA2" w:rsidRDefault="00486C4A" w:rsidP="002A35EB">
      <w:pPr>
        <w:spacing w:afterLines="50" w:after="120" w:line="480" w:lineRule="auto"/>
        <w:jc w:val="center"/>
        <w:rPr>
          <w:rFonts w:ascii="Times New Roman" w:hAnsi="Times New Roman" w:cs="Times New Roman"/>
          <w:b/>
          <w:color w:val="000000" w:themeColor="text1"/>
          <w:sz w:val="24"/>
          <w:szCs w:val="24"/>
        </w:rPr>
      </w:pPr>
      <w:r w:rsidRPr="00724CA2">
        <w:rPr>
          <w:rFonts w:ascii="Times New Roman" w:hAnsi="Times New Roman" w:cs="Times New Roman"/>
          <w:b/>
          <w:color w:val="000000" w:themeColor="text1"/>
          <w:sz w:val="24"/>
          <w:szCs w:val="24"/>
        </w:rPr>
        <w:t xml:space="preserve">INSERT Table </w:t>
      </w:r>
      <w:r w:rsidR="003C67E3" w:rsidRPr="00724CA2">
        <w:rPr>
          <w:rFonts w:ascii="Times New Roman" w:hAnsi="Times New Roman" w:cs="Times New Roman"/>
          <w:b/>
          <w:color w:val="000000" w:themeColor="text1"/>
          <w:sz w:val="24"/>
          <w:szCs w:val="24"/>
        </w:rPr>
        <w:t>10</w:t>
      </w:r>
    </w:p>
    <w:p w14:paraId="5715932A" w14:textId="6F00669D" w:rsidR="00185CA6" w:rsidRPr="00B2252D" w:rsidRDefault="00185CA6" w:rsidP="0025283F">
      <w:pPr>
        <w:pStyle w:val="Default"/>
        <w:spacing w:afterLines="50" w:after="120" w:line="480" w:lineRule="auto"/>
        <w:jc w:val="both"/>
        <w:rPr>
          <w:rFonts w:ascii="Times New Roman" w:hAnsi="Times New Roman" w:cs="Times New Roman"/>
          <w:b/>
          <w:color w:val="000000" w:themeColor="text1"/>
        </w:rPr>
      </w:pPr>
      <w:bookmarkStart w:id="14" w:name="_Hlk160065748"/>
      <w:r w:rsidRPr="00B2252D">
        <w:rPr>
          <w:rFonts w:ascii="Times New Roman" w:hAnsi="Times New Roman" w:cs="Times New Roman"/>
          <w:b/>
          <w:color w:val="000000" w:themeColor="text1"/>
        </w:rPr>
        <w:t xml:space="preserve">5. </w:t>
      </w:r>
      <w:r w:rsidR="004A50F5" w:rsidRPr="00B2252D">
        <w:rPr>
          <w:rFonts w:ascii="Times New Roman" w:hAnsi="Times New Roman" w:cs="Times New Roman"/>
          <w:b/>
          <w:color w:val="000000" w:themeColor="text1"/>
        </w:rPr>
        <w:tab/>
      </w:r>
      <w:r w:rsidRPr="00B2252D">
        <w:rPr>
          <w:rFonts w:ascii="Times New Roman" w:hAnsi="Times New Roman" w:cs="Times New Roman"/>
          <w:b/>
          <w:color w:val="000000" w:themeColor="text1"/>
        </w:rPr>
        <w:t xml:space="preserve">Conclusions </w:t>
      </w:r>
    </w:p>
    <w:p w14:paraId="06AF01A3" w14:textId="3F07C5E1" w:rsidR="006E3EB6" w:rsidRPr="00724CA2" w:rsidRDefault="006E3EB6" w:rsidP="001E56D2">
      <w:pPr>
        <w:autoSpaceDE w:val="0"/>
        <w:autoSpaceDN w:val="0"/>
        <w:adjustRightInd w:val="0"/>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lastRenderedPageBreak/>
        <w:t>This study investigates the impact of mutual fund investment on corporate environmental spending</w:t>
      </w:r>
      <w:r w:rsidR="00DD1ED8" w:rsidRPr="00724CA2">
        <w:rPr>
          <w:rFonts w:ascii="Times New Roman" w:hAnsi="Times New Roman" w:cs="Times New Roman"/>
          <w:color w:val="000000" w:themeColor="text1"/>
          <w:sz w:val="24"/>
          <w:szCs w:val="24"/>
        </w:rPr>
        <w:t xml:space="preserve"> by Chinese firms</w:t>
      </w:r>
      <w:r w:rsidRPr="00724CA2">
        <w:rPr>
          <w:rFonts w:ascii="Times New Roman" w:hAnsi="Times New Roman" w:cs="Times New Roman"/>
          <w:color w:val="000000" w:themeColor="text1"/>
          <w:sz w:val="24"/>
          <w:szCs w:val="24"/>
        </w:rPr>
        <w:t xml:space="preserve">. </w:t>
      </w:r>
      <w:r w:rsidR="00AB7ED9" w:rsidRPr="00724CA2">
        <w:rPr>
          <w:rFonts w:ascii="Times New Roman" w:hAnsi="Times New Roman" w:cs="Times New Roman"/>
          <w:color w:val="000000" w:themeColor="text1"/>
          <w:sz w:val="24"/>
          <w:szCs w:val="24"/>
        </w:rPr>
        <w:t xml:space="preserve">We </w:t>
      </w:r>
      <w:r w:rsidR="0059752D" w:rsidRPr="00724CA2">
        <w:rPr>
          <w:rFonts w:ascii="Times New Roman" w:hAnsi="Times New Roman" w:cs="Times New Roman"/>
          <w:color w:val="000000" w:themeColor="text1"/>
          <w:sz w:val="24"/>
          <w:szCs w:val="24"/>
        </w:rPr>
        <w:t xml:space="preserve">present evidence that </w:t>
      </w:r>
      <w:r w:rsidRPr="00724CA2">
        <w:rPr>
          <w:rFonts w:ascii="Times New Roman" w:hAnsi="Times New Roman" w:cs="Times New Roman"/>
          <w:color w:val="000000" w:themeColor="text1"/>
          <w:sz w:val="24"/>
          <w:szCs w:val="24"/>
        </w:rPr>
        <w:t xml:space="preserve">mutual fund investment is associated with significantly </w:t>
      </w:r>
      <w:r w:rsidR="007F561F" w:rsidRPr="00724CA2">
        <w:rPr>
          <w:rFonts w:ascii="Times New Roman" w:hAnsi="Times New Roman" w:cs="Times New Roman"/>
          <w:color w:val="000000" w:themeColor="text1"/>
          <w:sz w:val="24"/>
          <w:szCs w:val="24"/>
        </w:rPr>
        <w:t xml:space="preserve">higher levels of </w:t>
      </w:r>
      <w:r w:rsidRPr="00724CA2">
        <w:rPr>
          <w:rFonts w:ascii="Times New Roman" w:hAnsi="Times New Roman" w:cs="Times New Roman"/>
          <w:color w:val="000000" w:themeColor="text1"/>
          <w:sz w:val="24"/>
          <w:szCs w:val="24"/>
        </w:rPr>
        <w:t xml:space="preserve">corporate environmental spending. This influence is </w:t>
      </w:r>
      <w:r w:rsidR="007F561F" w:rsidRPr="00724CA2">
        <w:rPr>
          <w:rFonts w:ascii="Times New Roman" w:hAnsi="Times New Roman" w:cs="Times New Roman"/>
          <w:color w:val="000000" w:themeColor="text1"/>
          <w:sz w:val="24"/>
          <w:szCs w:val="24"/>
        </w:rPr>
        <w:t>amp</w:t>
      </w:r>
      <w:r w:rsidR="003E39F6" w:rsidRPr="00724CA2">
        <w:rPr>
          <w:rFonts w:ascii="Times New Roman" w:hAnsi="Times New Roman" w:cs="Times New Roman"/>
          <w:color w:val="000000" w:themeColor="text1"/>
          <w:sz w:val="24"/>
          <w:szCs w:val="24"/>
        </w:rPr>
        <w:t>l</w:t>
      </w:r>
      <w:r w:rsidR="007F561F" w:rsidRPr="00724CA2">
        <w:rPr>
          <w:rFonts w:ascii="Times New Roman" w:hAnsi="Times New Roman" w:cs="Times New Roman"/>
          <w:color w:val="000000" w:themeColor="text1"/>
          <w:sz w:val="24"/>
          <w:szCs w:val="24"/>
        </w:rPr>
        <w:t>i</w:t>
      </w:r>
      <w:r w:rsidR="003E39F6" w:rsidRPr="00724CA2">
        <w:rPr>
          <w:rFonts w:ascii="Times New Roman" w:hAnsi="Times New Roman" w:cs="Times New Roman"/>
          <w:color w:val="000000" w:themeColor="text1"/>
          <w:sz w:val="24"/>
          <w:szCs w:val="24"/>
        </w:rPr>
        <w:t>fied</w:t>
      </w:r>
      <w:r w:rsidR="007F561F" w:rsidRPr="00724CA2">
        <w:rPr>
          <w:rFonts w:ascii="Times New Roman" w:hAnsi="Times New Roman" w:cs="Times New Roman"/>
          <w:color w:val="000000" w:themeColor="text1"/>
          <w:sz w:val="24"/>
          <w:szCs w:val="24"/>
        </w:rPr>
        <w:t xml:space="preserve"> </w:t>
      </w:r>
      <w:r w:rsidR="00CD398A" w:rsidRPr="00724CA2">
        <w:rPr>
          <w:rFonts w:ascii="Times New Roman" w:hAnsi="Times New Roman" w:cs="Times New Roman"/>
          <w:color w:val="000000" w:themeColor="text1"/>
          <w:sz w:val="24"/>
          <w:szCs w:val="24"/>
        </w:rPr>
        <w:t>for</w:t>
      </w:r>
      <w:r w:rsidRPr="00724CA2">
        <w:rPr>
          <w:rFonts w:ascii="Times New Roman" w:hAnsi="Times New Roman" w:cs="Times New Roman"/>
          <w:color w:val="000000" w:themeColor="text1"/>
          <w:sz w:val="24"/>
          <w:szCs w:val="24"/>
        </w:rPr>
        <w:t xml:space="preserve"> state-owned enterprises and</w:t>
      </w:r>
      <w:r w:rsidR="00340495" w:rsidRPr="00724CA2">
        <w:rPr>
          <w:rFonts w:ascii="Times New Roman" w:hAnsi="Times New Roman" w:cs="Times New Roman"/>
          <w:color w:val="000000" w:themeColor="text1"/>
          <w:sz w:val="24"/>
          <w:szCs w:val="24"/>
        </w:rPr>
        <w:t xml:space="preserve"> for</w:t>
      </w:r>
      <w:r w:rsidRPr="00724CA2">
        <w:rPr>
          <w:rFonts w:ascii="Times New Roman" w:hAnsi="Times New Roman" w:cs="Times New Roman"/>
          <w:color w:val="000000" w:themeColor="text1"/>
          <w:sz w:val="24"/>
          <w:szCs w:val="24"/>
        </w:rPr>
        <w:t xml:space="preserve"> firms </w:t>
      </w:r>
      <w:r w:rsidR="00013E52" w:rsidRPr="00724CA2">
        <w:rPr>
          <w:rFonts w:ascii="Times New Roman" w:hAnsi="Times New Roman" w:cs="Times New Roman"/>
          <w:color w:val="000000" w:themeColor="text1"/>
          <w:sz w:val="24"/>
          <w:szCs w:val="24"/>
        </w:rPr>
        <w:t>from</w:t>
      </w:r>
      <w:r w:rsidRPr="00724CA2">
        <w:rPr>
          <w:rFonts w:ascii="Times New Roman" w:hAnsi="Times New Roman" w:cs="Times New Roman"/>
          <w:color w:val="000000" w:themeColor="text1"/>
          <w:sz w:val="24"/>
          <w:szCs w:val="24"/>
        </w:rPr>
        <w:t xml:space="preserve"> regions with stronger legal environments. </w:t>
      </w:r>
      <w:r w:rsidR="00AB7ED9" w:rsidRPr="00724CA2">
        <w:rPr>
          <w:rFonts w:ascii="Times New Roman" w:hAnsi="Times New Roman" w:cs="Times New Roman"/>
          <w:color w:val="000000" w:themeColor="text1"/>
          <w:sz w:val="24"/>
          <w:szCs w:val="24"/>
        </w:rPr>
        <w:t xml:space="preserve">We </w:t>
      </w:r>
      <w:r w:rsidR="00D5341B" w:rsidRPr="00724CA2">
        <w:rPr>
          <w:rFonts w:ascii="Times New Roman" w:hAnsi="Times New Roman" w:cs="Times New Roman"/>
          <w:color w:val="000000" w:themeColor="text1"/>
          <w:sz w:val="24"/>
          <w:szCs w:val="24"/>
        </w:rPr>
        <w:t xml:space="preserve">also report </w:t>
      </w:r>
      <w:r w:rsidR="00AB7ED9" w:rsidRPr="00724CA2">
        <w:rPr>
          <w:rFonts w:ascii="Times New Roman" w:hAnsi="Times New Roman" w:cs="Times New Roman"/>
          <w:color w:val="000000" w:themeColor="text1"/>
          <w:sz w:val="24"/>
          <w:szCs w:val="24"/>
        </w:rPr>
        <w:t xml:space="preserve">that </w:t>
      </w:r>
      <w:r w:rsidRPr="00724CA2">
        <w:rPr>
          <w:rFonts w:ascii="Times New Roman" w:hAnsi="Times New Roman" w:cs="Times New Roman"/>
          <w:color w:val="000000" w:themeColor="text1"/>
          <w:sz w:val="24"/>
          <w:szCs w:val="24"/>
        </w:rPr>
        <w:t xml:space="preserve">the ‘green’ questions raised by investors during </w:t>
      </w:r>
      <w:r w:rsidR="004F139B" w:rsidRPr="00724CA2">
        <w:rPr>
          <w:rFonts w:ascii="Times New Roman" w:hAnsi="Times New Roman" w:cs="Times New Roman"/>
          <w:color w:val="000000" w:themeColor="text1"/>
          <w:sz w:val="24"/>
          <w:szCs w:val="24"/>
        </w:rPr>
        <w:t>AGMs</w:t>
      </w:r>
      <w:r w:rsidRPr="00724CA2">
        <w:rPr>
          <w:rFonts w:ascii="Times New Roman" w:hAnsi="Times New Roman" w:cs="Times New Roman"/>
          <w:color w:val="000000" w:themeColor="text1"/>
          <w:sz w:val="24"/>
          <w:szCs w:val="24"/>
        </w:rPr>
        <w:t xml:space="preserve"> and the </w:t>
      </w:r>
      <w:r w:rsidR="000F1038" w:rsidRPr="00724CA2">
        <w:rPr>
          <w:rFonts w:ascii="Times New Roman" w:hAnsi="Times New Roman" w:cs="Times New Roman"/>
          <w:color w:val="000000" w:themeColor="text1"/>
          <w:sz w:val="24"/>
          <w:szCs w:val="24"/>
        </w:rPr>
        <w:t xml:space="preserve">‘green’ credentials of </w:t>
      </w:r>
      <w:r w:rsidRPr="00724CA2">
        <w:rPr>
          <w:rFonts w:ascii="Times New Roman" w:hAnsi="Times New Roman" w:cs="Times New Roman"/>
          <w:color w:val="000000" w:themeColor="text1"/>
          <w:sz w:val="24"/>
          <w:szCs w:val="24"/>
        </w:rPr>
        <w:t xml:space="preserve">board members </w:t>
      </w:r>
      <w:r w:rsidR="000F1038" w:rsidRPr="00724CA2">
        <w:rPr>
          <w:rFonts w:ascii="Times New Roman" w:hAnsi="Times New Roman" w:cs="Times New Roman"/>
          <w:color w:val="000000" w:themeColor="text1"/>
          <w:sz w:val="24"/>
          <w:szCs w:val="24"/>
        </w:rPr>
        <w:t>both</w:t>
      </w:r>
      <w:r w:rsidR="000F16DB" w:rsidRPr="00724CA2">
        <w:rPr>
          <w:rFonts w:ascii="Times New Roman" w:hAnsi="Times New Roman" w:cs="Times New Roman"/>
          <w:color w:val="000000" w:themeColor="text1"/>
          <w:sz w:val="24"/>
          <w:szCs w:val="24"/>
        </w:rPr>
        <w:t xml:space="preserve"> </w:t>
      </w:r>
      <w:r w:rsidR="00AB7ED9" w:rsidRPr="00724CA2">
        <w:rPr>
          <w:rFonts w:ascii="Times New Roman" w:hAnsi="Times New Roman" w:cs="Times New Roman"/>
          <w:color w:val="000000" w:themeColor="text1"/>
          <w:sz w:val="24"/>
          <w:szCs w:val="24"/>
        </w:rPr>
        <w:t>influence corporate environmental spending</w:t>
      </w:r>
      <w:r w:rsidRPr="00724CA2">
        <w:rPr>
          <w:rFonts w:ascii="Times New Roman" w:hAnsi="Times New Roman" w:cs="Times New Roman"/>
          <w:color w:val="000000" w:themeColor="text1"/>
          <w:sz w:val="24"/>
          <w:szCs w:val="24"/>
        </w:rPr>
        <w:t>.</w:t>
      </w:r>
      <w:r w:rsidR="00AB7ED9" w:rsidRPr="00724CA2">
        <w:rPr>
          <w:rFonts w:ascii="Times New Roman" w:hAnsi="Times New Roman" w:cs="Times New Roman"/>
          <w:color w:val="000000" w:themeColor="text1"/>
          <w:sz w:val="24"/>
          <w:szCs w:val="24"/>
        </w:rPr>
        <w:t xml:space="preserve"> </w:t>
      </w:r>
      <w:r w:rsidR="00013E52" w:rsidRPr="00724CA2">
        <w:rPr>
          <w:rFonts w:ascii="Times New Roman" w:hAnsi="Times New Roman" w:cs="Times New Roman"/>
          <w:color w:val="000000" w:themeColor="text1"/>
          <w:sz w:val="24"/>
          <w:szCs w:val="24"/>
        </w:rPr>
        <w:t xml:space="preserve">We infer </w:t>
      </w:r>
      <w:r w:rsidR="00135469" w:rsidRPr="00724CA2">
        <w:rPr>
          <w:rFonts w:ascii="Times New Roman" w:hAnsi="Times New Roman" w:cs="Times New Roman"/>
          <w:color w:val="000000" w:themeColor="text1"/>
          <w:sz w:val="24"/>
          <w:szCs w:val="24"/>
        </w:rPr>
        <w:t xml:space="preserve">this </w:t>
      </w:r>
      <w:r w:rsidR="003E39F6" w:rsidRPr="00724CA2">
        <w:rPr>
          <w:rFonts w:ascii="Times New Roman" w:hAnsi="Times New Roman" w:cs="Times New Roman"/>
          <w:color w:val="000000" w:themeColor="text1"/>
          <w:sz w:val="24"/>
          <w:szCs w:val="24"/>
        </w:rPr>
        <w:t xml:space="preserve">outcome </w:t>
      </w:r>
      <w:r w:rsidR="00135469" w:rsidRPr="00724CA2">
        <w:rPr>
          <w:rFonts w:ascii="Times New Roman" w:hAnsi="Times New Roman" w:cs="Times New Roman"/>
          <w:color w:val="000000" w:themeColor="text1"/>
          <w:sz w:val="24"/>
          <w:szCs w:val="24"/>
        </w:rPr>
        <w:t xml:space="preserve">arises </w:t>
      </w:r>
      <w:r w:rsidR="00ED1025" w:rsidRPr="00724CA2">
        <w:rPr>
          <w:rFonts w:ascii="Times New Roman" w:hAnsi="Times New Roman" w:cs="Times New Roman"/>
          <w:color w:val="000000" w:themeColor="text1"/>
          <w:sz w:val="24"/>
          <w:szCs w:val="24"/>
        </w:rPr>
        <w:t>as mutual</w:t>
      </w:r>
      <w:r w:rsidR="00013E52" w:rsidRPr="00724CA2">
        <w:rPr>
          <w:rFonts w:ascii="Times New Roman" w:hAnsi="Times New Roman" w:cs="Times New Roman"/>
          <w:color w:val="000000" w:themeColor="text1"/>
          <w:sz w:val="24"/>
          <w:szCs w:val="24"/>
        </w:rPr>
        <w:t xml:space="preserve"> fund</w:t>
      </w:r>
      <w:r w:rsidR="009E3492">
        <w:rPr>
          <w:rFonts w:ascii="Times New Roman" w:hAnsi="Times New Roman" w:cs="Times New Roman" w:hint="eastAsia"/>
          <w:color w:val="000000" w:themeColor="text1"/>
          <w:sz w:val="24"/>
          <w:szCs w:val="24"/>
          <w:lang w:eastAsia="zh-CN"/>
        </w:rPr>
        <w:t>s</w:t>
      </w:r>
      <w:r w:rsidR="00013E52" w:rsidRPr="00724CA2">
        <w:rPr>
          <w:rFonts w:ascii="Times New Roman" w:hAnsi="Times New Roman" w:cs="Times New Roman"/>
          <w:color w:val="000000" w:themeColor="text1"/>
          <w:sz w:val="24"/>
          <w:szCs w:val="24"/>
        </w:rPr>
        <w:t xml:space="preserve"> </w:t>
      </w:r>
      <w:r w:rsidR="006E5CCF" w:rsidRPr="00724CA2">
        <w:rPr>
          <w:rFonts w:ascii="Times New Roman" w:hAnsi="Times New Roman" w:cs="Times New Roman"/>
          <w:color w:val="000000" w:themeColor="text1"/>
          <w:sz w:val="24"/>
          <w:szCs w:val="24"/>
        </w:rPr>
        <w:t>affect</w:t>
      </w:r>
      <w:r w:rsidR="00013E52" w:rsidRPr="00724CA2">
        <w:rPr>
          <w:rFonts w:ascii="Times New Roman" w:hAnsi="Times New Roman" w:cs="Times New Roman"/>
          <w:color w:val="000000" w:themeColor="text1"/>
          <w:sz w:val="24"/>
          <w:szCs w:val="24"/>
        </w:rPr>
        <w:t xml:space="preserve"> the </w:t>
      </w:r>
      <w:r w:rsidR="006E5CCF" w:rsidRPr="00724CA2">
        <w:rPr>
          <w:rFonts w:ascii="Times New Roman" w:hAnsi="Times New Roman" w:cs="Times New Roman"/>
          <w:color w:val="000000" w:themeColor="text1"/>
          <w:sz w:val="24"/>
          <w:szCs w:val="24"/>
        </w:rPr>
        <w:t xml:space="preserve">environmental awareness of their beneficiaries. </w:t>
      </w:r>
      <w:r w:rsidR="00280FFA" w:rsidRPr="00724CA2">
        <w:rPr>
          <w:rFonts w:ascii="Times New Roman" w:hAnsi="Times New Roman" w:cs="Times New Roman"/>
          <w:color w:val="000000" w:themeColor="text1"/>
          <w:sz w:val="24"/>
          <w:szCs w:val="24"/>
        </w:rPr>
        <w:t xml:space="preserve">Moreover, </w:t>
      </w:r>
      <w:r w:rsidR="003F173A" w:rsidRPr="00724CA2">
        <w:rPr>
          <w:rFonts w:ascii="Times New Roman" w:hAnsi="Times New Roman" w:cs="Times New Roman"/>
          <w:color w:val="000000" w:themeColor="text1"/>
          <w:sz w:val="24"/>
          <w:szCs w:val="24"/>
        </w:rPr>
        <w:t xml:space="preserve">we find that </w:t>
      </w:r>
      <w:r w:rsidR="003F173A" w:rsidRPr="00724CA2">
        <w:rPr>
          <w:rFonts w:ascii="Times New Roman" w:hAnsi="Times New Roman" w:cs="Times New Roman"/>
          <w:bCs/>
          <w:iCs/>
          <w:color w:val="000000" w:themeColor="text1"/>
          <w:sz w:val="24"/>
          <w:szCs w:val="24"/>
        </w:rPr>
        <w:t xml:space="preserve">mutual funds with green investment objectives </w:t>
      </w:r>
      <w:r w:rsidR="0036129A" w:rsidRPr="00724CA2">
        <w:rPr>
          <w:rFonts w:ascii="Times New Roman" w:hAnsi="Times New Roman" w:cs="Times New Roman"/>
          <w:bCs/>
          <w:iCs/>
          <w:color w:val="000000" w:themeColor="text1"/>
          <w:sz w:val="24"/>
          <w:szCs w:val="24"/>
        </w:rPr>
        <w:t xml:space="preserve">have </w:t>
      </w:r>
      <w:r w:rsidR="003F173A" w:rsidRPr="00724CA2">
        <w:rPr>
          <w:rFonts w:ascii="Times New Roman" w:hAnsi="Times New Roman" w:cs="Times New Roman"/>
          <w:bCs/>
          <w:iCs/>
          <w:color w:val="000000" w:themeColor="text1"/>
          <w:sz w:val="24"/>
          <w:szCs w:val="24"/>
        </w:rPr>
        <w:t xml:space="preserve">significantly </w:t>
      </w:r>
      <w:r w:rsidR="0036129A" w:rsidRPr="00724CA2">
        <w:rPr>
          <w:rFonts w:ascii="Times New Roman" w:hAnsi="Times New Roman" w:cs="Times New Roman"/>
          <w:bCs/>
          <w:iCs/>
          <w:color w:val="000000" w:themeColor="text1"/>
          <w:sz w:val="24"/>
          <w:szCs w:val="24"/>
        </w:rPr>
        <w:t xml:space="preserve">higher </w:t>
      </w:r>
      <w:r w:rsidR="003F173A" w:rsidRPr="00724CA2">
        <w:rPr>
          <w:rFonts w:ascii="Times New Roman" w:hAnsi="Times New Roman" w:cs="Times New Roman"/>
          <w:bCs/>
          <w:iCs/>
          <w:color w:val="000000" w:themeColor="text1"/>
          <w:sz w:val="24"/>
          <w:szCs w:val="24"/>
        </w:rPr>
        <w:t>corporate environmental spending</w:t>
      </w:r>
      <w:r w:rsidR="0036129A" w:rsidRPr="00724CA2">
        <w:rPr>
          <w:rFonts w:ascii="Times New Roman" w:hAnsi="Times New Roman" w:cs="Times New Roman"/>
          <w:bCs/>
          <w:iCs/>
          <w:color w:val="000000" w:themeColor="text1"/>
          <w:sz w:val="24"/>
          <w:szCs w:val="24"/>
        </w:rPr>
        <w:t xml:space="preserve"> levels</w:t>
      </w:r>
      <w:r w:rsidR="003F173A" w:rsidRPr="00724CA2">
        <w:rPr>
          <w:rFonts w:ascii="Times New Roman" w:hAnsi="Times New Roman" w:cs="Times New Roman"/>
          <w:bCs/>
          <w:iCs/>
          <w:color w:val="000000" w:themeColor="text1"/>
          <w:sz w:val="24"/>
          <w:szCs w:val="24"/>
        </w:rPr>
        <w:t>.</w:t>
      </w:r>
      <w:r w:rsidR="003F173A" w:rsidRPr="00724CA2">
        <w:rPr>
          <w:rFonts w:ascii="Times New Roman" w:hAnsi="Times New Roman" w:cs="Times New Roman"/>
          <w:color w:val="000000" w:themeColor="text1"/>
          <w:sz w:val="24"/>
          <w:szCs w:val="24"/>
        </w:rPr>
        <w:t xml:space="preserve"> </w:t>
      </w:r>
      <w:r w:rsidR="00AB7ED9" w:rsidRPr="00724CA2">
        <w:rPr>
          <w:rFonts w:ascii="Times New Roman" w:hAnsi="Times New Roman" w:cs="Times New Roman"/>
          <w:color w:val="000000" w:themeColor="text1"/>
          <w:sz w:val="24"/>
          <w:szCs w:val="24"/>
        </w:rPr>
        <w:t xml:space="preserve">We </w:t>
      </w:r>
      <w:r w:rsidR="00E73C1B" w:rsidRPr="00724CA2">
        <w:rPr>
          <w:rFonts w:ascii="Times New Roman" w:hAnsi="Times New Roman" w:cs="Times New Roman"/>
          <w:color w:val="000000" w:themeColor="text1"/>
          <w:sz w:val="24"/>
          <w:szCs w:val="24"/>
        </w:rPr>
        <w:t>re-</w:t>
      </w:r>
      <w:r w:rsidR="00AB7ED9" w:rsidRPr="00724CA2">
        <w:rPr>
          <w:rFonts w:ascii="Times New Roman" w:hAnsi="Times New Roman" w:cs="Times New Roman"/>
          <w:color w:val="000000" w:themeColor="text1"/>
          <w:sz w:val="24"/>
          <w:szCs w:val="24"/>
        </w:rPr>
        <w:t>examine these results using a battery of control variables and robustness exercises</w:t>
      </w:r>
      <w:r w:rsidR="00B838B3" w:rsidRPr="00724CA2">
        <w:rPr>
          <w:rFonts w:ascii="Times New Roman" w:hAnsi="Times New Roman" w:cs="Times New Roman"/>
          <w:color w:val="000000" w:themeColor="text1"/>
          <w:sz w:val="24"/>
          <w:szCs w:val="24"/>
        </w:rPr>
        <w:t xml:space="preserve">. </w:t>
      </w:r>
      <w:r w:rsidR="0001375C" w:rsidRPr="0001375C">
        <w:rPr>
          <w:rFonts w:ascii="Times New Roman" w:hAnsi="Times New Roman" w:cs="Times New Roman"/>
          <w:color w:val="000000" w:themeColor="text1"/>
          <w:sz w:val="24"/>
          <w:szCs w:val="24"/>
        </w:rPr>
        <w:t xml:space="preserve">We report that firms with </w:t>
      </w:r>
      <w:r w:rsidR="0001375C">
        <w:rPr>
          <w:rFonts w:ascii="Times New Roman" w:hAnsi="Times New Roman" w:cs="Times New Roman" w:hint="eastAsia"/>
          <w:color w:val="000000" w:themeColor="text1"/>
          <w:sz w:val="24"/>
          <w:szCs w:val="24"/>
          <w:lang w:eastAsia="zh-CN"/>
        </w:rPr>
        <w:t>b</w:t>
      </w:r>
      <w:r w:rsidR="0001375C" w:rsidRPr="0001375C">
        <w:rPr>
          <w:rFonts w:ascii="Times New Roman" w:hAnsi="Times New Roman" w:cs="Times New Roman"/>
          <w:color w:val="000000" w:themeColor="text1"/>
          <w:sz w:val="24"/>
          <w:szCs w:val="24"/>
        </w:rPr>
        <w:t>ig auditor</w:t>
      </w:r>
      <w:r w:rsidR="00CD360E">
        <w:rPr>
          <w:rFonts w:ascii="Times New Roman" w:hAnsi="Times New Roman" w:cs="Times New Roman" w:hint="eastAsia"/>
          <w:color w:val="000000" w:themeColor="text1"/>
          <w:sz w:val="24"/>
          <w:szCs w:val="24"/>
          <w:lang w:eastAsia="zh-CN"/>
        </w:rPr>
        <w:t>s</w:t>
      </w:r>
      <w:r w:rsidR="0001375C" w:rsidRPr="0001375C">
        <w:rPr>
          <w:rFonts w:ascii="Times New Roman" w:hAnsi="Times New Roman" w:cs="Times New Roman"/>
          <w:color w:val="000000" w:themeColor="text1"/>
          <w:sz w:val="24"/>
          <w:szCs w:val="24"/>
        </w:rPr>
        <w:t xml:space="preserve"> and qualified foreign institutional investment show a positive influence on their environmental spending</w:t>
      </w:r>
      <w:r w:rsidR="0001375C">
        <w:rPr>
          <w:rFonts w:ascii="Times New Roman" w:hAnsi="Times New Roman" w:cs="Times New Roman" w:hint="eastAsia"/>
          <w:color w:val="000000" w:themeColor="text1"/>
          <w:sz w:val="24"/>
          <w:szCs w:val="24"/>
          <w:lang w:eastAsia="zh-CN"/>
        </w:rPr>
        <w:t>.</w:t>
      </w:r>
      <w:r w:rsidR="007E7C4A" w:rsidRPr="00724CA2">
        <w:rPr>
          <w:rFonts w:ascii="Times New Roman" w:hAnsi="Times New Roman" w:cs="Times New Roman"/>
          <w:color w:val="000000" w:themeColor="text1"/>
          <w:sz w:val="24"/>
          <w:szCs w:val="24"/>
        </w:rPr>
        <w:t xml:space="preserve"> The</w:t>
      </w:r>
      <w:r w:rsidR="00B838B3" w:rsidRPr="00724CA2">
        <w:rPr>
          <w:rFonts w:ascii="Times New Roman" w:hAnsi="Times New Roman" w:cs="Times New Roman"/>
          <w:color w:val="000000" w:themeColor="text1"/>
          <w:sz w:val="24"/>
          <w:szCs w:val="24"/>
        </w:rPr>
        <w:t xml:space="preserve"> findings </w:t>
      </w:r>
      <w:r w:rsidR="003E39F6" w:rsidRPr="00724CA2">
        <w:rPr>
          <w:rFonts w:ascii="Times New Roman" w:hAnsi="Times New Roman" w:cs="Times New Roman"/>
          <w:color w:val="000000" w:themeColor="text1"/>
          <w:sz w:val="24"/>
          <w:szCs w:val="24"/>
        </w:rPr>
        <w:t xml:space="preserve">also </w:t>
      </w:r>
      <w:r w:rsidR="00992948" w:rsidRPr="00724CA2">
        <w:rPr>
          <w:rFonts w:ascii="Times New Roman" w:hAnsi="Times New Roman" w:cs="Times New Roman"/>
          <w:color w:val="000000" w:themeColor="text1"/>
          <w:sz w:val="24"/>
          <w:szCs w:val="24"/>
        </w:rPr>
        <w:t xml:space="preserve">remain unchanged </w:t>
      </w:r>
      <w:r w:rsidR="007E7C4A" w:rsidRPr="00724CA2">
        <w:rPr>
          <w:rFonts w:ascii="Times New Roman" w:hAnsi="Times New Roman" w:cs="Times New Roman"/>
          <w:color w:val="000000" w:themeColor="text1"/>
          <w:sz w:val="24"/>
          <w:szCs w:val="24"/>
        </w:rPr>
        <w:t xml:space="preserve">when </w:t>
      </w:r>
      <w:r w:rsidR="00992948" w:rsidRPr="00724CA2">
        <w:rPr>
          <w:rFonts w:ascii="Times New Roman" w:hAnsi="Times New Roman" w:cs="Times New Roman"/>
          <w:color w:val="000000" w:themeColor="text1"/>
          <w:sz w:val="24"/>
          <w:szCs w:val="24"/>
        </w:rPr>
        <w:t xml:space="preserve">we consider </w:t>
      </w:r>
      <w:r w:rsidR="00B23964" w:rsidRPr="00724CA2">
        <w:rPr>
          <w:rFonts w:ascii="Times New Roman" w:hAnsi="Times New Roman" w:cs="Times New Roman"/>
          <w:color w:val="000000" w:themeColor="text1"/>
          <w:sz w:val="24"/>
          <w:szCs w:val="24"/>
        </w:rPr>
        <w:t xml:space="preserve">firm size, </w:t>
      </w:r>
      <w:r w:rsidR="003143D2">
        <w:rPr>
          <w:rFonts w:ascii="Times New Roman" w:hAnsi="Times New Roman" w:cs="Times New Roman" w:hint="eastAsia"/>
          <w:color w:val="000000" w:themeColor="text1"/>
          <w:sz w:val="24"/>
          <w:szCs w:val="24"/>
          <w:lang w:eastAsia="zh-CN"/>
        </w:rPr>
        <w:t>the proportion of green fund investment</w:t>
      </w:r>
      <w:r w:rsidR="00B23964" w:rsidRPr="00724CA2">
        <w:rPr>
          <w:rFonts w:ascii="Times New Roman" w:hAnsi="Times New Roman" w:cs="Times New Roman"/>
          <w:color w:val="000000" w:themeColor="text1"/>
          <w:sz w:val="24"/>
          <w:szCs w:val="24"/>
        </w:rPr>
        <w:t xml:space="preserve"> and replace </w:t>
      </w:r>
      <w:r w:rsidR="007E7C4A" w:rsidRPr="00724CA2">
        <w:rPr>
          <w:rFonts w:ascii="Times New Roman" w:hAnsi="Times New Roman" w:cs="Times New Roman"/>
          <w:color w:val="000000" w:themeColor="text1"/>
          <w:sz w:val="24"/>
          <w:szCs w:val="24"/>
        </w:rPr>
        <w:t>the depend</w:t>
      </w:r>
      <w:r w:rsidR="00AF69E4">
        <w:rPr>
          <w:rFonts w:ascii="Times New Roman" w:hAnsi="Times New Roman" w:cs="Times New Roman"/>
          <w:color w:val="000000" w:themeColor="text1"/>
          <w:sz w:val="24"/>
          <w:szCs w:val="24"/>
        </w:rPr>
        <w:t>e</w:t>
      </w:r>
      <w:r w:rsidR="007E7C4A" w:rsidRPr="00724CA2">
        <w:rPr>
          <w:rFonts w:ascii="Times New Roman" w:hAnsi="Times New Roman" w:cs="Times New Roman"/>
          <w:color w:val="000000" w:themeColor="text1"/>
          <w:sz w:val="24"/>
          <w:szCs w:val="24"/>
        </w:rPr>
        <w:t>nt variable with</w:t>
      </w:r>
      <w:r w:rsidR="00B23964" w:rsidRPr="00724CA2">
        <w:rPr>
          <w:rFonts w:ascii="Times New Roman" w:hAnsi="Times New Roman" w:cs="Times New Roman"/>
          <w:color w:val="000000" w:themeColor="text1"/>
          <w:sz w:val="24"/>
          <w:szCs w:val="24"/>
        </w:rPr>
        <w:t xml:space="preserve"> </w:t>
      </w:r>
      <w:r w:rsidR="00CD398A" w:rsidRPr="00724CA2">
        <w:rPr>
          <w:rFonts w:ascii="Times New Roman" w:hAnsi="Times New Roman" w:cs="Times New Roman"/>
          <w:color w:val="000000" w:themeColor="text1"/>
          <w:sz w:val="24"/>
          <w:szCs w:val="24"/>
        </w:rPr>
        <w:t xml:space="preserve">alternative </w:t>
      </w:r>
      <w:r w:rsidR="007E7C4A" w:rsidRPr="00724CA2">
        <w:rPr>
          <w:rFonts w:ascii="Times New Roman" w:hAnsi="Times New Roman" w:cs="Times New Roman"/>
          <w:color w:val="000000" w:themeColor="text1"/>
          <w:sz w:val="24"/>
          <w:szCs w:val="24"/>
        </w:rPr>
        <w:t>measure</w:t>
      </w:r>
      <w:r w:rsidR="00BA7F07">
        <w:rPr>
          <w:rFonts w:ascii="Times New Roman" w:hAnsi="Times New Roman" w:cs="Times New Roman" w:hint="eastAsia"/>
          <w:color w:val="000000" w:themeColor="text1"/>
          <w:sz w:val="24"/>
          <w:szCs w:val="24"/>
          <w:lang w:eastAsia="zh-CN"/>
        </w:rPr>
        <w:t>s</w:t>
      </w:r>
      <w:r w:rsidR="007E7C4A" w:rsidRPr="00724CA2">
        <w:rPr>
          <w:rFonts w:ascii="Times New Roman" w:hAnsi="Times New Roman" w:cs="Times New Roman"/>
          <w:color w:val="000000" w:themeColor="text1"/>
          <w:sz w:val="24"/>
          <w:szCs w:val="24"/>
        </w:rPr>
        <w:t xml:space="preserve"> of environmental </w:t>
      </w:r>
      <w:r w:rsidR="00F638C5">
        <w:rPr>
          <w:rFonts w:ascii="Times New Roman" w:hAnsi="Times New Roman" w:cs="Times New Roman" w:hint="eastAsia"/>
          <w:color w:val="000000" w:themeColor="text1"/>
          <w:sz w:val="24"/>
          <w:szCs w:val="24"/>
          <w:lang w:eastAsia="zh-CN"/>
        </w:rPr>
        <w:t>performance</w:t>
      </w:r>
      <w:r w:rsidR="007E7C4A" w:rsidRPr="00724CA2">
        <w:rPr>
          <w:rFonts w:ascii="Times New Roman" w:hAnsi="Times New Roman" w:cs="Times New Roman"/>
          <w:color w:val="000000" w:themeColor="text1"/>
          <w:sz w:val="24"/>
          <w:szCs w:val="24"/>
        </w:rPr>
        <w:t xml:space="preserve">.   </w:t>
      </w:r>
    </w:p>
    <w:p w14:paraId="476F8959" w14:textId="02B4C9BC" w:rsidR="005615B0" w:rsidRPr="00724CA2" w:rsidRDefault="00D80D0C" w:rsidP="001E56D2">
      <w:pPr>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bCs/>
          <w:color w:val="000000" w:themeColor="text1"/>
          <w:sz w:val="24"/>
          <w:szCs w:val="24"/>
        </w:rPr>
        <w:t xml:space="preserve">We conclude </w:t>
      </w:r>
      <w:r w:rsidR="00610640" w:rsidRPr="00724CA2">
        <w:rPr>
          <w:rFonts w:ascii="Times New Roman" w:hAnsi="Times New Roman" w:cs="Times New Roman"/>
          <w:bCs/>
          <w:color w:val="000000" w:themeColor="text1"/>
          <w:sz w:val="24"/>
          <w:szCs w:val="24"/>
        </w:rPr>
        <w:t xml:space="preserve">that </w:t>
      </w:r>
      <w:r w:rsidRPr="00724CA2">
        <w:rPr>
          <w:rFonts w:ascii="Times New Roman" w:hAnsi="Times New Roman" w:cs="Times New Roman"/>
          <w:bCs/>
          <w:color w:val="000000" w:themeColor="text1"/>
          <w:sz w:val="24"/>
          <w:szCs w:val="24"/>
        </w:rPr>
        <w:t>m</w:t>
      </w:r>
      <w:r w:rsidR="00055FA9" w:rsidRPr="00724CA2">
        <w:rPr>
          <w:rFonts w:ascii="Times New Roman" w:hAnsi="Times New Roman" w:cs="Times New Roman"/>
          <w:bCs/>
          <w:color w:val="000000" w:themeColor="text1"/>
          <w:sz w:val="24"/>
          <w:szCs w:val="24"/>
        </w:rPr>
        <w:t>any m</w:t>
      </w:r>
      <w:r w:rsidR="004472A7" w:rsidRPr="00724CA2">
        <w:rPr>
          <w:rFonts w:ascii="Times New Roman" w:hAnsi="Times New Roman" w:cs="Times New Roman"/>
          <w:bCs/>
          <w:color w:val="000000" w:themeColor="text1"/>
          <w:sz w:val="24"/>
          <w:szCs w:val="24"/>
        </w:rPr>
        <w:t>utual fu</w:t>
      </w:r>
      <w:r w:rsidR="007E7C4A" w:rsidRPr="00724CA2">
        <w:rPr>
          <w:rFonts w:ascii="Times New Roman" w:hAnsi="Times New Roman" w:cs="Times New Roman"/>
          <w:bCs/>
          <w:color w:val="000000" w:themeColor="text1"/>
          <w:sz w:val="24"/>
          <w:szCs w:val="24"/>
        </w:rPr>
        <w:t>n</w:t>
      </w:r>
      <w:r w:rsidR="004472A7" w:rsidRPr="00724CA2">
        <w:rPr>
          <w:rFonts w:ascii="Times New Roman" w:hAnsi="Times New Roman" w:cs="Times New Roman"/>
          <w:bCs/>
          <w:color w:val="000000" w:themeColor="text1"/>
          <w:sz w:val="24"/>
          <w:szCs w:val="24"/>
        </w:rPr>
        <w:t>ds clearly valu</w:t>
      </w:r>
      <w:r w:rsidR="007E7C4A" w:rsidRPr="00724CA2">
        <w:rPr>
          <w:rFonts w:ascii="Times New Roman" w:hAnsi="Times New Roman" w:cs="Times New Roman"/>
          <w:bCs/>
          <w:color w:val="000000" w:themeColor="text1"/>
          <w:sz w:val="24"/>
          <w:szCs w:val="24"/>
        </w:rPr>
        <w:t>e</w:t>
      </w:r>
      <w:r w:rsidR="004472A7" w:rsidRPr="00724CA2">
        <w:rPr>
          <w:rFonts w:ascii="Times New Roman" w:hAnsi="Times New Roman" w:cs="Times New Roman"/>
          <w:bCs/>
          <w:color w:val="000000" w:themeColor="text1"/>
          <w:sz w:val="24"/>
          <w:szCs w:val="24"/>
        </w:rPr>
        <w:t xml:space="preserve"> environmental outcomes as well as traditional market metrics. </w:t>
      </w:r>
      <w:r w:rsidR="007774E8" w:rsidRPr="00724CA2">
        <w:rPr>
          <w:rFonts w:ascii="Times New Roman" w:hAnsi="Times New Roman" w:cs="Times New Roman"/>
          <w:color w:val="000000" w:themeColor="text1"/>
          <w:sz w:val="24"/>
          <w:szCs w:val="24"/>
          <w:lang w:eastAsia="zh-CN"/>
        </w:rPr>
        <w:t xml:space="preserve">In this role, </w:t>
      </w:r>
      <w:r w:rsidR="00A4399C" w:rsidRPr="00724CA2">
        <w:rPr>
          <w:rFonts w:ascii="Times New Roman" w:hAnsi="Times New Roman" w:cs="Times New Roman"/>
          <w:color w:val="000000" w:themeColor="text1"/>
          <w:sz w:val="24"/>
          <w:szCs w:val="24"/>
        </w:rPr>
        <w:t xml:space="preserve">mutual funds </w:t>
      </w:r>
      <w:r w:rsidR="007774E8" w:rsidRPr="00724CA2">
        <w:rPr>
          <w:rFonts w:ascii="Times New Roman" w:hAnsi="Times New Roman" w:cs="Times New Roman"/>
          <w:color w:val="000000" w:themeColor="text1"/>
          <w:sz w:val="24"/>
          <w:szCs w:val="24"/>
        </w:rPr>
        <w:t xml:space="preserve">act as </w:t>
      </w:r>
      <w:r w:rsidR="00A4399C" w:rsidRPr="00724CA2">
        <w:rPr>
          <w:rFonts w:ascii="Times New Roman" w:hAnsi="Times New Roman" w:cs="Times New Roman"/>
          <w:color w:val="000000" w:themeColor="text1"/>
          <w:sz w:val="24"/>
          <w:szCs w:val="24"/>
        </w:rPr>
        <w:t xml:space="preserve">ethical investors and play an important role in </w:t>
      </w:r>
      <w:r w:rsidR="007774E8" w:rsidRPr="00724CA2">
        <w:rPr>
          <w:rFonts w:ascii="Times New Roman" w:hAnsi="Times New Roman" w:cs="Times New Roman"/>
          <w:color w:val="000000" w:themeColor="text1"/>
          <w:sz w:val="24"/>
          <w:szCs w:val="24"/>
        </w:rPr>
        <w:t xml:space="preserve">encouraging </w:t>
      </w:r>
      <w:r w:rsidR="007C5F55" w:rsidRPr="00724CA2">
        <w:rPr>
          <w:rFonts w:ascii="Times New Roman" w:hAnsi="Times New Roman" w:cs="Times New Roman"/>
          <w:color w:val="000000" w:themeColor="text1"/>
          <w:sz w:val="24"/>
          <w:szCs w:val="24"/>
        </w:rPr>
        <w:t xml:space="preserve">greater </w:t>
      </w:r>
      <w:r w:rsidR="00A4399C" w:rsidRPr="00724CA2">
        <w:rPr>
          <w:rFonts w:ascii="Times New Roman" w:hAnsi="Times New Roman" w:cs="Times New Roman"/>
          <w:color w:val="000000" w:themeColor="text1"/>
          <w:sz w:val="24"/>
          <w:szCs w:val="24"/>
        </w:rPr>
        <w:t xml:space="preserve">corporate environmental spending </w:t>
      </w:r>
      <w:r w:rsidR="008B52AC" w:rsidRPr="00724CA2">
        <w:rPr>
          <w:rFonts w:ascii="Times New Roman" w:hAnsi="Times New Roman" w:cs="Times New Roman"/>
          <w:color w:val="000000" w:themeColor="text1"/>
          <w:sz w:val="24"/>
          <w:szCs w:val="24"/>
        </w:rPr>
        <w:t xml:space="preserve">by </w:t>
      </w:r>
      <w:r w:rsidR="00A4399C" w:rsidRPr="00724CA2">
        <w:rPr>
          <w:rFonts w:ascii="Times New Roman" w:hAnsi="Times New Roman" w:cs="Times New Roman"/>
          <w:color w:val="000000" w:themeColor="text1"/>
          <w:sz w:val="24"/>
          <w:szCs w:val="24"/>
        </w:rPr>
        <w:t>the</w:t>
      </w:r>
      <w:r w:rsidR="000F1FF6" w:rsidRPr="00724CA2">
        <w:rPr>
          <w:rFonts w:ascii="Times New Roman" w:hAnsi="Times New Roman" w:cs="Times New Roman"/>
          <w:color w:val="000000" w:themeColor="text1"/>
          <w:sz w:val="24"/>
          <w:szCs w:val="24"/>
        </w:rPr>
        <w:t>ir beneficiaries</w:t>
      </w:r>
      <w:r w:rsidR="00A4399C" w:rsidRPr="00724CA2">
        <w:rPr>
          <w:rFonts w:ascii="Times New Roman" w:hAnsi="Times New Roman" w:cs="Times New Roman"/>
          <w:color w:val="000000" w:themeColor="text1"/>
          <w:sz w:val="24"/>
          <w:szCs w:val="24"/>
        </w:rPr>
        <w:t>.</w:t>
      </w:r>
      <w:r w:rsidR="00E73C1B" w:rsidRPr="00724CA2">
        <w:rPr>
          <w:rFonts w:ascii="Times New Roman" w:hAnsi="Times New Roman" w:cs="Times New Roman"/>
          <w:bCs/>
          <w:color w:val="000000" w:themeColor="text1"/>
          <w:sz w:val="24"/>
          <w:szCs w:val="24"/>
        </w:rPr>
        <w:t xml:space="preserve"> </w:t>
      </w:r>
      <w:r w:rsidR="00442713" w:rsidRPr="00442713">
        <w:rPr>
          <w:rFonts w:ascii="Times New Roman" w:hAnsi="Times New Roman" w:cs="Times New Roman"/>
          <w:bCs/>
          <w:color w:val="000000" w:themeColor="text1"/>
          <w:sz w:val="24"/>
          <w:szCs w:val="24"/>
        </w:rPr>
        <w:t>This relationship is shaped by both the transfer of environmental awareness and institutional factors, which moderate this relationship</w:t>
      </w:r>
      <w:r w:rsidR="00FF71B4" w:rsidRPr="00724CA2">
        <w:rPr>
          <w:rFonts w:ascii="Times New Roman" w:hAnsi="Times New Roman" w:cs="Times New Roman"/>
          <w:bCs/>
          <w:color w:val="000000" w:themeColor="text1"/>
          <w:sz w:val="24"/>
          <w:szCs w:val="24"/>
        </w:rPr>
        <w:t>. Through incorporating the</w:t>
      </w:r>
      <w:r w:rsidR="00A039DB" w:rsidRPr="00724CA2">
        <w:rPr>
          <w:rFonts w:ascii="Times New Roman" w:hAnsi="Times New Roman" w:cs="Times New Roman"/>
          <w:bCs/>
          <w:color w:val="000000" w:themeColor="text1"/>
          <w:sz w:val="24"/>
          <w:szCs w:val="24"/>
        </w:rPr>
        <w:t>se factors</w:t>
      </w:r>
      <w:r w:rsidR="001865C9" w:rsidRPr="00724CA2">
        <w:rPr>
          <w:rFonts w:ascii="Times New Roman" w:hAnsi="Times New Roman" w:cs="Times New Roman"/>
          <w:bCs/>
          <w:color w:val="000000" w:themeColor="text1"/>
          <w:sz w:val="24"/>
          <w:szCs w:val="24"/>
        </w:rPr>
        <w:t>, a positive association between mutual fund ownership and environmental spending emerges, in contra</w:t>
      </w:r>
      <w:r w:rsidR="00877393" w:rsidRPr="00724CA2">
        <w:rPr>
          <w:rFonts w:ascii="Times New Roman" w:hAnsi="Times New Roman" w:cs="Times New Roman"/>
          <w:bCs/>
          <w:color w:val="000000" w:themeColor="text1"/>
          <w:sz w:val="24"/>
          <w:szCs w:val="24"/>
        </w:rPr>
        <w:t>s</w:t>
      </w:r>
      <w:r w:rsidR="001865C9" w:rsidRPr="00724CA2">
        <w:rPr>
          <w:rFonts w:ascii="Times New Roman" w:hAnsi="Times New Roman" w:cs="Times New Roman"/>
          <w:bCs/>
          <w:color w:val="000000" w:themeColor="text1"/>
          <w:sz w:val="24"/>
          <w:szCs w:val="24"/>
        </w:rPr>
        <w:t>t with past contributions</w:t>
      </w:r>
      <w:r w:rsidR="00325CD1" w:rsidRPr="00724CA2">
        <w:rPr>
          <w:rFonts w:ascii="Times New Roman" w:hAnsi="Times New Roman" w:cs="Times New Roman"/>
          <w:bCs/>
          <w:color w:val="000000" w:themeColor="text1"/>
          <w:sz w:val="24"/>
          <w:szCs w:val="24"/>
        </w:rPr>
        <w:t xml:space="preserve"> </w:t>
      </w:r>
      <w:r w:rsidR="00325CD1" w:rsidRPr="00724CA2">
        <w:rPr>
          <w:rFonts w:ascii="Times New Roman" w:hAnsi="Times New Roman" w:cs="Times New Roman"/>
          <w:color w:val="000000" w:themeColor="text1"/>
          <w:sz w:val="24"/>
          <w:szCs w:val="24"/>
        </w:rPr>
        <w:t>(Drobetz, et al., 202</w:t>
      </w:r>
      <w:r w:rsidR="001F2A1B">
        <w:rPr>
          <w:rFonts w:ascii="Times New Roman" w:hAnsi="Times New Roman" w:cs="Times New Roman"/>
          <w:color w:val="000000" w:themeColor="text1"/>
          <w:sz w:val="24"/>
          <w:szCs w:val="24"/>
        </w:rPr>
        <w:t>4</w:t>
      </w:r>
      <w:r w:rsidR="00325CD1" w:rsidRPr="00724CA2">
        <w:rPr>
          <w:rFonts w:ascii="Times New Roman" w:hAnsi="Times New Roman" w:cs="Times New Roman"/>
          <w:color w:val="000000" w:themeColor="text1"/>
          <w:sz w:val="24"/>
          <w:szCs w:val="24"/>
        </w:rPr>
        <w:t>).</w:t>
      </w:r>
    </w:p>
    <w:p w14:paraId="5DA5DD1A" w14:textId="31235843" w:rsidR="009F0F56" w:rsidRPr="00724CA2" w:rsidRDefault="001865C9" w:rsidP="00A4399C">
      <w:pPr>
        <w:spacing w:afterLines="50" w:after="120" w:line="480"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  </w:t>
      </w:r>
      <w:r w:rsidR="00FF71B4" w:rsidRPr="00724CA2">
        <w:rPr>
          <w:rFonts w:ascii="Times New Roman" w:hAnsi="Times New Roman" w:cs="Times New Roman"/>
          <w:bCs/>
          <w:color w:val="000000" w:themeColor="text1"/>
          <w:sz w:val="24"/>
          <w:szCs w:val="24"/>
        </w:rPr>
        <w:t xml:space="preserve"> </w:t>
      </w:r>
    </w:p>
    <w:p w14:paraId="4F37E9F4" w14:textId="635EBAC0" w:rsidR="005D2707" w:rsidRPr="002A35EB" w:rsidRDefault="006A1188" w:rsidP="005D2707">
      <w:pPr>
        <w:autoSpaceDE w:val="0"/>
        <w:autoSpaceDN w:val="0"/>
        <w:adjustRightInd w:val="0"/>
        <w:spacing w:afterLines="50" w:after="120" w:line="480" w:lineRule="auto"/>
        <w:jc w:val="both"/>
        <w:rPr>
          <w:rFonts w:ascii="Times New Roman" w:hAnsi="Times New Roman" w:cs="Times New Roman"/>
          <w:bCs/>
          <w:i/>
          <w:iCs/>
          <w:color w:val="000000" w:themeColor="text1"/>
          <w:sz w:val="24"/>
          <w:szCs w:val="24"/>
        </w:rPr>
      </w:pPr>
      <w:r w:rsidRPr="002A35EB">
        <w:rPr>
          <w:rFonts w:ascii="Times New Roman" w:hAnsi="Times New Roman" w:cs="Times New Roman"/>
          <w:bCs/>
          <w:i/>
          <w:iCs/>
          <w:color w:val="000000" w:themeColor="text1"/>
          <w:sz w:val="24"/>
          <w:szCs w:val="24"/>
        </w:rPr>
        <w:t>5.1</w:t>
      </w:r>
      <w:r w:rsidRPr="002A35EB">
        <w:rPr>
          <w:rFonts w:ascii="Times New Roman" w:hAnsi="Times New Roman" w:cs="Times New Roman"/>
          <w:bCs/>
          <w:i/>
          <w:iCs/>
          <w:color w:val="000000" w:themeColor="text1"/>
          <w:sz w:val="24"/>
          <w:szCs w:val="24"/>
        </w:rPr>
        <w:tab/>
      </w:r>
      <w:r w:rsidR="005D2707" w:rsidRPr="002A35EB">
        <w:rPr>
          <w:rFonts w:ascii="Times New Roman" w:hAnsi="Times New Roman" w:cs="Times New Roman"/>
          <w:bCs/>
          <w:i/>
          <w:iCs/>
          <w:color w:val="000000" w:themeColor="text1"/>
          <w:sz w:val="24"/>
          <w:szCs w:val="24"/>
        </w:rPr>
        <w:t>Suggestions for managers and policy makers</w:t>
      </w:r>
    </w:p>
    <w:p w14:paraId="514E5FF4" w14:textId="7B8CA47F" w:rsidR="008B52AC" w:rsidRPr="00724CA2" w:rsidRDefault="00E90DDB" w:rsidP="009E7A0A">
      <w:pPr>
        <w:autoSpaceDE w:val="0"/>
        <w:autoSpaceDN w:val="0"/>
        <w:adjustRightInd w:val="0"/>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lastRenderedPageBreak/>
        <w:t xml:space="preserve">The study has </w:t>
      </w:r>
      <w:r w:rsidR="00B31926" w:rsidRPr="00724CA2">
        <w:rPr>
          <w:rFonts w:ascii="Times New Roman" w:hAnsi="Times New Roman" w:cs="Times New Roman"/>
          <w:color w:val="000000" w:themeColor="text1"/>
          <w:sz w:val="24"/>
          <w:szCs w:val="24"/>
        </w:rPr>
        <w:t xml:space="preserve">implications for </w:t>
      </w:r>
      <w:r w:rsidR="00244AB4" w:rsidRPr="00724CA2">
        <w:rPr>
          <w:rFonts w:ascii="Times New Roman" w:hAnsi="Times New Roman" w:cs="Times New Roman"/>
          <w:color w:val="000000" w:themeColor="text1"/>
          <w:sz w:val="24"/>
          <w:szCs w:val="24"/>
        </w:rPr>
        <w:t xml:space="preserve">corporate </w:t>
      </w:r>
      <w:r w:rsidR="00DA53E0" w:rsidRPr="00724CA2">
        <w:rPr>
          <w:rFonts w:ascii="Times New Roman" w:hAnsi="Times New Roman" w:cs="Times New Roman"/>
          <w:color w:val="000000" w:themeColor="text1"/>
          <w:sz w:val="24"/>
          <w:szCs w:val="24"/>
        </w:rPr>
        <w:t>managers and policy makers</w:t>
      </w:r>
      <w:r w:rsidR="00B31926" w:rsidRPr="00724CA2">
        <w:rPr>
          <w:rFonts w:ascii="Times New Roman" w:hAnsi="Times New Roman" w:cs="Times New Roman"/>
          <w:color w:val="000000" w:themeColor="text1"/>
          <w:sz w:val="24"/>
          <w:szCs w:val="24"/>
        </w:rPr>
        <w:t xml:space="preserve">. </w:t>
      </w:r>
      <w:r w:rsidR="00A70FF9" w:rsidRPr="00724CA2">
        <w:rPr>
          <w:rFonts w:ascii="Times New Roman" w:hAnsi="Times New Roman" w:cs="Times New Roman"/>
          <w:color w:val="000000" w:themeColor="text1"/>
          <w:sz w:val="24"/>
          <w:szCs w:val="24"/>
        </w:rPr>
        <w:t xml:space="preserve">For </w:t>
      </w:r>
      <w:r w:rsidR="00F7585E" w:rsidRPr="00724CA2">
        <w:rPr>
          <w:rFonts w:ascii="Times New Roman" w:hAnsi="Times New Roman" w:cs="Times New Roman"/>
          <w:color w:val="000000" w:themeColor="text1"/>
          <w:sz w:val="24"/>
          <w:szCs w:val="24"/>
        </w:rPr>
        <w:t>corporate</w:t>
      </w:r>
      <w:r w:rsidR="00F20D69" w:rsidRPr="00724CA2">
        <w:rPr>
          <w:rFonts w:ascii="Times New Roman" w:hAnsi="Times New Roman" w:cs="Times New Roman"/>
          <w:color w:val="000000" w:themeColor="text1"/>
          <w:sz w:val="24"/>
          <w:szCs w:val="24"/>
        </w:rPr>
        <w:t xml:space="preserve"> </w:t>
      </w:r>
      <w:r w:rsidR="00A70FF9" w:rsidRPr="00724CA2">
        <w:rPr>
          <w:rFonts w:ascii="Times New Roman" w:hAnsi="Times New Roman" w:cs="Times New Roman"/>
          <w:color w:val="000000" w:themeColor="text1"/>
          <w:sz w:val="24"/>
          <w:szCs w:val="24"/>
        </w:rPr>
        <w:t>managers</w:t>
      </w:r>
      <w:r w:rsidR="00F20D69" w:rsidRPr="00724CA2">
        <w:rPr>
          <w:rFonts w:ascii="Times New Roman" w:hAnsi="Times New Roman" w:cs="Times New Roman"/>
          <w:color w:val="000000" w:themeColor="text1"/>
          <w:sz w:val="24"/>
          <w:szCs w:val="24"/>
        </w:rPr>
        <w:t xml:space="preserve">, </w:t>
      </w:r>
      <w:r w:rsidR="00A33C4E" w:rsidRPr="00724CA2">
        <w:rPr>
          <w:rFonts w:ascii="Times New Roman" w:hAnsi="Times New Roman" w:cs="Times New Roman"/>
          <w:color w:val="000000" w:themeColor="text1"/>
          <w:sz w:val="24"/>
          <w:szCs w:val="24"/>
        </w:rPr>
        <w:t xml:space="preserve">higher environmental spending can have multiple outcomes, altering the firms’ image and performance. Higher environmental spending indicates a firm’s financial commitment to address pollution related issues and engage in environmentally responsible practices. This may enhance corporate reputation, customer loyalty and even result in favourable treatment from regulators and media (Battisti et al., 2023). </w:t>
      </w:r>
    </w:p>
    <w:p w14:paraId="6CB6B3CC" w14:textId="01F09C4D" w:rsidR="00184CF1" w:rsidRPr="00724CA2" w:rsidRDefault="00A33C4E" w:rsidP="007078A5">
      <w:pPr>
        <w:autoSpaceDE w:val="0"/>
        <w:autoSpaceDN w:val="0"/>
        <w:adjustRightInd w:val="0"/>
        <w:spacing w:afterLines="50" w:after="120" w:line="480" w:lineRule="auto"/>
        <w:ind w:firstLine="284"/>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Alternatively, </w:t>
      </w:r>
      <w:r w:rsidR="00F7585E" w:rsidRPr="00724CA2">
        <w:rPr>
          <w:rFonts w:ascii="Times New Roman" w:hAnsi="Times New Roman" w:cs="Times New Roman"/>
          <w:color w:val="000000" w:themeColor="text1"/>
          <w:sz w:val="24"/>
          <w:szCs w:val="24"/>
        </w:rPr>
        <w:t>more</w:t>
      </w:r>
      <w:r w:rsidRPr="00724CA2">
        <w:rPr>
          <w:rFonts w:ascii="Times New Roman" w:hAnsi="Times New Roman" w:cs="Times New Roman"/>
          <w:color w:val="000000" w:themeColor="text1"/>
          <w:sz w:val="24"/>
          <w:szCs w:val="24"/>
        </w:rPr>
        <w:t xml:space="preserve"> environmental spending may reduce a firm's profitability and future cash flows, potentially placing firms under undue financial strain (Meng and Zhang, 2022). </w:t>
      </w:r>
      <w:r w:rsidR="00A247D3" w:rsidRPr="00724CA2">
        <w:rPr>
          <w:rFonts w:ascii="Times New Roman" w:hAnsi="Times New Roman" w:cs="Times New Roman"/>
          <w:color w:val="000000" w:themeColor="text1"/>
          <w:sz w:val="24"/>
          <w:szCs w:val="24"/>
        </w:rPr>
        <w:t>H</w:t>
      </w:r>
      <w:r w:rsidR="00FD0769" w:rsidRPr="00724CA2">
        <w:rPr>
          <w:rFonts w:ascii="Times New Roman" w:hAnsi="Times New Roman" w:cs="Times New Roman"/>
          <w:color w:val="000000" w:themeColor="text1"/>
          <w:sz w:val="24"/>
          <w:szCs w:val="24"/>
        </w:rPr>
        <w:t xml:space="preserve">igh levels of environmental spending </w:t>
      </w:r>
      <w:r w:rsidR="004C2B4B" w:rsidRPr="00724CA2">
        <w:rPr>
          <w:rFonts w:ascii="Times New Roman" w:hAnsi="Times New Roman" w:cs="Times New Roman"/>
          <w:color w:val="000000" w:themeColor="text1"/>
          <w:sz w:val="24"/>
          <w:szCs w:val="24"/>
        </w:rPr>
        <w:t>can</w:t>
      </w:r>
      <w:r w:rsidR="00FD0769" w:rsidRPr="00724CA2">
        <w:rPr>
          <w:rFonts w:ascii="Times New Roman" w:hAnsi="Times New Roman" w:cs="Times New Roman"/>
          <w:color w:val="000000" w:themeColor="text1"/>
          <w:sz w:val="24"/>
          <w:szCs w:val="24"/>
        </w:rPr>
        <w:t xml:space="preserve"> </w:t>
      </w:r>
      <w:r w:rsidR="00A247D3" w:rsidRPr="00724CA2">
        <w:rPr>
          <w:rFonts w:ascii="Times New Roman" w:hAnsi="Times New Roman" w:cs="Times New Roman"/>
          <w:color w:val="000000" w:themeColor="text1"/>
          <w:sz w:val="24"/>
          <w:szCs w:val="24"/>
        </w:rPr>
        <w:t xml:space="preserve">also </w:t>
      </w:r>
      <w:r w:rsidR="00FD0769" w:rsidRPr="00724CA2">
        <w:rPr>
          <w:rFonts w:ascii="Times New Roman" w:hAnsi="Times New Roman" w:cs="Times New Roman"/>
          <w:color w:val="000000" w:themeColor="text1"/>
          <w:sz w:val="24"/>
          <w:szCs w:val="24"/>
        </w:rPr>
        <w:t>be interpreted as a firms</w:t>
      </w:r>
      <w:r w:rsidR="008B7A91" w:rsidRPr="00724CA2">
        <w:rPr>
          <w:rFonts w:ascii="Times New Roman" w:hAnsi="Times New Roman" w:cs="Times New Roman"/>
          <w:color w:val="000000" w:themeColor="text1"/>
          <w:sz w:val="24"/>
          <w:szCs w:val="24"/>
        </w:rPr>
        <w:t>’</w:t>
      </w:r>
      <w:r w:rsidR="00FD0769" w:rsidRPr="00724CA2">
        <w:rPr>
          <w:rFonts w:ascii="Times New Roman" w:hAnsi="Times New Roman" w:cs="Times New Roman"/>
          <w:color w:val="000000" w:themeColor="text1"/>
          <w:sz w:val="24"/>
          <w:szCs w:val="24"/>
        </w:rPr>
        <w:t xml:space="preserve"> business model being environmentally impactful.</w:t>
      </w:r>
      <w:r w:rsidR="00777808" w:rsidRPr="00724CA2">
        <w:rPr>
          <w:rFonts w:ascii="Times New Roman" w:hAnsi="Times New Roman" w:cs="Times New Roman"/>
          <w:color w:val="000000" w:themeColor="text1"/>
          <w:sz w:val="24"/>
          <w:szCs w:val="24"/>
        </w:rPr>
        <w:t xml:space="preserve"> </w:t>
      </w:r>
      <w:r w:rsidR="005F1EAD" w:rsidRPr="005F1EAD">
        <w:rPr>
          <w:rFonts w:ascii="Times New Roman" w:hAnsi="Times New Roman" w:cs="Times New Roman"/>
          <w:color w:val="000000" w:themeColor="text1"/>
          <w:sz w:val="24"/>
          <w:szCs w:val="24"/>
        </w:rPr>
        <w:t>Despite this outcome, ensuring that environmental spending is increased to mitigate the environmental costs of the firm's activities is a positive goal</w:t>
      </w:r>
      <w:r w:rsidR="00FB79C9" w:rsidRPr="00724CA2">
        <w:rPr>
          <w:rFonts w:ascii="Times New Roman" w:hAnsi="Times New Roman" w:cs="Times New Roman"/>
          <w:color w:val="000000" w:themeColor="text1"/>
          <w:sz w:val="24"/>
          <w:szCs w:val="24"/>
        </w:rPr>
        <w:t>.</w:t>
      </w:r>
      <w:r w:rsidR="00DB5FAE" w:rsidRPr="00724CA2">
        <w:rPr>
          <w:rFonts w:ascii="Times New Roman" w:hAnsi="Times New Roman" w:cs="Times New Roman"/>
          <w:color w:val="000000" w:themeColor="text1"/>
          <w:sz w:val="24"/>
          <w:szCs w:val="24"/>
        </w:rPr>
        <w:t xml:space="preserve"> </w:t>
      </w:r>
      <w:r w:rsidR="008B52AC" w:rsidRPr="00724CA2">
        <w:rPr>
          <w:rFonts w:ascii="Times New Roman" w:hAnsi="Times New Roman" w:cs="Times New Roman"/>
          <w:color w:val="000000" w:themeColor="text1"/>
          <w:sz w:val="24"/>
          <w:szCs w:val="24"/>
        </w:rPr>
        <w:t xml:space="preserve">Subsequently, </w:t>
      </w:r>
      <w:r w:rsidR="004C2B4B" w:rsidRPr="00724CA2">
        <w:rPr>
          <w:rFonts w:ascii="Times New Roman" w:hAnsi="Times New Roman" w:cs="Times New Roman"/>
          <w:color w:val="000000" w:themeColor="text1"/>
          <w:sz w:val="24"/>
          <w:szCs w:val="24"/>
        </w:rPr>
        <w:t xml:space="preserve">firms </w:t>
      </w:r>
      <w:r w:rsidR="00DB5FAE" w:rsidRPr="00724CA2">
        <w:rPr>
          <w:rFonts w:ascii="Times New Roman" w:hAnsi="Times New Roman" w:cs="Times New Roman"/>
          <w:color w:val="000000" w:themeColor="text1"/>
          <w:sz w:val="24"/>
          <w:szCs w:val="24"/>
        </w:rPr>
        <w:t>should recruit candidates with ‘green’ competencies</w:t>
      </w:r>
      <w:r w:rsidR="006F2CE1" w:rsidRPr="00724CA2">
        <w:rPr>
          <w:rFonts w:ascii="Times New Roman" w:hAnsi="Times New Roman" w:cs="Times New Roman"/>
          <w:color w:val="000000" w:themeColor="text1"/>
          <w:sz w:val="24"/>
          <w:szCs w:val="24"/>
        </w:rPr>
        <w:t>, i</w:t>
      </w:r>
      <w:r w:rsidR="00A709FC" w:rsidRPr="00724CA2">
        <w:rPr>
          <w:rFonts w:ascii="Times New Roman" w:hAnsi="Times New Roman" w:cs="Times New Roman"/>
          <w:color w:val="000000" w:themeColor="text1"/>
          <w:sz w:val="24"/>
          <w:szCs w:val="24"/>
        </w:rPr>
        <w:t xml:space="preserve">ncreasing the proportion of </w:t>
      </w:r>
      <w:r w:rsidR="00AF5EB2">
        <w:rPr>
          <w:rFonts w:ascii="Times New Roman" w:hAnsi="Times New Roman" w:cs="Times New Roman" w:hint="eastAsia"/>
          <w:color w:val="000000" w:themeColor="text1"/>
          <w:sz w:val="24"/>
          <w:szCs w:val="24"/>
          <w:lang w:eastAsia="zh-CN"/>
        </w:rPr>
        <w:t>board members</w:t>
      </w:r>
      <w:r w:rsidR="00A709FC" w:rsidRPr="00724CA2">
        <w:rPr>
          <w:rFonts w:ascii="Times New Roman" w:hAnsi="Times New Roman" w:cs="Times New Roman"/>
          <w:color w:val="000000" w:themeColor="text1"/>
          <w:sz w:val="24"/>
          <w:szCs w:val="24"/>
        </w:rPr>
        <w:t xml:space="preserve"> with green qualifications </w:t>
      </w:r>
      <w:r w:rsidR="003D6E30" w:rsidRPr="00724CA2">
        <w:rPr>
          <w:rFonts w:ascii="Times New Roman" w:hAnsi="Times New Roman" w:cs="Times New Roman"/>
          <w:color w:val="000000" w:themeColor="text1"/>
          <w:sz w:val="24"/>
          <w:szCs w:val="24"/>
        </w:rPr>
        <w:t xml:space="preserve">and </w:t>
      </w:r>
      <w:r w:rsidR="00FB79C9" w:rsidRPr="00724CA2">
        <w:rPr>
          <w:rFonts w:ascii="Times New Roman" w:hAnsi="Times New Roman" w:cs="Times New Roman"/>
          <w:color w:val="000000" w:themeColor="text1"/>
          <w:sz w:val="24"/>
          <w:szCs w:val="24"/>
        </w:rPr>
        <w:t xml:space="preserve">professional experience. </w:t>
      </w:r>
      <w:r w:rsidR="00335333" w:rsidRPr="00724CA2">
        <w:rPr>
          <w:rFonts w:ascii="Times New Roman" w:hAnsi="Times New Roman" w:cs="Times New Roman"/>
          <w:color w:val="000000" w:themeColor="text1"/>
          <w:sz w:val="24"/>
          <w:szCs w:val="24"/>
        </w:rPr>
        <w:t>I</w:t>
      </w:r>
      <w:r w:rsidR="00FB79C9" w:rsidRPr="00724CA2">
        <w:rPr>
          <w:rFonts w:ascii="Times New Roman" w:hAnsi="Times New Roman" w:cs="Times New Roman"/>
          <w:color w:val="000000" w:themeColor="text1"/>
          <w:sz w:val="24"/>
          <w:szCs w:val="24"/>
        </w:rPr>
        <w:t xml:space="preserve">t is </w:t>
      </w:r>
      <w:r w:rsidR="00335333" w:rsidRPr="00724CA2">
        <w:rPr>
          <w:rFonts w:ascii="Times New Roman" w:hAnsi="Times New Roman" w:cs="Times New Roman"/>
          <w:color w:val="000000" w:themeColor="text1"/>
          <w:sz w:val="24"/>
          <w:szCs w:val="24"/>
        </w:rPr>
        <w:t xml:space="preserve">also </w:t>
      </w:r>
      <w:r w:rsidR="00FB79C9" w:rsidRPr="00724CA2">
        <w:rPr>
          <w:rFonts w:ascii="Times New Roman" w:hAnsi="Times New Roman" w:cs="Times New Roman"/>
          <w:color w:val="000000" w:themeColor="text1"/>
          <w:sz w:val="24"/>
          <w:szCs w:val="24"/>
        </w:rPr>
        <w:t xml:space="preserve">important </w:t>
      </w:r>
      <w:r w:rsidR="00335333" w:rsidRPr="00724CA2">
        <w:rPr>
          <w:rFonts w:ascii="Times New Roman" w:hAnsi="Times New Roman" w:cs="Times New Roman"/>
          <w:color w:val="000000" w:themeColor="text1"/>
          <w:sz w:val="24"/>
          <w:szCs w:val="24"/>
        </w:rPr>
        <w:t xml:space="preserve">for managers </w:t>
      </w:r>
      <w:r w:rsidR="00FB79C9" w:rsidRPr="00724CA2">
        <w:rPr>
          <w:rFonts w:ascii="Times New Roman" w:hAnsi="Times New Roman" w:cs="Times New Roman"/>
          <w:color w:val="000000" w:themeColor="text1"/>
          <w:sz w:val="24"/>
          <w:szCs w:val="24"/>
        </w:rPr>
        <w:t xml:space="preserve">to </w:t>
      </w:r>
      <w:r w:rsidR="00FF03B5" w:rsidRPr="00724CA2">
        <w:rPr>
          <w:rFonts w:ascii="Times New Roman" w:hAnsi="Times New Roman" w:cs="Times New Roman"/>
          <w:color w:val="000000" w:themeColor="text1"/>
          <w:sz w:val="24"/>
          <w:szCs w:val="24"/>
        </w:rPr>
        <w:t xml:space="preserve">reflect </w:t>
      </w:r>
      <w:r w:rsidR="0094629D" w:rsidRPr="00724CA2">
        <w:rPr>
          <w:rFonts w:ascii="Times New Roman" w:hAnsi="Times New Roman" w:cs="Times New Roman"/>
          <w:color w:val="000000" w:themeColor="text1"/>
          <w:sz w:val="24"/>
          <w:szCs w:val="24"/>
        </w:rPr>
        <w:t>on th</w:t>
      </w:r>
      <w:r w:rsidR="00FF03B5" w:rsidRPr="00724CA2">
        <w:rPr>
          <w:rFonts w:ascii="Times New Roman" w:hAnsi="Times New Roman" w:cs="Times New Roman"/>
          <w:color w:val="000000" w:themeColor="text1"/>
          <w:sz w:val="24"/>
          <w:szCs w:val="24"/>
        </w:rPr>
        <w:t>e</w:t>
      </w:r>
      <w:r w:rsidR="006F2CE1" w:rsidRPr="00724CA2">
        <w:rPr>
          <w:rFonts w:ascii="Times New Roman" w:hAnsi="Times New Roman" w:cs="Times New Roman"/>
          <w:color w:val="000000" w:themeColor="text1"/>
          <w:sz w:val="24"/>
          <w:szCs w:val="24"/>
        </w:rPr>
        <w:t xml:space="preserve"> green</w:t>
      </w:r>
      <w:r w:rsidR="00FF03B5" w:rsidRPr="00724CA2">
        <w:rPr>
          <w:rFonts w:ascii="Times New Roman" w:hAnsi="Times New Roman" w:cs="Times New Roman"/>
          <w:color w:val="000000" w:themeColor="text1"/>
          <w:sz w:val="24"/>
          <w:szCs w:val="24"/>
        </w:rPr>
        <w:t xml:space="preserve"> questions raised by investors. </w:t>
      </w:r>
      <w:r w:rsidR="00547472" w:rsidRPr="00724CA2">
        <w:rPr>
          <w:rFonts w:ascii="Times New Roman" w:hAnsi="Times New Roman" w:cs="Times New Roman"/>
          <w:color w:val="000000" w:themeColor="text1"/>
          <w:sz w:val="24"/>
          <w:szCs w:val="24"/>
        </w:rPr>
        <w:t>Lastly</w:t>
      </w:r>
      <w:r w:rsidR="008E32A6" w:rsidRPr="00724CA2">
        <w:rPr>
          <w:rFonts w:ascii="Times New Roman" w:hAnsi="Times New Roman" w:cs="Times New Roman"/>
          <w:color w:val="000000" w:themeColor="text1"/>
          <w:sz w:val="24"/>
          <w:szCs w:val="24"/>
        </w:rPr>
        <w:t>,</w:t>
      </w:r>
      <w:r w:rsidR="00547472" w:rsidRPr="00724CA2">
        <w:rPr>
          <w:rFonts w:ascii="Times New Roman" w:hAnsi="Times New Roman" w:cs="Times New Roman"/>
          <w:color w:val="000000" w:themeColor="text1"/>
          <w:sz w:val="24"/>
          <w:szCs w:val="24"/>
        </w:rPr>
        <w:t xml:space="preserve"> </w:t>
      </w:r>
      <w:r w:rsidR="00E66F88" w:rsidRPr="00724CA2">
        <w:rPr>
          <w:rFonts w:ascii="Times New Roman" w:hAnsi="Times New Roman" w:cs="Times New Roman"/>
          <w:color w:val="000000" w:themeColor="text1"/>
          <w:sz w:val="24"/>
          <w:szCs w:val="24"/>
        </w:rPr>
        <w:t xml:space="preserve">managers need to be cognisant of </w:t>
      </w:r>
      <w:r w:rsidR="00547472" w:rsidRPr="00724CA2">
        <w:rPr>
          <w:rFonts w:ascii="Times New Roman" w:hAnsi="Times New Roman" w:cs="Times New Roman"/>
          <w:color w:val="000000" w:themeColor="text1"/>
          <w:sz w:val="24"/>
          <w:szCs w:val="24"/>
        </w:rPr>
        <w:t>investor</w:t>
      </w:r>
      <w:r w:rsidR="008F580F" w:rsidRPr="00724CA2">
        <w:rPr>
          <w:rFonts w:ascii="Times New Roman" w:hAnsi="Times New Roman" w:cs="Times New Roman"/>
          <w:color w:val="000000" w:themeColor="text1"/>
          <w:sz w:val="24"/>
          <w:szCs w:val="24"/>
        </w:rPr>
        <w:t xml:space="preserve"> expectations which</w:t>
      </w:r>
      <w:r w:rsidR="00547472" w:rsidRPr="00724CA2">
        <w:rPr>
          <w:rFonts w:ascii="Times New Roman" w:hAnsi="Times New Roman" w:cs="Times New Roman"/>
          <w:color w:val="000000" w:themeColor="text1"/>
          <w:sz w:val="24"/>
          <w:szCs w:val="24"/>
        </w:rPr>
        <w:t xml:space="preserve"> vary accordingly to their </w:t>
      </w:r>
      <w:r w:rsidR="00642A14" w:rsidRPr="00724CA2">
        <w:rPr>
          <w:rFonts w:ascii="Times New Roman" w:hAnsi="Times New Roman" w:cs="Times New Roman"/>
          <w:color w:val="000000" w:themeColor="text1"/>
          <w:sz w:val="24"/>
          <w:szCs w:val="24"/>
        </w:rPr>
        <w:t xml:space="preserve">stated investment objectives and </w:t>
      </w:r>
      <w:r w:rsidR="00945D2C" w:rsidRPr="00724CA2">
        <w:rPr>
          <w:rFonts w:ascii="Times New Roman" w:hAnsi="Times New Roman" w:cs="Times New Roman"/>
          <w:color w:val="000000" w:themeColor="text1"/>
          <w:sz w:val="24"/>
          <w:szCs w:val="24"/>
        </w:rPr>
        <w:t>public</w:t>
      </w:r>
      <w:r w:rsidR="00642A14" w:rsidRPr="00724CA2">
        <w:rPr>
          <w:rFonts w:ascii="Times New Roman" w:hAnsi="Times New Roman" w:cs="Times New Roman"/>
          <w:color w:val="000000" w:themeColor="text1"/>
          <w:sz w:val="24"/>
          <w:szCs w:val="24"/>
        </w:rPr>
        <w:t xml:space="preserve"> </w:t>
      </w:r>
      <w:r w:rsidR="008F580F" w:rsidRPr="00724CA2">
        <w:rPr>
          <w:rFonts w:ascii="Times New Roman" w:hAnsi="Times New Roman" w:cs="Times New Roman"/>
          <w:color w:val="000000" w:themeColor="text1"/>
          <w:sz w:val="24"/>
          <w:szCs w:val="24"/>
        </w:rPr>
        <w:t xml:space="preserve">commitments </w:t>
      </w:r>
      <w:r w:rsidR="00642A14" w:rsidRPr="00724CA2">
        <w:rPr>
          <w:rFonts w:ascii="Times New Roman" w:hAnsi="Times New Roman" w:cs="Times New Roman"/>
          <w:color w:val="000000" w:themeColor="text1"/>
          <w:sz w:val="24"/>
          <w:szCs w:val="24"/>
        </w:rPr>
        <w:t xml:space="preserve">to </w:t>
      </w:r>
      <w:r w:rsidR="00945D2C" w:rsidRPr="00724CA2">
        <w:rPr>
          <w:rFonts w:ascii="Times New Roman" w:hAnsi="Times New Roman" w:cs="Times New Roman"/>
          <w:color w:val="000000" w:themeColor="text1"/>
          <w:sz w:val="24"/>
          <w:szCs w:val="24"/>
        </w:rPr>
        <w:t>achiev</w:t>
      </w:r>
      <w:r w:rsidR="008F580F" w:rsidRPr="00724CA2">
        <w:rPr>
          <w:rFonts w:ascii="Times New Roman" w:hAnsi="Times New Roman" w:cs="Times New Roman"/>
          <w:color w:val="000000" w:themeColor="text1"/>
          <w:sz w:val="24"/>
          <w:szCs w:val="24"/>
        </w:rPr>
        <w:t>e</w:t>
      </w:r>
      <w:r w:rsidR="00945D2C" w:rsidRPr="00724CA2">
        <w:rPr>
          <w:rFonts w:ascii="Times New Roman" w:hAnsi="Times New Roman" w:cs="Times New Roman"/>
          <w:color w:val="000000" w:themeColor="text1"/>
          <w:sz w:val="24"/>
          <w:szCs w:val="24"/>
        </w:rPr>
        <w:t xml:space="preserve"> </w:t>
      </w:r>
      <w:r w:rsidR="00642A14" w:rsidRPr="00724CA2">
        <w:rPr>
          <w:rFonts w:ascii="Times New Roman" w:hAnsi="Times New Roman" w:cs="Times New Roman"/>
          <w:color w:val="000000" w:themeColor="text1"/>
          <w:sz w:val="24"/>
          <w:szCs w:val="24"/>
        </w:rPr>
        <w:t>environmental</w:t>
      </w:r>
      <w:r w:rsidR="00945D2C" w:rsidRPr="00724CA2">
        <w:rPr>
          <w:rFonts w:ascii="Times New Roman" w:hAnsi="Times New Roman" w:cs="Times New Roman"/>
          <w:color w:val="000000" w:themeColor="text1"/>
          <w:sz w:val="24"/>
          <w:szCs w:val="24"/>
        </w:rPr>
        <w:t xml:space="preserve"> goals. </w:t>
      </w:r>
      <w:r w:rsidR="00642A14" w:rsidRPr="00724CA2">
        <w:rPr>
          <w:rFonts w:ascii="Times New Roman" w:hAnsi="Times New Roman" w:cs="Times New Roman"/>
          <w:color w:val="000000" w:themeColor="text1"/>
          <w:sz w:val="24"/>
          <w:szCs w:val="24"/>
        </w:rPr>
        <w:t xml:space="preserve"> </w:t>
      </w:r>
      <w:r w:rsidR="00547472" w:rsidRPr="00724CA2">
        <w:rPr>
          <w:rFonts w:ascii="Times New Roman" w:hAnsi="Times New Roman" w:cs="Times New Roman"/>
          <w:color w:val="000000" w:themeColor="text1"/>
          <w:sz w:val="24"/>
          <w:szCs w:val="24"/>
        </w:rPr>
        <w:t xml:space="preserve"> </w:t>
      </w:r>
    </w:p>
    <w:p w14:paraId="6A7FF4E3" w14:textId="65D8AE26" w:rsidR="00AB7ED9" w:rsidRPr="00724CA2" w:rsidRDefault="00A247D3" w:rsidP="00823F06">
      <w:pPr>
        <w:spacing w:afterLines="50" w:after="120" w:line="480" w:lineRule="auto"/>
        <w:ind w:firstLine="284"/>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For policy makers w</w:t>
      </w:r>
      <w:r w:rsidR="005D2707" w:rsidRPr="00724CA2">
        <w:rPr>
          <w:rFonts w:ascii="Times New Roman" w:hAnsi="Times New Roman" w:cs="Times New Roman"/>
          <w:bCs/>
          <w:color w:val="000000" w:themeColor="text1"/>
          <w:sz w:val="24"/>
          <w:szCs w:val="24"/>
        </w:rPr>
        <w:t xml:space="preserve">e advocate mutual fund investment as a policy tool for enhancing environmental protection. </w:t>
      </w:r>
      <w:r w:rsidR="004350D4" w:rsidRPr="00724CA2">
        <w:rPr>
          <w:rFonts w:ascii="Times New Roman" w:hAnsi="Times New Roman" w:cs="Times New Roman"/>
          <w:color w:val="000000" w:themeColor="text1"/>
          <w:sz w:val="24"/>
          <w:szCs w:val="24"/>
        </w:rPr>
        <w:t xml:space="preserve">Just as regulatory developments are disseminated through international institutional investors (Aggarwal et al., 2011), we propose mutual fund investment can be a conduit for changing environmental decision making. </w:t>
      </w:r>
      <w:r w:rsidR="00753C39" w:rsidRPr="00753C39">
        <w:rPr>
          <w:rFonts w:ascii="Times New Roman" w:hAnsi="Times New Roman" w:cs="Times New Roman"/>
          <w:bCs/>
          <w:color w:val="000000" w:themeColor="text1"/>
          <w:sz w:val="24"/>
          <w:szCs w:val="24"/>
        </w:rPr>
        <w:t>Currently, Chinese financial regulators promote mutual fund investments to enhance corporate monitoring and governance quality in China</w:t>
      </w:r>
      <w:r w:rsidR="005D2707" w:rsidRPr="00724CA2">
        <w:rPr>
          <w:rFonts w:ascii="Times New Roman" w:hAnsi="Times New Roman" w:cs="Times New Roman"/>
          <w:bCs/>
          <w:color w:val="000000" w:themeColor="text1"/>
          <w:sz w:val="24"/>
          <w:szCs w:val="24"/>
        </w:rPr>
        <w:t xml:space="preserve">. We propose this guidance is augmented to include the benefits of mutual fund ownership for enhancing environmental spending and achieving climate change goals. </w:t>
      </w:r>
    </w:p>
    <w:p w14:paraId="75673A12" w14:textId="77777777" w:rsidR="00B85B34" w:rsidRPr="00724CA2" w:rsidRDefault="00B85B34" w:rsidP="00284081">
      <w:pPr>
        <w:spacing w:afterLines="50" w:after="120" w:line="480" w:lineRule="auto"/>
        <w:jc w:val="both"/>
        <w:rPr>
          <w:rFonts w:ascii="Times New Roman" w:hAnsi="Times New Roman" w:cs="Times New Roman"/>
          <w:bCs/>
          <w:color w:val="000000" w:themeColor="text1"/>
          <w:sz w:val="24"/>
          <w:szCs w:val="24"/>
        </w:rPr>
      </w:pPr>
    </w:p>
    <w:p w14:paraId="7DDD295A" w14:textId="4A410DA5" w:rsidR="006A1188" w:rsidRPr="00724CA2" w:rsidRDefault="006A1188" w:rsidP="00284081">
      <w:pPr>
        <w:autoSpaceDE w:val="0"/>
        <w:autoSpaceDN w:val="0"/>
        <w:adjustRightInd w:val="0"/>
        <w:spacing w:afterLines="50" w:after="120" w:line="480" w:lineRule="auto"/>
        <w:jc w:val="both"/>
        <w:rPr>
          <w:rFonts w:ascii="Times New Roman" w:hAnsi="Times New Roman" w:cs="Times New Roman"/>
          <w:i/>
          <w:iCs/>
          <w:color w:val="000000" w:themeColor="text1"/>
          <w:sz w:val="24"/>
          <w:szCs w:val="24"/>
        </w:rPr>
      </w:pPr>
      <w:r w:rsidRPr="00724CA2">
        <w:rPr>
          <w:rFonts w:ascii="Times New Roman" w:hAnsi="Times New Roman" w:cs="Times New Roman"/>
          <w:i/>
          <w:iCs/>
          <w:color w:val="000000" w:themeColor="text1"/>
          <w:sz w:val="24"/>
          <w:szCs w:val="24"/>
        </w:rPr>
        <w:lastRenderedPageBreak/>
        <w:t>5.2</w:t>
      </w:r>
      <w:r w:rsidRPr="00724CA2">
        <w:rPr>
          <w:rFonts w:ascii="Times New Roman" w:hAnsi="Times New Roman" w:cs="Times New Roman"/>
          <w:i/>
          <w:iCs/>
          <w:color w:val="000000" w:themeColor="text1"/>
          <w:sz w:val="24"/>
          <w:szCs w:val="24"/>
        </w:rPr>
        <w:tab/>
        <w:t>Future Research</w:t>
      </w:r>
    </w:p>
    <w:p w14:paraId="429CA395" w14:textId="42471B93" w:rsidR="0034048E" w:rsidRPr="00724CA2" w:rsidRDefault="00F63499" w:rsidP="001E56D2">
      <w:pPr>
        <w:pStyle w:val="Default"/>
        <w:spacing w:afterLines="50" w:after="120" w:line="480" w:lineRule="auto"/>
        <w:ind w:firstLine="284"/>
        <w:jc w:val="both"/>
        <w:rPr>
          <w:rFonts w:ascii="Times New Roman" w:hAnsi="Times New Roman" w:cs="Times New Roman"/>
          <w:color w:val="000000" w:themeColor="text1"/>
        </w:rPr>
      </w:pPr>
      <w:r w:rsidRPr="00724CA2">
        <w:rPr>
          <w:rFonts w:ascii="Times New Roman" w:hAnsi="Times New Roman" w:cs="Times New Roman"/>
          <w:color w:val="000000" w:themeColor="text1"/>
        </w:rPr>
        <w:t xml:space="preserve">We encourage further research to identify </w:t>
      </w:r>
      <w:r w:rsidR="00C64492" w:rsidRPr="00724CA2">
        <w:rPr>
          <w:rFonts w:ascii="Times New Roman" w:hAnsi="Times New Roman" w:cs="Times New Roman"/>
          <w:color w:val="000000" w:themeColor="text1"/>
        </w:rPr>
        <w:t xml:space="preserve">and overcome the challenges faced by </w:t>
      </w:r>
      <w:r w:rsidR="00A7755F" w:rsidRPr="00724CA2">
        <w:rPr>
          <w:rFonts w:ascii="Times New Roman" w:hAnsi="Times New Roman" w:cs="Times New Roman"/>
          <w:color w:val="000000" w:themeColor="text1"/>
        </w:rPr>
        <w:t>f</w:t>
      </w:r>
      <w:r w:rsidRPr="00724CA2">
        <w:rPr>
          <w:rFonts w:ascii="Times New Roman" w:hAnsi="Times New Roman" w:cs="Times New Roman"/>
          <w:color w:val="000000" w:themeColor="text1"/>
        </w:rPr>
        <w:t xml:space="preserve">inancial market participants </w:t>
      </w:r>
      <w:r w:rsidR="00C64492" w:rsidRPr="00724CA2">
        <w:rPr>
          <w:rFonts w:ascii="Times New Roman" w:hAnsi="Times New Roman" w:cs="Times New Roman"/>
          <w:color w:val="000000" w:themeColor="text1"/>
        </w:rPr>
        <w:t xml:space="preserve">in addressing </w:t>
      </w:r>
      <w:r w:rsidRPr="00724CA2">
        <w:rPr>
          <w:rFonts w:ascii="Times New Roman" w:hAnsi="Times New Roman" w:cs="Times New Roman"/>
          <w:color w:val="000000" w:themeColor="text1"/>
        </w:rPr>
        <w:t xml:space="preserve">environmental concerns. </w:t>
      </w:r>
      <w:r w:rsidR="00D52EE5" w:rsidRPr="00724CA2">
        <w:rPr>
          <w:rFonts w:ascii="Times New Roman" w:hAnsi="Times New Roman" w:cs="Times New Roman"/>
          <w:color w:val="000000" w:themeColor="text1"/>
        </w:rPr>
        <w:t xml:space="preserve">A primary obstacle is that </w:t>
      </w:r>
      <w:r w:rsidR="005A1762" w:rsidRPr="00724CA2">
        <w:rPr>
          <w:rFonts w:ascii="Times New Roman" w:hAnsi="Times New Roman" w:cs="Times New Roman"/>
          <w:color w:val="000000" w:themeColor="text1"/>
        </w:rPr>
        <w:t xml:space="preserve">personal communications </w:t>
      </w:r>
      <w:r w:rsidR="00D770D8" w:rsidRPr="00724CA2">
        <w:rPr>
          <w:rFonts w:ascii="Times New Roman" w:hAnsi="Times New Roman" w:cs="Times New Roman"/>
          <w:color w:val="000000" w:themeColor="text1"/>
        </w:rPr>
        <w:t xml:space="preserve">and analysis </w:t>
      </w:r>
      <w:r w:rsidR="005A1762" w:rsidRPr="00724CA2">
        <w:rPr>
          <w:rFonts w:ascii="Times New Roman" w:hAnsi="Times New Roman" w:cs="Times New Roman"/>
          <w:color w:val="000000" w:themeColor="text1"/>
        </w:rPr>
        <w:t xml:space="preserve">within the investment world </w:t>
      </w:r>
      <w:r w:rsidR="00C40DEC" w:rsidRPr="00724CA2">
        <w:rPr>
          <w:rFonts w:ascii="Times New Roman" w:hAnsi="Times New Roman" w:cs="Times New Roman"/>
          <w:color w:val="000000" w:themeColor="text1"/>
        </w:rPr>
        <w:t xml:space="preserve">are </w:t>
      </w:r>
      <w:r w:rsidR="005A1762" w:rsidRPr="00724CA2">
        <w:rPr>
          <w:rFonts w:ascii="Times New Roman" w:hAnsi="Times New Roman" w:cs="Times New Roman"/>
          <w:color w:val="000000" w:themeColor="text1"/>
        </w:rPr>
        <w:t xml:space="preserve">subject to bias (Hirshleifer, 2020), with concerns as to </w:t>
      </w:r>
      <w:r w:rsidR="00C40DEC" w:rsidRPr="00724CA2">
        <w:rPr>
          <w:rFonts w:ascii="Times New Roman" w:hAnsi="Times New Roman" w:cs="Times New Roman"/>
          <w:color w:val="000000" w:themeColor="text1"/>
        </w:rPr>
        <w:t xml:space="preserve">impression management (Chen and Hwang, 2022) and </w:t>
      </w:r>
      <w:r w:rsidR="005A1762" w:rsidRPr="00724CA2">
        <w:rPr>
          <w:rFonts w:ascii="Times New Roman" w:hAnsi="Times New Roman" w:cs="Times New Roman"/>
          <w:color w:val="000000" w:themeColor="text1"/>
        </w:rPr>
        <w:t xml:space="preserve">the relevance and accuracy of new metrics to quantify </w:t>
      </w:r>
      <w:r w:rsidR="00FB36C8" w:rsidRPr="00724CA2">
        <w:rPr>
          <w:rFonts w:ascii="Times New Roman" w:hAnsi="Times New Roman" w:cs="Times New Roman"/>
          <w:color w:val="000000" w:themeColor="text1"/>
        </w:rPr>
        <w:t xml:space="preserve">environmental </w:t>
      </w:r>
      <w:r w:rsidR="005A1762" w:rsidRPr="00724CA2">
        <w:rPr>
          <w:rFonts w:ascii="Times New Roman" w:hAnsi="Times New Roman" w:cs="Times New Roman"/>
          <w:color w:val="000000" w:themeColor="text1"/>
        </w:rPr>
        <w:t>goals</w:t>
      </w:r>
      <w:r w:rsidR="00FB36C8" w:rsidRPr="00724CA2">
        <w:rPr>
          <w:rFonts w:ascii="Times New Roman" w:hAnsi="Times New Roman" w:cs="Times New Roman"/>
          <w:color w:val="000000" w:themeColor="text1"/>
        </w:rPr>
        <w:t xml:space="preserve"> </w:t>
      </w:r>
      <w:r w:rsidR="005A1762" w:rsidRPr="00724CA2">
        <w:rPr>
          <w:rFonts w:ascii="Times New Roman" w:hAnsi="Times New Roman" w:cs="Times New Roman"/>
          <w:color w:val="000000" w:themeColor="text1"/>
        </w:rPr>
        <w:t>(Popescu et al., 2021).</w:t>
      </w:r>
      <w:r w:rsidR="006A1188" w:rsidRPr="00724CA2">
        <w:rPr>
          <w:rFonts w:ascii="Times New Roman" w:hAnsi="Times New Roman" w:cs="Times New Roman"/>
          <w:color w:val="000000" w:themeColor="text1"/>
        </w:rPr>
        <w:t xml:space="preserve"> </w:t>
      </w:r>
      <w:r w:rsidR="00FB36C8" w:rsidRPr="00724CA2">
        <w:rPr>
          <w:rFonts w:ascii="Times New Roman" w:hAnsi="Times New Roman" w:cs="Times New Roman"/>
          <w:color w:val="000000" w:themeColor="text1"/>
        </w:rPr>
        <w:t xml:space="preserve">Developing the </w:t>
      </w:r>
      <w:r w:rsidR="00EA6525" w:rsidRPr="00724CA2">
        <w:rPr>
          <w:rFonts w:ascii="Times New Roman" w:hAnsi="Times New Roman" w:cs="Times New Roman"/>
          <w:color w:val="000000" w:themeColor="text1"/>
        </w:rPr>
        <w:t xml:space="preserve">metrics </w:t>
      </w:r>
      <w:r w:rsidR="00587D84" w:rsidRPr="00724CA2">
        <w:rPr>
          <w:rFonts w:ascii="Times New Roman" w:hAnsi="Times New Roman" w:cs="Times New Roman"/>
          <w:color w:val="000000" w:themeColor="text1"/>
        </w:rPr>
        <w:t>underlying e</w:t>
      </w:r>
      <w:r w:rsidR="009707CB" w:rsidRPr="00724CA2">
        <w:rPr>
          <w:rFonts w:ascii="Times New Roman" w:hAnsi="Times New Roman" w:cs="Times New Roman"/>
          <w:color w:val="000000" w:themeColor="text1"/>
        </w:rPr>
        <w:t xml:space="preserve">nvironmental decision making and performance measurement </w:t>
      </w:r>
      <w:r w:rsidR="00F957CA" w:rsidRPr="00724CA2">
        <w:rPr>
          <w:rFonts w:ascii="Times New Roman" w:hAnsi="Times New Roman" w:cs="Times New Roman"/>
          <w:color w:val="000000" w:themeColor="text1"/>
        </w:rPr>
        <w:t xml:space="preserve">is imperative. </w:t>
      </w:r>
      <w:r w:rsidR="00303A62" w:rsidRPr="00724CA2">
        <w:rPr>
          <w:rFonts w:ascii="Times New Roman" w:hAnsi="Times New Roman" w:cs="Times New Roman"/>
          <w:color w:val="000000" w:themeColor="text1"/>
        </w:rPr>
        <w:t xml:space="preserve">We acknowledge </w:t>
      </w:r>
      <w:r w:rsidR="009707CB" w:rsidRPr="00724CA2">
        <w:rPr>
          <w:rFonts w:ascii="Times New Roman" w:hAnsi="Times New Roman" w:cs="Times New Roman"/>
          <w:color w:val="000000" w:themeColor="text1"/>
        </w:rPr>
        <w:t xml:space="preserve">that </w:t>
      </w:r>
      <w:r w:rsidR="00F957CA" w:rsidRPr="00724CA2">
        <w:rPr>
          <w:rFonts w:ascii="Times New Roman" w:hAnsi="Times New Roman" w:cs="Times New Roman"/>
          <w:color w:val="000000" w:themeColor="text1"/>
        </w:rPr>
        <w:t xml:space="preserve">assessing </w:t>
      </w:r>
      <w:r w:rsidR="009707CB" w:rsidRPr="00724CA2">
        <w:rPr>
          <w:rFonts w:ascii="Times New Roman" w:hAnsi="Times New Roman" w:cs="Times New Roman"/>
          <w:color w:val="000000" w:themeColor="text1"/>
        </w:rPr>
        <w:t xml:space="preserve">environmental spending </w:t>
      </w:r>
      <w:r w:rsidR="005D52F7" w:rsidRPr="00724CA2">
        <w:rPr>
          <w:rFonts w:ascii="Times New Roman" w:hAnsi="Times New Roman" w:cs="Times New Roman"/>
          <w:color w:val="000000" w:themeColor="text1"/>
        </w:rPr>
        <w:t>maps only part of this challenge</w:t>
      </w:r>
      <w:r w:rsidR="003631CB" w:rsidRPr="00724CA2">
        <w:rPr>
          <w:rFonts w:ascii="Times New Roman" w:hAnsi="Times New Roman" w:cs="Times New Roman"/>
          <w:color w:val="000000" w:themeColor="text1"/>
        </w:rPr>
        <w:t xml:space="preserve">. </w:t>
      </w:r>
      <w:r w:rsidR="009578E3" w:rsidRPr="009578E3">
        <w:rPr>
          <w:rFonts w:ascii="Times New Roman" w:hAnsi="Times New Roman" w:cs="Times New Roman"/>
          <w:color w:val="000000" w:themeColor="text1"/>
        </w:rPr>
        <w:t>Considering the proportion of total environmental costs, including direct and indirect costs covered by such spending, is critical to explore in future research</w:t>
      </w:r>
      <w:r w:rsidR="00004767" w:rsidRPr="00724CA2">
        <w:rPr>
          <w:rFonts w:ascii="Times New Roman" w:hAnsi="Times New Roman" w:cs="Times New Roman"/>
          <w:color w:val="000000" w:themeColor="text1"/>
        </w:rPr>
        <w:t xml:space="preserve">. </w:t>
      </w:r>
    </w:p>
    <w:bookmarkEnd w:id="14"/>
    <w:p w14:paraId="4D8CFA06" w14:textId="77777777" w:rsidR="00ED7FED" w:rsidRDefault="00ED7FED" w:rsidP="0025283F">
      <w:pPr>
        <w:autoSpaceDE w:val="0"/>
        <w:autoSpaceDN w:val="0"/>
        <w:adjustRightInd w:val="0"/>
        <w:spacing w:afterLines="50" w:after="120" w:line="480" w:lineRule="auto"/>
        <w:jc w:val="both"/>
        <w:rPr>
          <w:rFonts w:ascii="Times New Roman" w:hAnsi="Times New Roman" w:cs="Times New Roman"/>
          <w:color w:val="000000" w:themeColor="text1"/>
          <w:sz w:val="24"/>
          <w:szCs w:val="24"/>
        </w:rPr>
      </w:pPr>
    </w:p>
    <w:p w14:paraId="0CA303B0" w14:textId="77777777" w:rsidR="008B1E39" w:rsidRPr="00724CA2" w:rsidRDefault="008B1E39" w:rsidP="0025283F">
      <w:pPr>
        <w:autoSpaceDE w:val="0"/>
        <w:autoSpaceDN w:val="0"/>
        <w:adjustRightInd w:val="0"/>
        <w:spacing w:afterLines="50" w:after="120" w:line="480" w:lineRule="auto"/>
        <w:jc w:val="both"/>
        <w:rPr>
          <w:rFonts w:ascii="Times New Roman" w:hAnsi="Times New Roman" w:cs="Times New Roman"/>
          <w:color w:val="000000" w:themeColor="text1"/>
          <w:sz w:val="24"/>
          <w:szCs w:val="24"/>
        </w:rPr>
      </w:pPr>
    </w:p>
    <w:p w14:paraId="65C57BEA" w14:textId="77777777" w:rsidR="00ED7FED" w:rsidRPr="00724CA2" w:rsidRDefault="00ED7FED" w:rsidP="0025283F">
      <w:pPr>
        <w:autoSpaceDE w:val="0"/>
        <w:autoSpaceDN w:val="0"/>
        <w:adjustRightInd w:val="0"/>
        <w:spacing w:afterLines="50" w:after="120" w:line="480" w:lineRule="auto"/>
        <w:jc w:val="both"/>
        <w:rPr>
          <w:rFonts w:ascii="Times New Roman" w:hAnsi="Times New Roman" w:cs="Times New Roman"/>
          <w:color w:val="000000" w:themeColor="text1"/>
          <w:sz w:val="24"/>
          <w:szCs w:val="24"/>
        </w:rPr>
      </w:pPr>
    </w:p>
    <w:p w14:paraId="1D19D702" w14:textId="12762E55" w:rsidR="00DE6108" w:rsidRPr="00724CA2" w:rsidRDefault="005E377B" w:rsidP="008B1E39">
      <w:pPr>
        <w:pStyle w:val="Default"/>
        <w:spacing w:after="120" w:line="348" w:lineRule="auto"/>
        <w:jc w:val="both"/>
        <w:rPr>
          <w:rFonts w:ascii="Times New Roman" w:hAnsi="Times New Roman" w:cs="Times New Roman"/>
          <w:b/>
          <w:color w:val="000000" w:themeColor="text1"/>
        </w:rPr>
      </w:pPr>
      <w:bookmarkStart w:id="15" w:name="OLE_LINK31"/>
      <w:bookmarkStart w:id="16" w:name="OLE_LINK32"/>
      <w:r w:rsidRPr="00724CA2">
        <w:rPr>
          <w:rFonts w:ascii="Times New Roman" w:hAnsi="Times New Roman" w:cs="Times New Roman"/>
          <w:b/>
          <w:color w:val="000000" w:themeColor="text1"/>
        </w:rPr>
        <w:t xml:space="preserve">References </w:t>
      </w:r>
    </w:p>
    <w:p w14:paraId="02E8D72B" w14:textId="09F3E6AF" w:rsidR="00246019" w:rsidRPr="00724CA2" w:rsidRDefault="00246019" w:rsidP="008B1E39">
      <w:pPr>
        <w:pStyle w:val="Default"/>
        <w:spacing w:after="120" w:line="348" w:lineRule="auto"/>
        <w:jc w:val="both"/>
        <w:rPr>
          <w:rFonts w:ascii="Times New Roman" w:hAnsi="Times New Roman" w:cs="Times New Roman"/>
          <w:bCs/>
          <w:color w:val="000000" w:themeColor="text1"/>
        </w:rPr>
      </w:pPr>
      <w:bookmarkStart w:id="17" w:name="_Hlk75308197"/>
      <w:r w:rsidRPr="00724CA2">
        <w:rPr>
          <w:rFonts w:ascii="Times New Roman" w:hAnsi="Times New Roman" w:cs="Times New Roman"/>
          <w:bCs/>
          <w:color w:val="000000" w:themeColor="text1"/>
          <w:shd w:val="clear" w:color="auto" w:fill="FFFFFF"/>
        </w:rPr>
        <w:t>Abebe, M.A., &amp; Acharya, K. (2022). Founder CEOs and corporate environmental violations: Evidence from S&amp;P 1500 firms. </w:t>
      </w:r>
      <w:r w:rsidRPr="00724CA2">
        <w:rPr>
          <w:rFonts w:ascii="Times New Roman" w:hAnsi="Times New Roman" w:cs="Times New Roman"/>
          <w:bCs/>
          <w:i/>
          <w:iCs/>
          <w:color w:val="000000" w:themeColor="text1"/>
          <w:shd w:val="clear" w:color="auto" w:fill="FFFFFF"/>
        </w:rPr>
        <w:t>Business Strategy and the Environment</w:t>
      </w:r>
      <w:r w:rsidRPr="00724CA2">
        <w:rPr>
          <w:rFonts w:ascii="Times New Roman" w:hAnsi="Times New Roman" w:cs="Times New Roman"/>
          <w:bCs/>
          <w:color w:val="000000" w:themeColor="text1"/>
          <w:shd w:val="clear" w:color="auto" w:fill="FFFFFF"/>
        </w:rPr>
        <w:t>, </w:t>
      </w:r>
      <w:r w:rsidRPr="00724CA2">
        <w:rPr>
          <w:rFonts w:ascii="Times New Roman" w:hAnsi="Times New Roman" w:cs="Times New Roman"/>
          <w:bCs/>
          <w:i/>
          <w:iCs/>
          <w:color w:val="000000" w:themeColor="text1"/>
          <w:shd w:val="clear" w:color="auto" w:fill="FFFFFF"/>
        </w:rPr>
        <w:t>31</w:t>
      </w:r>
      <w:r w:rsidRPr="00724CA2">
        <w:rPr>
          <w:rFonts w:ascii="Times New Roman" w:hAnsi="Times New Roman" w:cs="Times New Roman"/>
          <w:bCs/>
          <w:color w:val="000000" w:themeColor="text1"/>
          <w:shd w:val="clear" w:color="auto" w:fill="FFFFFF"/>
        </w:rPr>
        <w:t>(3), 1204-1219.</w:t>
      </w:r>
    </w:p>
    <w:p w14:paraId="54262775" w14:textId="676708EC" w:rsidR="00BF69C3" w:rsidRPr="00724CA2" w:rsidRDefault="00BF69C3" w:rsidP="008B1E39">
      <w:pPr>
        <w:pStyle w:val="Default"/>
        <w:spacing w:after="120" w:line="348" w:lineRule="auto"/>
        <w:jc w:val="both"/>
        <w:rPr>
          <w:rFonts w:ascii="Times New Roman" w:hAnsi="Times New Roman" w:cs="Times New Roman"/>
          <w:bCs/>
          <w:color w:val="000000" w:themeColor="text1"/>
        </w:rPr>
      </w:pPr>
      <w:r w:rsidRPr="00724CA2">
        <w:rPr>
          <w:rFonts w:ascii="Times New Roman" w:hAnsi="Times New Roman" w:cs="Times New Roman"/>
          <w:bCs/>
          <w:color w:val="000000" w:themeColor="text1"/>
        </w:rPr>
        <w:t>Aggarwal, R</w:t>
      </w:r>
      <w:r w:rsidR="00213C21" w:rsidRPr="00724CA2">
        <w:rPr>
          <w:rFonts w:ascii="Times New Roman" w:hAnsi="Times New Roman" w:cs="Times New Roman"/>
          <w:bCs/>
          <w:color w:val="000000" w:themeColor="text1"/>
        </w:rPr>
        <w:t>.</w:t>
      </w:r>
      <w:r w:rsidRPr="00724CA2">
        <w:rPr>
          <w:rFonts w:ascii="Times New Roman" w:hAnsi="Times New Roman" w:cs="Times New Roman"/>
          <w:bCs/>
          <w:color w:val="000000" w:themeColor="text1"/>
        </w:rPr>
        <w:t>, Erel, I.</w:t>
      </w:r>
      <w:r w:rsidR="00213C21" w:rsidRPr="00724CA2">
        <w:rPr>
          <w:rFonts w:ascii="Times New Roman" w:hAnsi="Times New Roman" w:cs="Times New Roman"/>
          <w:bCs/>
          <w:color w:val="000000" w:themeColor="text1"/>
        </w:rPr>
        <w:t>,</w:t>
      </w:r>
      <w:r w:rsidRPr="00724CA2">
        <w:rPr>
          <w:rFonts w:ascii="Times New Roman" w:hAnsi="Times New Roman" w:cs="Times New Roman"/>
          <w:bCs/>
          <w:color w:val="000000" w:themeColor="text1"/>
        </w:rPr>
        <w:t xml:space="preserve"> Ferreira, M. </w:t>
      </w:r>
      <w:r w:rsidR="00FC2BAC" w:rsidRPr="00724CA2">
        <w:rPr>
          <w:rFonts w:ascii="Times New Roman" w:hAnsi="Times New Roman" w:cs="Times New Roman"/>
          <w:bCs/>
          <w:color w:val="000000" w:themeColor="text1"/>
        </w:rPr>
        <w:t xml:space="preserve">&amp; </w:t>
      </w:r>
      <w:r w:rsidRPr="00724CA2">
        <w:rPr>
          <w:rFonts w:ascii="Times New Roman" w:hAnsi="Times New Roman" w:cs="Times New Roman"/>
          <w:bCs/>
          <w:color w:val="000000" w:themeColor="text1"/>
        </w:rPr>
        <w:t>Matos P. (2011). Does governance travel around the world? Evidence from institutional investors</w:t>
      </w:r>
      <w:r w:rsidR="00176770" w:rsidRPr="00724CA2">
        <w:rPr>
          <w:rFonts w:ascii="Times New Roman" w:hAnsi="Times New Roman" w:cs="Times New Roman"/>
          <w:bCs/>
          <w:color w:val="000000" w:themeColor="text1"/>
        </w:rPr>
        <w:t>.</w:t>
      </w:r>
      <w:r w:rsidRPr="00724CA2">
        <w:rPr>
          <w:rFonts w:ascii="Times New Roman" w:hAnsi="Times New Roman" w:cs="Times New Roman"/>
          <w:bCs/>
          <w:color w:val="000000" w:themeColor="text1"/>
        </w:rPr>
        <w:t xml:space="preserve"> </w:t>
      </w:r>
      <w:r w:rsidRPr="00724CA2">
        <w:rPr>
          <w:rFonts w:ascii="Times New Roman" w:hAnsi="Times New Roman" w:cs="Times New Roman"/>
          <w:bCs/>
          <w:i/>
          <w:color w:val="000000" w:themeColor="text1"/>
        </w:rPr>
        <w:t xml:space="preserve">Journal of Financial </w:t>
      </w:r>
      <w:r w:rsidRPr="00724CA2">
        <w:rPr>
          <w:rFonts w:ascii="Times New Roman" w:hAnsi="Times New Roman" w:cs="Times New Roman"/>
          <w:bCs/>
          <w:i/>
          <w:iCs/>
          <w:color w:val="000000" w:themeColor="text1"/>
        </w:rPr>
        <w:t>Economics</w:t>
      </w:r>
      <w:r w:rsidRPr="00724CA2">
        <w:rPr>
          <w:rFonts w:ascii="Times New Roman" w:hAnsi="Times New Roman" w:cs="Times New Roman"/>
          <w:bCs/>
          <w:color w:val="000000" w:themeColor="text1"/>
        </w:rPr>
        <w:t xml:space="preserve">, </w:t>
      </w:r>
      <w:r w:rsidRPr="00724CA2">
        <w:rPr>
          <w:rFonts w:ascii="Times New Roman" w:hAnsi="Times New Roman" w:cs="Times New Roman"/>
          <w:bCs/>
          <w:i/>
          <w:iCs/>
          <w:color w:val="000000" w:themeColor="text1"/>
        </w:rPr>
        <w:t>100</w:t>
      </w:r>
      <w:r w:rsidRPr="00724CA2">
        <w:rPr>
          <w:rFonts w:ascii="Times New Roman" w:hAnsi="Times New Roman" w:cs="Times New Roman"/>
          <w:bCs/>
          <w:color w:val="000000" w:themeColor="text1"/>
        </w:rPr>
        <w:t>, 154–181</w:t>
      </w:r>
      <w:r w:rsidR="007172E6" w:rsidRPr="00724CA2">
        <w:rPr>
          <w:rFonts w:ascii="Times New Roman" w:hAnsi="Times New Roman" w:cs="Times New Roman"/>
          <w:bCs/>
          <w:color w:val="000000" w:themeColor="text1"/>
        </w:rPr>
        <w:t>.</w:t>
      </w:r>
    </w:p>
    <w:p w14:paraId="3D960880" w14:textId="4A1A73E3" w:rsidR="007172E6" w:rsidRPr="00724CA2" w:rsidRDefault="007172E6"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Aggarwal, R., Hu, M., &amp; Yang, J. (2015). Fraud, market reaction, and the role of institutional investors in Chinese listed firms. </w:t>
      </w:r>
      <w:r w:rsidRPr="00724CA2">
        <w:rPr>
          <w:rFonts w:ascii="Times New Roman" w:hAnsi="Times New Roman" w:cs="Times New Roman"/>
          <w:bCs/>
          <w:i/>
          <w:iCs/>
          <w:color w:val="000000" w:themeColor="text1"/>
          <w:sz w:val="24"/>
          <w:szCs w:val="24"/>
          <w:shd w:val="clear" w:color="auto" w:fill="FFFFFF"/>
        </w:rPr>
        <w:t>The Journal of Portfolio Management</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41</w:t>
      </w:r>
      <w:r w:rsidRPr="00724CA2">
        <w:rPr>
          <w:rFonts w:ascii="Times New Roman" w:hAnsi="Times New Roman" w:cs="Times New Roman"/>
          <w:bCs/>
          <w:color w:val="000000" w:themeColor="text1"/>
          <w:sz w:val="24"/>
          <w:szCs w:val="24"/>
          <w:shd w:val="clear" w:color="auto" w:fill="FFFFFF"/>
        </w:rPr>
        <w:t>(5), 92-109.</w:t>
      </w:r>
    </w:p>
    <w:p w14:paraId="45DBCCCD" w14:textId="73BA6C05" w:rsidR="007172E6" w:rsidRPr="00724CA2" w:rsidRDefault="007172E6" w:rsidP="008B1E39">
      <w:pPr>
        <w:autoSpaceDE w:val="0"/>
        <w:autoSpaceDN w:val="0"/>
        <w:adjustRightInd w:val="0"/>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Alda, M. (2019). Corporate sustainability and institutional shareholders: The pressure of social responsible pension funds on environmental firm practices. </w:t>
      </w:r>
      <w:r w:rsidRPr="00724CA2">
        <w:rPr>
          <w:rFonts w:ascii="Times New Roman" w:hAnsi="Times New Roman" w:cs="Times New Roman"/>
          <w:bCs/>
          <w:i/>
          <w:iCs/>
          <w:color w:val="000000" w:themeColor="text1"/>
          <w:sz w:val="24"/>
          <w:szCs w:val="24"/>
        </w:rPr>
        <w:t>Business Strategy and the Environment</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28</w:t>
      </w:r>
      <w:r w:rsidRPr="00724CA2">
        <w:rPr>
          <w:rFonts w:ascii="Times New Roman" w:hAnsi="Times New Roman" w:cs="Times New Roman"/>
          <w:bCs/>
          <w:color w:val="000000" w:themeColor="text1"/>
          <w:sz w:val="24"/>
          <w:szCs w:val="24"/>
        </w:rPr>
        <w:t>, 1060–1071.</w:t>
      </w:r>
    </w:p>
    <w:p w14:paraId="0AAD0CCD" w14:textId="7E3EF9AB" w:rsidR="001C684A" w:rsidRPr="00724CA2" w:rsidRDefault="001C684A" w:rsidP="008B1E39">
      <w:pPr>
        <w:autoSpaceDE w:val="0"/>
        <w:autoSpaceDN w:val="0"/>
        <w:adjustRightInd w:val="0"/>
        <w:spacing w:after="120" w:line="348" w:lineRule="auto"/>
        <w:jc w:val="both"/>
        <w:rPr>
          <w:rFonts w:ascii="Times New Roman" w:hAnsi="Times New Roman" w:cs="Times New Roman"/>
          <w:bCs/>
          <w:color w:val="000000" w:themeColor="text1"/>
          <w:sz w:val="24"/>
          <w:szCs w:val="24"/>
          <w:shd w:val="clear" w:color="auto" w:fill="FFFFFF"/>
          <w:lang w:eastAsia="zh-CN"/>
        </w:rPr>
      </w:pPr>
      <w:r w:rsidRPr="00724CA2">
        <w:rPr>
          <w:rFonts w:ascii="Times New Roman" w:hAnsi="Times New Roman" w:cs="Times New Roman"/>
          <w:bCs/>
          <w:color w:val="000000" w:themeColor="text1"/>
          <w:sz w:val="24"/>
          <w:szCs w:val="24"/>
          <w:shd w:val="clear" w:color="auto" w:fill="FFFFFF"/>
        </w:rPr>
        <w:t xml:space="preserve">Aluchna, M., Roszkowska-Menkes, Kaminski, B., and Bosek-Rak, D. (2022). Do institutional investors encourage firm to social disclosure? The stakeholder salience perspective, </w:t>
      </w:r>
      <w:r w:rsidRPr="00724CA2">
        <w:rPr>
          <w:rFonts w:ascii="Times New Roman" w:hAnsi="Times New Roman" w:cs="Times New Roman"/>
          <w:bCs/>
          <w:i/>
          <w:iCs/>
          <w:color w:val="000000" w:themeColor="text1"/>
          <w:sz w:val="24"/>
          <w:szCs w:val="24"/>
          <w:shd w:val="clear" w:color="auto" w:fill="FFFFFF"/>
        </w:rPr>
        <w:t>Journal of Business Research</w:t>
      </w:r>
      <w:r w:rsidR="00750D27" w:rsidRPr="00724CA2">
        <w:rPr>
          <w:rFonts w:ascii="Times New Roman" w:hAnsi="Times New Roman" w:cs="Times New Roman"/>
          <w:bCs/>
          <w:i/>
          <w:iCs/>
          <w:color w:val="000000" w:themeColor="text1"/>
          <w:sz w:val="24"/>
          <w:szCs w:val="24"/>
          <w:shd w:val="clear" w:color="auto" w:fill="FFFFFF"/>
        </w:rPr>
        <w:t>,</w:t>
      </w:r>
      <w:r w:rsidRPr="00724CA2">
        <w:rPr>
          <w:rFonts w:ascii="Times New Roman" w:hAnsi="Times New Roman" w:cs="Times New Roman"/>
          <w:bCs/>
          <w:color w:val="000000" w:themeColor="text1"/>
          <w:sz w:val="24"/>
          <w:szCs w:val="24"/>
          <w:shd w:val="clear" w:color="auto" w:fill="FFFFFF"/>
        </w:rPr>
        <w:t xml:space="preserve"> </w:t>
      </w:r>
      <w:r w:rsidRPr="00724CA2">
        <w:rPr>
          <w:rFonts w:ascii="Times New Roman" w:hAnsi="Times New Roman" w:cs="Times New Roman"/>
          <w:bCs/>
          <w:i/>
          <w:iCs/>
          <w:color w:val="000000" w:themeColor="text1"/>
          <w:sz w:val="24"/>
          <w:szCs w:val="24"/>
          <w:shd w:val="clear" w:color="auto" w:fill="FFFFFF"/>
        </w:rPr>
        <w:t>142</w:t>
      </w:r>
      <w:r w:rsidR="00750D27" w:rsidRPr="00724CA2">
        <w:rPr>
          <w:rFonts w:ascii="Times New Roman" w:hAnsi="Times New Roman" w:cs="Times New Roman"/>
          <w:bCs/>
          <w:color w:val="000000" w:themeColor="text1"/>
          <w:sz w:val="24"/>
          <w:szCs w:val="24"/>
          <w:shd w:val="clear" w:color="auto" w:fill="FFFFFF"/>
        </w:rPr>
        <w:t>,</w:t>
      </w:r>
      <w:r w:rsidRPr="00724CA2">
        <w:rPr>
          <w:rFonts w:ascii="Times New Roman" w:hAnsi="Times New Roman" w:cs="Times New Roman"/>
          <w:bCs/>
          <w:color w:val="000000" w:themeColor="text1"/>
          <w:sz w:val="24"/>
          <w:szCs w:val="24"/>
          <w:shd w:val="clear" w:color="auto" w:fill="FFFFFF"/>
        </w:rPr>
        <w:t xml:space="preserve"> 674–682</w:t>
      </w:r>
      <w:r w:rsidR="003909DC">
        <w:rPr>
          <w:rFonts w:ascii="Times New Roman" w:hAnsi="Times New Roman" w:cs="Times New Roman" w:hint="eastAsia"/>
          <w:bCs/>
          <w:color w:val="000000" w:themeColor="text1"/>
          <w:sz w:val="24"/>
          <w:szCs w:val="24"/>
          <w:shd w:val="clear" w:color="auto" w:fill="FFFFFF"/>
          <w:lang w:eastAsia="zh-CN"/>
        </w:rPr>
        <w:t>.</w:t>
      </w:r>
    </w:p>
    <w:p w14:paraId="320FFDFC" w14:textId="4A5A70FA" w:rsidR="005600D8" w:rsidRPr="00724CA2" w:rsidRDefault="005600D8" w:rsidP="008B1E39">
      <w:pPr>
        <w:autoSpaceDE w:val="0"/>
        <w:autoSpaceDN w:val="0"/>
        <w:adjustRightInd w:val="0"/>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shd w:val="clear" w:color="auto" w:fill="FFFFFF"/>
        </w:rPr>
        <w:lastRenderedPageBreak/>
        <w:t>Ashton, J.K., &amp; Hudson, R.S. (2014). Do lenders cross-subsidise loans by selling payment protection insurance? </w:t>
      </w:r>
      <w:r w:rsidRPr="00724CA2">
        <w:rPr>
          <w:rFonts w:ascii="Times New Roman" w:hAnsi="Times New Roman" w:cs="Times New Roman"/>
          <w:bCs/>
          <w:i/>
          <w:iCs/>
          <w:color w:val="000000" w:themeColor="text1"/>
          <w:sz w:val="24"/>
          <w:szCs w:val="24"/>
          <w:shd w:val="clear" w:color="auto" w:fill="FFFFFF"/>
        </w:rPr>
        <w:t>International Journal of the Economics of Business</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21</w:t>
      </w:r>
      <w:r w:rsidRPr="00724CA2">
        <w:rPr>
          <w:rFonts w:ascii="Times New Roman" w:hAnsi="Times New Roman" w:cs="Times New Roman"/>
          <w:bCs/>
          <w:color w:val="000000" w:themeColor="text1"/>
          <w:sz w:val="24"/>
          <w:szCs w:val="24"/>
          <w:shd w:val="clear" w:color="auto" w:fill="FFFFFF"/>
        </w:rPr>
        <w:t>(1), 121-138.</w:t>
      </w:r>
    </w:p>
    <w:p w14:paraId="03EF855E" w14:textId="68003848" w:rsidR="00E12B2F" w:rsidRPr="00724CA2" w:rsidRDefault="00E12B2F" w:rsidP="008B1E39">
      <w:pPr>
        <w:pStyle w:val="NormalWeb"/>
        <w:spacing w:before="0" w:beforeAutospacing="0" w:after="120" w:afterAutospacing="0" w:line="348" w:lineRule="auto"/>
        <w:rPr>
          <w:bCs/>
          <w:color w:val="000000" w:themeColor="text1"/>
        </w:rPr>
      </w:pPr>
      <w:r w:rsidRPr="00724CA2">
        <w:rPr>
          <w:bCs/>
          <w:color w:val="000000" w:themeColor="text1"/>
        </w:rPr>
        <w:t>Asset Management Association of China</w:t>
      </w:r>
      <w:r w:rsidR="00B06AFC" w:rsidRPr="00724CA2">
        <w:rPr>
          <w:bCs/>
          <w:color w:val="000000" w:themeColor="text1"/>
        </w:rPr>
        <w:t xml:space="preserve"> (AMAC)</w:t>
      </w:r>
      <w:r w:rsidRPr="00724CA2">
        <w:rPr>
          <w:bCs/>
          <w:color w:val="000000" w:themeColor="text1"/>
        </w:rPr>
        <w:t xml:space="preserve">. (2021). Market data of mutual fund. </w:t>
      </w:r>
      <w:r w:rsidR="006F2EC7" w:rsidRPr="006F2EC7">
        <w:rPr>
          <w:bCs/>
          <w:color w:val="000000" w:themeColor="text1"/>
        </w:rPr>
        <w:t>Retrieved from</w:t>
      </w:r>
      <w:r w:rsidR="00E31612">
        <w:rPr>
          <w:bCs/>
          <w:color w:val="000000" w:themeColor="text1"/>
        </w:rPr>
        <w:t>:</w:t>
      </w:r>
      <w:r w:rsidRPr="00724CA2">
        <w:rPr>
          <w:bCs/>
          <w:color w:val="000000" w:themeColor="text1"/>
        </w:rPr>
        <w:t xml:space="preserve"> </w:t>
      </w:r>
      <w:hyperlink r:id="rId11" w:history="1">
        <w:r w:rsidR="002D39FE" w:rsidRPr="00E31612">
          <w:rPr>
            <w:rStyle w:val="Hyperlink"/>
            <w:bCs/>
            <w:color w:val="000000" w:themeColor="text1"/>
            <w:u w:val="none"/>
          </w:rPr>
          <w:t>https://www.amac.org.cn/researchstatistics/datastatistics/mutualfundindustrydata/</w:t>
        </w:r>
      </w:hyperlink>
      <w:r w:rsidRPr="00724CA2">
        <w:rPr>
          <w:bCs/>
          <w:color w:val="000000" w:themeColor="text1"/>
        </w:rPr>
        <w:t xml:space="preserve"> </w:t>
      </w:r>
    </w:p>
    <w:p w14:paraId="73C1C365" w14:textId="0491468B" w:rsidR="000B1799" w:rsidRPr="00724CA2" w:rsidRDefault="000B1799" w:rsidP="008B1E39">
      <w:pPr>
        <w:autoSpaceDE w:val="0"/>
        <w:autoSpaceDN w:val="0"/>
        <w:adjustRightInd w:val="0"/>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Bai, Y., Hua, C., Jiao, J., Yang, M., &amp; Li, F. (2018). Green efficiency and environmental subsidy: Evidence from thermal power firms in China. </w:t>
      </w:r>
      <w:r w:rsidRPr="00724CA2">
        <w:rPr>
          <w:rFonts w:ascii="Times New Roman" w:hAnsi="Times New Roman" w:cs="Times New Roman"/>
          <w:bCs/>
          <w:i/>
          <w:iCs/>
          <w:color w:val="000000" w:themeColor="text1"/>
          <w:sz w:val="24"/>
          <w:szCs w:val="24"/>
          <w:shd w:val="clear" w:color="auto" w:fill="FFFFFF"/>
        </w:rPr>
        <w:t xml:space="preserve">Journal of </w:t>
      </w:r>
      <w:r w:rsidR="00CC6B89" w:rsidRPr="00724CA2">
        <w:rPr>
          <w:rFonts w:ascii="Times New Roman" w:hAnsi="Times New Roman" w:cs="Times New Roman"/>
          <w:bCs/>
          <w:i/>
          <w:iCs/>
          <w:color w:val="000000" w:themeColor="text1"/>
          <w:sz w:val="24"/>
          <w:szCs w:val="24"/>
          <w:shd w:val="clear" w:color="auto" w:fill="FFFFFF"/>
        </w:rPr>
        <w:t>Cleaner P</w:t>
      </w:r>
      <w:r w:rsidRPr="00724CA2">
        <w:rPr>
          <w:rFonts w:ascii="Times New Roman" w:hAnsi="Times New Roman" w:cs="Times New Roman"/>
          <w:bCs/>
          <w:i/>
          <w:iCs/>
          <w:color w:val="000000" w:themeColor="text1"/>
          <w:sz w:val="24"/>
          <w:szCs w:val="24"/>
          <w:shd w:val="clear" w:color="auto" w:fill="FFFFFF"/>
        </w:rPr>
        <w:t>roduction</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188</w:t>
      </w:r>
      <w:r w:rsidRPr="00724CA2">
        <w:rPr>
          <w:rFonts w:ascii="Times New Roman" w:hAnsi="Times New Roman" w:cs="Times New Roman"/>
          <w:bCs/>
          <w:color w:val="000000" w:themeColor="text1"/>
          <w:sz w:val="24"/>
          <w:szCs w:val="24"/>
          <w:shd w:val="clear" w:color="auto" w:fill="FFFFFF"/>
        </w:rPr>
        <w:t>, 49-61.</w:t>
      </w:r>
    </w:p>
    <w:p w14:paraId="0F955ACD" w14:textId="77777777" w:rsidR="00492462" w:rsidRPr="00724CA2" w:rsidRDefault="00492462" w:rsidP="008B1E39">
      <w:pPr>
        <w:autoSpaceDE w:val="0"/>
        <w:autoSpaceDN w:val="0"/>
        <w:adjustRightInd w:val="0"/>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 xml:space="preserve">Battisti, E., Nirino, N., Leonidou, E., &amp; Salvi, A. (2023). Corporate social responsibility in family firms: Can corporate communication affect CSR performance? </w:t>
      </w:r>
      <w:r w:rsidRPr="00724CA2">
        <w:rPr>
          <w:rFonts w:ascii="Times New Roman" w:hAnsi="Times New Roman" w:cs="Times New Roman"/>
          <w:bCs/>
          <w:i/>
          <w:iCs/>
          <w:color w:val="000000" w:themeColor="text1"/>
          <w:sz w:val="24"/>
          <w:szCs w:val="24"/>
          <w:shd w:val="clear" w:color="auto" w:fill="FFFFFF"/>
        </w:rPr>
        <w:t>Journal of Business Research</w:t>
      </w:r>
      <w:r w:rsidRPr="00E31612">
        <w:rPr>
          <w:rFonts w:ascii="Times New Roman" w:hAnsi="Times New Roman" w:cs="Times New Roman"/>
          <w:bCs/>
          <w:i/>
          <w:iCs/>
          <w:color w:val="000000" w:themeColor="text1"/>
          <w:sz w:val="24"/>
          <w:szCs w:val="24"/>
          <w:shd w:val="clear" w:color="auto" w:fill="FFFFFF"/>
        </w:rPr>
        <w:t>, 162,</w:t>
      </w:r>
      <w:r w:rsidRPr="00724CA2">
        <w:rPr>
          <w:rFonts w:ascii="Times New Roman" w:hAnsi="Times New Roman" w:cs="Times New Roman"/>
          <w:bCs/>
          <w:color w:val="000000" w:themeColor="text1"/>
          <w:sz w:val="24"/>
          <w:szCs w:val="24"/>
          <w:shd w:val="clear" w:color="auto" w:fill="FFFFFF"/>
        </w:rPr>
        <w:t xml:space="preserve"> 113865.  </w:t>
      </w:r>
    </w:p>
    <w:p w14:paraId="2A0E3040" w14:textId="0FFED086" w:rsidR="006E66D3" w:rsidRPr="00724CA2" w:rsidRDefault="006E66D3" w:rsidP="008B1E39">
      <w:pPr>
        <w:autoSpaceDE w:val="0"/>
        <w:autoSpaceDN w:val="0"/>
        <w:adjustRightInd w:val="0"/>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shd w:val="clear" w:color="auto" w:fill="FFFFFF"/>
        </w:rPr>
        <w:t>Bellemare, M. F., Masaki, T., &amp; Pepinsky, T. B. (2017). Lagged explanatory variables and the estimation of causal effect. </w:t>
      </w:r>
      <w:r w:rsidRPr="00724CA2">
        <w:rPr>
          <w:rFonts w:ascii="Times New Roman" w:hAnsi="Times New Roman" w:cs="Times New Roman"/>
          <w:bCs/>
          <w:i/>
          <w:iCs/>
          <w:color w:val="000000" w:themeColor="text1"/>
          <w:sz w:val="24"/>
          <w:szCs w:val="24"/>
          <w:shd w:val="clear" w:color="auto" w:fill="FFFFFF"/>
        </w:rPr>
        <w:t>The Journal of Politics</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79</w:t>
      </w:r>
      <w:r w:rsidRPr="00724CA2">
        <w:rPr>
          <w:rFonts w:ascii="Times New Roman" w:hAnsi="Times New Roman" w:cs="Times New Roman"/>
          <w:bCs/>
          <w:color w:val="000000" w:themeColor="text1"/>
          <w:sz w:val="24"/>
          <w:szCs w:val="24"/>
          <w:shd w:val="clear" w:color="auto" w:fill="FFFFFF"/>
        </w:rPr>
        <w:t>(3), 949-963.</w:t>
      </w:r>
    </w:p>
    <w:p w14:paraId="1AEE7442" w14:textId="224E5C3E" w:rsidR="007172E6" w:rsidRPr="00724CA2" w:rsidRDefault="007172E6"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Bénabou, R. </w:t>
      </w:r>
      <w:r w:rsidR="00176770" w:rsidRPr="00724CA2">
        <w:rPr>
          <w:rFonts w:ascii="Times New Roman" w:hAnsi="Times New Roman" w:cs="Times New Roman"/>
          <w:bCs/>
          <w:color w:val="000000" w:themeColor="text1"/>
          <w:sz w:val="24"/>
          <w:szCs w:val="24"/>
          <w:shd w:val="clear" w:color="auto" w:fill="FFFFFF"/>
        </w:rPr>
        <w:t>&amp;</w:t>
      </w:r>
      <w:r w:rsidRPr="00724CA2">
        <w:rPr>
          <w:rFonts w:ascii="Times New Roman" w:hAnsi="Times New Roman" w:cs="Times New Roman"/>
          <w:bCs/>
          <w:color w:val="000000" w:themeColor="text1"/>
          <w:sz w:val="24"/>
          <w:szCs w:val="24"/>
        </w:rPr>
        <w:t xml:space="preserve"> Tirole, J. (2010). Individual and Corporate Social Responsibility, </w:t>
      </w:r>
      <w:r w:rsidRPr="00724CA2">
        <w:rPr>
          <w:rFonts w:ascii="Times New Roman" w:hAnsi="Times New Roman" w:cs="Times New Roman"/>
          <w:bCs/>
          <w:i/>
          <w:iCs/>
          <w:color w:val="000000" w:themeColor="text1"/>
          <w:sz w:val="24"/>
          <w:szCs w:val="24"/>
        </w:rPr>
        <w:t>Economica</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77</w:t>
      </w:r>
      <w:r w:rsidRPr="00724CA2">
        <w:rPr>
          <w:rFonts w:ascii="Times New Roman" w:hAnsi="Times New Roman" w:cs="Times New Roman"/>
          <w:bCs/>
          <w:color w:val="000000" w:themeColor="text1"/>
          <w:sz w:val="24"/>
          <w:szCs w:val="24"/>
        </w:rPr>
        <w:t>(305), 1-19.</w:t>
      </w:r>
    </w:p>
    <w:p w14:paraId="50AF713C" w14:textId="6313D52D" w:rsidR="00BF69C3" w:rsidRPr="00724CA2" w:rsidRDefault="00BF69C3"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Cahan</w:t>
      </w:r>
      <w:bookmarkEnd w:id="17"/>
      <w:r w:rsidRPr="00724CA2">
        <w:rPr>
          <w:rFonts w:ascii="Times New Roman" w:hAnsi="Times New Roman" w:cs="Times New Roman"/>
          <w:bCs/>
          <w:color w:val="000000" w:themeColor="text1"/>
          <w:sz w:val="24"/>
          <w:szCs w:val="24"/>
          <w:shd w:val="clear" w:color="auto" w:fill="FFFFFF"/>
        </w:rPr>
        <w:t>, S. F., Chen, C. &amp; Chen, L. (2017). Social norms and CSR performance. </w:t>
      </w:r>
      <w:r w:rsidRPr="00724CA2">
        <w:rPr>
          <w:rFonts w:ascii="Times New Roman" w:hAnsi="Times New Roman" w:cs="Times New Roman"/>
          <w:bCs/>
          <w:i/>
          <w:iCs/>
          <w:color w:val="000000" w:themeColor="text1"/>
          <w:sz w:val="24"/>
          <w:szCs w:val="24"/>
          <w:shd w:val="clear" w:color="auto" w:fill="FFFFFF"/>
        </w:rPr>
        <w:t>Journal of Business Ethics</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145</w:t>
      </w:r>
      <w:r w:rsidRPr="00724CA2">
        <w:rPr>
          <w:rFonts w:ascii="Times New Roman" w:hAnsi="Times New Roman" w:cs="Times New Roman"/>
          <w:bCs/>
          <w:color w:val="000000" w:themeColor="text1"/>
          <w:sz w:val="24"/>
          <w:szCs w:val="24"/>
          <w:shd w:val="clear" w:color="auto" w:fill="FFFFFF"/>
        </w:rPr>
        <w:t>(3), 493-508.</w:t>
      </w:r>
    </w:p>
    <w:p w14:paraId="7597E5C2" w14:textId="36DF3103" w:rsidR="00BF69C3" w:rsidRPr="00724CA2" w:rsidRDefault="00BF69C3"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Chan, A. L. C., Ding, R. &amp; Hou, W. (2014). Does mutual fund ownership affect financial reporting quality for Chinese privately-owned enterprises? </w:t>
      </w:r>
      <w:r w:rsidRPr="00724CA2">
        <w:rPr>
          <w:rFonts w:ascii="Times New Roman" w:hAnsi="Times New Roman" w:cs="Times New Roman"/>
          <w:bCs/>
          <w:i/>
          <w:iCs/>
          <w:color w:val="000000" w:themeColor="text1"/>
          <w:sz w:val="24"/>
          <w:szCs w:val="24"/>
          <w:shd w:val="clear" w:color="auto" w:fill="FFFFFF"/>
        </w:rPr>
        <w:t>International Review of Financial Analysis</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36</w:t>
      </w:r>
      <w:r w:rsidRPr="00724CA2">
        <w:rPr>
          <w:rFonts w:ascii="Times New Roman" w:hAnsi="Times New Roman" w:cs="Times New Roman"/>
          <w:bCs/>
          <w:color w:val="000000" w:themeColor="text1"/>
          <w:sz w:val="24"/>
          <w:szCs w:val="24"/>
          <w:shd w:val="clear" w:color="auto" w:fill="FFFFFF"/>
        </w:rPr>
        <w:t>, 131-140.</w:t>
      </w:r>
    </w:p>
    <w:p w14:paraId="4359CB44" w14:textId="1E1A4AC0" w:rsidR="00492462" w:rsidRPr="00724CA2" w:rsidRDefault="00492462" w:rsidP="008B1E39">
      <w:pPr>
        <w:autoSpaceDE w:val="0"/>
        <w:autoSpaceDN w:val="0"/>
        <w:adjustRightInd w:val="0"/>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 xml:space="preserve">Chan, M. C., Watson, J., &amp; Woodliff, D. (2014). Corporate governance quality and CSR disclosures. </w:t>
      </w:r>
      <w:r w:rsidRPr="00724CA2">
        <w:rPr>
          <w:rFonts w:ascii="Times New Roman" w:hAnsi="Times New Roman" w:cs="Times New Roman"/>
          <w:bCs/>
          <w:i/>
          <w:iCs/>
          <w:color w:val="000000" w:themeColor="text1"/>
          <w:sz w:val="24"/>
          <w:szCs w:val="24"/>
          <w:shd w:val="clear" w:color="auto" w:fill="FFFFFF"/>
        </w:rPr>
        <w:t>Journal of Business Ethics</w:t>
      </w:r>
      <w:r w:rsidRPr="00724CA2">
        <w:rPr>
          <w:rFonts w:ascii="Times New Roman" w:hAnsi="Times New Roman" w:cs="Times New Roman"/>
          <w:bCs/>
          <w:color w:val="000000" w:themeColor="text1"/>
          <w:sz w:val="24"/>
          <w:szCs w:val="24"/>
          <w:shd w:val="clear" w:color="auto" w:fill="FFFFFF"/>
        </w:rPr>
        <w:t xml:space="preserve">, </w:t>
      </w:r>
      <w:r w:rsidRPr="00724CA2">
        <w:rPr>
          <w:rFonts w:ascii="Times New Roman" w:hAnsi="Times New Roman" w:cs="Times New Roman"/>
          <w:bCs/>
          <w:i/>
          <w:iCs/>
          <w:color w:val="000000" w:themeColor="text1"/>
          <w:sz w:val="24"/>
          <w:szCs w:val="24"/>
          <w:shd w:val="clear" w:color="auto" w:fill="FFFFFF"/>
        </w:rPr>
        <w:t>125</w:t>
      </w:r>
      <w:r w:rsidRPr="00724CA2">
        <w:rPr>
          <w:rFonts w:ascii="Times New Roman" w:hAnsi="Times New Roman" w:cs="Times New Roman"/>
          <w:bCs/>
          <w:color w:val="000000" w:themeColor="text1"/>
          <w:sz w:val="24"/>
          <w:szCs w:val="24"/>
          <w:shd w:val="clear" w:color="auto" w:fill="FFFFFF"/>
        </w:rPr>
        <w:t xml:space="preserve">, 59-73.  </w:t>
      </w:r>
    </w:p>
    <w:p w14:paraId="5457C688" w14:textId="664D0B18" w:rsidR="0050683B" w:rsidRPr="00724CA2" w:rsidRDefault="0050683B"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Chen, H. &amp; Hwang, B.H. (2022). Listening in on investors’ thoughts and conversations, </w:t>
      </w:r>
      <w:r w:rsidRPr="00724CA2">
        <w:rPr>
          <w:rFonts w:ascii="Times New Roman" w:hAnsi="Times New Roman" w:cs="Times New Roman"/>
          <w:bCs/>
          <w:i/>
          <w:iCs/>
          <w:color w:val="000000" w:themeColor="text1"/>
          <w:sz w:val="24"/>
          <w:szCs w:val="24"/>
        </w:rPr>
        <w:t>Journal of Financial Economics</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145</w:t>
      </w:r>
      <w:r w:rsidRPr="00724CA2">
        <w:rPr>
          <w:rFonts w:ascii="Times New Roman" w:hAnsi="Times New Roman" w:cs="Times New Roman"/>
          <w:bCs/>
          <w:color w:val="000000" w:themeColor="text1"/>
          <w:sz w:val="24"/>
          <w:szCs w:val="24"/>
        </w:rPr>
        <w:t>, 426–444.</w:t>
      </w:r>
    </w:p>
    <w:p w14:paraId="51891168" w14:textId="665D3D7F" w:rsidR="0050683B" w:rsidRPr="00724CA2" w:rsidRDefault="0050683B" w:rsidP="008B1E39">
      <w:pPr>
        <w:spacing w:after="120" w:line="348" w:lineRule="auto"/>
        <w:jc w:val="both"/>
        <w:rPr>
          <w:rFonts w:ascii="Times New Roman" w:hAnsi="Times New Roman" w:cs="Times New Roman"/>
          <w:bCs/>
          <w:color w:val="000000" w:themeColor="text1"/>
          <w:sz w:val="24"/>
          <w:szCs w:val="24"/>
          <w:shd w:val="clear" w:color="auto" w:fill="FFFFFF"/>
          <w:lang w:val="en-HK"/>
        </w:rPr>
      </w:pPr>
      <w:r w:rsidRPr="00724CA2">
        <w:rPr>
          <w:rFonts w:ascii="Times New Roman" w:hAnsi="Times New Roman" w:cs="Times New Roman"/>
          <w:color w:val="000000" w:themeColor="text1"/>
          <w:sz w:val="24"/>
          <w:szCs w:val="24"/>
          <w:shd w:val="clear" w:color="auto" w:fill="FFFFFF"/>
        </w:rPr>
        <w:t>Chen, J. V., Nagar, V., &amp; Schoenfeld, J. (2018). Manager-analyst conversations in earnings conference calls. </w:t>
      </w:r>
      <w:r w:rsidRPr="00724CA2">
        <w:rPr>
          <w:rFonts w:ascii="Times New Roman" w:hAnsi="Times New Roman" w:cs="Times New Roman"/>
          <w:i/>
          <w:iCs/>
          <w:color w:val="000000" w:themeColor="text1"/>
          <w:sz w:val="24"/>
          <w:szCs w:val="24"/>
          <w:shd w:val="clear" w:color="auto" w:fill="FFFFFF"/>
        </w:rPr>
        <w:t>Review of Accounting Studies</w:t>
      </w:r>
      <w:r w:rsidRPr="00724CA2">
        <w:rPr>
          <w:rFonts w:ascii="Times New Roman" w:hAnsi="Times New Roman" w:cs="Times New Roman"/>
          <w:color w:val="000000" w:themeColor="text1"/>
          <w:sz w:val="24"/>
          <w:szCs w:val="24"/>
          <w:shd w:val="clear" w:color="auto" w:fill="FFFFFF"/>
        </w:rPr>
        <w:t>, </w:t>
      </w:r>
      <w:r w:rsidRPr="00724CA2">
        <w:rPr>
          <w:rFonts w:ascii="Times New Roman" w:hAnsi="Times New Roman" w:cs="Times New Roman"/>
          <w:i/>
          <w:iCs/>
          <w:color w:val="000000" w:themeColor="text1"/>
          <w:sz w:val="24"/>
          <w:szCs w:val="24"/>
          <w:shd w:val="clear" w:color="auto" w:fill="FFFFFF"/>
        </w:rPr>
        <w:t>23</w:t>
      </w:r>
      <w:r w:rsidRPr="00724CA2">
        <w:rPr>
          <w:rFonts w:ascii="Times New Roman" w:hAnsi="Times New Roman" w:cs="Times New Roman"/>
          <w:color w:val="000000" w:themeColor="text1"/>
          <w:sz w:val="24"/>
          <w:szCs w:val="24"/>
          <w:shd w:val="clear" w:color="auto" w:fill="FFFFFF"/>
        </w:rPr>
        <w:t>, 1315-1354.</w:t>
      </w:r>
    </w:p>
    <w:p w14:paraId="5F5630F2" w14:textId="42EBF978" w:rsidR="00BF69C3" w:rsidRPr="00724CA2" w:rsidRDefault="00BF69C3" w:rsidP="008B1E39">
      <w:pPr>
        <w:spacing w:after="120" w:line="348" w:lineRule="auto"/>
        <w:jc w:val="both"/>
        <w:rPr>
          <w:rFonts w:ascii="Times New Roman" w:hAnsi="Times New Roman" w:cs="Times New Roman"/>
          <w:bCs/>
          <w:color w:val="000000" w:themeColor="text1"/>
          <w:sz w:val="24"/>
          <w:szCs w:val="24"/>
          <w:shd w:val="clear" w:color="auto" w:fill="FFFFFF"/>
          <w:lang w:val="en-HK"/>
        </w:rPr>
      </w:pPr>
      <w:r w:rsidRPr="00724CA2">
        <w:rPr>
          <w:rFonts w:ascii="Times New Roman" w:hAnsi="Times New Roman" w:cs="Times New Roman"/>
          <w:bCs/>
          <w:color w:val="000000" w:themeColor="text1"/>
          <w:sz w:val="24"/>
          <w:szCs w:val="24"/>
          <w:shd w:val="clear" w:color="auto" w:fill="FFFFFF"/>
          <w:lang w:val="en-HK"/>
        </w:rPr>
        <w:t>Chen, S., Huang, Y., Li, N., &amp; Shevlin, T. (2019). How does quasi-indexer ownership affect corporate tax planning? </w:t>
      </w:r>
      <w:r w:rsidRPr="00724CA2">
        <w:rPr>
          <w:rFonts w:ascii="Times New Roman" w:hAnsi="Times New Roman" w:cs="Times New Roman"/>
          <w:bCs/>
          <w:i/>
          <w:iCs/>
          <w:color w:val="000000" w:themeColor="text1"/>
          <w:sz w:val="24"/>
          <w:szCs w:val="24"/>
          <w:shd w:val="clear" w:color="auto" w:fill="FFFFFF"/>
          <w:lang w:val="en-HK"/>
        </w:rPr>
        <w:t>Journal of Accounting and Economics</w:t>
      </w:r>
      <w:r w:rsidRPr="00724CA2">
        <w:rPr>
          <w:rFonts w:ascii="Times New Roman" w:hAnsi="Times New Roman" w:cs="Times New Roman"/>
          <w:bCs/>
          <w:color w:val="000000" w:themeColor="text1"/>
          <w:sz w:val="24"/>
          <w:szCs w:val="24"/>
          <w:shd w:val="clear" w:color="auto" w:fill="FFFFFF"/>
          <w:lang w:val="en-HK"/>
        </w:rPr>
        <w:t>, </w:t>
      </w:r>
      <w:r w:rsidRPr="00724CA2">
        <w:rPr>
          <w:rFonts w:ascii="Times New Roman" w:hAnsi="Times New Roman" w:cs="Times New Roman"/>
          <w:bCs/>
          <w:i/>
          <w:iCs/>
          <w:color w:val="000000" w:themeColor="text1"/>
          <w:sz w:val="24"/>
          <w:szCs w:val="24"/>
          <w:shd w:val="clear" w:color="auto" w:fill="FFFFFF"/>
          <w:lang w:val="en-HK"/>
        </w:rPr>
        <w:t>67</w:t>
      </w:r>
      <w:r w:rsidRPr="00724CA2">
        <w:rPr>
          <w:rFonts w:ascii="Times New Roman" w:hAnsi="Times New Roman" w:cs="Times New Roman"/>
          <w:bCs/>
          <w:color w:val="000000" w:themeColor="text1"/>
          <w:sz w:val="24"/>
          <w:szCs w:val="24"/>
          <w:shd w:val="clear" w:color="auto" w:fill="FFFFFF"/>
          <w:lang w:val="en-HK"/>
        </w:rPr>
        <w:t>(2-3), 278-296.</w:t>
      </w:r>
    </w:p>
    <w:p w14:paraId="71CE45B6" w14:textId="36A634CE" w:rsidR="006517E1" w:rsidRPr="00724CA2" w:rsidRDefault="006517E1" w:rsidP="008B1E39">
      <w:pPr>
        <w:spacing w:after="120" w:line="348" w:lineRule="auto"/>
        <w:jc w:val="both"/>
        <w:rPr>
          <w:rFonts w:ascii="Times New Roman" w:hAnsi="Times New Roman" w:cs="Times New Roman"/>
          <w:bCs/>
          <w:color w:val="000000" w:themeColor="text1"/>
          <w:sz w:val="24"/>
          <w:szCs w:val="24"/>
          <w:shd w:val="clear" w:color="auto" w:fill="FFFFFF"/>
          <w:lang w:val="en-HK"/>
        </w:rPr>
      </w:pPr>
      <w:r w:rsidRPr="00724CA2">
        <w:rPr>
          <w:rFonts w:ascii="Times New Roman" w:hAnsi="Times New Roman" w:cs="Times New Roman"/>
          <w:bCs/>
          <w:color w:val="000000" w:themeColor="text1"/>
          <w:sz w:val="24"/>
          <w:szCs w:val="24"/>
          <w:shd w:val="clear" w:color="auto" w:fill="FFFFFF"/>
        </w:rPr>
        <w:t>Chen, Z., Zhou, M. &amp; Ma, C. (2022). Anti-corruption and corporate environmental responsibility: Evidence from China’s anti-corruption campaign. </w:t>
      </w:r>
      <w:r w:rsidRPr="00724CA2">
        <w:rPr>
          <w:rFonts w:ascii="Times New Roman" w:hAnsi="Times New Roman" w:cs="Times New Roman"/>
          <w:bCs/>
          <w:i/>
          <w:iCs/>
          <w:color w:val="000000" w:themeColor="text1"/>
          <w:sz w:val="24"/>
          <w:szCs w:val="24"/>
          <w:shd w:val="clear" w:color="auto" w:fill="FFFFFF"/>
        </w:rPr>
        <w:t>Global Environmental Change</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72</w:t>
      </w:r>
      <w:r w:rsidRPr="00724CA2">
        <w:rPr>
          <w:rFonts w:ascii="Times New Roman" w:hAnsi="Times New Roman" w:cs="Times New Roman"/>
          <w:bCs/>
          <w:color w:val="000000" w:themeColor="text1"/>
          <w:sz w:val="24"/>
          <w:szCs w:val="24"/>
          <w:shd w:val="clear" w:color="auto" w:fill="FFFFFF"/>
        </w:rPr>
        <w:t>, 102449.</w:t>
      </w:r>
    </w:p>
    <w:p w14:paraId="637DBE88" w14:textId="77777777" w:rsidR="00D828BF" w:rsidRPr="00724CA2" w:rsidRDefault="00D828BF" w:rsidP="008B1E39">
      <w:pPr>
        <w:autoSpaceDE w:val="0"/>
        <w:autoSpaceDN w:val="0"/>
        <w:adjustRightInd w:val="0"/>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lastRenderedPageBreak/>
        <w:t xml:space="preserve">Cheng, X., Wang, H. H., &amp; Wang, X. (2022). Common institutional ownership and corporate social responsibility. </w:t>
      </w:r>
      <w:r w:rsidRPr="00724CA2">
        <w:rPr>
          <w:rFonts w:ascii="Times New Roman" w:hAnsi="Times New Roman" w:cs="Times New Roman"/>
          <w:bCs/>
          <w:i/>
          <w:iCs/>
          <w:color w:val="000000" w:themeColor="text1"/>
          <w:sz w:val="24"/>
          <w:szCs w:val="24"/>
          <w:shd w:val="clear" w:color="auto" w:fill="FFFFFF"/>
        </w:rPr>
        <w:t>Journal of Banking &amp; Finance</w:t>
      </w:r>
      <w:r w:rsidRPr="00E31612">
        <w:rPr>
          <w:rFonts w:ascii="Times New Roman" w:hAnsi="Times New Roman" w:cs="Times New Roman"/>
          <w:bCs/>
          <w:i/>
          <w:iCs/>
          <w:color w:val="000000" w:themeColor="text1"/>
          <w:sz w:val="24"/>
          <w:szCs w:val="24"/>
          <w:shd w:val="clear" w:color="auto" w:fill="FFFFFF"/>
        </w:rPr>
        <w:t xml:space="preserve">, 136, </w:t>
      </w:r>
      <w:r w:rsidRPr="00724CA2">
        <w:rPr>
          <w:rFonts w:ascii="Times New Roman" w:hAnsi="Times New Roman" w:cs="Times New Roman"/>
          <w:bCs/>
          <w:color w:val="000000" w:themeColor="text1"/>
          <w:sz w:val="24"/>
          <w:szCs w:val="24"/>
          <w:shd w:val="clear" w:color="auto" w:fill="FFFFFF"/>
        </w:rPr>
        <w:t xml:space="preserve">106218.   </w:t>
      </w:r>
    </w:p>
    <w:p w14:paraId="08A09C4B" w14:textId="21448FB7" w:rsidR="00BF69C3" w:rsidRPr="00724CA2" w:rsidRDefault="00BF69C3"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Chi, J., Liao, J. &amp; Yang, J. (2019). Institutional stock ownership and firm innovation: Evidence from China. </w:t>
      </w:r>
      <w:r w:rsidRPr="00724CA2">
        <w:rPr>
          <w:rFonts w:ascii="Times New Roman" w:hAnsi="Times New Roman" w:cs="Times New Roman"/>
          <w:bCs/>
          <w:i/>
          <w:iCs/>
          <w:color w:val="000000" w:themeColor="text1"/>
          <w:sz w:val="24"/>
          <w:szCs w:val="24"/>
          <w:shd w:val="clear" w:color="auto" w:fill="FFFFFF"/>
        </w:rPr>
        <w:t>Journal of Multinational Financial Management</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50</w:t>
      </w:r>
      <w:r w:rsidRPr="00724CA2">
        <w:rPr>
          <w:rFonts w:ascii="Times New Roman" w:hAnsi="Times New Roman" w:cs="Times New Roman"/>
          <w:bCs/>
          <w:color w:val="000000" w:themeColor="text1"/>
          <w:sz w:val="24"/>
          <w:szCs w:val="24"/>
          <w:shd w:val="clear" w:color="auto" w:fill="FFFFFF"/>
        </w:rPr>
        <w:t>, 44-57.</w:t>
      </w:r>
    </w:p>
    <w:p w14:paraId="656864C1" w14:textId="25406EA7" w:rsidR="009B4FF2" w:rsidRPr="00724CA2" w:rsidRDefault="009B4FF2" w:rsidP="008B1E39">
      <w:pPr>
        <w:spacing w:after="120" w:line="348" w:lineRule="auto"/>
        <w:jc w:val="both"/>
        <w:rPr>
          <w:rFonts w:ascii="Times New Roman" w:hAnsi="Times New Roman" w:cs="Times New Roman"/>
          <w:color w:val="000000" w:themeColor="text1"/>
          <w:sz w:val="24"/>
          <w:szCs w:val="24"/>
        </w:rPr>
      </w:pPr>
      <w:r w:rsidRPr="00724CA2">
        <w:rPr>
          <w:rStyle w:val="author"/>
          <w:rFonts w:ascii="Times New Roman" w:hAnsi="Times New Roman" w:cs="Times New Roman"/>
          <w:color w:val="000000" w:themeColor="text1"/>
          <w:sz w:val="24"/>
          <w:szCs w:val="24"/>
        </w:rPr>
        <w:t>Choy, S. K.</w:t>
      </w:r>
      <w:r w:rsidRPr="00724CA2">
        <w:rPr>
          <w:rFonts w:ascii="Times New Roman" w:hAnsi="Times New Roman" w:cs="Times New Roman"/>
          <w:color w:val="000000" w:themeColor="text1"/>
          <w:sz w:val="24"/>
          <w:szCs w:val="24"/>
        </w:rPr>
        <w:t xml:space="preserve">, </w:t>
      </w:r>
      <w:r w:rsidRPr="00724CA2">
        <w:rPr>
          <w:rStyle w:val="author"/>
          <w:rFonts w:ascii="Times New Roman" w:hAnsi="Times New Roman" w:cs="Times New Roman"/>
          <w:color w:val="000000" w:themeColor="text1"/>
          <w:sz w:val="24"/>
          <w:szCs w:val="24"/>
        </w:rPr>
        <w:t>Koci, I.</w:t>
      </w:r>
      <w:r w:rsidRPr="00724CA2">
        <w:rPr>
          <w:rFonts w:ascii="Times New Roman" w:hAnsi="Times New Roman" w:cs="Times New Roman"/>
          <w:color w:val="000000" w:themeColor="text1"/>
          <w:sz w:val="24"/>
          <w:szCs w:val="24"/>
        </w:rPr>
        <w:t xml:space="preserve">, &amp; </w:t>
      </w:r>
      <w:r w:rsidRPr="00724CA2">
        <w:rPr>
          <w:rStyle w:val="author"/>
          <w:rFonts w:ascii="Times New Roman" w:hAnsi="Times New Roman" w:cs="Times New Roman"/>
          <w:color w:val="000000" w:themeColor="text1"/>
          <w:sz w:val="24"/>
          <w:szCs w:val="24"/>
        </w:rPr>
        <w:t>Wang, M.</w:t>
      </w:r>
      <w:r w:rsidRPr="00724CA2">
        <w:rPr>
          <w:rFonts w:ascii="Times New Roman" w:hAnsi="Times New Roman" w:cs="Times New Roman"/>
          <w:color w:val="000000" w:themeColor="text1"/>
          <w:sz w:val="24"/>
          <w:szCs w:val="24"/>
        </w:rPr>
        <w:t xml:space="preserve"> (</w:t>
      </w:r>
      <w:r w:rsidRPr="00724CA2">
        <w:rPr>
          <w:rStyle w:val="pubyear"/>
          <w:rFonts w:ascii="Times New Roman" w:hAnsi="Times New Roman" w:cs="Times New Roman"/>
          <w:color w:val="000000" w:themeColor="text1"/>
          <w:sz w:val="24"/>
          <w:szCs w:val="24"/>
        </w:rPr>
        <w:t>2023</w:t>
      </w:r>
      <w:r w:rsidRPr="00724CA2">
        <w:rPr>
          <w:rFonts w:ascii="Times New Roman" w:hAnsi="Times New Roman" w:cs="Times New Roman"/>
          <w:color w:val="000000" w:themeColor="text1"/>
          <w:sz w:val="24"/>
          <w:szCs w:val="24"/>
        </w:rPr>
        <w:t xml:space="preserve">). </w:t>
      </w:r>
      <w:r w:rsidRPr="00724CA2">
        <w:rPr>
          <w:rStyle w:val="articletitle"/>
          <w:rFonts w:ascii="Times New Roman" w:hAnsi="Times New Roman" w:cs="Times New Roman"/>
          <w:color w:val="000000" w:themeColor="text1"/>
          <w:sz w:val="24"/>
          <w:szCs w:val="24"/>
        </w:rPr>
        <w:t>Does social capital foster sustainable investment?</w:t>
      </w:r>
      <w:r w:rsidRPr="00724CA2">
        <w:rPr>
          <w:rFonts w:ascii="Times New Roman" w:hAnsi="Times New Roman" w:cs="Times New Roman"/>
          <w:color w:val="000000" w:themeColor="text1"/>
          <w:sz w:val="24"/>
          <w:szCs w:val="24"/>
        </w:rPr>
        <w:t xml:space="preserve"> </w:t>
      </w:r>
      <w:r w:rsidRPr="00724CA2">
        <w:rPr>
          <w:rFonts w:ascii="Times New Roman" w:hAnsi="Times New Roman" w:cs="Times New Roman"/>
          <w:i/>
          <w:iCs/>
          <w:color w:val="000000" w:themeColor="text1"/>
          <w:sz w:val="24"/>
          <w:szCs w:val="24"/>
        </w:rPr>
        <w:t>European Financial Management</w:t>
      </w:r>
      <w:r w:rsidRPr="00E31612">
        <w:rPr>
          <w:rFonts w:ascii="Times New Roman" w:hAnsi="Times New Roman" w:cs="Times New Roman"/>
          <w:i/>
          <w:iCs/>
          <w:color w:val="000000" w:themeColor="text1"/>
          <w:sz w:val="24"/>
          <w:szCs w:val="24"/>
        </w:rPr>
        <w:t xml:space="preserve">, </w:t>
      </w:r>
      <w:r w:rsidRPr="00E31612">
        <w:rPr>
          <w:rStyle w:val="vol"/>
          <w:rFonts w:ascii="Times New Roman" w:hAnsi="Times New Roman" w:cs="Times New Roman"/>
          <w:i/>
          <w:iCs/>
          <w:color w:val="000000" w:themeColor="text1"/>
          <w:sz w:val="24"/>
          <w:szCs w:val="24"/>
        </w:rPr>
        <w:t>29</w:t>
      </w:r>
      <w:r w:rsidRPr="00E31612">
        <w:rPr>
          <w:rFonts w:ascii="Times New Roman" w:hAnsi="Times New Roman" w:cs="Times New Roman"/>
          <w:i/>
          <w:iCs/>
          <w:color w:val="000000" w:themeColor="text1"/>
          <w:sz w:val="24"/>
          <w:szCs w:val="24"/>
        </w:rPr>
        <w:t>,</w:t>
      </w:r>
      <w:r w:rsidRPr="00724CA2">
        <w:rPr>
          <w:rFonts w:ascii="Times New Roman" w:hAnsi="Times New Roman" w:cs="Times New Roman"/>
          <w:color w:val="000000" w:themeColor="text1"/>
          <w:sz w:val="24"/>
          <w:szCs w:val="24"/>
        </w:rPr>
        <w:t xml:space="preserve"> </w:t>
      </w:r>
      <w:r w:rsidRPr="00724CA2">
        <w:rPr>
          <w:rStyle w:val="pagefirst"/>
          <w:rFonts w:ascii="Times New Roman" w:hAnsi="Times New Roman" w:cs="Times New Roman"/>
          <w:color w:val="000000" w:themeColor="text1"/>
          <w:sz w:val="24"/>
          <w:szCs w:val="24"/>
        </w:rPr>
        <w:t>799</w:t>
      </w:r>
      <w:r w:rsidRPr="00724CA2">
        <w:rPr>
          <w:rFonts w:ascii="Times New Roman" w:hAnsi="Times New Roman" w:cs="Times New Roman"/>
          <w:color w:val="000000" w:themeColor="text1"/>
          <w:sz w:val="24"/>
          <w:szCs w:val="24"/>
        </w:rPr>
        <w:t>–</w:t>
      </w:r>
      <w:r w:rsidRPr="00724CA2">
        <w:rPr>
          <w:rStyle w:val="pagelast"/>
          <w:rFonts w:ascii="Times New Roman" w:hAnsi="Times New Roman" w:cs="Times New Roman"/>
          <w:color w:val="000000" w:themeColor="text1"/>
          <w:sz w:val="24"/>
          <w:szCs w:val="24"/>
        </w:rPr>
        <w:t>840</w:t>
      </w:r>
      <w:r w:rsidRPr="00724CA2">
        <w:rPr>
          <w:rFonts w:ascii="Times New Roman" w:hAnsi="Times New Roman" w:cs="Times New Roman"/>
          <w:color w:val="000000" w:themeColor="text1"/>
          <w:sz w:val="24"/>
          <w:szCs w:val="24"/>
        </w:rPr>
        <w:t xml:space="preserve">. </w:t>
      </w:r>
    </w:p>
    <w:p w14:paraId="1FAED422" w14:textId="21D40459" w:rsidR="002C54B6" w:rsidRPr="00724CA2" w:rsidRDefault="002C54B6"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Clark, G. L. </w:t>
      </w:r>
      <w:r w:rsidR="00237E34" w:rsidRPr="00724CA2">
        <w:rPr>
          <w:rFonts w:ascii="Times New Roman" w:hAnsi="Times New Roman" w:cs="Times New Roman"/>
          <w:bCs/>
          <w:color w:val="000000" w:themeColor="text1"/>
          <w:sz w:val="24"/>
          <w:szCs w:val="24"/>
        </w:rPr>
        <w:t xml:space="preserve">&amp; </w:t>
      </w:r>
      <w:r w:rsidRPr="00724CA2">
        <w:rPr>
          <w:rFonts w:ascii="Times New Roman" w:hAnsi="Times New Roman" w:cs="Times New Roman"/>
          <w:bCs/>
          <w:color w:val="000000" w:themeColor="text1"/>
          <w:sz w:val="24"/>
          <w:szCs w:val="24"/>
        </w:rPr>
        <w:t xml:space="preserve">Hebb, T. (2005). Why should they care? The role of institutional investors in the market for corporate social responsibility, </w:t>
      </w:r>
      <w:r w:rsidR="00C12EF1" w:rsidRPr="00C12EF1">
        <w:rPr>
          <w:rFonts w:ascii="Times New Roman" w:hAnsi="Times New Roman" w:cs="Times New Roman"/>
          <w:bCs/>
          <w:i/>
          <w:iCs/>
          <w:color w:val="000000" w:themeColor="text1"/>
          <w:sz w:val="24"/>
          <w:szCs w:val="24"/>
        </w:rPr>
        <w:t>Environment and Planning A: Economy and Space</w:t>
      </w:r>
      <w:r w:rsidRPr="00C12EF1">
        <w:rPr>
          <w:rFonts w:ascii="Times New Roman" w:hAnsi="Times New Roman" w:cs="Times New Roman"/>
          <w:bCs/>
          <w:i/>
          <w:iCs/>
          <w:color w:val="000000" w:themeColor="text1"/>
          <w:sz w:val="24"/>
          <w:szCs w:val="24"/>
        </w:rPr>
        <w:t>. 37,</w:t>
      </w:r>
      <w:r w:rsidRPr="00724CA2">
        <w:rPr>
          <w:rFonts w:ascii="Times New Roman" w:hAnsi="Times New Roman" w:cs="Times New Roman"/>
          <w:bCs/>
          <w:color w:val="000000" w:themeColor="text1"/>
          <w:sz w:val="24"/>
          <w:szCs w:val="24"/>
        </w:rPr>
        <w:t xml:space="preserve"> 2015-2031.  </w:t>
      </w:r>
    </w:p>
    <w:p w14:paraId="14989DB3" w14:textId="638368DD" w:rsidR="00BF69C3" w:rsidRPr="00724CA2" w:rsidRDefault="00BF69C3"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Clarkson, P.M., Li, Y.</w:t>
      </w:r>
      <w:r w:rsidR="005E259E" w:rsidRPr="00724CA2">
        <w:rPr>
          <w:rFonts w:ascii="Times New Roman" w:hAnsi="Times New Roman" w:cs="Times New Roman"/>
          <w:bCs/>
          <w:color w:val="000000" w:themeColor="text1"/>
          <w:sz w:val="24"/>
          <w:szCs w:val="24"/>
          <w:shd w:val="clear" w:color="auto" w:fill="FFFFFF"/>
        </w:rPr>
        <w:t>,</w:t>
      </w:r>
      <w:r w:rsidRPr="00724CA2">
        <w:rPr>
          <w:rFonts w:ascii="Times New Roman" w:hAnsi="Times New Roman" w:cs="Times New Roman"/>
          <w:bCs/>
          <w:color w:val="000000" w:themeColor="text1"/>
          <w:sz w:val="24"/>
          <w:szCs w:val="24"/>
          <w:shd w:val="clear" w:color="auto" w:fill="FFFFFF"/>
        </w:rPr>
        <w:t xml:space="preserve"> Richardson, G. D.</w:t>
      </w:r>
      <w:r w:rsidR="0080491D" w:rsidRPr="00724CA2">
        <w:rPr>
          <w:rFonts w:ascii="Times New Roman" w:hAnsi="Times New Roman" w:cs="Times New Roman"/>
          <w:bCs/>
          <w:color w:val="000000" w:themeColor="text1"/>
          <w:sz w:val="24"/>
          <w:szCs w:val="24"/>
          <w:shd w:val="clear" w:color="auto" w:fill="FFFFFF"/>
        </w:rPr>
        <w:t xml:space="preserve"> &amp;</w:t>
      </w:r>
      <w:r w:rsidRPr="00724CA2">
        <w:rPr>
          <w:rFonts w:ascii="Times New Roman" w:hAnsi="Times New Roman" w:cs="Times New Roman"/>
          <w:bCs/>
          <w:color w:val="000000" w:themeColor="text1"/>
          <w:sz w:val="24"/>
          <w:szCs w:val="24"/>
          <w:shd w:val="clear" w:color="auto" w:fill="FFFFFF"/>
        </w:rPr>
        <w:t xml:space="preserve"> Vasvari, F. P. </w:t>
      </w:r>
      <w:r w:rsidR="00FC2BAC" w:rsidRPr="00724CA2">
        <w:rPr>
          <w:rFonts w:ascii="Times New Roman" w:hAnsi="Times New Roman" w:cs="Times New Roman"/>
          <w:bCs/>
          <w:color w:val="000000" w:themeColor="text1"/>
          <w:sz w:val="24"/>
          <w:szCs w:val="24"/>
          <w:shd w:val="clear" w:color="auto" w:fill="FFFFFF"/>
        </w:rPr>
        <w:t>(</w:t>
      </w:r>
      <w:r w:rsidRPr="00724CA2">
        <w:rPr>
          <w:rFonts w:ascii="Times New Roman" w:hAnsi="Times New Roman" w:cs="Times New Roman"/>
          <w:bCs/>
          <w:color w:val="000000" w:themeColor="text1"/>
          <w:sz w:val="24"/>
          <w:szCs w:val="24"/>
          <w:shd w:val="clear" w:color="auto" w:fill="FFFFFF"/>
        </w:rPr>
        <w:t>2008</w:t>
      </w:r>
      <w:r w:rsidR="00FC2BAC" w:rsidRPr="00724CA2">
        <w:rPr>
          <w:rFonts w:ascii="Times New Roman" w:hAnsi="Times New Roman" w:cs="Times New Roman"/>
          <w:bCs/>
          <w:color w:val="000000" w:themeColor="text1"/>
          <w:sz w:val="24"/>
          <w:szCs w:val="24"/>
          <w:shd w:val="clear" w:color="auto" w:fill="FFFFFF"/>
        </w:rPr>
        <w:t>)</w:t>
      </w:r>
      <w:r w:rsidRPr="00724CA2">
        <w:rPr>
          <w:rFonts w:ascii="Times New Roman" w:hAnsi="Times New Roman" w:cs="Times New Roman"/>
          <w:bCs/>
          <w:color w:val="000000" w:themeColor="text1"/>
          <w:sz w:val="24"/>
          <w:szCs w:val="24"/>
          <w:shd w:val="clear" w:color="auto" w:fill="FFFFFF"/>
        </w:rPr>
        <w:t xml:space="preserve">. Revisiting the relation between environmental performance and environmental disclosure: An empirical analysis. </w:t>
      </w:r>
      <w:r w:rsidRPr="00724CA2">
        <w:rPr>
          <w:rFonts w:ascii="Times New Roman" w:hAnsi="Times New Roman" w:cs="Times New Roman"/>
          <w:bCs/>
          <w:i/>
          <w:iCs/>
          <w:color w:val="000000" w:themeColor="text1"/>
          <w:sz w:val="24"/>
          <w:szCs w:val="24"/>
          <w:shd w:val="clear" w:color="auto" w:fill="FFFFFF"/>
        </w:rPr>
        <w:t>Accounting, Organizations and Society,</w:t>
      </w:r>
      <w:r w:rsidRPr="00724CA2">
        <w:rPr>
          <w:rFonts w:ascii="Times New Roman" w:hAnsi="Times New Roman" w:cs="Times New Roman"/>
          <w:bCs/>
          <w:color w:val="000000" w:themeColor="text1"/>
          <w:sz w:val="24"/>
          <w:szCs w:val="24"/>
          <w:shd w:val="clear" w:color="auto" w:fill="FFFFFF"/>
        </w:rPr>
        <w:t xml:space="preserve"> </w:t>
      </w:r>
      <w:r w:rsidRPr="00724CA2">
        <w:rPr>
          <w:rFonts w:ascii="Times New Roman" w:hAnsi="Times New Roman" w:cs="Times New Roman"/>
          <w:bCs/>
          <w:i/>
          <w:iCs/>
          <w:color w:val="000000" w:themeColor="text1"/>
          <w:sz w:val="24"/>
          <w:szCs w:val="24"/>
          <w:shd w:val="clear" w:color="auto" w:fill="FFFFFF"/>
        </w:rPr>
        <w:t>33</w:t>
      </w:r>
      <w:r w:rsidR="00FA48DC">
        <w:rPr>
          <w:rFonts w:ascii="Times New Roman" w:hAnsi="Times New Roman" w:cs="Times New Roman"/>
          <w:bCs/>
          <w:color w:val="000000" w:themeColor="text1"/>
          <w:sz w:val="24"/>
          <w:szCs w:val="24"/>
          <w:shd w:val="clear" w:color="auto" w:fill="FFFFFF"/>
        </w:rPr>
        <w:t>,</w:t>
      </w:r>
      <w:r w:rsidRPr="00724CA2">
        <w:rPr>
          <w:rFonts w:ascii="Times New Roman" w:hAnsi="Times New Roman" w:cs="Times New Roman"/>
          <w:bCs/>
          <w:color w:val="000000" w:themeColor="text1"/>
          <w:sz w:val="24"/>
          <w:szCs w:val="24"/>
          <w:shd w:val="clear" w:color="auto" w:fill="FFFFFF"/>
        </w:rPr>
        <w:t xml:space="preserve"> 303-327.</w:t>
      </w:r>
    </w:p>
    <w:p w14:paraId="3DE69533" w14:textId="4D4C2BF3" w:rsidR="00BF69C3" w:rsidRPr="00724CA2" w:rsidRDefault="00BF69C3" w:rsidP="008B1E39">
      <w:pPr>
        <w:spacing w:after="120" w:line="348" w:lineRule="auto"/>
        <w:jc w:val="both"/>
        <w:rPr>
          <w:rFonts w:ascii="Times New Roman" w:hAnsi="Times New Roman" w:cs="Times New Roman"/>
          <w:bCs/>
          <w:color w:val="000000" w:themeColor="text1"/>
          <w:sz w:val="24"/>
          <w:szCs w:val="24"/>
          <w:shd w:val="clear" w:color="auto" w:fill="FFFFFF"/>
          <w:lang w:val="en-HK"/>
        </w:rPr>
      </w:pPr>
      <w:r w:rsidRPr="00724CA2">
        <w:rPr>
          <w:rFonts w:ascii="Times New Roman" w:hAnsi="Times New Roman" w:cs="Times New Roman"/>
          <w:bCs/>
          <w:color w:val="000000" w:themeColor="text1"/>
          <w:sz w:val="24"/>
          <w:szCs w:val="24"/>
          <w:shd w:val="clear" w:color="auto" w:fill="FFFFFF"/>
          <w:lang w:val="en-HK"/>
        </w:rPr>
        <w:t>Crane, A.</w:t>
      </w:r>
      <w:r w:rsidR="00386CF9" w:rsidRPr="00724CA2">
        <w:rPr>
          <w:rFonts w:ascii="Times New Roman" w:hAnsi="Times New Roman" w:cs="Times New Roman"/>
          <w:bCs/>
          <w:color w:val="000000" w:themeColor="text1"/>
          <w:sz w:val="24"/>
          <w:szCs w:val="24"/>
          <w:shd w:val="clear" w:color="auto" w:fill="FFFFFF"/>
          <w:lang w:val="en-HK"/>
        </w:rPr>
        <w:t xml:space="preserve"> </w:t>
      </w:r>
      <w:r w:rsidRPr="00724CA2">
        <w:rPr>
          <w:rFonts w:ascii="Times New Roman" w:hAnsi="Times New Roman" w:cs="Times New Roman"/>
          <w:bCs/>
          <w:color w:val="000000" w:themeColor="text1"/>
          <w:sz w:val="24"/>
          <w:szCs w:val="24"/>
          <w:shd w:val="clear" w:color="auto" w:fill="FFFFFF"/>
          <w:lang w:val="en-HK"/>
        </w:rPr>
        <w:t>D., Michenaud, S. &amp; Weston, J.P. (2016). The effect of institutional ownership on payout policy: Evidence from index thresholds. </w:t>
      </w:r>
      <w:r w:rsidRPr="00724CA2">
        <w:rPr>
          <w:rFonts w:ascii="Times New Roman" w:hAnsi="Times New Roman" w:cs="Times New Roman"/>
          <w:bCs/>
          <w:i/>
          <w:iCs/>
          <w:color w:val="000000" w:themeColor="text1"/>
          <w:sz w:val="24"/>
          <w:szCs w:val="24"/>
          <w:shd w:val="clear" w:color="auto" w:fill="FFFFFF"/>
          <w:lang w:val="en-HK"/>
        </w:rPr>
        <w:t>The Review of Financial Studies</w:t>
      </w:r>
      <w:r w:rsidRPr="00724CA2">
        <w:rPr>
          <w:rFonts w:ascii="Times New Roman" w:hAnsi="Times New Roman" w:cs="Times New Roman"/>
          <w:bCs/>
          <w:color w:val="000000" w:themeColor="text1"/>
          <w:sz w:val="24"/>
          <w:szCs w:val="24"/>
          <w:shd w:val="clear" w:color="auto" w:fill="FFFFFF"/>
          <w:lang w:val="en-HK"/>
        </w:rPr>
        <w:t>, </w:t>
      </w:r>
      <w:r w:rsidRPr="00724CA2">
        <w:rPr>
          <w:rFonts w:ascii="Times New Roman" w:hAnsi="Times New Roman" w:cs="Times New Roman"/>
          <w:bCs/>
          <w:i/>
          <w:iCs/>
          <w:color w:val="000000" w:themeColor="text1"/>
          <w:sz w:val="24"/>
          <w:szCs w:val="24"/>
          <w:shd w:val="clear" w:color="auto" w:fill="FFFFFF"/>
          <w:lang w:val="en-HK"/>
        </w:rPr>
        <w:t>29</w:t>
      </w:r>
      <w:r w:rsidRPr="00724CA2">
        <w:rPr>
          <w:rFonts w:ascii="Times New Roman" w:hAnsi="Times New Roman" w:cs="Times New Roman"/>
          <w:bCs/>
          <w:color w:val="000000" w:themeColor="text1"/>
          <w:sz w:val="24"/>
          <w:szCs w:val="24"/>
          <w:shd w:val="clear" w:color="auto" w:fill="FFFFFF"/>
          <w:lang w:val="en-HK"/>
        </w:rPr>
        <w:t>(6), 1377-1408.</w:t>
      </w:r>
    </w:p>
    <w:p w14:paraId="7AF3E5D9" w14:textId="077D1B1C" w:rsidR="00BF69C3" w:rsidRPr="00724CA2" w:rsidRDefault="00BF69C3"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De Villiers, C., Naiker, V. &amp; Van Staden, C. J. (2011). The effect of board characteristics on firm environmental performance. </w:t>
      </w:r>
      <w:r w:rsidRPr="00724CA2">
        <w:rPr>
          <w:rFonts w:ascii="Times New Roman" w:hAnsi="Times New Roman" w:cs="Times New Roman"/>
          <w:bCs/>
          <w:i/>
          <w:iCs/>
          <w:color w:val="000000" w:themeColor="text1"/>
          <w:sz w:val="24"/>
          <w:szCs w:val="24"/>
          <w:shd w:val="clear" w:color="auto" w:fill="FFFFFF"/>
        </w:rPr>
        <w:t>Journal of Management</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37</w:t>
      </w:r>
      <w:r w:rsidRPr="00724CA2">
        <w:rPr>
          <w:rFonts w:ascii="Times New Roman" w:hAnsi="Times New Roman" w:cs="Times New Roman"/>
          <w:bCs/>
          <w:color w:val="000000" w:themeColor="text1"/>
          <w:sz w:val="24"/>
          <w:szCs w:val="24"/>
          <w:shd w:val="clear" w:color="auto" w:fill="FFFFFF"/>
        </w:rPr>
        <w:t>(6), 1636-1663.</w:t>
      </w:r>
    </w:p>
    <w:p w14:paraId="03F70FA3" w14:textId="77777777" w:rsidR="00492462" w:rsidRPr="00724CA2" w:rsidRDefault="00492462" w:rsidP="008B1E39">
      <w:pPr>
        <w:shd w:val="clear" w:color="auto" w:fill="FFFFFF"/>
        <w:spacing w:after="120" w:line="348" w:lineRule="auto"/>
        <w:jc w:val="both"/>
        <w:rPr>
          <w:rFonts w:ascii="Times New Roman" w:eastAsia="Times New Roman" w:hAnsi="Times New Roman" w:cs="Times New Roman"/>
          <w:bCs/>
          <w:color w:val="000000" w:themeColor="text1"/>
          <w:sz w:val="24"/>
          <w:szCs w:val="24"/>
          <w:lang w:eastAsia="en-GB"/>
        </w:rPr>
      </w:pPr>
      <w:bookmarkStart w:id="18" w:name="_Hlk75123342"/>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Deng, X., Li, W., &amp; Ren, X. (2023). More sustainable, more productive: Evidence from ESG ratings and total factor productivity among listed Chinese firms. </w:t>
      </w:r>
      <w:r w:rsidRPr="00724CA2">
        <w:rPr>
          <w:rFonts w:ascii="Times New Roman" w:eastAsia="Times New Roman" w:hAnsi="Times New Roman" w:cs="Times New Roman"/>
          <w:bCs/>
          <w:i/>
          <w:iCs/>
          <w:color w:val="000000" w:themeColor="text1"/>
          <w:sz w:val="24"/>
          <w:szCs w:val="24"/>
          <w:bdr w:val="none" w:sz="0" w:space="0" w:color="auto" w:frame="1"/>
          <w:shd w:val="clear" w:color="auto" w:fill="FFFFFF"/>
          <w:lang w:val="en-US" w:eastAsia="en-GB"/>
        </w:rPr>
        <w:t>Finance Research Letters</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w:t>
      </w:r>
      <w:r w:rsidRPr="00724CA2">
        <w:rPr>
          <w:rFonts w:ascii="Times New Roman" w:eastAsia="Times New Roman" w:hAnsi="Times New Roman" w:cs="Times New Roman"/>
          <w:bCs/>
          <w:i/>
          <w:iCs/>
          <w:color w:val="000000" w:themeColor="text1"/>
          <w:sz w:val="24"/>
          <w:szCs w:val="24"/>
          <w:bdr w:val="none" w:sz="0" w:space="0" w:color="auto" w:frame="1"/>
          <w:shd w:val="clear" w:color="auto" w:fill="FFFFFF"/>
          <w:lang w:val="en-US" w:eastAsia="en-GB"/>
        </w:rPr>
        <w:t>51</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103439.</w:t>
      </w:r>
      <w:r w:rsidRPr="00724CA2">
        <w:rPr>
          <w:rFonts w:ascii="Times New Roman" w:eastAsia="Times New Roman" w:hAnsi="Times New Roman" w:cs="Times New Roman"/>
          <w:bCs/>
          <w:color w:val="000000" w:themeColor="text1"/>
          <w:sz w:val="24"/>
          <w:szCs w:val="24"/>
          <w:bdr w:val="none" w:sz="0" w:space="0" w:color="auto" w:frame="1"/>
          <w:lang w:val="en-US" w:eastAsia="en-GB"/>
        </w:rPr>
        <w:t> </w:t>
      </w:r>
      <w:r w:rsidRPr="00724CA2">
        <w:rPr>
          <w:rFonts w:ascii="Times New Roman" w:eastAsia="Times New Roman" w:hAnsi="Times New Roman" w:cs="Times New Roman"/>
          <w:bCs/>
          <w:color w:val="000000" w:themeColor="text1"/>
          <w:sz w:val="24"/>
          <w:szCs w:val="24"/>
          <w:lang w:eastAsia="en-GB"/>
        </w:rPr>
        <w:t> </w:t>
      </w:r>
    </w:p>
    <w:p w14:paraId="33E420B7" w14:textId="53EC076F" w:rsidR="00E65344" w:rsidRPr="00724CA2" w:rsidRDefault="00E65344" w:rsidP="008B1E39">
      <w:pPr>
        <w:spacing w:after="120" w:line="348" w:lineRule="auto"/>
        <w:jc w:val="both"/>
        <w:rPr>
          <w:rFonts w:ascii="Times New Roman" w:eastAsia="Times New Roman" w:hAnsi="Times New Roman" w:cs="Times New Roman"/>
          <w:bCs/>
          <w:iCs/>
          <w:color w:val="000000" w:themeColor="text1"/>
          <w:sz w:val="24"/>
          <w:szCs w:val="24"/>
        </w:rPr>
      </w:pPr>
      <w:r w:rsidRPr="00724CA2">
        <w:rPr>
          <w:rFonts w:ascii="Times New Roman" w:eastAsia="Times New Roman" w:hAnsi="Times New Roman" w:cs="Times New Roman"/>
          <w:bCs/>
          <w:iCs/>
          <w:color w:val="000000" w:themeColor="text1"/>
          <w:sz w:val="24"/>
          <w:szCs w:val="24"/>
        </w:rPr>
        <w:t xml:space="preserve">DiMaggio, P.J. </w:t>
      </w:r>
      <w:r w:rsidR="0023402D" w:rsidRPr="00724CA2">
        <w:rPr>
          <w:rFonts w:ascii="Times New Roman" w:hAnsi="Times New Roman" w:cs="Times New Roman"/>
          <w:bCs/>
          <w:color w:val="000000" w:themeColor="text1"/>
          <w:sz w:val="24"/>
          <w:szCs w:val="24"/>
          <w:shd w:val="clear" w:color="auto" w:fill="FFFFFF"/>
        </w:rPr>
        <w:t>&amp;</w:t>
      </w:r>
      <w:r w:rsidRPr="00724CA2">
        <w:rPr>
          <w:rFonts w:ascii="Times New Roman" w:eastAsia="Times New Roman" w:hAnsi="Times New Roman" w:cs="Times New Roman"/>
          <w:bCs/>
          <w:iCs/>
          <w:color w:val="000000" w:themeColor="text1"/>
          <w:sz w:val="24"/>
          <w:szCs w:val="24"/>
        </w:rPr>
        <w:t xml:space="preserve"> Powell, W.W. (1983)</w:t>
      </w:r>
      <w:r w:rsidR="00FC2BAC" w:rsidRPr="00724CA2">
        <w:rPr>
          <w:rFonts w:ascii="Times New Roman" w:eastAsia="Times New Roman" w:hAnsi="Times New Roman" w:cs="Times New Roman"/>
          <w:bCs/>
          <w:iCs/>
          <w:color w:val="000000" w:themeColor="text1"/>
          <w:sz w:val="24"/>
          <w:szCs w:val="24"/>
        </w:rPr>
        <w:t>.</w:t>
      </w:r>
      <w:r w:rsidRPr="00724CA2">
        <w:rPr>
          <w:rFonts w:ascii="Times New Roman" w:eastAsia="Times New Roman" w:hAnsi="Times New Roman" w:cs="Times New Roman"/>
          <w:bCs/>
          <w:iCs/>
          <w:color w:val="000000" w:themeColor="text1"/>
          <w:sz w:val="24"/>
          <w:szCs w:val="24"/>
        </w:rPr>
        <w:t xml:space="preserve"> The iron cage revisited: Institutional isomorphism and collective rationality in organizational fields. </w:t>
      </w:r>
      <w:r w:rsidRPr="00724CA2">
        <w:rPr>
          <w:rFonts w:ascii="Times New Roman" w:eastAsia="Times New Roman" w:hAnsi="Times New Roman" w:cs="Times New Roman"/>
          <w:bCs/>
          <w:i/>
          <w:iCs/>
          <w:color w:val="000000" w:themeColor="text1"/>
          <w:sz w:val="24"/>
          <w:szCs w:val="24"/>
        </w:rPr>
        <w:t>American Sociological Review</w:t>
      </w:r>
      <w:r w:rsidRPr="00724CA2">
        <w:rPr>
          <w:rFonts w:ascii="Times New Roman" w:eastAsia="Times New Roman" w:hAnsi="Times New Roman" w:cs="Times New Roman"/>
          <w:bCs/>
          <w:iCs/>
          <w:color w:val="000000" w:themeColor="text1"/>
          <w:sz w:val="24"/>
          <w:szCs w:val="24"/>
        </w:rPr>
        <w:t xml:space="preserve">, </w:t>
      </w:r>
      <w:r w:rsidRPr="00724CA2">
        <w:rPr>
          <w:rFonts w:ascii="Times New Roman" w:eastAsia="Times New Roman" w:hAnsi="Times New Roman" w:cs="Times New Roman"/>
          <w:bCs/>
          <w:i/>
          <w:color w:val="000000" w:themeColor="text1"/>
          <w:sz w:val="24"/>
          <w:szCs w:val="24"/>
        </w:rPr>
        <w:t>48</w:t>
      </w:r>
      <w:r w:rsidR="00FC2BAC" w:rsidRPr="00724CA2">
        <w:rPr>
          <w:rFonts w:ascii="Times New Roman" w:eastAsia="Times New Roman" w:hAnsi="Times New Roman" w:cs="Times New Roman"/>
          <w:bCs/>
          <w:iCs/>
          <w:color w:val="000000" w:themeColor="text1"/>
          <w:sz w:val="24"/>
          <w:szCs w:val="24"/>
        </w:rPr>
        <w:t>(</w:t>
      </w:r>
      <w:r w:rsidRPr="00724CA2">
        <w:rPr>
          <w:rFonts w:ascii="Times New Roman" w:eastAsia="Times New Roman" w:hAnsi="Times New Roman" w:cs="Times New Roman"/>
          <w:bCs/>
          <w:iCs/>
          <w:color w:val="000000" w:themeColor="text1"/>
          <w:sz w:val="24"/>
          <w:szCs w:val="24"/>
        </w:rPr>
        <w:t>2</w:t>
      </w:r>
      <w:r w:rsidR="00FC2BAC" w:rsidRPr="00724CA2">
        <w:rPr>
          <w:rFonts w:ascii="Times New Roman" w:eastAsia="Times New Roman" w:hAnsi="Times New Roman" w:cs="Times New Roman"/>
          <w:bCs/>
          <w:iCs/>
          <w:color w:val="000000" w:themeColor="text1"/>
          <w:sz w:val="24"/>
          <w:szCs w:val="24"/>
        </w:rPr>
        <w:t>)</w:t>
      </w:r>
      <w:r w:rsidRPr="00724CA2">
        <w:rPr>
          <w:rFonts w:ascii="Times New Roman" w:eastAsia="Times New Roman" w:hAnsi="Times New Roman" w:cs="Times New Roman"/>
          <w:bCs/>
          <w:iCs/>
          <w:color w:val="000000" w:themeColor="text1"/>
          <w:sz w:val="24"/>
          <w:szCs w:val="24"/>
        </w:rPr>
        <w:t>, 147-</w:t>
      </w:r>
      <w:r w:rsidR="00FC2BAC" w:rsidRPr="00724CA2">
        <w:rPr>
          <w:rFonts w:ascii="Times New Roman" w:eastAsia="Times New Roman" w:hAnsi="Times New Roman" w:cs="Times New Roman"/>
          <w:bCs/>
          <w:iCs/>
          <w:color w:val="000000" w:themeColor="text1"/>
          <w:sz w:val="24"/>
          <w:szCs w:val="24"/>
        </w:rPr>
        <w:t>1</w:t>
      </w:r>
      <w:r w:rsidRPr="00724CA2">
        <w:rPr>
          <w:rFonts w:ascii="Times New Roman" w:eastAsia="Times New Roman" w:hAnsi="Times New Roman" w:cs="Times New Roman"/>
          <w:bCs/>
          <w:iCs/>
          <w:color w:val="000000" w:themeColor="text1"/>
          <w:sz w:val="24"/>
          <w:szCs w:val="24"/>
        </w:rPr>
        <w:t>60.</w:t>
      </w:r>
    </w:p>
    <w:p w14:paraId="36EF2612" w14:textId="549713DF" w:rsidR="006F7548" w:rsidRPr="00724CA2" w:rsidRDefault="006F7548"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Drobetz, W. Ghoul, S</w:t>
      </w:r>
      <w:r w:rsidR="00656795"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E</w:t>
      </w:r>
      <w:r w:rsidR="00656795"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Fu</w:t>
      </w:r>
      <w:r w:rsidR="00656795"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xml:space="preserve"> Z</w:t>
      </w:r>
      <w:r w:rsidR="00656795"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xml:space="preserve"> </w:t>
      </w:r>
      <w:r w:rsidR="00656795" w:rsidRPr="00724CA2">
        <w:rPr>
          <w:rFonts w:ascii="Times New Roman" w:hAnsi="Times New Roman" w:cs="Times New Roman"/>
          <w:bCs/>
          <w:color w:val="000000" w:themeColor="text1"/>
          <w:sz w:val="24"/>
          <w:szCs w:val="24"/>
        </w:rPr>
        <w:t xml:space="preserve">&amp; </w:t>
      </w:r>
      <w:r w:rsidRPr="00724CA2">
        <w:rPr>
          <w:rFonts w:ascii="Times New Roman" w:hAnsi="Times New Roman" w:cs="Times New Roman"/>
          <w:bCs/>
          <w:color w:val="000000" w:themeColor="text1"/>
          <w:sz w:val="24"/>
          <w:szCs w:val="24"/>
        </w:rPr>
        <w:t>Guedhami, O. (202</w:t>
      </w:r>
      <w:r w:rsidR="001F2A1B">
        <w:rPr>
          <w:rFonts w:ascii="Times New Roman" w:hAnsi="Times New Roman" w:cs="Times New Roman"/>
          <w:bCs/>
          <w:color w:val="000000" w:themeColor="text1"/>
          <w:sz w:val="24"/>
          <w:szCs w:val="24"/>
        </w:rPr>
        <w:t>4</w:t>
      </w:r>
      <w:r w:rsidRPr="00724CA2">
        <w:rPr>
          <w:rFonts w:ascii="Times New Roman" w:hAnsi="Times New Roman" w:cs="Times New Roman"/>
          <w:bCs/>
          <w:color w:val="000000" w:themeColor="text1"/>
          <w:sz w:val="24"/>
          <w:szCs w:val="24"/>
        </w:rPr>
        <w:t xml:space="preserve">).  Institutional investors and corporate environmental costs: the roles of investment horizon and investor origin. </w:t>
      </w:r>
      <w:r w:rsidRPr="00724CA2">
        <w:rPr>
          <w:rFonts w:ascii="Times New Roman" w:hAnsi="Times New Roman" w:cs="Times New Roman"/>
          <w:bCs/>
          <w:i/>
          <w:iCs/>
          <w:color w:val="000000" w:themeColor="text1"/>
          <w:sz w:val="24"/>
          <w:szCs w:val="24"/>
        </w:rPr>
        <w:t>European Financial Management</w:t>
      </w:r>
      <w:r w:rsidRPr="00724CA2">
        <w:rPr>
          <w:rFonts w:ascii="Times New Roman" w:hAnsi="Times New Roman" w:cs="Times New Roman"/>
          <w:bCs/>
          <w:color w:val="000000" w:themeColor="text1"/>
          <w:sz w:val="24"/>
          <w:szCs w:val="24"/>
        </w:rPr>
        <w:t xml:space="preserve">, </w:t>
      </w:r>
      <w:r w:rsidR="001F2A1B" w:rsidRPr="001F2A1B">
        <w:rPr>
          <w:rFonts w:ascii="Times New Roman" w:hAnsi="Times New Roman" w:cs="Times New Roman"/>
          <w:bCs/>
          <w:i/>
          <w:iCs/>
          <w:color w:val="000000" w:themeColor="text1"/>
          <w:sz w:val="24"/>
          <w:szCs w:val="24"/>
        </w:rPr>
        <w:t>30,</w:t>
      </w:r>
      <w:r w:rsidR="001F2A1B" w:rsidRPr="001F2A1B">
        <w:rPr>
          <w:rFonts w:ascii="Times New Roman" w:hAnsi="Times New Roman" w:cs="Times New Roman"/>
          <w:bCs/>
          <w:color w:val="000000" w:themeColor="text1"/>
          <w:sz w:val="24"/>
          <w:szCs w:val="24"/>
        </w:rPr>
        <w:t> 727–769.</w:t>
      </w:r>
    </w:p>
    <w:p w14:paraId="1D80D30F" w14:textId="20E619F9" w:rsidR="005B6BDA" w:rsidRPr="00724CA2" w:rsidRDefault="005B6BDA" w:rsidP="008B1E39">
      <w:pPr>
        <w:autoSpaceDE w:val="0"/>
        <w:autoSpaceDN w:val="0"/>
        <w:adjustRightInd w:val="0"/>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Du, X., Jian, W. &amp; Lai, S. (2017). Do foreign directors mitigate earnings management? Evidence from China. </w:t>
      </w:r>
      <w:r w:rsidRPr="00724CA2">
        <w:rPr>
          <w:rFonts w:ascii="Times New Roman" w:hAnsi="Times New Roman" w:cs="Times New Roman"/>
          <w:bCs/>
          <w:i/>
          <w:iCs/>
          <w:color w:val="000000" w:themeColor="text1"/>
          <w:sz w:val="24"/>
          <w:szCs w:val="24"/>
        </w:rPr>
        <w:t>The International Journal of Accounting,</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52(2</w:t>
      </w:r>
      <w:r w:rsidRPr="00724CA2">
        <w:rPr>
          <w:rFonts w:ascii="Times New Roman" w:hAnsi="Times New Roman" w:cs="Times New Roman"/>
          <w:bCs/>
          <w:color w:val="000000" w:themeColor="text1"/>
          <w:sz w:val="24"/>
          <w:szCs w:val="24"/>
        </w:rPr>
        <w:t>), 142-177.</w:t>
      </w:r>
    </w:p>
    <w:p w14:paraId="40968264" w14:textId="1D1AD325" w:rsidR="00E65344" w:rsidRPr="00724CA2" w:rsidRDefault="00E65344" w:rsidP="008B1E39">
      <w:pPr>
        <w:autoSpaceDE w:val="0"/>
        <w:autoSpaceDN w:val="0"/>
        <w:adjustRightInd w:val="0"/>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Dyck, A., Lin K. V., Roth</w:t>
      </w:r>
      <w:r w:rsidR="0023402D"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xml:space="preserve"> L</w:t>
      </w:r>
      <w:r w:rsidR="0023402D"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xml:space="preserve"> </w:t>
      </w:r>
      <w:r w:rsidR="0023402D" w:rsidRPr="00724CA2">
        <w:rPr>
          <w:rFonts w:ascii="Times New Roman" w:hAnsi="Times New Roman" w:cs="Times New Roman"/>
          <w:bCs/>
          <w:color w:val="000000" w:themeColor="text1"/>
          <w:sz w:val="24"/>
          <w:szCs w:val="24"/>
          <w:shd w:val="clear" w:color="auto" w:fill="FFFFFF"/>
        </w:rPr>
        <w:t>&amp;</w:t>
      </w:r>
      <w:r w:rsidRPr="00724CA2">
        <w:rPr>
          <w:rFonts w:ascii="Times New Roman" w:hAnsi="Times New Roman" w:cs="Times New Roman"/>
          <w:bCs/>
          <w:color w:val="000000" w:themeColor="text1"/>
          <w:sz w:val="24"/>
          <w:szCs w:val="24"/>
        </w:rPr>
        <w:t xml:space="preserve"> Wagner, H. F. (2019). Do institutional investors drive corporate social responsibility? International evidence, </w:t>
      </w:r>
      <w:r w:rsidRPr="00724CA2">
        <w:rPr>
          <w:rFonts w:ascii="Times New Roman" w:hAnsi="Times New Roman" w:cs="Times New Roman"/>
          <w:bCs/>
          <w:i/>
          <w:color w:val="000000" w:themeColor="text1"/>
          <w:sz w:val="24"/>
          <w:szCs w:val="24"/>
        </w:rPr>
        <w:t>Journal of Financial Economics</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131</w:t>
      </w:r>
      <w:r w:rsidRPr="00724CA2">
        <w:rPr>
          <w:rFonts w:ascii="Times New Roman" w:hAnsi="Times New Roman" w:cs="Times New Roman"/>
          <w:bCs/>
          <w:color w:val="000000" w:themeColor="text1"/>
          <w:sz w:val="24"/>
          <w:szCs w:val="24"/>
        </w:rPr>
        <w:t xml:space="preserve">, 693–714   </w:t>
      </w:r>
    </w:p>
    <w:p w14:paraId="4468C599" w14:textId="367F2778" w:rsidR="003F1530" w:rsidRPr="00724CA2" w:rsidRDefault="00BF69C3"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Earnhart, D. &amp; Lizal</w:t>
      </w:r>
      <w:bookmarkEnd w:id="18"/>
      <w:r w:rsidRPr="00724CA2">
        <w:rPr>
          <w:rFonts w:ascii="Times New Roman" w:hAnsi="Times New Roman" w:cs="Times New Roman"/>
          <w:bCs/>
          <w:color w:val="000000" w:themeColor="text1"/>
          <w:sz w:val="24"/>
          <w:szCs w:val="24"/>
          <w:shd w:val="clear" w:color="auto" w:fill="FFFFFF"/>
        </w:rPr>
        <w:t>, L. (2006). Effects of ownership and financial performance on corporate environmental performance. </w:t>
      </w:r>
      <w:r w:rsidRPr="00724CA2">
        <w:rPr>
          <w:rFonts w:ascii="Times New Roman" w:hAnsi="Times New Roman" w:cs="Times New Roman"/>
          <w:bCs/>
          <w:i/>
          <w:iCs/>
          <w:color w:val="000000" w:themeColor="text1"/>
          <w:sz w:val="24"/>
          <w:szCs w:val="24"/>
          <w:shd w:val="clear" w:color="auto" w:fill="FFFFFF"/>
        </w:rPr>
        <w:t>Journal of Comparative Economics</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34</w:t>
      </w:r>
      <w:r w:rsidRPr="00724CA2">
        <w:rPr>
          <w:rFonts w:ascii="Times New Roman" w:hAnsi="Times New Roman" w:cs="Times New Roman"/>
          <w:bCs/>
          <w:color w:val="000000" w:themeColor="text1"/>
          <w:sz w:val="24"/>
          <w:szCs w:val="24"/>
          <w:shd w:val="clear" w:color="auto" w:fill="FFFFFF"/>
        </w:rPr>
        <w:t>(1), 111-129.</w:t>
      </w:r>
    </w:p>
    <w:p w14:paraId="69BDFDC6" w14:textId="59D42986" w:rsidR="003F1530" w:rsidRPr="00724CA2" w:rsidRDefault="003F1530" w:rsidP="008B1E39">
      <w:pPr>
        <w:autoSpaceDE w:val="0"/>
        <w:autoSpaceDN w:val="0"/>
        <w:adjustRightInd w:val="0"/>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shd w:val="clear" w:color="auto" w:fill="FFFFFF"/>
        </w:rPr>
        <w:lastRenderedPageBreak/>
        <w:t>Erhemjamts, O. &amp; Huang, K. (2019). Institutional ownership horizon, corporate social responsibility and shareholder value. </w:t>
      </w:r>
      <w:r w:rsidRPr="00724CA2">
        <w:rPr>
          <w:rFonts w:ascii="Times New Roman" w:hAnsi="Times New Roman" w:cs="Times New Roman"/>
          <w:bCs/>
          <w:i/>
          <w:iCs/>
          <w:color w:val="000000" w:themeColor="text1"/>
          <w:sz w:val="24"/>
          <w:szCs w:val="24"/>
          <w:shd w:val="clear" w:color="auto" w:fill="FFFFFF"/>
        </w:rPr>
        <w:t>Journal of Business Research</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105</w:t>
      </w:r>
      <w:r w:rsidRPr="00724CA2">
        <w:rPr>
          <w:rFonts w:ascii="Times New Roman" w:hAnsi="Times New Roman" w:cs="Times New Roman"/>
          <w:bCs/>
          <w:color w:val="000000" w:themeColor="text1"/>
          <w:sz w:val="24"/>
          <w:szCs w:val="24"/>
          <w:shd w:val="clear" w:color="auto" w:fill="FFFFFF"/>
        </w:rPr>
        <w:t>, 61-79</w:t>
      </w:r>
    </w:p>
    <w:p w14:paraId="5B49E8F2" w14:textId="4508B3BE" w:rsidR="006229E1" w:rsidRPr="00724CA2" w:rsidRDefault="006229E1" w:rsidP="008B1E39">
      <w:pPr>
        <w:autoSpaceDE w:val="0"/>
        <w:autoSpaceDN w:val="0"/>
        <w:adjustRightInd w:val="0"/>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Falcone, PC., Morone, P. </w:t>
      </w:r>
      <w:r w:rsidR="00BF417A" w:rsidRPr="00724CA2">
        <w:rPr>
          <w:rFonts w:ascii="Times New Roman" w:hAnsi="Times New Roman" w:cs="Times New Roman"/>
          <w:bCs/>
          <w:color w:val="000000" w:themeColor="text1"/>
          <w:sz w:val="24"/>
          <w:szCs w:val="24"/>
        </w:rPr>
        <w:t xml:space="preserve">&amp; </w:t>
      </w:r>
      <w:r w:rsidRPr="00724CA2">
        <w:rPr>
          <w:rFonts w:ascii="Times New Roman" w:hAnsi="Times New Roman" w:cs="Times New Roman"/>
          <w:bCs/>
          <w:color w:val="000000" w:themeColor="text1"/>
          <w:sz w:val="24"/>
          <w:szCs w:val="24"/>
        </w:rPr>
        <w:t>Sica, E. (2018)</w:t>
      </w:r>
      <w:r w:rsidR="00F27AC9"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xml:space="preserve"> Greening of the financial system and fuelling a sustainability transition A discursive approach to assess landscape pressures on the Italian financial system</w:t>
      </w:r>
      <w:r w:rsidR="00F27AC9"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Technological Forecasting &amp; Social Change</w:t>
      </w:r>
      <w:r w:rsidR="00F27AC9"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127</w:t>
      </w:r>
      <w:r w:rsidRPr="00724CA2">
        <w:rPr>
          <w:rFonts w:ascii="Times New Roman" w:hAnsi="Times New Roman" w:cs="Times New Roman"/>
          <w:bCs/>
          <w:color w:val="000000" w:themeColor="text1"/>
          <w:sz w:val="24"/>
          <w:szCs w:val="24"/>
        </w:rPr>
        <w:t>, 23–37</w:t>
      </w:r>
    </w:p>
    <w:p w14:paraId="009C933B" w14:textId="6D6E710B" w:rsidR="00D9380F" w:rsidRPr="00724CA2" w:rsidRDefault="00D9380F"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Ferreira, M.A., Keswani, A., Miguel, A.F. &amp; Ramos, S.B. (2013). The </w:t>
      </w:r>
      <w:r w:rsidR="00552370" w:rsidRPr="00724CA2">
        <w:rPr>
          <w:rFonts w:ascii="Times New Roman" w:hAnsi="Times New Roman" w:cs="Times New Roman"/>
          <w:bCs/>
          <w:color w:val="000000" w:themeColor="text1"/>
          <w:sz w:val="24"/>
          <w:szCs w:val="24"/>
        </w:rPr>
        <w:t>determinants of mutual fund performance: a cross-country study</w:t>
      </w:r>
      <w:r w:rsidRPr="00724CA2">
        <w:rPr>
          <w:rFonts w:ascii="Times New Roman" w:hAnsi="Times New Roman" w:cs="Times New Roman"/>
          <w:bCs/>
          <w:color w:val="000000" w:themeColor="text1"/>
          <w:sz w:val="24"/>
          <w:szCs w:val="24"/>
        </w:rPr>
        <w:t xml:space="preserve">. </w:t>
      </w:r>
      <w:r w:rsidRPr="00724CA2">
        <w:rPr>
          <w:rStyle w:val="Emphasis"/>
          <w:rFonts w:ascii="Times New Roman" w:hAnsi="Times New Roman" w:cs="Times New Roman"/>
          <w:bCs/>
          <w:color w:val="000000" w:themeColor="text1"/>
          <w:sz w:val="24"/>
          <w:szCs w:val="24"/>
        </w:rPr>
        <w:t>Review of Finance</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17</w:t>
      </w:r>
      <w:r w:rsidRPr="00724CA2">
        <w:rPr>
          <w:rFonts w:ascii="Times New Roman" w:hAnsi="Times New Roman" w:cs="Times New Roman"/>
          <w:bCs/>
          <w:color w:val="000000" w:themeColor="text1"/>
          <w:sz w:val="24"/>
          <w:szCs w:val="24"/>
        </w:rPr>
        <w:t>(2), 483–525.</w:t>
      </w:r>
    </w:p>
    <w:p w14:paraId="3094EBDC" w14:textId="4F50575C" w:rsidR="00755C0D" w:rsidRPr="00724CA2" w:rsidRDefault="00755C0D" w:rsidP="008B1E39">
      <w:pPr>
        <w:autoSpaceDE w:val="0"/>
        <w:autoSpaceDN w:val="0"/>
        <w:adjustRightInd w:val="0"/>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lang w:eastAsia="zh-CN"/>
        </w:rPr>
        <w:t xml:space="preserve">Flood, C. (2021). Bubble fears grow as China fund launches attract huge inflows. </w:t>
      </w:r>
      <w:r w:rsidRPr="00724CA2">
        <w:rPr>
          <w:rFonts w:ascii="Times New Roman" w:hAnsi="Times New Roman" w:cs="Times New Roman"/>
          <w:bCs/>
          <w:color w:val="000000" w:themeColor="text1"/>
          <w:sz w:val="24"/>
          <w:szCs w:val="24"/>
        </w:rPr>
        <w:t xml:space="preserve">Retrieved from: </w:t>
      </w:r>
      <w:hyperlink r:id="rId12" w:history="1">
        <w:r w:rsidR="004B1849" w:rsidRPr="00A04601">
          <w:rPr>
            <w:rStyle w:val="Hyperlink"/>
            <w:rFonts w:ascii="Times New Roman" w:hAnsi="Times New Roman" w:cs="Times New Roman"/>
            <w:bCs/>
            <w:color w:val="000000" w:themeColor="text1"/>
            <w:sz w:val="24"/>
            <w:szCs w:val="24"/>
            <w:u w:val="none"/>
          </w:rPr>
          <w:t>https://www.ft.com/content/e9a7f4a9-7cf9-4733-b3a6-c371a1400cf4</w:t>
        </w:r>
      </w:hyperlink>
      <w:r w:rsidRPr="00724CA2">
        <w:rPr>
          <w:rFonts w:ascii="Times New Roman" w:hAnsi="Times New Roman" w:cs="Times New Roman"/>
          <w:bCs/>
          <w:color w:val="000000" w:themeColor="text1"/>
          <w:sz w:val="24"/>
          <w:szCs w:val="24"/>
        </w:rPr>
        <w:t xml:space="preserve"> </w:t>
      </w:r>
    </w:p>
    <w:p w14:paraId="19BEDF73" w14:textId="3841A366" w:rsidR="0042261F" w:rsidRPr="00724CA2" w:rsidRDefault="0042261F"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Freiberg, D., Park, D</w:t>
      </w:r>
      <w:r w:rsidR="003F3CB6"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G</w:t>
      </w:r>
      <w:r w:rsidR="003F3CB6"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xml:space="preserve">, Sarafeim, G. </w:t>
      </w:r>
      <w:r w:rsidR="003F3CB6" w:rsidRPr="00724CA2">
        <w:rPr>
          <w:rFonts w:ascii="Times New Roman" w:hAnsi="Times New Roman" w:cs="Times New Roman"/>
          <w:bCs/>
          <w:color w:val="000000" w:themeColor="text1"/>
          <w:sz w:val="24"/>
          <w:szCs w:val="24"/>
        </w:rPr>
        <w:t>&amp;</w:t>
      </w:r>
      <w:r w:rsidRPr="00724CA2">
        <w:rPr>
          <w:rFonts w:ascii="Times New Roman" w:hAnsi="Times New Roman" w:cs="Times New Roman"/>
          <w:bCs/>
          <w:color w:val="000000" w:themeColor="text1"/>
          <w:sz w:val="24"/>
          <w:szCs w:val="24"/>
        </w:rPr>
        <w:t xml:space="preserve"> Zochowski, T. R. (2021)</w:t>
      </w:r>
      <w:r w:rsidR="003F3CB6"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xml:space="preserve"> Corporate </w:t>
      </w:r>
      <w:r w:rsidR="004929A3" w:rsidRPr="00724CA2">
        <w:rPr>
          <w:rFonts w:ascii="Times New Roman" w:hAnsi="Times New Roman" w:cs="Times New Roman"/>
          <w:bCs/>
          <w:color w:val="000000" w:themeColor="text1"/>
          <w:sz w:val="24"/>
          <w:szCs w:val="24"/>
        </w:rPr>
        <w:t>environmental impact: measurement, data and information</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Harvard Business School</w:t>
      </w:r>
      <w:r w:rsidRPr="00724CA2">
        <w:rPr>
          <w:rFonts w:ascii="Times New Roman" w:hAnsi="Times New Roman" w:cs="Times New Roman"/>
          <w:bCs/>
          <w:color w:val="000000" w:themeColor="text1"/>
          <w:sz w:val="24"/>
          <w:szCs w:val="24"/>
        </w:rPr>
        <w:t xml:space="preserve">, Working paper 20-098, Boston. </w:t>
      </w:r>
    </w:p>
    <w:p w14:paraId="1285E0CF" w14:textId="18518530" w:rsidR="00791378" w:rsidRPr="00724CA2" w:rsidRDefault="00791378"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García</w:t>
      </w:r>
      <w:r w:rsidR="003F3CB6" w:rsidRPr="00724CA2">
        <w:rPr>
          <w:rFonts w:ascii="Times New Roman" w:hAnsi="Times New Roman" w:cs="Times New Roman"/>
          <w:bCs/>
          <w:color w:val="000000" w:themeColor="text1"/>
          <w:sz w:val="24"/>
          <w:szCs w:val="24"/>
          <w:shd w:val="clear" w:color="auto" w:fill="FFFFFF"/>
        </w:rPr>
        <w:t>-</w:t>
      </w:r>
      <w:r w:rsidRPr="00724CA2">
        <w:rPr>
          <w:rFonts w:ascii="Times New Roman" w:hAnsi="Times New Roman" w:cs="Times New Roman"/>
          <w:bCs/>
          <w:color w:val="000000" w:themeColor="text1"/>
          <w:sz w:val="24"/>
          <w:szCs w:val="24"/>
          <w:shd w:val="clear" w:color="auto" w:fill="FFFFFF"/>
        </w:rPr>
        <w:t>Sánchez, I.M., Rodríguez</w:t>
      </w:r>
      <w:r w:rsidR="003F3CB6" w:rsidRPr="00724CA2">
        <w:rPr>
          <w:rFonts w:ascii="Times New Roman" w:eastAsia="SimSun" w:hAnsi="Times New Roman" w:cs="Times New Roman"/>
          <w:bCs/>
          <w:color w:val="000000" w:themeColor="text1"/>
          <w:sz w:val="24"/>
          <w:szCs w:val="24"/>
          <w:shd w:val="clear" w:color="auto" w:fill="FFFFFF"/>
        </w:rPr>
        <w:t>-</w:t>
      </w:r>
      <w:r w:rsidRPr="00724CA2">
        <w:rPr>
          <w:rFonts w:ascii="Times New Roman" w:hAnsi="Times New Roman" w:cs="Times New Roman"/>
          <w:bCs/>
          <w:color w:val="000000" w:themeColor="text1"/>
          <w:sz w:val="24"/>
          <w:szCs w:val="24"/>
          <w:shd w:val="clear" w:color="auto" w:fill="FFFFFF"/>
        </w:rPr>
        <w:t>Ariza, L., Aibar</w:t>
      </w:r>
      <w:r w:rsidR="003F3CB6" w:rsidRPr="00724CA2">
        <w:rPr>
          <w:rFonts w:ascii="Times New Roman" w:eastAsia="SimSun" w:hAnsi="Times New Roman" w:cs="Times New Roman"/>
          <w:bCs/>
          <w:color w:val="000000" w:themeColor="text1"/>
          <w:sz w:val="24"/>
          <w:szCs w:val="24"/>
          <w:shd w:val="clear" w:color="auto" w:fill="FFFFFF"/>
        </w:rPr>
        <w:t>-</w:t>
      </w:r>
      <w:r w:rsidRPr="00724CA2">
        <w:rPr>
          <w:rFonts w:ascii="Times New Roman" w:hAnsi="Times New Roman" w:cs="Times New Roman"/>
          <w:bCs/>
          <w:color w:val="000000" w:themeColor="text1"/>
          <w:sz w:val="24"/>
          <w:szCs w:val="24"/>
          <w:shd w:val="clear" w:color="auto" w:fill="FFFFFF"/>
        </w:rPr>
        <w:t>Guzmán, B. &amp; Aibar</w:t>
      </w:r>
      <w:r w:rsidR="003F3CB6" w:rsidRPr="00724CA2">
        <w:rPr>
          <w:rFonts w:ascii="Times New Roman" w:eastAsia="SimSun" w:hAnsi="Times New Roman" w:cs="Times New Roman"/>
          <w:bCs/>
          <w:color w:val="000000" w:themeColor="text1"/>
          <w:sz w:val="24"/>
          <w:szCs w:val="24"/>
          <w:shd w:val="clear" w:color="auto" w:fill="FFFFFF"/>
        </w:rPr>
        <w:t>-</w:t>
      </w:r>
      <w:r w:rsidRPr="00724CA2">
        <w:rPr>
          <w:rFonts w:ascii="Times New Roman" w:hAnsi="Times New Roman" w:cs="Times New Roman"/>
          <w:bCs/>
          <w:color w:val="000000" w:themeColor="text1"/>
          <w:sz w:val="24"/>
          <w:szCs w:val="24"/>
          <w:shd w:val="clear" w:color="auto" w:fill="FFFFFF"/>
        </w:rPr>
        <w:t>Guzmán, C. (2020). Do institutional investors drive corporate transparency regarding business contribution to the sustainable development goals? </w:t>
      </w:r>
      <w:r w:rsidRPr="00724CA2">
        <w:rPr>
          <w:rFonts w:ascii="Times New Roman" w:hAnsi="Times New Roman" w:cs="Times New Roman"/>
          <w:bCs/>
          <w:i/>
          <w:iCs/>
          <w:color w:val="000000" w:themeColor="text1"/>
          <w:sz w:val="24"/>
          <w:szCs w:val="24"/>
          <w:shd w:val="clear" w:color="auto" w:fill="FFFFFF"/>
        </w:rPr>
        <w:t>Business Strategy and the Environment</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29</w:t>
      </w:r>
      <w:r w:rsidRPr="00724CA2">
        <w:rPr>
          <w:rFonts w:ascii="Times New Roman" w:hAnsi="Times New Roman" w:cs="Times New Roman"/>
          <w:bCs/>
          <w:color w:val="000000" w:themeColor="text1"/>
          <w:sz w:val="24"/>
          <w:szCs w:val="24"/>
          <w:shd w:val="clear" w:color="auto" w:fill="FFFFFF"/>
        </w:rPr>
        <w:t>(5), 2019-2036.</w:t>
      </w:r>
    </w:p>
    <w:p w14:paraId="66F53F9C" w14:textId="414685AE" w:rsidR="00791378" w:rsidRPr="00724CA2" w:rsidRDefault="00791378" w:rsidP="008B1E39">
      <w:pPr>
        <w:shd w:val="clear" w:color="auto" w:fill="FFFFFF"/>
        <w:spacing w:after="120" w:line="348" w:lineRule="auto"/>
        <w:jc w:val="both"/>
        <w:rPr>
          <w:rFonts w:ascii="Times New Roman" w:eastAsia="Times New Roman" w:hAnsi="Times New Roman" w:cs="Times New Roman"/>
          <w:bCs/>
          <w:color w:val="000000" w:themeColor="text1"/>
          <w:sz w:val="24"/>
          <w:szCs w:val="24"/>
          <w:lang w:eastAsia="en-GB"/>
        </w:rPr>
      </w:pP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Gaspar, J. M., Massa, M., &amp; Matos, P. (2005). Shareholder investment horizons and the market for corporate control. </w:t>
      </w:r>
      <w:r w:rsidRPr="00724CA2">
        <w:rPr>
          <w:rFonts w:ascii="Times New Roman" w:eastAsia="Times New Roman" w:hAnsi="Times New Roman" w:cs="Times New Roman"/>
          <w:bCs/>
          <w:i/>
          <w:iCs/>
          <w:color w:val="000000" w:themeColor="text1"/>
          <w:sz w:val="24"/>
          <w:szCs w:val="24"/>
          <w:bdr w:val="none" w:sz="0" w:space="0" w:color="auto" w:frame="1"/>
          <w:shd w:val="clear" w:color="auto" w:fill="FFFFFF"/>
          <w:lang w:val="en-US" w:eastAsia="en-GB"/>
        </w:rPr>
        <w:t>Journal of Financial Economics</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w:t>
      </w:r>
      <w:r w:rsidRPr="00724CA2">
        <w:rPr>
          <w:rFonts w:ascii="Times New Roman" w:eastAsia="Times New Roman" w:hAnsi="Times New Roman" w:cs="Times New Roman"/>
          <w:bCs/>
          <w:i/>
          <w:iCs/>
          <w:color w:val="000000" w:themeColor="text1"/>
          <w:sz w:val="24"/>
          <w:szCs w:val="24"/>
          <w:bdr w:val="none" w:sz="0" w:space="0" w:color="auto" w:frame="1"/>
          <w:shd w:val="clear" w:color="auto" w:fill="FFFFFF"/>
          <w:lang w:val="en-US" w:eastAsia="en-GB"/>
        </w:rPr>
        <w:t>76</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(1), 135-165.  </w:t>
      </w:r>
    </w:p>
    <w:p w14:paraId="62D6731C" w14:textId="4BEBF2CA" w:rsidR="00791378" w:rsidRPr="00724CA2" w:rsidRDefault="00791378" w:rsidP="008B1E39">
      <w:pPr>
        <w:spacing w:after="120" w:line="348" w:lineRule="auto"/>
        <w:jc w:val="both"/>
        <w:rPr>
          <w:rStyle w:val="Hyperlink"/>
          <w:rFonts w:ascii="Times New Roman" w:hAnsi="Times New Roman" w:cs="Times New Roman"/>
          <w:bCs/>
          <w:color w:val="000000" w:themeColor="text1"/>
          <w:sz w:val="24"/>
          <w:szCs w:val="24"/>
          <w:u w:val="none"/>
        </w:rPr>
      </w:pPr>
      <w:r w:rsidRPr="00724CA2">
        <w:rPr>
          <w:rFonts w:ascii="Times New Roman" w:hAnsi="Times New Roman" w:cs="Times New Roman"/>
          <w:bCs/>
          <w:color w:val="000000" w:themeColor="text1"/>
          <w:sz w:val="24"/>
          <w:szCs w:val="24"/>
          <w:shd w:val="clear" w:color="auto" w:fill="FFFFFF"/>
        </w:rPr>
        <w:t xml:space="preserve">Graafland, J. &amp; Smid, H. (2013). Competition, time horizon and corporate social performance. </w:t>
      </w:r>
      <w:r w:rsidRPr="00724CA2">
        <w:rPr>
          <w:rFonts w:ascii="Times New Roman" w:hAnsi="Times New Roman" w:cs="Times New Roman"/>
          <w:bCs/>
          <w:i/>
          <w:iCs/>
          <w:color w:val="000000" w:themeColor="text1"/>
          <w:sz w:val="24"/>
          <w:szCs w:val="24"/>
          <w:shd w:val="clear" w:color="auto" w:fill="FFFFFF"/>
        </w:rPr>
        <w:t>CentER Discussion Paper Series No. 2013-060,</w:t>
      </w:r>
      <w:r w:rsidRPr="00724CA2">
        <w:rPr>
          <w:rFonts w:ascii="Times New Roman" w:hAnsi="Times New Roman" w:cs="Times New Roman"/>
          <w:bCs/>
          <w:color w:val="000000" w:themeColor="text1"/>
          <w:sz w:val="24"/>
          <w:szCs w:val="24"/>
          <w:shd w:val="clear" w:color="auto" w:fill="FFFFFF"/>
        </w:rPr>
        <w:t xml:space="preserve"> </w:t>
      </w:r>
      <w:r w:rsidR="006F2EC7" w:rsidRPr="006F2EC7">
        <w:rPr>
          <w:rFonts w:ascii="Times New Roman" w:hAnsi="Times New Roman" w:cs="Times New Roman"/>
          <w:bCs/>
          <w:color w:val="000000" w:themeColor="text1"/>
          <w:sz w:val="24"/>
          <w:szCs w:val="24"/>
          <w:shd w:val="clear" w:color="auto" w:fill="FFFFFF"/>
        </w:rPr>
        <w:t>Retrieved from</w:t>
      </w:r>
      <w:r w:rsidR="00F720BE">
        <w:rPr>
          <w:rFonts w:ascii="Times New Roman" w:hAnsi="Times New Roman" w:cs="Times New Roman" w:hint="eastAsia"/>
          <w:bCs/>
          <w:color w:val="000000" w:themeColor="text1"/>
          <w:sz w:val="24"/>
          <w:szCs w:val="24"/>
          <w:shd w:val="clear" w:color="auto" w:fill="FFFFFF"/>
          <w:lang w:eastAsia="zh-CN"/>
        </w:rPr>
        <w:t xml:space="preserve">: </w:t>
      </w:r>
      <w:hyperlink r:id="rId13" w:history="1">
        <w:r w:rsidRPr="00724CA2">
          <w:rPr>
            <w:rStyle w:val="Hyperlink"/>
            <w:rFonts w:ascii="Times New Roman" w:hAnsi="Times New Roman" w:cs="Times New Roman"/>
            <w:bCs/>
            <w:color w:val="000000" w:themeColor="text1"/>
            <w:sz w:val="24"/>
            <w:szCs w:val="24"/>
            <w:u w:val="none"/>
          </w:rPr>
          <w:t>https://ssrn.com/abstract=2351239</w:t>
        </w:r>
      </w:hyperlink>
      <w:r w:rsidRPr="00724CA2">
        <w:rPr>
          <w:rStyle w:val="Hyperlink"/>
          <w:rFonts w:ascii="Times New Roman" w:hAnsi="Times New Roman" w:cs="Times New Roman"/>
          <w:bCs/>
          <w:color w:val="000000" w:themeColor="text1"/>
          <w:sz w:val="24"/>
          <w:szCs w:val="24"/>
          <w:u w:val="none"/>
        </w:rPr>
        <w:t>.</w:t>
      </w:r>
    </w:p>
    <w:p w14:paraId="463B6865" w14:textId="770E9770" w:rsidR="00BF69C3" w:rsidRPr="00724CA2" w:rsidRDefault="00BF69C3"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Grewal, J., Serafeim, G. &amp; Yoon, A. (2016). Shareholder activism on sustainability issues. </w:t>
      </w:r>
      <w:r w:rsidR="00F720BE" w:rsidRPr="00F720BE">
        <w:rPr>
          <w:rFonts w:ascii="Times New Roman" w:hAnsi="Times New Roman" w:cs="Times New Roman"/>
          <w:bCs/>
          <w:color w:val="000000" w:themeColor="text1"/>
          <w:sz w:val="24"/>
          <w:szCs w:val="24"/>
          <w:shd w:val="clear" w:color="auto" w:fill="FFFFFF"/>
        </w:rPr>
        <w:t>Retrieved from</w:t>
      </w:r>
      <w:r w:rsidR="008467BA" w:rsidRPr="00724CA2">
        <w:rPr>
          <w:rFonts w:ascii="Times New Roman" w:hAnsi="Times New Roman" w:cs="Times New Roman"/>
          <w:bCs/>
          <w:color w:val="000000" w:themeColor="text1"/>
          <w:sz w:val="24"/>
          <w:szCs w:val="24"/>
          <w:shd w:val="clear" w:color="auto" w:fill="FFFFFF"/>
        </w:rPr>
        <w:t>: https://ssrn.com/abstract=2805512</w:t>
      </w:r>
      <w:r w:rsidR="003C751B" w:rsidRPr="00724CA2">
        <w:rPr>
          <w:rFonts w:ascii="Times New Roman" w:hAnsi="Times New Roman" w:cs="Times New Roman"/>
          <w:bCs/>
          <w:color w:val="000000" w:themeColor="text1"/>
          <w:sz w:val="24"/>
          <w:szCs w:val="24"/>
          <w:shd w:val="clear" w:color="auto" w:fill="FFFFFF"/>
        </w:rPr>
        <w:t>.</w:t>
      </w:r>
    </w:p>
    <w:p w14:paraId="173857C8" w14:textId="77777777" w:rsidR="00791378" w:rsidRPr="00724CA2" w:rsidRDefault="00791378" w:rsidP="008B1E39">
      <w:pPr>
        <w:shd w:val="clear" w:color="auto" w:fill="FFFFFF"/>
        <w:spacing w:after="120" w:line="348" w:lineRule="auto"/>
        <w:jc w:val="both"/>
        <w:rPr>
          <w:rFonts w:ascii="Times New Roman" w:eastAsia="Times New Roman" w:hAnsi="Times New Roman" w:cs="Times New Roman"/>
          <w:bCs/>
          <w:color w:val="000000" w:themeColor="text1"/>
          <w:sz w:val="24"/>
          <w:szCs w:val="24"/>
          <w:lang w:eastAsia="en-GB"/>
        </w:rPr>
      </w:pPr>
      <w:bookmarkStart w:id="19" w:name="_Hlk75125097"/>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Harjoto, M., Jo, H., &amp; Kim, Y. (2017). Is institutional ownership related to corporate social responsibility? The nonlinear relation and its implication for stock return volatility. </w:t>
      </w:r>
      <w:r w:rsidRPr="00724CA2">
        <w:rPr>
          <w:rFonts w:ascii="Times New Roman" w:eastAsia="Times New Roman" w:hAnsi="Times New Roman" w:cs="Times New Roman"/>
          <w:bCs/>
          <w:i/>
          <w:iCs/>
          <w:color w:val="000000" w:themeColor="text1"/>
          <w:sz w:val="24"/>
          <w:szCs w:val="24"/>
          <w:bdr w:val="none" w:sz="0" w:space="0" w:color="auto" w:frame="1"/>
          <w:shd w:val="clear" w:color="auto" w:fill="FFFFFF"/>
          <w:lang w:val="en-US" w:eastAsia="en-GB"/>
        </w:rPr>
        <w:t>Journal of Business Ethics</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w:t>
      </w:r>
      <w:r w:rsidRPr="00724CA2">
        <w:rPr>
          <w:rFonts w:ascii="Times New Roman" w:eastAsia="Times New Roman" w:hAnsi="Times New Roman" w:cs="Times New Roman"/>
          <w:bCs/>
          <w:i/>
          <w:iCs/>
          <w:color w:val="000000" w:themeColor="text1"/>
          <w:sz w:val="24"/>
          <w:szCs w:val="24"/>
          <w:bdr w:val="none" w:sz="0" w:space="0" w:color="auto" w:frame="1"/>
          <w:shd w:val="clear" w:color="auto" w:fill="FFFFFF"/>
          <w:lang w:val="en-US" w:eastAsia="en-GB"/>
        </w:rPr>
        <w:t>146</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77-109.</w:t>
      </w:r>
      <w:r w:rsidRPr="00724CA2">
        <w:rPr>
          <w:rFonts w:ascii="Times New Roman" w:eastAsia="Times New Roman" w:hAnsi="Times New Roman" w:cs="Times New Roman"/>
          <w:bCs/>
          <w:color w:val="000000" w:themeColor="text1"/>
          <w:sz w:val="24"/>
          <w:szCs w:val="24"/>
          <w:bdr w:val="none" w:sz="0" w:space="0" w:color="auto" w:frame="1"/>
          <w:lang w:val="en-US" w:eastAsia="en-GB"/>
        </w:rPr>
        <w:t> </w:t>
      </w:r>
      <w:r w:rsidRPr="00724CA2">
        <w:rPr>
          <w:rFonts w:ascii="Times New Roman" w:eastAsia="Times New Roman" w:hAnsi="Times New Roman" w:cs="Times New Roman"/>
          <w:bCs/>
          <w:color w:val="000000" w:themeColor="text1"/>
          <w:sz w:val="24"/>
          <w:szCs w:val="24"/>
          <w:lang w:eastAsia="en-GB"/>
        </w:rPr>
        <w:t> </w:t>
      </w:r>
    </w:p>
    <w:p w14:paraId="34908209" w14:textId="5AE534BF" w:rsidR="00BF69C3" w:rsidRPr="00724CA2" w:rsidRDefault="00BF69C3"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 xml:space="preserve">He, B., Wang, J., Wang, J. &amp; Wang, K. (2018). The </w:t>
      </w:r>
      <w:r w:rsidR="007964F1" w:rsidRPr="00724CA2">
        <w:rPr>
          <w:rFonts w:ascii="Times New Roman" w:hAnsi="Times New Roman" w:cs="Times New Roman"/>
          <w:bCs/>
          <w:color w:val="000000" w:themeColor="text1"/>
          <w:sz w:val="24"/>
          <w:szCs w:val="24"/>
          <w:shd w:val="clear" w:color="auto" w:fill="FFFFFF"/>
        </w:rPr>
        <w:t>impact of government competition on regio</w:t>
      </w:r>
      <w:r w:rsidRPr="00724CA2">
        <w:rPr>
          <w:rFonts w:ascii="Times New Roman" w:hAnsi="Times New Roman" w:cs="Times New Roman"/>
          <w:bCs/>
          <w:color w:val="000000" w:themeColor="text1"/>
          <w:sz w:val="24"/>
          <w:szCs w:val="24"/>
          <w:shd w:val="clear" w:color="auto" w:fill="FFFFFF"/>
        </w:rPr>
        <w:t xml:space="preserve">nal R&amp;D </w:t>
      </w:r>
      <w:r w:rsidR="007964F1" w:rsidRPr="00724CA2">
        <w:rPr>
          <w:rFonts w:ascii="Times New Roman" w:hAnsi="Times New Roman" w:cs="Times New Roman"/>
          <w:bCs/>
          <w:color w:val="000000" w:themeColor="text1"/>
          <w:sz w:val="24"/>
          <w:szCs w:val="24"/>
          <w:shd w:val="clear" w:color="auto" w:fill="FFFFFF"/>
        </w:rPr>
        <w:t>efficien</w:t>
      </w:r>
      <w:r w:rsidRPr="00724CA2">
        <w:rPr>
          <w:rFonts w:ascii="Times New Roman" w:hAnsi="Times New Roman" w:cs="Times New Roman"/>
          <w:bCs/>
          <w:color w:val="000000" w:themeColor="text1"/>
          <w:sz w:val="24"/>
          <w:szCs w:val="24"/>
          <w:shd w:val="clear" w:color="auto" w:fill="FFFFFF"/>
        </w:rPr>
        <w:t xml:space="preserve">cy: Does </w:t>
      </w:r>
      <w:r w:rsidR="007964F1" w:rsidRPr="00724CA2">
        <w:rPr>
          <w:rFonts w:ascii="Times New Roman" w:hAnsi="Times New Roman" w:cs="Times New Roman"/>
          <w:bCs/>
          <w:color w:val="000000" w:themeColor="text1"/>
          <w:sz w:val="24"/>
          <w:szCs w:val="24"/>
          <w:shd w:val="clear" w:color="auto" w:fill="FFFFFF"/>
        </w:rPr>
        <w:t>legal environment matter in China’s innovation s</w:t>
      </w:r>
      <w:r w:rsidRPr="00724CA2">
        <w:rPr>
          <w:rFonts w:ascii="Times New Roman" w:hAnsi="Times New Roman" w:cs="Times New Roman"/>
          <w:bCs/>
          <w:color w:val="000000" w:themeColor="text1"/>
          <w:sz w:val="24"/>
          <w:szCs w:val="24"/>
          <w:shd w:val="clear" w:color="auto" w:fill="FFFFFF"/>
        </w:rPr>
        <w:t>ystem? </w:t>
      </w:r>
      <w:r w:rsidRPr="00724CA2">
        <w:rPr>
          <w:rFonts w:ascii="Times New Roman" w:hAnsi="Times New Roman" w:cs="Times New Roman"/>
          <w:bCs/>
          <w:i/>
          <w:iCs/>
          <w:color w:val="000000" w:themeColor="text1"/>
          <w:sz w:val="24"/>
          <w:szCs w:val="24"/>
          <w:shd w:val="clear" w:color="auto" w:fill="FFFFFF"/>
        </w:rPr>
        <w:t>Sustainability</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10</w:t>
      </w:r>
      <w:r w:rsidRPr="00724CA2">
        <w:rPr>
          <w:rFonts w:ascii="Times New Roman" w:hAnsi="Times New Roman" w:cs="Times New Roman"/>
          <w:bCs/>
          <w:color w:val="000000" w:themeColor="text1"/>
          <w:sz w:val="24"/>
          <w:szCs w:val="24"/>
          <w:shd w:val="clear" w:color="auto" w:fill="FFFFFF"/>
        </w:rPr>
        <w:t>(12), 4401.</w:t>
      </w:r>
    </w:p>
    <w:p w14:paraId="13DA1418" w14:textId="03F1BAAD" w:rsidR="00B11878" w:rsidRPr="00724CA2" w:rsidRDefault="00B11878" w:rsidP="008B1E39">
      <w:pPr>
        <w:spacing w:after="120" w:line="348" w:lineRule="auto"/>
        <w:jc w:val="both"/>
        <w:rPr>
          <w:rFonts w:ascii="Times New Roman" w:hAnsi="Times New Roman" w:cs="Times New Roman"/>
          <w:bCs/>
          <w:color w:val="000000" w:themeColor="text1"/>
          <w:sz w:val="24"/>
          <w:szCs w:val="24"/>
          <w:shd w:val="clear" w:color="auto" w:fill="FFFFFF"/>
          <w:lang w:val="en-HK"/>
        </w:rPr>
      </w:pPr>
      <w:r w:rsidRPr="00724CA2">
        <w:rPr>
          <w:rFonts w:ascii="Times New Roman" w:hAnsi="Times New Roman" w:cs="Times New Roman"/>
          <w:bCs/>
          <w:color w:val="000000" w:themeColor="text1"/>
          <w:sz w:val="24"/>
          <w:szCs w:val="24"/>
          <w:shd w:val="clear" w:color="auto" w:fill="FFFFFF"/>
          <w:lang w:val="en-HK"/>
        </w:rPr>
        <w:t>Hillegeist, S.A. &amp; Weng, L. (2021). Quasi‐indexer ownership and insider trading: evidence from Russell index reconstitutions. </w:t>
      </w:r>
      <w:r w:rsidRPr="00724CA2">
        <w:rPr>
          <w:rFonts w:ascii="Times New Roman" w:hAnsi="Times New Roman" w:cs="Times New Roman"/>
          <w:bCs/>
          <w:i/>
          <w:iCs/>
          <w:color w:val="000000" w:themeColor="text1"/>
          <w:sz w:val="24"/>
          <w:szCs w:val="24"/>
          <w:shd w:val="clear" w:color="auto" w:fill="FFFFFF"/>
          <w:lang w:val="en-HK"/>
        </w:rPr>
        <w:t>Contemporary Accounting Research</w:t>
      </w:r>
      <w:r w:rsidRPr="00724CA2">
        <w:rPr>
          <w:rFonts w:ascii="Times New Roman" w:hAnsi="Times New Roman" w:cs="Times New Roman"/>
          <w:bCs/>
          <w:color w:val="000000" w:themeColor="text1"/>
          <w:sz w:val="24"/>
          <w:szCs w:val="24"/>
          <w:shd w:val="clear" w:color="auto" w:fill="FFFFFF"/>
          <w:lang w:val="en-HK"/>
        </w:rPr>
        <w:t xml:space="preserve">. </w:t>
      </w:r>
      <w:r w:rsidR="00D0301D" w:rsidRPr="00724CA2">
        <w:rPr>
          <w:rFonts w:ascii="Times New Roman" w:hAnsi="Times New Roman" w:cs="Times New Roman"/>
          <w:bCs/>
          <w:i/>
          <w:iCs/>
          <w:color w:val="000000" w:themeColor="text1"/>
          <w:sz w:val="24"/>
          <w:szCs w:val="24"/>
          <w:shd w:val="clear" w:color="auto" w:fill="FFFFFF"/>
          <w:lang w:val="en-HK"/>
        </w:rPr>
        <w:t>38</w:t>
      </w:r>
      <w:r w:rsidR="00D0301D" w:rsidRPr="00724CA2">
        <w:rPr>
          <w:rFonts w:ascii="Times New Roman" w:hAnsi="Times New Roman" w:cs="Times New Roman"/>
          <w:bCs/>
          <w:color w:val="000000" w:themeColor="text1"/>
          <w:sz w:val="24"/>
          <w:szCs w:val="24"/>
          <w:shd w:val="clear" w:color="auto" w:fill="FFFFFF"/>
          <w:lang w:val="en-HK"/>
        </w:rPr>
        <w:t>(3), 2192-2223</w:t>
      </w:r>
      <w:r w:rsidRPr="00724CA2">
        <w:rPr>
          <w:rFonts w:ascii="Times New Roman" w:hAnsi="Times New Roman" w:cs="Times New Roman"/>
          <w:bCs/>
          <w:color w:val="000000" w:themeColor="text1"/>
          <w:sz w:val="24"/>
          <w:szCs w:val="24"/>
          <w:shd w:val="clear" w:color="auto" w:fill="FFFFFF"/>
          <w:lang w:val="en-HK"/>
        </w:rPr>
        <w:t>.</w:t>
      </w:r>
    </w:p>
    <w:p w14:paraId="5082E507" w14:textId="2941AA35" w:rsidR="006229E1" w:rsidRPr="00724CA2" w:rsidRDefault="006229E1"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Hirshleifer, D. (2020) Presidential </w:t>
      </w:r>
      <w:r w:rsidR="004929A3" w:rsidRPr="00724CA2">
        <w:rPr>
          <w:rFonts w:ascii="Times New Roman" w:hAnsi="Times New Roman" w:cs="Times New Roman"/>
          <w:bCs/>
          <w:color w:val="000000" w:themeColor="text1"/>
          <w:sz w:val="24"/>
          <w:szCs w:val="24"/>
        </w:rPr>
        <w:t xml:space="preserve">address: social transmission bias </w:t>
      </w:r>
      <w:r w:rsidRPr="00724CA2">
        <w:rPr>
          <w:rFonts w:ascii="Times New Roman" w:hAnsi="Times New Roman" w:cs="Times New Roman"/>
          <w:bCs/>
          <w:color w:val="000000" w:themeColor="text1"/>
          <w:sz w:val="24"/>
          <w:szCs w:val="24"/>
        </w:rPr>
        <w:t>in Economics and Finance</w:t>
      </w:r>
      <w:r w:rsidR="0007193C"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 xml:space="preserve">The Journal </w:t>
      </w:r>
      <w:r w:rsidR="00F27AC9" w:rsidRPr="00724CA2">
        <w:rPr>
          <w:rFonts w:ascii="Times New Roman" w:hAnsi="Times New Roman" w:cs="Times New Roman"/>
          <w:bCs/>
          <w:i/>
          <w:iCs/>
          <w:color w:val="000000" w:themeColor="text1"/>
          <w:sz w:val="24"/>
          <w:szCs w:val="24"/>
        </w:rPr>
        <w:t>o</w:t>
      </w:r>
      <w:r w:rsidRPr="00724CA2">
        <w:rPr>
          <w:rFonts w:ascii="Times New Roman" w:hAnsi="Times New Roman" w:cs="Times New Roman"/>
          <w:bCs/>
          <w:i/>
          <w:iCs/>
          <w:color w:val="000000" w:themeColor="text1"/>
          <w:sz w:val="24"/>
          <w:szCs w:val="24"/>
        </w:rPr>
        <w:t>f Finance</w:t>
      </w:r>
      <w:r w:rsidRPr="00724CA2">
        <w:rPr>
          <w:rFonts w:ascii="Times New Roman" w:hAnsi="Times New Roman" w:cs="Times New Roman"/>
          <w:bCs/>
          <w:color w:val="000000" w:themeColor="text1"/>
          <w:sz w:val="24"/>
          <w:szCs w:val="24"/>
        </w:rPr>
        <w:t>,</w:t>
      </w:r>
      <w:r w:rsidRPr="00724CA2">
        <w:rPr>
          <w:rFonts w:ascii="Times New Roman" w:eastAsia="MTSY" w:hAnsi="Times New Roman" w:cs="Times New Roman"/>
          <w:bCs/>
          <w:color w:val="000000" w:themeColor="text1"/>
          <w:sz w:val="24"/>
          <w:szCs w:val="24"/>
        </w:rPr>
        <w:t xml:space="preserve"> </w:t>
      </w:r>
      <w:r w:rsidR="00F27AC9" w:rsidRPr="00724CA2">
        <w:rPr>
          <w:rFonts w:ascii="Times New Roman" w:hAnsi="Times New Roman" w:cs="Times New Roman"/>
          <w:bCs/>
          <w:i/>
          <w:iCs/>
          <w:color w:val="000000" w:themeColor="text1"/>
          <w:sz w:val="24"/>
          <w:szCs w:val="24"/>
        </w:rPr>
        <w:t>75</w:t>
      </w:r>
      <w:r w:rsidR="00F27AC9" w:rsidRPr="00724CA2">
        <w:rPr>
          <w:rFonts w:ascii="Times New Roman" w:hAnsi="Times New Roman" w:cs="Times New Roman"/>
          <w:bCs/>
          <w:color w:val="000000" w:themeColor="text1"/>
          <w:sz w:val="24"/>
          <w:szCs w:val="24"/>
        </w:rPr>
        <w:t>(4)</w:t>
      </w:r>
      <w:r w:rsidRPr="00724CA2">
        <w:rPr>
          <w:rFonts w:ascii="Times New Roman" w:hAnsi="Times New Roman" w:cs="Times New Roman"/>
          <w:bCs/>
          <w:color w:val="000000" w:themeColor="text1"/>
          <w:sz w:val="24"/>
          <w:szCs w:val="24"/>
        </w:rPr>
        <w:t>, 1779–1831</w:t>
      </w:r>
      <w:r w:rsidR="00F27AC9" w:rsidRPr="00724CA2">
        <w:rPr>
          <w:rFonts w:ascii="Times New Roman" w:hAnsi="Times New Roman" w:cs="Times New Roman"/>
          <w:bCs/>
          <w:color w:val="000000" w:themeColor="text1"/>
          <w:sz w:val="24"/>
          <w:szCs w:val="24"/>
        </w:rPr>
        <w:t>.</w:t>
      </w:r>
    </w:p>
    <w:p w14:paraId="0FA82A07" w14:textId="6675ACE6" w:rsidR="000C09BE" w:rsidRPr="00724CA2" w:rsidRDefault="000C09BE" w:rsidP="008B1E39">
      <w:pPr>
        <w:autoSpaceDE w:val="0"/>
        <w:autoSpaceDN w:val="0"/>
        <w:adjustRightInd w:val="0"/>
        <w:spacing w:after="120" w:line="348" w:lineRule="auto"/>
        <w:jc w:val="both"/>
        <w:rPr>
          <w:rFonts w:ascii="Times New Roman" w:eastAsia="Times New Roman" w:hAnsi="Times New Roman" w:cs="Times New Roman"/>
          <w:bCs/>
          <w:color w:val="000000" w:themeColor="text1"/>
          <w:sz w:val="24"/>
          <w:szCs w:val="24"/>
          <w:lang w:eastAsia="en-GB"/>
        </w:rPr>
      </w:pPr>
      <w:r w:rsidRPr="00724CA2">
        <w:rPr>
          <w:rFonts w:ascii="Times New Roman" w:hAnsi="Times New Roman" w:cs="Times New Roman"/>
          <w:bCs/>
          <w:color w:val="000000" w:themeColor="text1"/>
          <w:sz w:val="24"/>
          <w:szCs w:val="24"/>
        </w:rPr>
        <w:t xml:space="preserve">Huang, T. &amp; Yue Q., (2020).  How the game changer was generated? An analysis on the legal rules and development of China’s green bond market. </w:t>
      </w:r>
      <w:r w:rsidRPr="00724CA2">
        <w:rPr>
          <w:rFonts w:ascii="Times New Roman" w:eastAsia="Times New Roman" w:hAnsi="Times New Roman" w:cs="Times New Roman"/>
          <w:bCs/>
          <w:i/>
          <w:iCs/>
          <w:color w:val="000000" w:themeColor="text1"/>
          <w:sz w:val="24"/>
          <w:szCs w:val="24"/>
          <w:lang w:eastAsia="en-GB"/>
        </w:rPr>
        <w:t>International Environmental Agreements: Politics, Law and Economics, 20</w:t>
      </w:r>
      <w:r w:rsidRPr="00724CA2">
        <w:rPr>
          <w:rFonts w:ascii="Times New Roman" w:eastAsia="Times New Roman" w:hAnsi="Times New Roman" w:cs="Times New Roman"/>
          <w:bCs/>
          <w:color w:val="000000" w:themeColor="text1"/>
          <w:sz w:val="24"/>
          <w:szCs w:val="24"/>
          <w:lang w:eastAsia="en-GB"/>
        </w:rPr>
        <w:t>(1), 85-102</w:t>
      </w:r>
      <w:r w:rsidR="007A1060" w:rsidRPr="00724CA2">
        <w:rPr>
          <w:rFonts w:ascii="Times New Roman" w:eastAsia="Times New Roman" w:hAnsi="Times New Roman" w:cs="Times New Roman"/>
          <w:bCs/>
          <w:color w:val="000000" w:themeColor="text1"/>
          <w:sz w:val="24"/>
          <w:szCs w:val="24"/>
          <w:lang w:eastAsia="en-GB"/>
        </w:rPr>
        <w:t>.</w:t>
      </w:r>
      <w:r w:rsidRPr="00724CA2">
        <w:rPr>
          <w:rFonts w:ascii="Times New Roman" w:eastAsia="Times New Roman" w:hAnsi="Times New Roman" w:cs="Times New Roman"/>
          <w:bCs/>
          <w:color w:val="000000" w:themeColor="text1"/>
          <w:sz w:val="24"/>
          <w:szCs w:val="24"/>
          <w:lang w:eastAsia="en-GB"/>
        </w:rPr>
        <w:t xml:space="preserve"> </w:t>
      </w:r>
    </w:p>
    <w:p w14:paraId="3091384C" w14:textId="77777777" w:rsidR="00791378" w:rsidRPr="00724CA2" w:rsidRDefault="00791378" w:rsidP="008B1E39">
      <w:pPr>
        <w:shd w:val="clear" w:color="auto" w:fill="FFFFFF"/>
        <w:spacing w:after="120" w:line="348" w:lineRule="auto"/>
        <w:jc w:val="both"/>
        <w:rPr>
          <w:rFonts w:ascii="Times New Roman" w:eastAsia="Times New Roman" w:hAnsi="Times New Roman" w:cs="Times New Roman"/>
          <w:bCs/>
          <w:color w:val="000000" w:themeColor="text1"/>
          <w:sz w:val="24"/>
          <w:szCs w:val="24"/>
          <w:lang w:eastAsia="en-GB"/>
        </w:rPr>
      </w:pP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Huang, C., Chang, X., Wang, Y., &amp; Li, N. (2023). Do major customers encourage innovative sustainable development? Empirical evidence from corporate green innovation in China. </w:t>
      </w:r>
      <w:r w:rsidRPr="00724CA2">
        <w:rPr>
          <w:rFonts w:ascii="Times New Roman" w:eastAsia="Times New Roman" w:hAnsi="Times New Roman" w:cs="Times New Roman"/>
          <w:bCs/>
          <w:i/>
          <w:iCs/>
          <w:color w:val="000000" w:themeColor="text1"/>
          <w:sz w:val="24"/>
          <w:szCs w:val="24"/>
          <w:bdr w:val="none" w:sz="0" w:space="0" w:color="auto" w:frame="1"/>
          <w:shd w:val="clear" w:color="auto" w:fill="FFFFFF"/>
          <w:lang w:val="en-US" w:eastAsia="en-GB"/>
        </w:rPr>
        <w:t>Business Strategy and the Environment</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w:t>
      </w:r>
      <w:r w:rsidRPr="00724CA2">
        <w:rPr>
          <w:rFonts w:ascii="Times New Roman" w:eastAsia="Times New Roman" w:hAnsi="Times New Roman" w:cs="Times New Roman"/>
          <w:bCs/>
          <w:i/>
          <w:iCs/>
          <w:color w:val="000000" w:themeColor="text1"/>
          <w:sz w:val="24"/>
          <w:szCs w:val="24"/>
          <w:bdr w:val="none" w:sz="0" w:space="0" w:color="auto" w:frame="1"/>
          <w:shd w:val="clear" w:color="auto" w:fill="FFFFFF"/>
          <w:lang w:val="en-US" w:eastAsia="en-GB"/>
        </w:rPr>
        <w:t>32</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(1), 163-184. </w:t>
      </w:r>
      <w:r w:rsidRPr="00724CA2">
        <w:rPr>
          <w:rFonts w:ascii="Times New Roman" w:eastAsia="Times New Roman" w:hAnsi="Times New Roman" w:cs="Times New Roman"/>
          <w:bCs/>
          <w:color w:val="000000" w:themeColor="text1"/>
          <w:sz w:val="24"/>
          <w:szCs w:val="24"/>
          <w:lang w:eastAsia="en-GB"/>
        </w:rPr>
        <w:t> </w:t>
      </w:r>
    </w:p>
    <w:p w14:paraId="247F0594" w14:textId="6B932AFA" w:rsidR="00BF69C3" w:rsidRPr="00724CA2" w:rsidRDefault="00BF69C3" w:rsidP="008B1E39">
      <w:pPr>
        <w:pStyle w:val="Default"/>
        <w:spacing w:after="120" w:line="348" w:lineRule="auto"/>
        <w:jc w:val="both"/>
        <w:rPr>
          <w:rFonts w:ascii="Times New Roman" w:hAnsi="Times New Roman" w:cs="Times New Roman"/>
          <w:bCs/>
          <w:color w:val="000000" w:themeColor="text1"/>
        </w:rPr>
      </w:pPr>
      <w:r w:rsidRPr="00724CA2">
        <w:rPr>
          <w:rFonts w:ascii="Times New Roman" w:hAnsi="Times New Roman" w:cs="Times New Roman"/>
          <w:bCs/>
          <w:color w:val="000000" w:themeColor="text1"/>
        </w:rPr>
        <w:t xml:space="preserve">Humphrey, J.E. </w:t>
      </w:r>
      <w:r w:rsidR="0023402D" w:rsidRPr="00724CA2">
        <w:rPr>
          <w:rFonts w:ascii="Times New Roman" w:hAnsi="Times New Roman" w:cs="Times New Roman"/>
          <w:bCs/>
          <w:color w:val="000000" w:themeColor="text1"/>
          <w:shd w:val="clear" w:color="auto" w:fill="FFFFFF"/>
        </w:rPr>
        <w:t>&amp;</w:t>
      </w:r>
      <w:r w:rsidRPr="00724CA2">
        <w:rPr>
          <w:rFonts w:ascii="Times New Roman" w:hAnsi="Times New Roman" w:cs="Times New Roman"/>
          <w:bCs/>
          <w:color w:val="000000" w:themeColor="text1"/>
        </w:rPr>
        <w:t xml:space="preserve"> Li, Y. (2021). Who goes green: Reducing mutual fund emissions and its consequences. </w:t>
      </w:r>
      <w:r w:rsidRPr="00724CA2">
        <w:rPr>
          <w:rFonts w:ascii="Times New Roman" w:eastAsia="FNKGO K+ MTSY" w:hAnsi="Times New Roman" w:cs="Times New Roman"/>
          <w:bCs/>
          <w:color w:val="000000" w:themeColor="text1"/>
        </w:rPr>
        <w:t xml:space="preserve"> </w:t>
      </w:r>
      <w:r w:rsidRPr="00724CA2">
        <w:rPr>
          <w:rFonts w:ascii="Times New Roman" w:hAnsi="Times New Roman" w:cs="Times New Roman"/>
          <w:bCs/>
          <w:i/>
          <w:iCs/>
          <w:color w:val="000000" w:themeColor="text1"/>
        </w:rPr>
        <w:t>Journal of Banking and Finance</w:t>
      </w:r>
      <w:r w:rsidRPr="00724CA2">
        <w:rPr>
          <w:rFonts w:ascii="Times New Roman" w:hAnsi="Times New Roman" w:cs="Times New Roman"/>
          <w:bCs/>
          <w:color w:val="000000" w:themeColor="text1"/>
        </w:rPr>
        <w:t>. 106098</w:t>
      </w:r>
      <w:r w:rsidR="001C0E88" w:rsidRPr="00724CA2">
        <w:rPr>
          <w:rFonts w:ascii="Times New Roman" w:hAnsi="Times New Roman" w:cs="Times New Roman"/>
          <w:bCs/>
          <w:color w:val="000000" w:themeColor="text1"/>
        </w:rPr>
        <w:t>.</w:t>
      </w:r>
    </w:p>
    <w:p w14:paraId="773465E7" w14:textId="058A4AFE" w:rsidR="006229E1" w:rsidRPr="00724CA2" w:rsidRDefault="006229E1"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Irfan, M., Razzaq A., Sharif A. </w:t>
      </w:r>
      <w:r w:rsidR="0007193C" w:rsidRPr="00724CA2">
        <w:rPr>
          <w:rFonts w:ascii="Times New Roman" w:hAnsi="Times New Roman" w:cs="Times New Roman"/>
          <w:bCs/>
          <w:color w:val="000000" w:themeColor="text1"/>
          <w:sz w:val="24"/>
          <w:szCs w:val="24"/>
        </w:rPr>
        <w:t>&amp;</w:t>
      </w:r>
      <w:r w:rsidRPr="00724CA2">
        <w:rPr>
          <w:rFonts w:ascii="Times New Roman" w:hAnsi="Times New Roman" w:cs="Times New Roman"/>
          <w:bCs/>
          <w:color w:val="000000" w:themeColor="text1"/>
          <w:sz w:val="24"/>
          <w:szCs w:val="24"/>
        </w:rPr>
        <w:t xml:space="preserve"> Yang, X. (2022). Influence mechanism between green finance and green innovation: Exploring regional policy intervention effects in China</w:t>
      </w:r>
      <w:r w:rsidR="00C60D73"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Technological Forecasting &amp; Social Change</w:t>
      </w:r>
      <w:r w:rsidR="00F27AC9" w:rsidRPr="00724CA2">
        <w:rPr>
          <w:rFonts w:ascii="Times New Roman" w:hAnsi="Times New Roman" w:cs="Times New Roman"/>
          <w:bCs/>
          <w:i/>
          <w:iCs/>
          <w:color w:val="000000" w:themeColor="text1"/>
          <w:sz w:val="24"/>
          <w:szCs w:val="24"/>
        </w:rPr>
        <w:t>,</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182</w:t>
      </w:r>
      <w:r w:rsidRPr="00724CA2">
        <w:rPr>
          <w:rFonts w:ascii="Times New Roman" w:hAnsi="Times New Roman" w:cs="Times New Roman"/>
          <w:bCs/>
          <w:color w:val="000000" w:themeColor="text1"/>
          <w:sz w:val="24"/>
          <w:szCs w:val="24"/>
        </w:rPr>
        <w:t>, 121882.</w:t>
      </w:r>
    </w:p>
    <w:p w14:paraId="112D254E" w14:textId="07E4B880" w:rsidR="00BF69C3" w:rsidRPr="00724CA2" w:rsidRDefault="00BF69C3" w:rsidP="008B1E39">
      <w:pPr>
        <w:autoSpaceDE w:val="0"/>
        <w:autoSpaceDN w:val="0"/>
        <w:adjustRightInd w:val="0"/>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Jennings, P.D. </w:t>
      </w:r>
      <w:r w:rsidR="0023402D" w:rsidRPr="00724CA2">
        <w:rPr>
          <w:rFonts w:ascii="Times New Roman" w:hAnsi="Times New Roman" w:cs="Times New Roman"/>
          <w:bCs/>
          <w:color w:val="000000" w:themeColor="text1"/>
          <w:sz w:val="24"/>
          <w:szCs w:val="24"/>
          <w:shd w:val="clear" w:color="auto" w:fill="FFFFFF"/>
        </w:rPr>
        <w:t>&amp;</w:t>
      </w:r>
      <w:r w:rsidR="00FC2BAC" w:rsidRPr="00724CA2">
        <w:rPr>
          <w:rFonts w:ascii="Times New Roman" w:hAnsi="Times New Roman" w:cs="Times New Roman"/>
          <w:bCs/>
          <w:color w:val="000000" w:themeColor="text1"/>
          <w:sz w:val="24"/>
          <w:szCs w:val="24"/>
        </w:rPr>
        <w:t xml:space="preserve"> Zandbergen, P.A. (1995)</w:t>
      </w:r>
      <w:r w:rsidR="00875355" w:rsidRPr="00724CA2">
        <w:rPr>
          <w:rFonts w:ascii="Times New Roman" w:hAnsi="Times New Roman" w:cs="Times New Roman"/>
          <w:bCs/>
          <w:color w:val="000000" w:themeColor="text1"/>
          <w:sz w:val="24"/>
          <w:szCs w:val="24"/>
        </w:rPr>
        <w:t>.</w:t>
      </w:r>
      <w:r w:rsidR="00FC2BAC"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color w:val="000000" w:themeColor="text1"/>
          <w:sz w:val="24"/>
          <w:szCs w:val="24"/>
        </w:rPr>
        <w:t xml:space="preserve">Ecologically </w:t>
      </w:r>
      <w:r w:rsidR="00D56786" w:rsidRPr="00724CA2">
        <w:rPr>
          <w:rFonts w:ascii="Times New Roman" w:hAnsi="Times New Roman" w:cs="Times New Roman"/>
          <w:bCs/>
          <w:color w:val="000000" w:themeColor="text1"/>
          <w:sz w:val="24"/>
          <w:szCs w:val="24"/>
        </w:rPr>
        <w:t>sustainable organizations: an institutional ap</w:t>
      </w:r>
      <w:r w:rsidRPr="00724CA2">
        <w:rPr>
          <w:rFonts w:ascii="Times New Roman" w:hAnsi="Times New Roman" w:cs="Times New Roman"/>
          <w:bCs/>
          <w:color w:val="000000" w:themeColor="text1"/>
          <w:sz w:val="24"/>
          <w:szCs w:val="24"/>
        </w:rPr>
        <w:t xml:space="preserve">proach, </w:t>
      </w:r>
      <w:r w:rsidRPr="00724CA2">
        <w:rPr>
          <w:rFonts w:ascii="Times New Roman" w:hAnsi="Times New Roman" w:cs="Times New Roman"/>
          <w:bCs/>
          <w:i/>
          <w:iCs/>
          <w:color w:val="000000" w:themeColor="text1"/>
          <w:sz w:val="24"/>
          <w:szCs w:val="24"/>
        </w:rPr>
        <w:t>The Academy of Management Review</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20</w:t>
      </w:r>
      <w:r w:rsidRPr="00724CA2">
        <w:rPr>
          <w:rFonts w:ascii="Times New Roman" w:hAnsi="Times New Roman" w:cs="Times New Roman"/>
          <w:bCs/>
          <w:color w:val="000000" w:themeColor="text1"/>
          <w:sz w:val="24"/>
          <w:szCs w:val="24"/>
        </w:rPr>
        <w:t>(4), 1015-1052</w:t>
      </w:r>
    </w:p>
    <w:p w14:paraId="75639526" w14:textId="1F2EF391" w:rsidR="00286622" w:rsidRPr="00724CA2" w:rsidRDefault="00286622" w:rsidP="008B1E39">
      <w:pPr>
        <w:spacing w:after="120" w:line="348" w:lineRule="auto"/>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Jia., F. Li., Y., Cao., L. Hu. L. and Xu., B.  (2022). Institutional </w:t>
      </w:r>
      <w:r w:rsidR="00BB5F89" w:rsidRPr="00724CA2">
        <w:rPr>
          <w:rFonts w:ascii="Times New Roman" w:hAnsi="Times New Roman" w:cs="Times New Roman"/>
          <w:color w:val="000000" w:themeColor="text1"/>
          <w:sz w:val="24"/>
          <w:szCs w:val="24"/>
        </w:rPr>
        <w:t xml:space="preserve">shareholders and firm </w:t>
      </w:r>
      <w:r w:rsidRPr="00724CA2">
        <w:rPr>
          <w:rFonts w:ascii="Times New Roman" w:hAnsi="Times New Roman" w:cs="Times New Roman"/>
          <w:color w:val="000000" w:themeColor="text1"/>
          <w:sz w:val="24"/>
          <w:szCs w:val="24"/>
        </w:rPr>
        <w:t xml:space="preserve">ESG </w:t>
      </w:r>
      <w:r w:rsidR="00BB5F89" w:rsidRPr="00724CA2">
        <w:rPr>
          <w:rFonts w:ascii="Times New Roman" w:hAnsi="Times New Roman" w:cs="Times New Roman"/>
          <w:color w:val="000000" w:themeColor="text1"/>
          <w:sz w:val="24"/>
          <w:szCs w:val="24"/>
        </w:rPr>
        <w:t>performance</w:t>
      </w:r>
      <w:r w:rsidRPr="00724CA2">
        <w:rPr>
          <w:rFonts w:ascii="Times New Roman" w:hAnsi="Times New Roman" w:cs="Times New Roman"/>
          <w:color w:val="000000" w:themeColor="text1"/>
          <w:sz w:val="24"/>
          <w:szCs w:val="24"/>
        </w:rPr>
        <w:t xml:space="preserve">: </w:t>
      </w:r>
      <w:r w:rsidR="00BB5F89" w:rsidRPr="00724CA2">
        <w:rPr>
          <w:rFonts w:ascii="Times New Roman" w:hAnsi="Times New Roman" w:cs="Times New Roman"/>
          <w:color w:val="000000" w:themeColor="text1"/>
          <w:sz w:val="24"/>
          <w:szCs w:val="24"/>
        </w:rPr>
        <w:t xml:space="preserve">evidence </w:t>
      </w:r>
      <w:r w:rsidRPr="00724CA2">
        <w:rPr>
          <w:rFonts w:ascii="Times New Roman" w:hAnsi="Times New Roman" w:cs="Times New Roman"/>
          <w:color w:val="000000" w:themeColor="text1"/>
          <w:sz w:val="24"/>
          <w:szCs w:val="24"/>
        </w:rPr>
        <w:t xml:space="preserve">from China. </w:t>
      </w:r>
      <w:r w:rsidRPr="00724CA2">
        <w:rPr>
          <w:rFonts w:ascii="Times New Roman" w:hAnsi="Times New Roman" w:cs="Times New Roman"/>
          <w:i/>
          <w:iCs/>
          <w:color w:val="000000" w:themeColor="text1"/>
          <w:sz w:val="24"/>
          <w:szCs w:val="24"/>
        </w:rPr>
        <w:t>Sustainability</w:t>
      </w:r>
      <w:r w:rsidRPr="00B33189">
        <w:rPr>
          <w:rFonts w:ascii="Times New Roman" w:hAnsi="Times New Roman" w:cs="Times New Roman"/>
          <w:i/>
          <w:iCs/>
          <w:color w:val="000000" w:themeColor="text1"/>
          <w:sz w:val="24"/>
          <w:szCs w:val="24"/>
        </w:rPr>
        <w:t>, 14,</w:t>
      </w:r>
      <w:r w:rsidRPr="00724CA2">
        <w:rPr>
          <w:rFonts w:ascii="Times New Roman" w:hAnsi="Times New Roman" w:cs="Times New Roman"/>
          <w:color w:val="000000" w:themeColor="text1"/>
          <w:sz w:val="24"/>
          <w:szCs w:val="24"/>
        </w:rPr>
        <w:t xml:space="preserve"> 14674. </w:t>
      </w:r>
    </w:p>
    <w:p w14:paraId="44455DCE" w14:textId="236C3766" w:rsidR="002868F1" w:rsidRPr="00724CA2" w:rsidRDefault="002868F1" w:rsidP="008B1E39">
      <w:pPr>
        <w:autoSpaceDE w:val="0"/>
        <w:autoSpaceDN w:val="0"/>
        <w:adjustRightInd w:val="0"/>
        <w:spacing w:after="120" w:line="348" w:lineRule="auto"/>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Jiang, Y., Wang, C., Li., and Wan, J. (2022). Do institutional investors’ corporate site visits improve ESG performance? Evidence from China, </w:t>
      </w:r>
      <w:r w:rsidRPr="00724CA2">
        <w:rPr>
          <w:rFonts w:ascii="Times New Roman" w:hAnsi="Times New Roman" w:cs="Times New Roman"/>
          <w:i/>
          <w:iCs/>
          <w:color w:val="000000" w:themeColor="text1"/>
          <w:sz w:val="24"/>
          <w:szCs w:val="24"/>
        </w:rPr>
        <w:t>Pacific-Basin Finance Journal,</w:t>
      </w:r>
      <w:r w:rsidRPr="00724CA2">
        <w:rPr>
          <w:rFonts w:ascii="Times New Roman" w:hAnsi="Times New Roman" w:cs="Times New Roman"/>
          <w:color w:val="000000" w:themeColor="text1"/>
          <w:sz w:val="24"/>
          <w:szCs w:val="24"/>
        </w:rPr>
        <w:t xml:space="preserve"> </w:t>
      </w:r>
      <w:r w:rsidRPr="00B33189">
        <w:rPr>
          <w:rFonts w:ascii="Times New Roman" w:hAnsi="Times New Roman" w:cs="Times New Roman"/>
          <w:i/>
          <w:iCs/>
          <w:color w:val="000000" w:themeColor="text1"/>
          <w:sz w:val="24"/>
          <w:szCs w:val="24"/>
        </w:rPr>
        <w:t>76,</w:t>
      </w:r>
      <w:r w:rsidRPr="00724CA2">
        <w:rPr>
          <w:rFonts w:ascii="Times New Roman" w:hAnsi="Times New Roman" w:cs="Times New Roman"/>
          <w:color w:val="000000" w:themeColor="text1"/>
          <w:sz w:val="24"/>
          <w:szCs w:val="24"/>
        </w:rPr>
        <w:t xml:space="preserve"> 101884.</w:t>
      </w:r>
    </w:p>
    <w:p w14:paraId="3E842A17" w14:textId="77777777" w:rsidR="00791378" w:rsidRPr="00724CA2" w:rsidRDefault="00791378" w:rsidP="008B1E39">
      <w:pPr>
        <w:shd w:val="clear" w:color="auto" w:fill="FFFFFF"/>
        <w:spacing w:after="120" w:line="348" w:lineRule="auto"/>
        <w:jc w:val="both"/>
        <w:rPr>
          <w:rFonts w:ascii="Times New Roman" w:eastAsia="Times New Roman" w:hAnsi="Times New Roman" w:cs="Times New Roman"/>
          <w:bCs/>
          <w:color w:val="000000" w:themeColor="text1"/>
          <w:sz w:val="24"/>
          <w:szCs w:val="24"/>
          <w:lang w:eastAsia="en-GB"/>
        </w:rPr>
      </w:pP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Jin, J., &amp; Han, L. (2018). Assessment of Chinese green funds: Performance and industry allocation. </w:t>
      </w:r>
      <w:r w:rsidRPr="00724CA2">
        <w:rPr>
          <w:rFonts w:ascii="Times New Roman" w:eastAsia="Times New Roman" w:hAnsi="Times New Roman" w:cs="Times New Roman"/>
          <w:bCs/>
          <w:i/>
          <w:iCs/>
          <w:color w:val="000000" w:themeColor="text1"/>
          <w:sz w:val="24"/>
          <w:szCs w:val="24"/>
          <w:bdr w:val="none" w:sz="0" w:space="0" w:color="auto" w:frame="1"/>
          <w:shd w:val="clear" w:color="auto" w:fill="FFFFFF"/>
          <w:lang w:val="en-US" w:eastAsia="en-GB"/>
        </w:rPr>
        <w:t>Journal of Cleaner Production</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w:t>
      </w:r>
      <w:r w:rsidRPr="00724CA2">
        <w:rPr>
          <w:rFonts w:ascii="Times New Roman" w:eastAsia="Times New Roman" w:hAnsi="Times New Roman" w:cs="Times New Roman"/>
          <w:bCs/>
          <w:i/>
          <w:iCs/>
          <w:color w:val="000000" w:themeColor="text1"/>
          <w:sz w:val="24"/>
          <w:szCs w:val="24"/>
          <w:bdr w:val="none" w:sz="0" w:space="0" w:color="auto" w:frame="1"/>
          <w:shd w:val="clear" w:color="auto" w:fill="FFFFFF"/>
          <w:lang w:val="en-US" w:eastAsia="en-GB"/>
        </w:rPr>
        <w:t>171</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1084-1093. </w:t>
      </w:r>
      <w:r w:rsidRPr="00724CA2">
        <w:rPr>
          <w:rFonts w:ascii="Times New Roman" w:eastAsia="Times New Roman" w:hAnsi="Times New Roman" w:cs="Times New Roman"/>
          <w:bCs/>
          <w:color w:val="000000" w:themeColor="text1"/>
          <w:sz w:val="24"/>
          <w:szCs w:val="24"/>
          <w:lang w:eastAsia="en-GB"/>
        </w:rPr>
        <w:t> </w:t>
      </w:r>
    </w:p>
    <w:p w14:paraId="4E7B3C3E" w14:textId="7C9F2922" w:rsidR="00C05235" w:rsidRPr="00724CA2" w:rsidRDefault="00C05235"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Jin, C., Monfort, A., Chen., F., Xia., N. and Wu., B</w:t>
      </w:r>
      <w:r w:rsidR="001A467A"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xml:space="preserve"> (2024). Institutional investor ESG activism and corporate green innovation against climate change: Exploring differences between digital and non-digital firms, </w:t>
      </w:r>
      <w:r w:rsidRPr="00724CA2">
        <w:rPr>
          <w:rFonts w:ascii="Times New Roman" w:hAnsi="Times New Roman" w:cs="Times New Roman"/>
          <w:bCs/>
          <w:i/>
          <w:iCs/>
          <w:color w:val="000000" w:themeColor="text1"/>
          <w:sz w:val="24"/>
          <w:szCs w:val="24"/>
        </w:rPr>
        <w:t>Technological Forecasting &amp; Social Change</w:t>
      </w:r>
      <w:r w:rsidR="001A467A" w:rsidRPr="00B33189">
        <w:rPr>
          <w:rFonts w:ascii="Times New Roman" w:hAnsi="Times New Roman" w:cs="Times New Roman"/>
          <w:bCs/>
          <w:i/>
          <w:iCs/>
          <w:color w:val="000000" w:themeColor="text1"/>
          <w:sz w:val="24"/>
          <w:szCs w:val="24"/>
        </w:rPr>
        <w:t>,</w:t>
      </w:r>
      <w:r w:rsidRPr="00B33189">
        <w:rPr>
          <w:rFonts w:ascii="Times New Roman" w:hAnsi="Times New Roman" w:cs="Times New Roman"/>
          <w:bCs/>
          <w:i/>
          <w:iCs/>
          <w:color w:val="000000" w:themeColor="text1"/>
          <w:sz w:val="24"/>
          <w:szCs w:val="24"/>
        </w:rPr>
        <w:t xml:space="preserve"> 200,</w:t>
      </w:r>
      <w:r w:rsidRPr="00724CA2">
        <w:rPr>
          <w:rFonts w:ascii="Times New Roman" w:hAnsi="Times New Roman" w:cs="Times New Roman"/>
          <w:bCs/>
          <w:color w:val="000000" w:themeColor="text1"/>
          <w:sz w:val="24"/>
          <w:szCs w:val="24"/>
        </w:rPr>
        <w:t xml:space="preserve"> 123129. </w:t>
      </w:r>
    </w:p>
    <w:p w14:paraId="41E08991" w14:textId="16DFBBB3" w:rsidR="00787376" w:rsidRPr="00724CA2" w:rsidRDefault="00787376"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Jonsdottir, B., Sigurjonsson, T.O., Johannsdottir, L. &amp; Wendt, S. (2022). Barriers to </w:t>
      </w:r>
      <w:r w:rsidR="00BB5F89" w:rsidRPr="00724CA2">
        <w:rPr>
          <w:rFonts w:ascii="Times New Roman" w:hAnsi="Times New Roman" w:cs="Times New Roman"/>
          <w:bCs/>
          <w:color w:val="000000" w:themeColor="text1"/>
          <w:sz w:val="24"/>
          <w:szCs w:val="24"/>
        </w:rPr>
        <w:t>u</w:t>
      </w:r>
      <w:r w:rsidRPr="00724CA2">
        <w:rPr>
          <w:rFonts w:ascii="Times New Roman" w:hAnsi="Times New Roman" w:cs="Times New Roman"/>
          <w:bCs/>
          <w:color w:val="000000" w:themeColor="text1"/>
          <w:sz w:val="24"/>
          <w:szCs w:val="24"/>
        </w:rPr>
        <w:t xml:space="preserve">sing ESG </w:t>
      </w:r>
      <w:r w:rsidR="00BB5F89" w:rsidRPr="00724CA2">
        <w:rPr>
          <w:rFonts w:ascii="Times New Roman" w:hAnsi="Times New Roman" w:cs="Times New Roman"/>
          <w:bCs/>
          <w:color w:val="000000" w:themeColor="text1"/>
          <w:sz w:val="24"/>
          <w:szCs w:val="24"/>
        </w:rPr>
        <w:t>data for investment decisions</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Sustainability</w:t>
      </w:r>
      <w:r w:rsidRPr="00B33189">
        <w:rPr>
          <w:rFonts w:ascii="Times New Roman" w:hAnsi="Times New Roman" w:cs="Times New Roman"/>
          <w:bCs/>
          <w:i/>
          <w:iCs/>
          <w:color w:val="000000" w:themeColor="text1"/>
          <w:sz w:val="24"/>
          <w:szCs w:val="24"/>
        </w:rPr>
        <w:t>, 14,</w:t>
      </w:r>
      <w:r w:rsidRPr="00724CA2">
        <w:rPr>
          <w:rFonts w:ascii="Times New Roman" w:hAnsi="Times New Roman" w:cs="Times New Roman"/>
          <w:bCs/>
          <w:color w:val="000000" w:themeColor="text1"/>
          <w:sz w:val="24"/>
          <w:szCs w:val="24"/>
        </w:rPr>
        <w:t xml:space="preserve"> 5157.</w:t>
      </w:r>
    </w:p>
    <w:p w14:paraId="6487E8C5" w14:textId="35DEDD67" w:rsidR="00D9380F" w:rsidRPr="00724CA2" w:rsidRDefault="00D9380F"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Khorana, A., Servaes, H. &amp; Tufano, P. (2005). Explaining the size of the mutual fund industry around the world. </w:t>
      </w:r>
      <w:r w:rsidRPr="00724CA2">
        <w:rPr>
          <w:rFonts w:ascii="Times New Roman" w:hAnsi="Times New Roman" w:cs="Times New Roman"/>
          <w:bCs/>
          <w:i/>
          <w:iCs/>
          <w:color w:val="000000" w:themeColor="text1"/>
          <w:sz w:val="24"/>
          <w:szCs w:val="24"/>
        </w:rPr>
        <w:t>Journal of Financial Economics</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78</w:t>
      </w:r>
      <w:r w:rsidRPr="00724CA2">
        <w:rPr>
          <w:rFonts w:ascii="Times New Roman" w:hAnsi="Times New Roman" w:cs="Times New Roman"/>
          <w:bCs/>
          <w:color w:val="000000" w:themeColor="text1"/>
          <w:sz w:val="24"/>
          <w:szCs w:val="24"/>
        </w:rPr>
        <w:t>(1), 145-185.</w:t>
      </w:r>
    </w:p>
    <w:p w14:paraId="029C034D" w14:textId="7B87CCEB" w:rsidR="00791378" w:rsidRPr="00724CA2" w:rsidRDefault="00791378" w:rsidP="008B1E39">
      <w:pPr>
        <w:shd w:val="clear" w:color="auto" w:fill="FFFFFF"/>
        <w:spacing w:after="120" w:line="348" w:lineRule="auto"/>
        <w:jc w:val="both"/>
        <w:rPr>
          <w:rFonts w:ascii="Times New Roman" w:eastAsia="Times New Roman" w:hAnsi="Times New Roman" w:cs="Times New Roman"/>
          <w:bCs/>
          <w:color w:val="000000" w:themeColor="text1"/>
          <w:sz w:val="24"/>
          <w:szCs w:val="24"/>
          <w:lang w:eastAsia="en-GB"/>
        </w:rPr>
      </w:pP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Kim, H. D., Kim, T., Kim, Y., &amp; Park, K. (2019a). Do long-term institutional investors promote corporate social responsibility activities? </w:t>
      </w:r>
      <w:r w:rsidRPr="00724CA2">
        <w:rPr>
          <w:rFonts w:ascii="Times New Roman" w:eastAsia="Times New Roman" w:hAnsi="Times New Roman" w:cs="Times New Roman"/>
          <w:bCs/>
          <w:i/>
          <w:iCs/>
          <w:color w:val="000000" w:themeColor="text1"/>
          <w:sz w:val="24"/>
          <w:szCs w:val="24"/>
          <w:bdr w:val="none" w:sz="0" w:space="0" w:color="auto" w:frame="1"/>
          <w:shd w:val="clear" w:color="auto" w:fill="FFFFFF"/>
          <w:lang w:val="en-US" w:eastAsia="en-GB"/>
        </w:rPr>
        <w:t>Journal of Banking &amp; Finance</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w:t>
      </w:r>
      <w:r w:rsidRPr="00724CA2">
        <w:rPr>
          <w:rFonts w:ascii="Times New Roman" w:eastAsia="Times New Roman" w:hAnsi="Times New Roman" w:cs="Times New Roman"/>
          <w:bCs/>
          <w:i/>
          <w:iCs/>
          <w:color w:val="000000" w:themeColor="text1"/>
          <w:sz w:val="24"/>
          <w:szCs w:val="24"/>
          <w:bdr w:val="none" w:sz="0" w:space="0" w:color="auto" w:frame="1"/>
          <w:shd w:val="clear" w:color="auto" w:fill="FFFFFF"/>
          <w:lang w:val="en-US" w:eastAsia="en-GB"/>
        </w:rPr>
        <w:t>101</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256-269. </w:t>
      </w:r>
      <w:r w:rsidRPr="00724CA2">
        <w:rPr>
          <w:rFonts w:ascii="Times New Roman" w:eastAsia="Times New Roman" w:hAnsi="Times New Roman" w:cs="Times New Roman"/>
          <w:bCs/>
          <w:color w:val="000000" w:themeColor="text1"/>
          <w:sz w:val="24"/>
          <w:szCs w:val="24"/>
          <w:lang w:eastAsia="en-GB"/>
        </w:rPr>
        <w:t> </w:t>
      </w:r>
    </w:p>
    <w:p w14:paraId="36375ABE" w14:textId="77777777" w:rsidR="00791378" w:rsidRPr="00724CA2" w:rsidRDefault="00791378" w:rsidP="008B1E39">
      <w:pPr>
        <w:shd w:val="clear" w:color="auto" w:fill="FFFFFF"/>
        <w:spacing w:after="120" w:line="348" w:lineRule="auto"/>
        <w:jc w:val="both"/>
        <w:rPr>
          <w:rFonts w:ascii="Times New Roman" w:eastAsia="Times New Roman" w:hAnsi="Times New Roman" w:cs="Times New Roman"/>
          <w:bCs/>
          <w:color w:val="000000" w:themeColor="text1"/>
          <w:sz w:val="24"/>
          <w:szCs w:val="24"/>
          <w:lang w:eastAsia="en-GB"/>
        </w:rPr>
      </w:pP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Kim, H. D., Kim, Y., &amp; Mantecon, T. (2019b). Short-term institutional investors and agency costs of debt. </w:t>
      </w:r>
      <w:r w:rsidRPr="00724CA2">
        <w:rPr>
          <w:rFonts w:ascii="Times New Roman" w:eastAsia="Times New Roman" w:hAnsi="Times New Roman" w:cs="Times New Roman"/>
          <w:bCs/>
          <w:i/>
          <w:iCs/>
          <w:color w:val="000000" w:themeColor="text1"/>
          <w:sz w:val="24"/>
          <w:szCs w:val="24"/>
          <w:bdr w:val="none" w:sz="0" w:space="0" w:color="auto" w:frame="1"/>
          <w:shd w:val="clear" w:color="auto" w:fill="FFFFFF"/>
          <w:lang w:val="en-US" w:eastAsia="en-GB"/>
        </w:rPr>
        <w:t>Journal of Business Research</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w:t>
      </w:r>
      <w:r w:rsidRPr="00724CA2">
        <w:rPr>
          <w:rFonts w:ascii="Times New Roman" w:eastAsia="Times New Roman" w:hAnsi="Times New Roman" w:cs="Times New Roman"/>
          <w:bCs/>
          <w:i/>
          <w:iCs/>
          <w:color w:val="000000" w:themeColor="text1"/>
          <w:sz w:val="24"/>
          <w:szCs w:val="24"/>
          <w:bdr w:val="none" w:sz="0" w:space="0" w:color="auto" w:frame="1"/>
          <w:shd w:val="clear" w:color="auto" w:fill="FFFFFF"/>
          <w:lang w:val="en-US" w:eastAsia="en-GB"/>
        </w:rPr>
        <w:t>95</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195-210. </w:t>
      </w:r>
      <w:r w:rsidRPr="00724CA2">
        <w:rPr>
          <w:rFonts w:ascii="Times New Roman" w:eastAsia="Times New Roman" w:hAnsi="Times New Roman" w:cs="Times New Roman"/>
          <w:bCs/>
          <w:color w:val="000000" w:themeColor="text1"/>
          <w:sz w:val="24"/>
          <w:szCs w:val="24"/>
          <w:lang w:eastAsia="en-GB"/>
        </w:rPr>
        <w:t> </w:t>
      </w:r>
    </w:p>
    <w:p w14:paraId="26D96578" w14:textId="77777777" w:rsidR="00BF69C3" w:rsidRPr="00724CA2" w:rsidRDefault="00BF69C3"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Lau, C., Lu, Y. &amp; Liang, Q. (2016). Corporate social responsibility in China: A corporate governance approach. </w:t>
      </w:r>
      <w:r w:rsidRPr="00724CA2">
        <w:rPr>
          <w:rFonts w:ascii="Times New Roman" w:hAnsi="Times New Roman" w:cs="Times New Roman"/>
          <w:bCs/>
          <w:i/>
          <w:iCs/>
          <w:color w:val="000000" w:themeColor="text1"/>
          <w:sz w:val="24"/>
          <w:szCs w:val="24"/>
        </w:rPr>
        <w:t>Journal of Business Ethics</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136</w:t>
      </w:r>
      <w:r w:rsidRPr="00724CA2">
        <w:rPr>
          <w:rFonts w:ascii="Times New Roman" w:hAnsi="Times New Roman" w:cs="Times New Roman"/>
          <w:bCs/>
          <w:color w:val="000000" w:themeColor="text1"/>
          <w:sz w:val="24"/>
          <w:szCs w:val="24"/>
        </w:rPr>
        <w:t>, 73–87.</w:t>
      </w:r>
    </w:p>
    <w:p w14:paraId="7D166A08" w14:textId="77777777" w:rsidR="00BF69C3" w:rsidRPr="00724CA2" w:rsidRDefault="00BF69C3"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Lel, U. (2019). The role of foreign institutional investors in restraining earnings management activities across countries. </w:t>
      </w:r>
      <w:r w:rsidRPr="00724CA2">
        <w:rPr>
          <w:rFonts w:ascii="Times New Roman" w:hAnsi="Times New Roman" w:cs="Times New Roman"/>
          <w:bCs/>
          <w:i/>
          <w:iCs/>
          <w:color w:val="000000" w:themeColor="text1"/>
          <w:sz w:val="24"/>
          <w:szCs w:val="24"/>
          <w:shd w:val="clear" w:color="auto" w:fill="FFFFFF"/>
        </w:rPr>
        <w:t>Journal of International Business Studies</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50</w:t>
      </w:r>
      <w:r w:rsidRPr="00724CA2">
        <w:rPr>
          <w:rFonts w:ascii="Times New Roman" w:hAnsi="Times New Roman" w:cs="Times New Roman"/>
          <w:bCs/>
          <w:color w:val="000000" w:themeColor="text1"/>
          <w:sz w:val="24"/>
          <w:szCs w:val="24"/>
          <w:shd w:val="clear" w:color="auto" w:fill="FFFFFF"/>
        </w:rPr>
        <w:t>(6), 895-922.</w:t>
      </w:r>
    </w:p>
    <w:p w14:paraId="5A537BA5" w14:textId="35B8EB3F" w:rsidR="002925A7" w:rsidRPr="00724CA2" w:rsidRDefault="002925A7"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Li, Z. (2023)</w:t>
      </w:r>
      <w:r w:rsidR="00F92024"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xml:space="preserve"> Do geopolitical risk, green finance, and the rule of law affect the sustainable environment in China? Findings from the BARDL approach. </w:t>
      </w:r>
      <w:r w:rsidRPr="00724CA2">
        <w:rPr>
          <w:rFonts w:ascii="Times New Roman" w:hAnsi="Times New Roman" w:cs="Times New Roman"/>
          <w:bCs/>
          <w:i/>
          <w:iCs/>
          <w:color w:val="000000" w:themeColor="text1"/>
          <w:sz w:val="24"/>
          <w:szCs w:val="24"/>
        </w:rPr>
        <w:t>Resources Policy</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81</w:t>
      </w:r>
      <w:r w:rsidRPr="00724CA2">
        <w:rPr>
          <w:rFonts w:ascii="Times New Roman" w:hAnsi="Times New Roman" w:cs="Times New Roman"/>
          <w:bCs/>
          <w:color w:val="000000" w:themeColor="text1"/>
          <w:sz w:val="24"/>
          <w:szCs w:val="24"/>
        </w:rPr>
        <w:t xml:space="preserve">, 103403. </w:t>
      </w:r>
    </w:p>
    <w:p w14:paraId="6356488A" w14:textId="07C10722" w:rsidR="00BF69C3" w:rsidRPr="00724CA2" w:rsidRDefault="00BF69C3"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Li, Z. F., Patel, S., &amp; Ramani, S. (202</w:t>
      </w:r>
      <w:r w:rsidR="009648CB" w:rsidRPr="00724CA2">
        <w:rPr>
          <w:rFonts w:ascii="Times New Roman" w:hAnsi="Times New Roman" w:cs="Times New Roman"/>
          <w:bCs/>
          <w:color w:val="000000" w:themeColor="text1"/>
          <w:sz w:val="24"/>
          <w:szCs w:val="24"/>
          <w:shd w:val="clear" w:color="auto" w:fill="FFFFFF"/>
        </w:rPr>
        <w:t>1</w:t>
      </w:r>
      <w:r w:rsidRPr="00724CA2">
        <w:rPr>
          <w:rFonts w:ascii="Times New Roman" w:hAnsi="Times New Roman" w:cs="Times New Roman"/>
          <w:bCs/>
          <w:color w:val="000000" w:themeColor="text1"/>
          <w:sz w:val="24"/>
          <w:szCs w:val="24"/>
          <w:shd w:val="clear" w:color="auto" w:fill="FFFFFF"/>
        </w:rPr>
        <w:t>). The role of mutual funds in corporate social responsibility. </w:t>
      </w:r>
      <w:r w:rsidRPr="00724CA2">
        <w:rPr>
          <w:rFonts w:ascii="Times New Roman" w:hAnsi="Times New Roman" w:cs="Times New Roman"/>
          <w:bCs/>
          <w:i/>
          <w:iCs/>
          <w:color w:val="000000" w:themeColor="text1"/>
          <w:sz w:val="24"/>
          <w:szCs w:val="24"/>
          <w:shd w:val="clear" w:color="auto" w:fill="FFFFFF"/>
        </w:rPr>
        <w:t>Journal of Business Ethics</w:t>
      </w:r>
      <w:r w:rsidR="009714E4" w:rsidRPr="00724CA2">
        <w:rPr>
          <w:rFonts w:ascii="Times New Roman" w:hAnsi="Times New Roman" w:cs="Times New Roman"/>
          <w:bCs/>
          <w:color w:val="000000" w:themeColor="text1"/>
          <w:sz w:val="24"/>
          <w:szCs w:val="24"/>
          <w:shd w:val="clear" w:color="auto" w:fill="FFFFFF"/>
        </w:rPr>
        <w:t>.</w:t>
      </w:r>
      <w:r w:rsidRPr="00724CA2">
        <w:rPr>
          <w:rFonts w:ascii="Times New Roman" w:hAnsi="Times New Roman" w:cs="Times New Roman"/>
          <w:bCs/>
          <w:color w:val="000000" w:themeColor="text1"/>
          <w:sz w:val="24"/>
          <w:szCs w:val="24"/>
          <w:shd w:val="clear" w:color="auto" w:fill="FFFFFF"/>
        </w:rPr>
        <w:t xml:space="preserve"> </w:t>
      </w:r>
      <w:r w:rsidR="009648CB" w:rsidRPr="00724CA2">
        <w:rPr>
          <w:rFonts w:ascii="Times New Roman" w:hAnsi="Times New Roman" w:cs="Times New Roman"/>
          <w:bCs/>
          <w:i/>
          <w:iCs/>
          <w:color w:val="000000" w:themeColor="text1"/>
          <w:sz w:val="24"/>
          <w:szCs w:val="24"/>
          <w:shd w:val="clear" w:color="auto" w:fill="FFFFFF"/>
        </w:rPr>
        <w:t>174</w:t>
      </w:r>
      <w:r w:rsidR="009648CB" w:rsidRPr="00724CA2">
        <w:rPr>
          <w:rFonts w:ascii="Times New Roman" w:hAnsi="Times New Roman" w:cs="Times New Roman"/>
          <w:bCs/>
          <w:color w:val="000000" w:themeColor="text1"/>
          <w:sz w:val="24"/>
          <w:szCs w:val="24"/>
          <w:shd w:val="clear" w:color="auto" w:fill="FFFFFF"/>
        </w:rPr>
        <w:t>(3), 715-737</w:t>
      </w:r>
      <w:r w:rsidR="00E17FDD" w:rsidRPr="00724CA2">
        <w:rPr>
          <w:rFonts w:ascii="Times New Roman" w:hAnsi="Times New Roman" w:cs="Times New Roman"/>
          <w:bCs/>
          <w:color w:val="000000" w:themeColor="text1"/>
          <w:sz w:val="24"/>
          <w:szCs w:val="24"/>
          <w:shd w:val="clear" w:color="auto" w:fill="FFFFFF"/>
        </w:rPr>
        <w:t xml:space="preserve">. </w:t>
      </w:r>
    </w:p>
    <w:p w14:paraId="5CEF1CE8" w14:textId="037EC613" w:rsidR="00BF69C3" w:rsidRPr="00724CA2" w:rsidRDefault="00BF69C3"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Liang, H. </w:t>
      </w:r>
      <w:r w:rsidR="0023402D" w:rsidRPr="00724CA2">
        <w:rPr>
          <w:rFonts w:ascii="Times New Roman" w:hAnsi="Times New Roman" w:cs="Times New Roman"/>
          <w:bCs/>
          <w:color w:val="000000" w:themeColor="text1"/>
          <w:sz w:val="24"/>
          <w:szCs w:val="24"/>
          <w:shd w:val="clear" w:color="auto" w:fill="FFFFFF"/>
        </w:rPr>
        <w:t>&amp;</w:t>
      </w:r>
      <w:r w:rsidRPr="00724CA2">
        <w:rPr>
          <w:rFonts w:ascii="Times New Roman" w:hAnsi="Times New Roman" w:cs="Times New Roman"/>
          <w:bCs/>
          <w:color w:val="000000" w:themeColor="text1"/>
          <w:sz w:val="24"/>
          <w:szCs w:val="24"/>
        </w:rPr>
        <w:t xml:space="preserve"> Renneboog, L. (2017). On </w:t>
      </w:r>
      <w:r w:rsidR="00627AF3" w:rsidRPr="00724CA2">
        <w:rPr>
          <w:rFonts w:ascii="Times New Roman" w:hAnsi="Times New Roman" w:cs="Times New Roman"/>
          <w:bCs/>
          <w:color w:val="000000" w:themeColor="text1"/>
          <w:sz w:val="24"/>
          <w:szCs w:val="24"/>
        </w:rPr>
        <w:t>the foundations of corporate social responsibility</w:t>
      </w:r>
      <w:r w:rsidR="00BB5F89">
        <w:rPr>
          <w:rFonts w:ascii="Times New Roman" w:hAnsi="Times New Roman" w:cs="Times New Roman" w:hint="eastAsia"/>
          <w:bCs/>
          <w:color w:val="000000" w:themeColor="text1"/>
          <w:sz w:val="24"/>
          <w:szCs w:val="24"/>
          <w:lang w:eastAsia="zh-CN"/>
        </w:rPr>
        <w:t>.</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The Journal of Finance</w:t>
      </w:r>
      <w:r w:rsidRPr="002A7101">
        <w:rPr>
          <w:rFonts w:ascii="Times New Roman" w:hAnsi="Times New Roman" w:cs="Times New Roman"/>
          <w:bCs/>
          <w:i/>
          <w:iCs/>
          <w:color w:val="000000" w:themeColor="text1"/>
          <w:sz w:val="24"/>
          <w:szCs w:val="24"/>
        </w:rPr>
        <w:t>. 72</w:t>
      </w:r>
      <w:r w:rsidRPr="00724CA2">
        <w:rPr>
          <w:rFonts w:ascii="Times New Roman" w:hAnsi="Times New Roman" w:cs="Times New Roman"/>
          <w:bCs/>
          <w:color w:val="000000" w:themeColor="text1"/>
          <w:sz w:val="24"/>
          <w:szCs w:val="24"/>
        </w:rPr>
        <w:t>(2), 853-910.</w:t>
      </w:r>
    </w:p>
    <w:p w14:paraId="02CF876D" w14:textId="4DD0A6FF" w:rsidR="00BF69C3" w:rsidRPr="00724CA2" w:rsidRDefault="00BF69C3"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Lin, C., Lin, P., Song, F.M., &amp; Li, C. (2011). Managerial incentives, CEO characteristics and corporate innovation in China’s private sector. </w:t>
      </w:r>
      <w:r w:rsidRPr="00724CA2">
        <w:rPr>
          <w:rFonts w:ascii="Times New Roman" w:hAnsi="Times New Roman" w:cs="Times New Roman"/>
          <w:bCs/>
          <w:i/>
          <w:iCs/>
          <w:color w:val="000000" w:themeColor="text1"/>
          <w:sz w:val="24"/>
          <w:szCs w:val="24"/>
          <w:shd w:val="clear" w:color="auto" w:fill="FFFFFF"/>
        </w:rPr>
        <w:t>Journal of Comparative Economics</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39</w:t>
      </w:r>
      <w:r w:rsidRPr="00724CA2">
        <w:rPr>
          <w:rFonts w:ascii="Times New Roman" w:hAnsi="Times New Roman" w:cs="Times New Roman"/>
          <w:bCs/>
          <w:color w:val="000000" w:themeColor="text1"/>
          <w:sz w:val="24"/>
          <w:szCs w:val="24"/>
          <w:shd w:val="clear" w:color="auto" w:fill="FFFFFF"/>
        </w:rPr>
        <w:t>(2), 176-190.</w:t>
      </w:r>
    </w:p>
    <w:p w14:paraId="06E0C3BD" w14:textId="731DC177" w:rsidR="00BF69C3" w:rsidRPr="00724CA2" w:rsidRDefault="00BF69C3" w:rsidP="008B1E39">
      <w:pPr>
        <w:autoSpaceDE w:val="0"/>
        <w:autoSpaceDN w:val="0"/>
        <w:adjustRightInd w:val="0"/>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Liu, N, Liu, C., Xia, Y., Ren, Y. </w:t>
      </w:r>
      <w:r w:rsidR="0023402D" w:rsidRPr="00724CA2">
        <w:rPr>
          <w:rFonts w:ascii="Times New Roman" w:hAnsi="Times New Roman" w:cs="Times New Roman"/>
          <w:bCs/>
          <w:color w:val="000000" w:themeColor="text1"/>
          <w:sz w:val="24"/>
          <w:szCs w:val="24"/>
          <w:shd w:val="clear" w:color="auto" w:fill="FFFFFF"/>
        </w:rPr>
        <w:t>&amp;</w:t>
      </w:r>
      <w:r w:rsidRPr="00724CA2">
        <w:rPr>
          <w:rFonts w:ascii="Times New Roman" w:hAnsi="Times New Roman" w:cs="Times New Roman"/>
          <w:bCs/>
          <w:color w:val="000000" w:themeColor="text1"/>
          <w:sz w:val="24"/>
          <w:szCs w:val="24"/>
        </w:rPr>
        <w:t xml:space="preserve"> Liang, J. (2020). Examining the </w:t>
      </w:r>
      <w:r w:rsidR="00627AF3" w:rsidRPr="00724CA2">
        <w:rPr>
          <w:rFonts w:ascii="Times New Roman" w:hAnsi="Times New Roman" w:cs="Times New Roman"/>
          <w:bCs/>
          <w:color w:val="000000" w:themeColor="text1"/>
          <w:sz w:val="24"/>
          <w:szCs w:val="24"/>
        </w:rPr>
        <w:t>coordination between green finance and green economy aiming for sustainable development: a case study o</w:t>
      </w:r>
      <w:r w:rsidRPr="00724CA2">
        <w:rPr>
          <w:rFonts w:ascii="Times New Roman" w:hAnsi="Times New Roman" w:cs="Times New Roman"/>
          <w:bCs/>
          <w:color w:val="000000" w:themeColor="text1"/>
          <w:sz w:val="24"/>
          <w:szCs w:val="24"/>
        </w:rPr>
        <w:t xml:space="preserve">f China.  </w:t>
      </w:r>
      <w:r w:rsidRPr="00724CA2">
        <w:rPr>
          <w:rFonts w:ascii="Times New Roman" w:hAnsi="Times New Roman" w:cs="Times New Roman"/>
          <w:bCs/>
          <w:i/>
          <w:iCs/>
          <w:color w:val="000000" w:themeColor="text1"/>
          <w:sz w:val="24"/>
          <w:szCs w:val="24"/>
        </w:rPr>
        <w:t>Sustainability</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12</w:t>
      </w:r>
      <w:r w:rsidR="00445794" w:rsidRPr="00724CA2">
        <w:rPr>
          <w:rFonts w:ascii="Times New Roman" w:hAnsi="Times New Roman" w:cs="Times New Roman"/>
          <w:bCs/>
          <w:color w:val="000000" w:themeColor="text1"/>
          <w:sz w:val="24"/>
          <w:szCs w:val="24"/>
        </w:rPr>
        <w:t>(9)</w:t>
      </w:r>
      <w:r w:rsidRPr="00724CA2">
        <w:rPr>
          <w:rFonts w:ascii="Times New Roman" w:hAnsi="Times New Roman" w:cs="Times New Roman"/>
          <w:bCs/>
          <w:color w:val="000000" w:themeColor="text1"/>
          <w:sz w:val="24"/>
          <w:szCs w:val="24"/>
        </w:rPr>
        <w:t>, 3717</w:t>
      </w:r>
      <w:r w:rsidR="00470B48" w:rsidRPr="00724CA2">
        <w:rPr>
          <w:rFonts w:ascii="Times New Roman" w:hAnsi="Times New Roman" w:cs="Times New Roman"/>
          <w:bCs/>
          <w:color w:val="000000" w:themeColor="text1"/>
          <w:sz w:val="24"/>
          <w:szCs w:val="24"/>
        </w:rPr>
        <w:t>.</w:t>
      </w:r>
    </w:p>
    <w:p w14:paraId="2B697A87" w14:textId="2ADEFDC8" w:rsidR="00AA37E3" w:rsidRPr="00724CA2" w:rsidRDefault="00AA37E3"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Matallín-Salez, J. C., Soler-Domínguez, A., Tortosa-Ausina, E., </w:t>
      </w:r>
      <w:r w:rsidR="003D5B47" w:rsidRPr="00724CA2">
        <w:rPr>
          <w:rFonts w:ascii="Times New Roman" w:hAnsi="Times New Roman" w:cs="Times New Roman"/>
          <w:bCs/>
          <w:color w:val="000000" w:themeColor="text1"/>
          <w:sz w:val="24"/>
          <w:szCs w:val="24"/>
        </w:rPr>
        <w:t xml:space="preserve">&amp; </w:t>
      </w:r>
      <w:r w:rsidRPr="00724CA2">
        <w:rPr>
          <w:rFonts w:ascii="Times New Roman" w:hAnsi="Times New Roman" w:cs="Times New Roman"/>
          <w:bCs/>
          <w:color w:val="000000" w:themeColor="text1"/>
          <w:sz w:val="24"/>
          <w:szCs w:val="24"/>
        </w:rPr>
        <w:t>de Mingo-Lopez, D. V. (2019)</w:t>
      </w:r>
      <w:r w:rsidR="003D5B47"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xml:space="preserve"> Ethical strategy focus and mutual fund management: Performance and persistence, </w:t>
      </w:r>
      <w:r w:rsidRPr="00724CA2">
        <w:rPr>
          <w:rFonts w:ascii="Times New Roman" w:hAnsi="Times New Roman" w:cs="Times New Roman"/>
          <w:bCs/>
          <w:i/>
          <w:iCs/>
          <w:color w:val="000000" w:themeColor="text1"/>
          <w:sz w:val="24"/>
          <w:szCs w:val="24"/>
        </w:rPr>
        <w:t>Journal of Cleaner Production</w:t>
      </w:r>
      <w:r w:rsidR="00FF1830"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213</w:t>
      </w:r>
      <w:r w:rsidR="00FF1830"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xml:space="preserve"> 618</w:t>
      </w:r>
      <w:r w:rsidR="00FF1830"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633</w:t>
      </w:r>
    </w:p>
    <w:p w14:paraId="26193E30" w14:textId="0BE3E5F0" w:rsidR="0053037E" w:rsidRPr="00724CA2" w:rsidRDefault="0053037E" w:rsidP="008B1E39">
      <w:pPr>
        <w:autoSpaceDE w:val="0"/>
        <w:autoSpaceDN w:val="0"/>
        <w:adjustRightInd w:val="0"/>
        <w:spacing w:after="120" w:line="348" w:lineRule="auto"/>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McCahery, J. A., Pudsched., P. C. and Steind., M (2022).  Institutional </w:t>
      </w:r>
      <w:r w:rsidR="00C62CBF" w:rsidRPr="00724CA2">
        <w:rPr>
          <w:rFonts w:ascii="Times New Roman" w:hAnsi="Times New Roman" w:cs="Times New Roman"/>
          <w:color w:val="000000" w:themeColor="text1"/>
          <w:sz w:val="24"/>
          <w:szCs w:val="24"/>
        </w:rPr>
        <w:t xml:space="preserve">investors, alternative asset managers, and </w:t>
      </w:r>
      <w:r w:rsidR="00C62CBF">
        <w:rPr>
          <w:rFonts w:ascii="Times New Roman" w:hAnsi="Times New Roman" w:cs="Times New Roman" w:hint="eastAsia"/>
          <w:color w:val="000000" w:themeColor="text1"/>
          <w:sz w:val="24"/>
          <w:szCs w:val="24"/>
          <w:lang w:eastAsia="zh-CN"/>
        </w:rPr>
        <w:t>ESG</w:t>
      </w:r>
      <w:r w:rsidR="00C62CBF" w:rsidRPr="00724CA2">
        <w:rPr>
          <w:rFonts w:ascii="Times New Roman" w:hAnsi="Times New Roman" w:cs="Times New Roman"/>
          <w:color w:val="000000" w:themeColor="text1"/>
          <w:sz w:val="24"/>
          <w:szCs w:val="24"/>
        </w:rPr>
        <w:t xml:space="preserve"> preferences</w:t>
      </w:r>
      <w:r w:rsidRPr="00724CA2">
        <w:rPr>
          <w:rFonts w:ascii="Times New Roman" w:hAnsi="Times New Roman" w:cs="Times New Roman"/>
          <w:color w:val="000000" w:themeColor="text1"/>
          <w:sz w:val="24"/>
          <w:szCs w:val="24"/>
        </w:rPr>
        <w:t xml:space="preserve">, </w:t>
      </w:r>
      <w:r w:rsidRPr="00724CA2">
        <w:rPr>
          <w:rFonts w:ascii="Times New Roman" w:hAnsi="Times New Roman" w:cs="Times New Roman"/>
          <w:i/>
          <w:iCs/>
          <w:color w:val="000000" w:themeColor="text1"/>
          <w:sz w:val="24"/>
          <w:szCs w:val="24"/>
        </w:rPr>
        <w:t>European Business Organization Law Review</w:t>
      </w:r>
      <w:r w:rsidRPr="002A7101">
        <w:rPr>
          <w:rFonts w:ascii="Times New Roman" w:hAnsi="Times New Roman" w:cs="Times New Roman"/>
          <w:i/>
          <w:iCs/>
          <w:color w:val="000000" w:themeColor="text1"/>
          <w:sz w:val="24"/>
          <w:szCs w:val="24"/>
        </w:rPr>
        <w:t>, 23,</w:t>
      </w:r>
      <w:r w:rsidRPr="00724CA2">
        <w:rPr>
          <w:rFonts w:ascii="Times New Roman" w:hAnsi="Times New Roman" w:cs="Times New Roman"/>
          <w:color w:val="000000" w:themeColor="text1"/>
          <w:sz w:val="24"/>
          <w:szCs w:val="24"/>
        </w:rPr>
        <w:t xml:space="preserve"> 821–868.</w:t>
      </w:r>
    </w:p>
    <w:p w14:paraId="2FAC25F5" w14:textId="6E87893E" w:rsidR="006F35C6" w:rsidRPr="00724CA2" w:rsidRDefault="006F35C6"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McGuniness, P</w:t>
      </w:r>
      <w:r w:rsidR="00B4427E"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color w:val="000000" w:themeColor="text1"/>
          <w:sz w:val="24"/>
          <w:szCs w:val="24"/>
        </w:rPr>
        <w:t>B</w:t>
      </w:r>
      <w:r w:rsidR="00B4427E"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Vieito, J</w:t>
      </w:r>
      <w:r w:rsidR="00B4427E"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color w:val="000000" w:themeColor="text1"/>
          <w:sz w:val="24"/>
          <w:szCs w:val="24"/>
        </w:rPr>
        <w:t>P</w:t>
      </w:r>
      <w:r w:rsidR="00B4427E"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xml:space="preserve"> </w:t>
      </w:r>
      <w:r w:rsidR="0039373A" w:rsidRPr="00724CA2">
        <w:rPr>
          <w:rFonts w:ascii="Times New Roman" w:hAnsi="Times New Roman" w:cs="Times New Roman"/>
          <w:bCs/>
          <w:color w:val="000000" w:themeColor="text1"/>
          <w:sz w:val="24"/>
          <w:szCs w:val="24"/>
        </w:rPr>
        <w:t xml:space="preserve">&amp; </w:t>
      </w:r>
      <w:r w:rsidRPr="00724CA2">
        <w:rPr>
          <w:rFonts w:ascii="Times New Roman" w:hAnsi="Times New Roman" w:cs="Times New Roman"/>
          <w:bCs/>
          <w:color w:val="000000" w:themeColor="text1"/>
          <w:sz w:val="24"/>
          <w:szCs w:val="24"/>
        </w:rPr>
        <w:t xml:space="preserve">Wang, M. (2017). The role of board gender and foreign ownership in the performance of Chinese listed firms, </w:t>
      </w:r>
      <w:r w:rsidRPr="00724CA2">
        <w:rPr>
          <w:rFonts w:ascii="Times New Roman" w:hAnsi="Times New Roman" w:cs="Times New Roman"/>
          <w:bCs/>
          <w:i/>
          <w:iCs/>
          <w:color w:val="000000" w:themeColor="text1"/>
          <w:sz w:val="24"/>
          <w:szCs w:val="24"/>
        </w:rPr>
        <w:t>Journal of Corporate Finance</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42</w:t>
      </w:r>
      <w:r w:rsidRPr="00724CA2">
        <w:rPr>
          <w:rFonts w:ascii="Times New Roman" w:hAnsi="Times New Roman" w:cs="Times New Roman"/>
          <w:bCs/>
          <w:color w:val="000000" w:themeColor="text1"/>
          <w:sz w:val="24"/>
          <w:szCs w:val="24"/>
        </w:rPr>
        <w:t xml:space="preserve">, 75-99. </w:t>
      </w:r>
    </w:p>
    <w:p w14:paraId="2E145324" w14:textId="77777777" w:rsidR="003778EF" w:rsidRPr="00724CA2" w:rsidRDefault="003778EF" w:rsidP="008B1E39">
      <w:pPr>
        <w:shd w:val="clear" w:color="auto" w:fill="FFFFFF"/>
        <w:spacing w:after="120" w:line="348" w:lineRule="auto"/>
        <w:jc w:val="both"/>
        <w:rPr>
          <w:rFonts w:ascii="Times New Roman" w:eastAsia="Times New Roman" w:hAnsi="Times New Roman" w:cs="Times New Roman"/>
          <w:bCs/>
          <w:color w:val="000000" w:themeColor="text1"/>
          <w:sz w:val="24"/>
          <w:szCs w:val="24"/>
          <w:lang w:eastAsia="en-GB"/>
        </w:rPr>
      </w:pP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Meng, J., &amp; Zhang, Z. (2022). Corporate environmental information disclosure and investor response: Evidence from China's capital market. </w:t>
      </w:r>
      <w:r w:rsidRPr="00724CA2">
        <w:rPr>
          <w:rFonts w:ascii="Times New Roman" w:eastAsia="Times New Roman" w:hAnsi="Times New Roman" w:cs="Times New Roman"/>
          <w:bCs/>
          <w:i/>
          <w:iCs/>
          <w:color w:val="000000" w:themeColor="text1"/>
          <w:sz w:val="24"/>
          <w:szCs w:val="24"/>
          <w:bdr w:val="none" w:sz="0" w:space="0" w:color="auto" w:frame="1"/>
          <w:shd w:val="clear" w:color="auto" w:fill="FFFFFF"/>
          <w:lang w:val="en-US" w:eastAsia="en-GB"/>
        </w:rPr>
        <w:t>Energy Economics</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w:t>
      </w:r>
      <w:r w:rsidRPr="00724CA2">
        <w:rPr>
          <w:rFonts w:ascii="Times New Roman" w:eastAsia="Times New Roman" w:hAnsi="Times New Roman" w:cs="Times New Roman"/>
          <w:bCs/>
          <w:i/>
          <w:iCs/>
          <w:color w:val="000000" w:themeColor="text1"/>
          <w:sz w:val="24"/>
          <w:szCs w:val="24"/>
          <w:bdr w:val="none" w:sz="0" w:space="0" w:color="auto" w:frame="1"/>
          <w:shd w:val="clear" w:color="auto" w:fill="FFFFFF"/>
          <w:lang w:val="en-US" w:eastAsia="en-GB"/>
        </w:rPr>
        <w:t>108</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105886. </w:t>
      </w:r>
      <w:r w:rsidRPr="00724CA2">
        <w:rPr>
          <w:rFonts w:ascii="Times New Roman" w:eastAsia="Times New Roman" w:hAnsi="Times New Roman" w:cs="Times New Roman"/>
          <w:bCs/>
          <w:color w:val="000000" w:themeColor="text1"/>
          <w:sz w:val="24"/>
          <w:szCs w:val="24"/>
          <w:lang w:eastAsia="en-GB"/>
        </w:rPr>
        <w:t> </w:t>
      </w:r>
    </w:p>
    <w:p w14:paraId="7D7F7F6A" w14:textId="70346B40" w:rsidR="006229E1" w:rsidRPr="00724CA2" w:rsidRDefault="006229E1" w:rsidP="008B1E39">
      <w:pPr>
        <w:pStyle w:val="NormalWeb"/>
        <w:spacing w:before="0" w:beforeAutospacing="0" w:after="120" w:afterAutospacing="0" w:line="348" w:lineRule="auto"/>
        <w:jc w:val="both"/>
        <w:rPr>
          <w:bCs/>
          <w:color w:val="000000" w:themeColor="text1"/>
        </w:rPr>
      </w:pPr>
      <w:r w:rsidRPr="00724CA2">
        <w:rPr>
          <w:bCs/>
          <w:color w:val="000000" w:themeColor="text1"/>
        </w:rPr>
        <w:t xml:space="preserve">Morone, P. </w:t>
      </w:r>
      <w:r w:rsidR="001E0BE1" w:rsidRPr="00724CA2">
        <w:rPr>
          <w:bCs/>
          <w:color w:val="000000" w:themeColor="text1"/>
        </w:rPr>
        <w:t>(</w:t>
      </w:r>
      <w:r w:rsidRPr="00724CA2">
        <w:rPr>
          <w:bCs/>
          <w:color w:val="000000" w:themeColor="text1"/>
        </w:rPr>
        <w:t>2018</w:t>
      </w:r>
      <w:r w:rsidR="001E0BE1" w:rsidRPr="00724CA2">
        <w:rPr>
          <w:bCs/>
          <w:color w:val="000000" w:themeColor="text1"/>
        </w:rPr>
        <w:t>)</w:t>
      </w:r>
      <w:r w:rsidRPr="00724CA2">
        <w:rPr>
          <w:bCs/>
          <w:color w:val="000000" w:themeColor="text1"/>
        </w:rPr>
        <w:t xml:space="preserve">. Sustainability </w:t>
      </w:r>
      <w:r w:rsidR="00C62CBF" w:rsidRPr="00724CA2">
        <w:rPr>
          <w:bCs/>
          <w:color w:val="000000" w:themeColor="text1"/>
        </w:rPr>
        <w:t>transition towards a biobased economy: defining, measuring and assessing</w:t>
      </w:r>
      <w:r w:rsidR="00173517" w:rsidRPr="00724CA2">
        <w:rPr>
          <w:bCs/>
          <w:color w:val="000000" w:themeColor="text1"/>
        </w:rPr>
        <w:t>.</w:t>
      </w:r>
      <w:r w:rsidRPr="00724CA2">
        <w:rPr>
          <w:bCs/>
          <w:color w:val="000000" w:themeColor="text1"/>
        </w:rPr>
        <w:t xml:space="preserve"> </w:t>
      </w:r>
      <w:r w:rsidRPr="00724CA2">
        <w:rPr>
          <w:rStyle w:val="Emphasis"/>
          <w:bCs/>
          <w:color w:val="000000" w:themeColor="text1"/>
        </w:rPr>
        <w:t>Sustainability</w:t>
      </w:r>
      <w:r w:rsidRPr="00724CA2">
        <w:rPr>
          <w:bCs/>
          <w:color w:val="000000" w:themeColor="text1"/>
        </w:rPr>
        <w:t xml:space="preserve"> </w:t>
      </w:r>
      <w:r w:rsidRPr="00724CA2">
        <w:rPr>
          <w:bCs/>
          <w:i/>
          <w:iCs/>
          <w:color w:val="000000" w:themeColor="text1"/>
        </w:rPr>
        <w:t>10</w:t>
      </w:r>
      <w:r w:rsidR="001E0BE1" w:rsidRPr="00724CA2">
        <w:rPr>
          <w:bCs/>
          <w:color w:val="000000" w:themeColor="text1"/>
        </w:rPr>
        <w:t>(</w:t>
      </w:r>
      <w:r w:rsidRPr="00724CA2">
        <w:rPr>
          <w:bCs/>
          <w:color w:val="000000" w:themeColor="text1"/>
        </w:rPr>
        <w:t>8</w:t>
      </w:r>
      <w:r w:rsidR="001E0BE1" w:rsidRPr="00724CA2">
        <w:rPr>
          <w:bCs/>
          <w:color w:val="000000" w:themeColor="text1"/>
        </w:rPr>
        <w:t>)</w:t>
      </w:r>
      <w:r w:rsidR="00471603" w:rsidRPr="00724CA2">
        <w:rPr>
          <w:bCs/>
          <w:color w:val="000000" w:themeColor="text1"/>
        </w:rPr>
        <w:t>,</w:t>
      </w:r>
      <w:r w:rsidRPr="00724CA2">
        <w:rPr>
          <w:bCs/>
          <w:color w:val="000000" w:themeColor="text1"/>
        </w:rPr>
        <w:t xml:space="preserve"> 2631</w:t>
      </w:r>
      <w:r w:rsidR="00B326F3" w:rsidRPr="00724CA2">
        <w:rPr>
          <w:bCs/>
          <w:color w:val="000000" w:themeColor="text1"/>
        </w:rPr>
        <w:t>-2637</w:t>
      </w:r>
      <w:r w:rsidRPr="00724CA2">
        <w:rPr>
          <w:bCs/>
          <w:color w:val="000000" w:themeColor="text1"/>
        </w:rPr>
        <w:t xml:space="preserve">. </w:t>
      </w:r>
    </w:p>
    <w:p w14:paraId="3EE35A48" w14:textId="60A8FA38" w:rsidR="00044F24" w:rsidRPr="00724CA2" w:rsidRDefault="00044F24"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Nofsinger, J. R., Sulaeman, J. </w:t>
      </w:r>
      <w:r w:rsidR="0039373A" w:rsidRPr="00724CA2">
        <w:rPr>
          <w:rFonts w:ascii="Times New Roman" w:hAnsi="Times New Roman" w:cs="Times New Roman"/>
          <w:bCs/>
          <w:color w:val="000000" w:themeColor="text1"/>
          <w:sz w:val="24"/>
          <w:szCs w:val="24"/>
        </w:rPr>
        <w:t xml:space="preserve">&amp; </w:t>
      </w:r>
      <w:r w:rsidRPr="00724CA2">
        <w:rPr>
          <w:rFonts w:ascii="Times New Roman" w:hAnsi="Times New Roman" w:cs="Times New Roman"/>
          <w:bCs/>
          <w:color w:val="000000" w:themeColor="text1"/>
          <w:sz w:val="24"/>
          <w:szCs w:val="24"/>
        </w:rPr>
        <w:t xml:space="preserve">Varma, A. (2019). Institutional investors and corporate social responsibility, </w:t>
      </w:r>
      <w:r w:rsidRPr="00724CA2">
        <w:rPr>
          <w:rFonts w:ascii="Times New Roman" w:hAnsi="Times New Roman" w:cs="Times New Roman"/>
          <w:bCs/>
          <w:i/>
          <w:iCs/>
          <w:color w:val="000000" w:themeColor="text1"/>
          <w:sz w:val="24"/>
          <w:szCs w:val="24"/>
        </w:rPr>
        <w:t>Journal of Corporate Finance</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58</w:t>
      </w:r>
      <w:r w:rsidRPr="00724CA2">
        <w:rPr>
          <w:rFonts w:ascii="Times New Roman" w:hAnsi="Times New Roman" w:cs="Times New Roman"/>
          <w:bCs/>
          <w:color w:val="000000" w:themeColor="text1"/>
          <w:sz w:val="24"/>
          <w:szCs w:val="24"/>
        </w:rPr>
        <w:t xml:space="preserve">, 700-725. </w:t>
      </w:r>
    </w:p>
    <w:p w14:paraId="1C84E733" w14:textId="0B2BD9F8" w:rsidR="001C224F" w:rsidRPr="00724CA2" w:rsidRDefault="001C224F"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Style w:val="HTMLCite"/>
          <w:rFonts w:ascii="Times New Roman" w:hAnsi="Times New Roman" w:cs="Times New Roman"/>
          <w:bCs/>
          <w:i w:val="0"/>
          <w:iCs w:val="0"/>
          <w:color w:val="000000" w:themeColor="text1"/>
          <w:sz w:val="24"/>
          <w:szCs w:val="24"/>
        </w:rPr>
        <w:t>Nordhaus, W. (</w:t>
      </w:r>
      <w:r w:rsidRPr="00724CA2">
        <w:rPr>
          <w:rStyle w:val="year"/>
          <w:rFonts w:ascii="Times New Roman" w:hAnsi="Times New Roman" w:cs="Times New Roman"/>
          <w:bCs/>
          <w:color w:val="000000" w:themeColor="text1"/>
          <w:sz w:val="24"/>
          <w:szCs w:val="24"/>
        </w:rPr>
        <w:t>2019).</w:t>
      </w:r>
      <w:r w:rsidRPr="00724CA2">
        <w:rPr>
          <w:rStyle w:val="HTMLCite"/>
          <w:rFonts w:ascii="Times New Roman" w:hAnsi="Times New Roman" w:cs="Times New Roman"/>
          <w:bCs/>
          <w:i w:val="0"/>
          <w:iCs w:val="0"/>
          <w:color w:val="000000" w:themeColor="text1"/>
          <w:sz w:val="24"/>
          <w:szCs w:val="24"/>
        </w:rPr>
        <w:t xml:space="preserve"> </w:t>
      </w:r>
      <w:r w:rsidRPr="00724CA2">
        <w:rPr>
          <w:rStyle w:val="Title1"/>
          <w:rFonts w:ascii="Times New Roman" w:hAnsi="Times New Roman" w:cs="Times New Roman"/>
          <w:bCs/>
          <w:color w:val="000000" w:themeColor="text1"/>
          <w:sz w:val="24"/>
          <w:szCs w:val="24"/>
        </w:rPr>
        <w:t xml:space="preserve">Climate </w:t>
      </w:r>
      <w:r w:rsidR="00C62CBF" w:rsidRPr="00724CA2">
        <w:rPr>
          <w:rStyle w:val="Title1"/>
          <w:rFonts w:ascii="Times New Roman" w:hAnsi="Times New Roman" w:cs="Times New Roman"/>
          <w:bCs/>
          <w:color w:val="000000" w:themeColor="text1"/>
          <w:sz w:val="24"/>
          <w:szCs w:val="24"/>
        </w:rPr>
        <w:t>change: the ultimate challenge for economics</w:t>
      </w:r>
      <w:r w:rsidRPr="00724CA2">
        <w:rPr>
          <w:rStyle w:val="Title1"/>
          <w:rFonts w:ascii="Times New Roman" w:hAnsi="Times New Roman" w:cs="Times New Roman"/>
          <w:bCs/>
          <w:i/>
          <w:color w:val="000000" w:themeColor="text1"/>
          <w:sz w:val="24"/>
          <w:szCs w:val="24"/>
        </w:rPr>
        <w:t>.</w:t>
      </w:r>
      <w:r w:rsidRPr="00724CA2">
        <w:rPr>
          <w:rStyle w:val="HTMLCite"/>
          <w:rFonts w:ascii="Times New Roman" w:hAnsi="Times New Roman" w:cs="Times New Roman"/>
          <w:bCs/>
          <w:color w:val="000000" w:themeColor="text1"/>
          <w:sz w:val="24"/>
          <w:szCs w:val="24"/>
        </w:rPr>
        <w:t xml:space="preserve"> </w:t>
      </w:r>
      <w:r w:rsidRPr="00724CA2">
        <w:rPr>
          <w:rStyle w:val="journal"/>
          <w:rFonts w:ascii="Times New Roman" w:hAnsi="Times New Roman" w:cs="Times New Roman"/>
          <w:bCs/>
          <w:i/>
          <w:iCs/>
          <w:color w:val="000000" w:themeColor="text1"/>
          <w:sz w:val="24"/>
          <w:szCs w:val="24"/>
        </w:rPr>
        <w:t>American Economic Review</w:t>
      </w:r>
      <w:r w:rsidRPr="00724CA2">
        <w:rPr>
          <w:rStyle w:val="HTMLCite"/>
          <w:rFonts w:ascii="Times New Roman" w:hAnsi="Times New Roman" w:cs="Times New Roman"/>
          <w:bCs/>
          <w:color w:val="000000" w:themeColor="text1"/>
          <w:sz w:val="24"/>
          <w:szCs w:val="24"/>
        </w:rPr>
        <w:t xml:space="preserve">, </w:t>
      </w:r>
      <w:r w:rsidRPr="00724CA2">
        <w:rPr>
          <w:rStyle w:val="vol"/>
          <w:rFonts w:ascii="Times New Roman" w:hAnsi="Times New Roman" w:cs="Times New Roman"/>
          <w:bCs/>
          <w:i/>
          <w:iCs/>
          <w:color w:val="000000" w:themeColor="text1"/>
          <w:sz w:val="24"/>
          <w:szCs w:val="24"/>
        </w:rPr>
        <w:t>109</w:t>
      </w:r>
      <w:r w:rsidRPr="00724CA2">
        <w:rPr>
          <w:rStyle w:val="vol"/>
          <w:rFonts w:ascii="Times New Roman" w:hAnsi="Times New Roman" w:cs="Times New Roman"/>
          <w:bCs/>
          <w:color w:val="000000" w:themeColor="text1"/>
          <w:sz w:val="24"/>
          <w:szCs w:val="24"/>
        </w:rPr>
        <w:t>(6), 1991-2014</w:t>
      </w:r>
      <w:r w:rsidRPr="00724CA2">
        <w:rPr>
          <w:rStyle w:val="pages"/>
          <w:rFonts w:ascii="Times New Roman" w:hAnsi="Times New Roman" w:cs="Times New Roman"/>
          <w:bCs/>
          <w:color w:val="000000" w:themeColor="text1"/>
          <w:sz w:val="24"/>
          <w:szCs w:val="24"/>
        </w:rPr>
        <w:t>.</w:t>
      </w:r>
    </w:p>
    <w:p w14:paraId="604B619F" w14:textId="3B2B1732" w:rsidR="00546DCC" w:rsidRPr="00724CA2" w:rsidRDefault="00546DCC" w:rsidP="008B1E39">
      <w:pPr>
        <w:autoSpaceDE w:val="0"/>
        <w:autoSpaceDN w:val="0"/>
        <w:adjustRightInd w:val="0"/>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shd w:val="clear" w:color="auto" w:fill="FFFFFF"/>
        </w:rPr>
        <w:t>Oikonomou, I., Yin, C. &amp; Zhao, L. (2020). Investment horizon and corporate social performance: the virtuous circle of long-term institutional ownership and responsible firm conduct. </w:t>
      </w:r>
      <w:r w:rsidRPr="00724CA2">
        <w:rPr>
          <w:rFonts w:ascii="Times New Roman" w:hAnsi="Times New Roman" w:cs="Times New Roman"/>
          <w:bCs/>
          <w:i/>
          <w:iCs/>
          <w:color w:val="000000" w:themeColor="text1"/>
          <w:sz w:val="24"/>
          <w:szCs w:val="24"/>
          <w:shd w:val="clear" w:color="auto" w:fill="FFFFFF"/>
        </w:rPr>
        <w:t>The European Journal of Finance</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26</w:t>
      </w:r>
      <w:r w:rsidRPr="00724CA2">
        <w:rPr>
          <w:rFonts w:ascii="Times New Roman" w:hAnsi="Times New Roman" w:cs="Times New Roman"/>
          <w:bCs/>
          <w:color w:val="000000" w:themeColor="text1"/>
          <w:sz w:val="24"/>
          <w:szCs w:val="24"/>
          <w:shd w:val="clear" w:color="auto" w:fill="FFFFFF"/>
        </w:rPr>
        <w:t>(1), 14-40.</w:t>
      </w:r>
    </w:p>
    <w:p w14:paraId="166FD18E" w14:textId="4803814B" w:rsidR="009660B4" w:rsidRPr="00724CA2" w:rsidRDefault="009660B4" w:rsidP="008B1E39">
      <w:pPr>
        <w:autoSpaceDE w:val="0"/>
        <w:autoSpaceDN w:val="0"/>
        <w:adjustRightInd w:val="0"/>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Petersen, M.</w:t>
      </w:r>
      <w:r w:rsidR="007C358A"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color w:val="000000" w:themeColor="text1"/>
          <w:sz w:val="24"/>
          <w:szCs w:val="24"/>
        </w:rPr>
        <w:t>A. (2009). Estimating standard errors in finance panel data sets: Comparing approaches. </w:t>
      </w:r>
      <w:r w:rsidRPr="00724CA2">
        <w:rPr>
          <w:rFonts w:ascii="Times New Roman" w:hAnsi="Times New Roman" w:cs="Times New Roman"/>
          <w:bCs/>
          <w:i/>
          <w:iCs/>
          <w:color w:val="000000" w:themeColor="text1"/>
          <w:sz w:val="24"/>
          <w:szCs w:val="24"/>
        </w:rPr>
        <w:t xml:space="preserve">The Review of </w:t>
      </w:r>
      <w:r w:rsidR="00444F8F" w:rsidRPr="00724CA2">
        <w:rPr>
          <w:rFonts w:ascii="Times New Roman" w:hAnsi="Times New Roman" w:cs="Times New Roman"/>
          <w:bCs/>
          <w:i/>
          <w:iCs/>
          <w:color w:val="000000" w:themeColor="text1"/>
          <w:sz w:val="24"/>
          <w:szCs w:val="24"/>
        </w:rPr>
        <w:t>F</w:t>
      </w:r>
      <w:r w:rsidRPr="00724CA2">
        <w:rPr>
          <w:rFonts w:ascii="Times New Roman" w:hAnsi="Times New Roman" w:cs="Times New Roman"/>
          <w:bCs/>
          <w:i/>
          <w:iCs/>
          <w:color w:val="000000" w:themeColor="text1"/>
          <w:sz w:val="24"/>
          <w:szCs w:val="24"/>
        </w:rPr>
        <w:t xml:space="preserve">inancial </w:t>
      </w:r>
      <w:r w:rsidR="00444F8F" w:rsidRPr="00724CA2">
        <w:rPr>
          <w:rFonts w:ascii="Times New Roman" w:hAnsi="Times New Roman" w:cs="Times New Roman"/>
          <w:bCs/>
          <w:i/>
          <w:iCs/>
          <w:color w:val="000000" w:themeColor="text1"/>
          <w:sz w:val="24"/>
          <w:szCs w:val="24"/>
        </w:rPr>
        <w:t>S</w:t>
      </w:r>
      <w:r w:rsidRPr="00724CA2">
        <w:rPr>
          <w:rFonts w:ascii="Times New Roman" w:hAnsi="Times New Roman" w:cs="Times New Roman"/>
          <w:bCs/>
          <w:i/>
          <w:iCs/>
          <w:color w:val="000000" w:themeColor="text1"/>
          <w:sz w:val="24"/>
          <w:szCs w:val="24"/>
        </w:rPr>
        <w:t>tudies</w:t>
      </w:r>
      <w:r w:rsidRPr="00724CA2">
        <w:rPr>
          <w:rFonts w:ascii="Times New Roman" w:hAnsi="Times New Roman" w:cs="Times New Roman"/>
          <w:bCs/>
          <w:color w:val="000000" w:themeColor="text1"/>
          <w:sz w:val="24"/>
          <w:szCs w:val="24"/>
        </w:rPr>
        <w:t>, </w:t>
      </w:r>
      <w:r w:rsidRPr="00724CA2">
        <w:rPr>
          <w:rFonts w:ascii="Times New Roman" w:hAnsi="Times New Roman" w:cs="Times New Roman"/>
          <w:bCs/>
          <w:i/>
          <w:iCs/>
          <w:color w:val="000000" w:themeColor="text1"/>
          <w:sz w:val="24"/>
          <w:szCs w:val="24"/>
        </w:rPr>
        <w:t>22</w:t>
      </w:r>
      <w:r w:rsidRPr="00724CA2">
        <w:rPr>
          <w:rFonts w:ascii="Times New Roman" w:hAnsi="Times New Roman" w:cs="Times New Roman"/>
          <w:bCs/>
          <w:color w:val="000000" w:themeColor="text1"/>
          <w:sz w:val="24"/>
          <w:szCs w:val="24"/>
        </w:rPr>
        <w:t>(1), 435-480.</w:t>
      </w:r>
    </w:p>
    <w:bookmarkEnd w:id="19"/>
    <w:p w14:paraId="36FC9DC8" w14:textId="270D6851" w:rsidR="006229E1" w:rsidRPr="00724CA2" w:rsidRDefault="006229E1" w:rsidP="008B1E39">
      <w:pPr>
        <w:autoSpaceDE w:val="0"/>
        <w:autoSpaceDN w:val="0"/>
        <w:adjustRightInd w:val="0"/>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Popescu., I.</w:t>
      </w:r>
      <w:r w:rsidR="007C358A"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color w:val="000000" w:themeColor="text1"/>
          <w:sz w:val="24"/>
          <w:szCs w:val="24"/>
        </w:rPr>
        <w:t xml:space="preserve">S., Hitaj, C. </w:t>
      </w:r>
      <w:r w:rsidR="00173517" w:rsidRPr="00724CA2">
        <w:rPr>
          <w:rFonts w:ascii="Times New Roman" w:hAnsi="Times New Roman" w:cs="Times New Roman"/>
          <w:bCs/>
          <w:color w:val="000000" w:themeColor="text1"/>
          <w:sz w:val="24"/>
          <w:szCs w:val="24"/>
        </w:rPr>
        <w:t>&amp;</w:t>
      </w:r>
      <w:r w:rsidRPr="00724CA2">
        <w:rPr>
          <w:rFonts w:ascii="Times New Roman" w:hAnsi="Times New Roman" w:cs="Times New Roman"/>
          <w:bCs/>
          <w:color w:val="000000" w:themeColor="text1"/>
          <w:sz w:val="24"/>
          <w:szCs w:val="24"/>
        </w:rPr>
        <w:t xml:space="preserve"> Benetto. E. (2021)</w:t>
      </w:r>
      <w:r w:rsidR="007920CA"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xml:space="preserve"> Measuring the sustainability of investment funds: A critical review of methods and frameworks in sustainable finance</w:t>
      </w:r>
      <w:r w:rsidR="007920CA"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Journal of Cleaner Production</w:t>
      </w:r>
      <w:r w:rsidR="007920CA"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314</w:t>
      </w:r>
      <w:r w:rsidR="007920CA"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xml:space="preserve"> 128016</w:t>
      </w:r>
    </w:p>
    <w:p w14:paraId="1849306F" w14:textId="2FD90E1A" w:rsidR="00BF69C3" w:rsidRPr="00724CA2" w:rsidRDefault="00BF69C3"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Pucheta</w:t>
      </w:r>
      <w:r w:rsidR="00471603" w:rsidRPr="00724CA2">
        <w:rPr>
          <w:rFonts w:ascii="Times New Roman" w:eastAsia="SimSun" w:hAnsi="Times New Roman" w:cs="Times New Roman"/>
          <w:bCs/>
          <w:color w:val="000000" w:themeColor="text1"/>
          <w:sz w:val="24"/>
          <w:szCs w:val="24"/>
          <w:shd w:val="clear" w:color="auto" w:fill="FFFFFF"/>
        </w:rPr>
        <w:t>-</w:t>
      </w:r>
      <w:r w:rsidRPr="00724CA2">
        <w:rPr>
          <w:rFonts w:ascii="Times New Roman" w:hAnsi="Times New Roman" w:cs="Times New Roman"/>
          <w:bCs/>
          <w:color w:val="000000" w:themeColor="text1"/>
          <w:sz w:val="24"/>
          <w:szCs w:val="24"/>
          <w:shd w:val="clear" w:color="auto" w:fill="FFFFFF"/>
        </w:rPr>
        <w:t>Martínez, M.</w:t>
      </w:r>
      <w:r w:rsidR="007C358A" w:rsidRPr="00724CA2">
        <w:rPr>
          <w:rFonts w:ascii="Times New Roman" w:hAnsi="Times New Roman" w:cs="Times New Roman"/>
          <w:bCs/>
          <w:color w:val="000000" w:themeColor="text1"/>
          <w:sz w:val="24"/>
          <w:szCs w:val="24"/>
          <w:shd w:val="clear" w:color="auto" w:fill="FFFFFF"/>
        </w:rPr>
        <w:t xml:space="preserve"> </w:t>
      </w:r>
      <w:r w:rsidRPr="00724CA2">
        <w:rPr>
          <w:rFonts w:ascii="Times New Roman" w:hAnsi="Times New Roman" w:cs="Times New Roman"/>
          <w:bCs/>
          <w:color w:val="000000" w:themeColor="text1"/>
          <w:sz w:val="24"/>
          <w:szCs w:val="24"/>
          <w:shd w:val="clear" w:color="auto" w:fill="FFFFFF"/>
        </w:rPr>
        <w:t>C., Bel</w:t>
      </w:r>
      <w:r w:rsidR="00471603" w:rsidRPr="00724CA2">
        <w:rPr>
          <w:rFonts w:ascii="Times New Roman" w:eastAsia="SimSun" w:hAnsi="Times New Roman" w:cs="Times New Roman"/>
          <w:bCs/>
          <w:color w:val="000000" w:themeColor="text1"/>
          <w:sz w:val="24"/>
          <w:szCs w:val="24"/>
          <w:shd w:val="clear" w:color="auto" w:fill="FFFFFF"/>
        </w:rPr>
        <w:t>-</w:t>
      </w:r>
      <w:r w:rsidRPr="00724CA2">
        <w:rPr>
          <w:rFonts w:ascii="Times New Roman" w:hAnsi="Times New Roman" w:cs="Times New Roman"/>
          <w:bCs/>
          <w:color w:val="000000" w:themeColor="text1"/>
          <w:sz w:val="24"/>
          <w:szCs w:val="24"/>
          <w:shd w:val="clear" w:color="auto" w:fill="FFFFFF"/>
        </w:rPr>
        <w:t>Oms, I. &amp; Rodrigues, L. L. (2019). The engagement of auditors in the reporting of corporate social responsibility information. </w:t>
      </w:r>
      <w:r w:rsidRPr="00724CA2">
        <w:rPr>
          <w:rFonts w:ascii="Times New Roman" w:hAnsi="Times New Roman" w:cs="Times New Roman"/>
          <w:bCs/>
          <w:i/>
          <w:iCs/>
          <w:color w:val="000000" w:themeColor="text1"/>
          <w:sz w:val="24"/>
          <w:szCs w:val="24"/>
          <w:shd w:val="clear" w:color="auto" w:fill="FFFFFF"/>
        </w:rPr>
        <w:t>Corporate Social Responsibility and Environmental Management</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26</w:t>
      </w:r>
      <w:r w:rsidRPr="00724CA2">
        <w:rPr>
          <w:rFonts w:ascii="Times New Roman" w:hAnsi="Times New Roman" w:cs="Times New Roman"/>
          <w:bCs/>
          <w:color w:val="000000" w:themeColor="text1"/>
          <w:sz w:val="24"/>
          <w:szCs w:val="24"/>
          <w:shd w:val="clear" w:color="auto" w:fill="FFFFFF"/>
        </w:rPr>
        <w:t>(1), 46-56.</w:t>
      </w:r>
    </w:p>
    <w:p w14:paraId="202AA1A7" w14:textId="0770E3D0" w:rsidR="00592B3D" w:rsidRPr="00724CA2" w:rsidRDefault="00592B3D" w:rsidP="008B1E39">
      <w:pPr>
        <w:autoSpaceDE w:val="0"/>
        <w:autoSpaceDN w:val="0"/>
        <w:adjustRightInd w:val="0"/>
        <w:spacing w:after="120" w:line="348" w:lineRule="auto"/>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Przychodzen., J, Gómez-Bezares F., Przychodzen., W. and Larreina., M. (2016).  ESG </w:t>
      </w:r>
      <w:r w:rsidR="00C62CBF" w:rsidRPr="00724CA2">
        <w:rPr>
          <w:rFonts w:ascii="Times New Roman" w:hAnsi="Times New Roman" w:cs="Times New Roman"/>
          <w:color w:val="000000" w:themeColor="text1"/>
          <w:sz w:val="24"/>
          <w:szCs w:val="24"/>
        </w:rPr>
        <w:t>issues among fund managers—factors and motives</w:t>
      </w:r>
      <w:r w:rsidRPr="00724CA2">
        <w:rPr>
          <w:rFonts w:ascii="Times New Roman" w:hAnsi="Times New Roman" w:cs="Times New Roman"/>
          <w:color w:val="000000" w:themeColor="text1"/>
          <w:sz w:val="24"/>
          <w:szCs w:val="24"/>
        </w:rPr>
        <w:t xml:space="preserve">, </w:t>
      </w:r>
      <w:r w:rsidRPr="00724CA2">
        <w:rPr>
          <w:rFonts w:ascii="Times New Roman" w:hAnsi="Times New Roman" w:cs="Times New Roman"/>
          <w:i/>
          <w:iCs/>
          <w:color w:val="000000" w:themeColor="text1"/>
          <w:sz w:val="24"/>
          <w:szCs w:val="24"/>
        </w:rPr>
        <w:t>Sustainability</w:t>
      </w:r>
      <w:r w:rsidRPr="002A7101">
        <w:rPr>
          <w:rFonts w:ascii="Times New Roman" w:hAnsi="Times New Roman" w:cs="Times New Roman"/>
          <w:i/>
          <w:iCs/>
          <w:color w:val="000000" w:themeColor="text1"/>
          <w:sz w:val="24"/>
          <w:szCs w:val="24"/>
        </w:rPr>
        <w:t>, 8,</w:t>
      </w:r>
      <w:r w:rsidRPr="00724CA2">
        <w:rPr>
          <w:rFonts w:ascii="Times New Roman" w:hAnsi="Times New Roman" w:cs="Times New Roman"/>
          <w:color w:val="000000" w:themeColor="text1"/>
          <w:sz w:val="24"/>
          <w:szCs w:val="24"/>
        </w:rPr>
        <w:t xml:space="preserve"> 1078. </w:t>
      </w:r>
    </w:p>
    <w:p w14:paraId="67BF4251" w14:textId="03A76128" w:rsidR="00F47167" w:rsidRPr="00724CA2" w:rsidRDefault="00F47167" w:rsidP="008B1E39">
      <w:pPr>
        <w:spacing w:after="120" w:line="348" w:lineRule="auto"/>
        <w:jc w:val="both"/>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t xml:space="preserve">Raghunandan, A. and Rajgopal. S. (2022). Do ESG funds make stakeholder-friendly investments? </w:t>
      </w:r>
      <w:r w:rsidRPr="00724CA2">
        <w:rPr>
          <w:rFonts w:ascii="Times New Roman" w:hAnsi="Times New Roman" w:cs="Times New Roman"/>
          <w:i/>
          <w:iCs/>
          <w:color w:val="000000" w:themeColor="text1"/>
          <w:sz w:val="24"/>
          <w:szCs w:val="24"/>
        </w:rPr>
        <w:t>Review of Accounting Studies</w:t>
      </w:r>
      <w:r w:rsidRPr="002A7101">
        <w:rPr>
          <w:rFonts w:ascii="Times New Roman" w:hAnsi="Times New Roman" w:cs="Times New Roman"/>
          <w:i/>
          <w:iCs/>
          <w:color w:val="000000" w:themeColor="text1"/>
          <w:sz w:val="24"/>
          <w:szCs w:val="24"/>
        </w:rPr>
        <w:t>, 27,</w:t>
      </w:r>
      <w:r w:rsidRPr="00724CA2">
        <w:rPr>
          <w:rFonts w:ascii="Times New Roman" w:hAnsi="Times New Roman" w:cs="Times New Roman"/>
          <w:color w:val="000000" w:themeColor="text1"/>
          <w:sz w:val="24"/>
          <w:szCs w:val="24"/>
        </w:rPr>
        <w:t xml:space="preserve"> 822–863</w:t>
      </w:r>
      <w:r w:rsidR="00F05F41" w:rsidRPr="00724CA2">
        <w:rPr>
          <w:rFonts w:ascii="Times New Roman" w:hAnsi="Times New Roman" w:cs="Times New Roman"/>
          <w:color w:val="000000" w:themeColor="text1"/>
          <w:sz w:val="24"/>
          <w:szCs w:val="24"/>
        </w:rPr>
        <w:t>.</w:t>
      </w:r>
    </w:p>
    <w:p w14:paraId="4AD3C44D" w14:textId="0A03C02E" w:rsidR="00BF69C3" w:rsidRPr="00724CA2" w:rsidRDefault="00891200" w:rsidP="008B1E39">
      <w:pPr>
        <w:spacing w:after="120" w:line="348" w:lineRule="auto"/>
        <w:jc w:val="both"/>
        <w:rPr>
          <w:rFonts w:ascii="Times New Roman" w:hAnsi="Times New Roman" w:cs="Times New Roman"/>
          <w:bCs/>
          <w:color w:val="000000" w:themeColor="text1"/>
          <w:sz w:val="24"/>
          <w:szCs w:val="24"/>
          <w:shd w:val="clear" w:color="auto" w:fill="FFFFFF"/>
        </w:rPr>
      </w:pPr>
      <w:r w:rsidRPr="00891200">
        <w:rPr>
          <w:rFonts w:ascii="Times New Roman" w:hAnsi="Times New Roman" w:cs="Times New Roman"/>
          <w:bCs/>
          <w:color w:val="000000" w:themeColor="text1"/>
          <w:sz w:val="24"/>
          <w:szCs w:val="24"/>
          <w:shd w:val="clear" w:color="auto" w:fill="FFFFFF"/>
        </w:rPr>
        <w:t>Ricart, J. E., Rodríguez, M. A., &amp; Sanchez, P. (2005). Sustainability in the boardroom: An empirical examination of Dow Jones Sustainability World Index leaders. </w:t>
      </w:r>
      <w:r w:rsidRPr="00891200">
        <w:rPr>
          <w:rFonts w:ascii="Times New Roman" w:hAnsi="Times New Roman" w:cs="Times New Roman"/>
          <w:bCs/>
          <w:i/>
          <w:iCs/>
          <w:color w:val="000000" w:themeColor="text1"/>
          <w:sz w:val="24"/>
          <w:szCs w:val="24"/>
          <w:shd w:val="clear" w:color="auto" w:fill="FFFFFF"/>
        </w:rPr>
        <w:t xml:space="preserve">Corporate Governance: The International Journal of Business </w:t>
      </w:r>
      <w:r>
        <w:rPr>
          <w:rFonts w:ascii="Times New Roman" w:hAnsi="Times New Roman" w:cs="Times New Roman" w:hint="eastAsia"/>
          <w:bCs/>
          <w:i/>
          <w:iCs/>
          <w:color w:val="000000" w:themeColor="text1"/>
          <w:sz w:val="24"/>
          <w:szCs w:val="24"/>
          <w:shd w:val="clear" w:color="auto" w:fill="FFFFFF"/>
          <w:lang w:eastAsia="zh-CN"/>
        </w:rPr>
        <w:t>i</w:t>
      </w:r>
      <w:r w:rsidRPr="00891200">
        <w:rPr>
          <w:rFonts w:ascii="Times New Roman" w:hAnsi="Times New Roman" w:cs="Times New Roman"/>
          <w:bCs/>
          <w:i/>
          <w:iCs/>
          <w:color w:val="000000" w:themeColor="text1"/>
          <w:sz w:val="24"/>
          <w:szCs w:val="24"/>
          <w:shd w:val="clear" w:color="auto" w:fill="FFFFFF"/>
        </w:rPr>
        <w:t>n Society</w:t>
      </w:r>
      <w:r w:rsidRPr="00891200">
        <w:rPr>
          <w:rFonts w:ascii="Times New Roman" w:hAnsi="Times New Roman" w:cs="Times New Roman"/>
          <w:bCs/>
          <w:color w:val="000000" w:themeColor="text1"/>
          <w:sz w:val="24"/>
          <w:szCs w:val="24"/>
          <w:shd w:val="clear" w:color="auto" w:fill="FFFFFF"/>
        </w:rPr>
        <w:t>, </w:t>
      </w:r>
      <w:r w:rsidRPr="00891200">
        <w:rPr>
          <w:rFonts w:ascii="Times New Roman" w:hAnsi="Times New Roman" w:cs="Times New Roman"/>
          <w:bCs/>
          <w:i/>
          <w:iCs/>
          <w:color w:val="000000" w:themeColor="text1"/>
          <w:sz w:val="24"/>
          <w:szCs w:val="24"/>
          <w:shd w:val="clear" w:color="auto" w:fill="FFFFFF"/>
        </w:rPr>
        <w:t>5</w:t>
      </w:r>
      <w:r w:rsidRPr="00891200">
        <w:rPr>
          <w:rFonts w:ascii="Times New Roman" w:hAnsi="Times New Roman" w:cs="Times New Roman"/>
          <w:bCs/>
          <w:color w:val="000000" w:themeColor="text1"/>
          <w:sz w:val="24"/>
          <w:szCs w:val="24"/>
          <w:shd w:val="clear" w:color="auto" w:fill="FFFFFF"/>
        </w:rPr>
        <w:t>(3), 24-41</w:t>
      </w:r>
      <w:r w:rsidR="00BF69C3" w:rsidRPr="00724CA2">
        <w:rPr>
          <w:rFonts w:ascii="Times New Roman" w:hAnsi="Times New Roman" w:cs="Times New Roman"/>
          <w:bCs/>
          <w:color w:val="000000" w:themeColor="text1"/>
          <w:sz w:val="24"/>
          <w:szCs w:val="24"/>
          <w:shd w:val="clear" w:color="auto" w:fill="FFFFFF"/>
        </w:rPr>
        <w:t>.</w:t>
      </w:r>
    </w:p>
    <w:p w14:paraId="51F12C8B" w14:textId="43DBCC9E" w:rsidR="00265CA4" w:rsidRPr="00724CA2" w:rsidRDefault="000820BE"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Rubin, A. (2008). Political views and corporate decision making: The case of corporate social responsibility. </w:t>
      </w:r>
      <w:r w:rsidRPr="00724CA2">
        <w:rPr>
          <w:rFonts w:ascii="Times New Roman" w:hAnsi="Times New Roman" w:cs="Times New Roman"/>
          <w:bCs/>
          <w:i/>
          <w:iCs/>
          <w:color w:val="000000" w:themeColor="text1"/>
          <w:sz w:val="24"/>
          <w:szCs w:val="24"/>
          <w:shd w:val="clear" w:color="auto" w:fill="FFFFFF"/>
        </w:rPr>
        <w:t>Financial Review</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43</w:t>
      </w:r>
      <w:r w:rsidRPr="00724CA2">
        <w:rPr>
          <w:rFonts w:ascii="Times New Roman" w:hAnsi="Times New Roman" w:cs="Times New Roman"/>
          <w:bCs/>
          <w:color w:val="000000" w:themeColor="text1"/>
          <w:sz w:val="24"/>
          <w:szCs w:val="24"/>
          <w:shd w:val="clear" w:color="auto" w:fill="FFFFFF"/>
        </w:rPr>
        <w:t>(3), 337-360.</w:t>
      </w:r>
    </w:p>
    <w:p w14:paraId="624598F8" w14:textId="638688CE" w:rsidR="007C42F4" w:rsidRPr="00724CA2" w:rsidRDefault="007C42F4"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Sahasranamam, S., Arya, B., &amp; Mukundhan, K.V. (2022). Dual institutional embeddedness and home country CSR Engagement: Evidence from Indian MNEs. </w:t>
      </w:r>
      <w:r w:rsidRPr="00724CA2">
        <w:rPr>
          <w:rFonts w:ascii="Times New Roman" w:hAnsi="Times New Roman" w:cs="Times New Roman"/>
          <w:bCs/>
          <w:i/>
          <w:iCs/>
          <w:color w:val="000000" w:themeColor="text1"/>
          <w:sz w:val="24"/>
          <w:szCs w:val="24"/>
          <w:shd w:val="clear" w:color="auto" w:fill="FFFFFF"/>
        </w:rPr>
        <w:t>Journal of Business Research</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141</w:t>
      </w:r>
      <w:r w:rsidRPr="00724CA2">
        <w:rPr>
          <w:rFonts w:ascii="Times New Roman" w:hAnsi="Times New Roman" w:cs="Times New Roman"/>
          <w:bCs/>
          <w:color w:val="000000" w:themeColor="text1"/>
          <w:sz w:val="24"/>
          <w:szCs w:val="24"/>
          <w:shd w:val="clear" w:color="auto" w:fill="FFFFFF"/>
        </w:rPr>
        <w:t>, 163-174.</w:t>
      </w:r>
    </w:p>
    <w:p w14:paraId="3E663A66" w14:textId="7E96B23C" w:rsidR="008A0199" w:rsidRPr="00724CA2" w:rsidRDefault="008A0199" w:rsidP="008B1E39">
      <w:pPr>
        <w:pStyle w:val="BodyText"/>
        <w:spacing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Shen,</w:t>
      </w:r>
      <w:r w:rsidRPr="00724CA2">
        <w:rPr>
          <w:rFonts w:ascii="Times New Roman" w:hAnsi="Times New Roman" w:cs="Times New Roman"/>
          <w:bCs/>
          <w:color w:val="000000" w:themeColor="text1"/>
          <w:spacing w:val="12"/>
          <w:sz w:val="24"/>
          <w:szCs w:val="24"/>
        </w:rPr>
        <w:t xml:space="preserve"> </w:t>
      </w:r>
      <w:r w:rsidRPr="00724CA2">
        <w:rPr>
          <w:rFonts w:ascii="Times New Roman" w:hAnsi="Times New Roman" w:cs="Times New Roman"/>
          <w:bCs/>
          <w:color w:val="000000" w:themeColor="text1"/>
          <w:sz w:val="24"/>
          <w:szCs w:val="24"/>
        </w:rPr>
        <w:t>F.,</w:t>
      </w:r>
      <w:r w:rsidRPr="00724CA2">
        <w:rPr>
          <w:rFonts w:ascii="Times New Roman" w:hAnsi="Times New Roman" w:cs="Times New Roman"/>
          <w:bCs/>
          <w:color w:val="000000" w:themeColor="text1"/>
          <w:spacing w:val="12"/>
          <w:sz w:val="24"/>
          <w:szCs w:val="24"/>
        </w:rPr>
        <w:t xml:space="preserve"> </w:t>
      </w:r>
      <w:r w:rsidRPr="00724CA2">
        <w:rPr>
          <w:rFonts w:ascii="Times New Roman" w:hAnsi="Times New Roman" w:cs="Times New Roman"/>
          <w:bCs/>
          <w:color w:val="000000" w:themeColor="text1"/>
          <w:sz w:val="24"/>
          <w:szCs w:val="24"/>
        </w:rPr>
        <w:t>Ma,</w:t>
      </w:r>
      <w:r w:rsidRPr="00724CA2">
        <w:rPr>
          <w:rFonts w:ascii="Times New Roman" w:hAnsi="Times New Roman" w:cs="Times New Roman"/>
          <w:bCs/>
          <w:color w:val="000000" w:themeColor="text1"/>
          <w:spacing w:val="11"/>
          <w:sz w:val="24"/>
          <w:szCs w:val="24"/>
        </w:rPr>
        <w:t xml:space="preserve"> </w:t>
      </w:r>
      <w:r w:rsidRPr="00724CA2">
        <w:rPr>
          <w:rFonts w:ascii="Times New Roman" w:hAnsi="Times New Roman" w:cs="Times New Roman"/>
          <w:bCs/>
          <w:color w:val="000000" w:themeColor="text1"/>
          <w:sz w:val="24"/>
          <w:szCs w:val="24"/>
        </w:rPr>
        <w:t>Y.,</w:t>
      </w:r>
      <w:r w:rsidRPr="00724CA2">
        <w:rPr>
          <w:rFonts w:ascii="Times New Roman" w:hAnsi="Times New Roman" w:cs="Times New Roman"/>
          <w:bCs/>
          <w:color w:val="000000" w:themeColor="text1"/>
          <w:spacing w:val="11"/>
          <w:sz w:val="24"/>
          <w:szCs w:val="24"/>
        </w:rPr>
        <w:t xml:space="preserve"> </w:t>
      </w:r>
      <w:r w:rsidRPr="00724CA2">
        <w:rPr>
          <w:rFonts w:ascii="Times New Roman" w:hAnsi="Times New Roman" w:cs="Times New Roman"/>
          <w:bCs/>
          <w:color w:val="000000" w:themeColor="text1"/>
          <w:sz w:val="24"/>
          <w:szCs w:val="24"/>
        </w:rPr>
        <w:t>Wang,</w:t>
      </w:r>
      <w:r w:rsidRPr="00724CA2">
        <w:rPr>
          <w:rFonts w:ascii="Times New Roman" w:hAnsi="Times New Roman" w:cs="Times New Roman"/>
          <w:bCs/>
          <w:color w:val="000000" w:themeColor="text1"/>
          <w:spacing w:val="12"/>
          <w:sz w:val="24"/>
          <w:szCs w:val="24"/>
        </w:rPr>
        <w:t xml:space="preserve"> </w:t>
      </w:r>
      <w:r w:rsidRPr="00724CA2">
        <w:rPr>
          <w:rFonts w:ascii="Times New Roman" w:hAnsi="Times New Roman" w:cs="Times New Roman"/>
          <w:bCs/>
          <w:color w:val="000000" w:themeColor="text1"/>
          <w:sz w:val="24"/>
          <w:szCs w:val="24"/>
        </w:rPr>
        <w:t>R.,</w:t>
      </w:r>
      <w:r w:rsidRPr="00724CA2">
        <w:rPr>
          <w:rFonts w:ascii="Times New Roman" w:hAnsi="Times New Roman" w:cs="Times New Roman"/>
          <w:bCs/>
          <w:color w:val="000000" w:themeColor="text1"/>
          <w:spacing w:val="12"/>
          <w:sz w:val="24"/>
          <w:szCs w:val="24"/>
        </w:rPr>
        <w:t xml:space="preserve"> </w:t>
      </w:r>
      <w:r w:rsidRPr="00724CA2">
        <w:rPr>
          <w:rFonts w:ascii="Times New Roman" w:hAnsi="Times New Roman" w:cs="Times New Roman"/>
          <w:bCs/>
          <w:color w:val="000000" w:themeColor="text1"/>
          <w:sz w:val="24"/>
          <w:szCs w:val="24"/>
        </w:rPr>
        <w:t>Pan,</w:t>
      </w:r>
      <w:r w:rsidRPr="00724CA2">
        <w:rPr>
          <w:rFonts w:ascii="Times New Roman" w:hAnsi="Times New Roman" w:cs="Times New Roman"/>
          <w:bCs/>
          <w:color w:val="000000" w:themeColor="text1"/>
          <w:spacing w:val="12"/>
          <w:sz w:val="24"/>
          <w:szCs w:val="24"/>
        </w:rPr>
        <w:t xml:space="preserve"> </w:t>
      </w:r>
      <w:r w:rsidRPr="00724CA2">
        <w:rPr>
          <w:rFonts w:ascii="Times New Roman" w:hAnsi="Times New Roman" w:cs="Times New Roman"/>
          <w:bCs/>
          <w:color w:val="000000" w:themeColor="text1"/>
          <w:sz w:val="24"/>
          <w:szCs w:val="24"/>
        </w:rPr>
        <w:t>N.,</w:t>
      </w:r>
      <w:r w:rsidRPr="00724CA2">
        <w:rPr>
          <w:rFonts w:ascii="Times New Roman" w:hAnsi="Times New Roman" w:cs="Times New Roman"/>
          <w:bCs/>
          <w:color w:val="000000" w:themeColor="text1"/>
          <w:spacing w:val="9"/>
          <w:sz w:val="24"/>
          <w:szCs w:val="24"/>
        </w:rPr>
        <w:t xml:space="preserve"> </w:t>
      </w:r>
      <w:r w:rsidRPr="00724CA2">
        <w:rPr>
          <w:rFonts w:ascii="Times New Roman" w:hAnsi="Times New Roman" w:cs="Times New Roman"/>
          <w:bCs/>
          <w:color w:val="000000" w:themeColor="text1"/>
          <w:sz w:val="24"/>
          <w:szCs w:val="24"/>
        </w:rPr>
        <w:t>&amp;</w:t>
      </w:r>
      <w:r w:rsidRPr="00724CA2">
        <w:rPr>
          <w:rFonts w:ascii="Times New Roman" w:hAnsi="Times New Roman" w:cs="Times New Roman"/>
          <w:bCs/>
          <w:color w:val="000000" w:themeColor="text1"/>
          <w:spacing w:val="10"/>
          <w:sz w:val="24"/>
          <w:szCs w:val="24"/>
        </w:rPr>
        <w:t xml:space="preserve"> </w:t>
      </w:r>
      <w:r w:rsidRPr="00724CA2">
        <w:rPr>
          <w:rFonts w:ascii="Times New Roman" w:hAnsi="Times New Roman" w:cs="Times New Roman"/>
          <w:bCs/>
          <w:color w:val="000000" w:themeColor="text1"/>
          <w:sz w:val="24"/>
          <w:szCs w:val="24"/>
        </w:rPr>
        <w:t>Meng,</w:t>
      </w:r>
      <w:r w:rsidRPr="00724CA2">
        <w:rPr>
          <w:rFonts w:ascii="Times New Roman" w:hAnsi="Times New Roman" w:cs="Times New Roman"/>
          <w:bCs/>
          <w:color w:val="000000" w:themeColor="text1"/>
          <w:spacing w:val="14"/>
          <w:sz w:val="24"/>
          <w:szCs w:val="24"/>
        </w:rPr>
        <w:t xml:space="preserve"> </w:t>
      </w:r>
      <w:r w:rsidRPr="00724CA2">
        <w:rPr>
          <w:rFonts w:ascii="Times New Roman" w:hAnsi="Times New Roman" w:cs="Times New Roman"/>
          <w:bCs/>
          <w:color w:val="000000" w:themeColor="text1"/>
          <w:sz w:val="24"/>
          <w:szCs w:val="24"/>
        </w:rPr>
        <w:t>Z.</w:t>
      </w:r>
      <w:r w:rsidRPr="00724CA2">
        <w:rPr>
          <w:rFonts w:ascii="Times New Roman" w:hAnsi="Times New Roman" w:cs="Times New Roman"/>
          <w:bCs/>
          <w:color w:val="000000" w:themeColor="text1"/>
          <w:spacing w:val="14"/>
          <w:sz w:val="24"/>
          <w:szCs w:val="24"/>
        </w:rPr>
        <w:t xml:space="preserve"> </w:t>
      </w:r>
      <w:r w:rsidRPr="00724CA2">
        <w:rPr>
          <w:rFonts w:ascii="Times New Roman" w:hAnsi="Times New Roman" w:cs="Times New Roman"/>
          <w:bCs/>
          <w:color w:val="000000" w:themeColor="text1"/>
          <w:sz w:val="24"/>
          <w:szCs w:val="24"/>
        </w:rPr>
        <w:t>(2019).</w:t>
      </w:r>
      <w:r w:rsidRPr="00724CA2">
        <w:rPr>
          <w:rFonts w:ascii="Times New Roman" w:hAnsi="Times New Roman" w:cs="Times New Roman"/>
          <w:bCs/>
          <w:color w:val="000000" w:themeColor="text1"/>
          <w:spacing w:val="24"/>
          <w:sz w:val="24"/>
          <w:szCs w:val="24"/>
        </w:rPr>
        <w:t xml:space="preserve"> </w:t>
      </w:r>
      <w:r w:rsidRPr="00724CA2">
        <w:rPr>
          <w:rFonts w:ascii="Times New Roman" w:hAnsi="Times New Roman" w:cs="Times New Roman"/>
          <w:bCs/>
          <w:color w:val="000000" w:themeColor="text1"/>
          <w:sz w:val="24"/>
          <w:szCs w:val="24"/>
        </w:rPr>
        <w:t>Does</w:t>
      </w:r>
      <w:r w:rsidRPr="00724CA2">
        <w:rPr>
          <w:rFonts w:ascii="Times New Roman" w:hAnsi="Times New Roman" w:cs="Times New Roman"/>
          <w:bCs/>
          <w:color w:val="000000" w:themeColor="text1"/>
          <w:spacing w:val="12"/>
          <w:sz w:val="24"/>
          <w:szCs w:val="24"/>
        </w:rPr>
        <w:t xml:space="preserve"> </w:t>
      </w:r>
      <w:r w:rsidRPr="00724CA2">
        <w:rPr>
          <w:rFonts w:ascii="Times New Roman" w:hAnsi="Times New Roman" w:cs="Times New Roman"/>
          <w:bCs/>
          <w:color w:val="000000" w:themeColor="text1"/>
          <w:sz w:val="24"/>
          <w:szCs w:val="24"/>
        </w:rPr>
        <w:t>environmental</w:t>
      </w:r>
      <w:r w:rsidRPr="00724CA2">
        <w:rPr>
          <w:rFonts w:ascii="Times New Roman" w:hAnsi="Times New Roman" w:cs="Times New Roman"/>
          <w:bCs/>
          <w:color w:val="000000" w:themeColor="text1"/>
          <w:spacing w:val="12"/>
          <w:sz w:val="24"/>
          <w:szCs w:val="24"/>
        </w:rPr>
        <w:t xml:space="preserve"> </w:t>
      </w:r>
      <w:r w:rsidRPr="00724CA2">
        <w:rPr>
          <w:rFonts w:ascii="Times New Roman" w:hAnsi="Times New Roman" w:cs="Times New Roman"/>
          <w:bCs/>
          <w:color w:val="000000" w:themeColor="text1"/>
          <w:sz w:val="24"/>
          <w:szCs w:val="24"/>
        </w:rPr>
        <w:t>performance affect</w:t>
      </w:r>
      <w:r w:rsidRPr="00724CA2">
        <w:rPr>
          <w:rFonts w:ascii="Times New Roman" w:hAnsi="Times New Roman" w:cs="Times New Roman"/>
          <w:bCs/>
          <w:color w:val="000000" w:themeColor="text1"/>
          <w:spacing w:val="31"/>
          <w:sz w:val="24"/>
          <w:szCs w:val="24"/>
        </w:rPr>
        <w:t xml:space="preserve"> </w:t>
      </w:r>
      <w:r w:rsidRPr="00724CA2">
        <w:rPr>
          <w:rFonts w:ascii="Times New Roman" w:hAnsi="Times New Roman" w:cs="Times New Roman"/>
          <w:bCs/>
          <w:color w:val="000000" w:themeColor="text1"/>
          <w:sz w:val="24"/>
          <w:szCs w:val="24"/>
        </w:rPr>
        <w:t>financial</w:t>
      </w:r>
      <w:r w:rsidRPr="00724CA2">
        <w:rPr>
          <w:rFonts w:ascii="Times New Roman" w:hAnsi="Times New Roman" w:cs="Times New Roman"/>
          <w:bCs/>
          <w:color w:val="000000" w:themeColor="text1"/>
          <w:spacing w:val="31"/>
          <w:sz w:val="24"/>
          <w:szCs w:val="24"/>
        </w:rPr>
        <w:t xml:space="preserve"> </w:t>
      </w:r>
      <w:r w:rsidRPr="00724CA2">
        <w:rPr>
          <w:rFonts w:ascii="Times New Roman" w:hAnsi="Times New Roman" w:cs="Times New Roman"/>
          <w:bCs/>
          <w:color w:val="000000" w:themeColor="text1"/>
          <w:sz w:val="24"/>
          <w:szCs w:val="24"/>
        </w:rPr>
        <w:t>performance?</w:t>
      </w:r>
      <w:r w:rsidRPr="00724CA2">
        <w:rPr>
          <w:rFonts w:ascii="Times New Roman" w:hAnsi="Times New Roman" w:cs="Times New Roman"/>
          <w:bCs/>
          <w:color w:val="000000" w:themeColor="text1"/>
          <w:spacing w:val="34"/>
          <w:sz w:val="24"/>
          <w:szCs w:val="24"/>
        </w:rPr>
        <w:t xml:space="preserve"> </w:t>
      </w:r>
      <w:r w:rsidRPr="00724CA2">
        <w:rPr>
          <w:rFonts w:ascii="Times New Roman" w:hAnsi="Times New Roman" w:cs="Times New Roman"/>
          <w:bCs/>
          <w:color w:val="000000" w:themeColor="text1"/>
          <w:sz w:val="24"/>
          <w:szCs w:val="24"/>
        </w:rPr>
        <w:t>Evidence</w:t>
      </w:r>
      <w:r w:rsidRPr="00724CA2">
        <w:rPr>
          <w:rFonts w:ascii="Times New Roman" w:hAnsi="Times New Roman" w:cs="Times New Roman"/>
          <w:bCs/>
          <w:color w:val="000000" w:themeColor="text1"/>
          <w:spacing w:val="30"/>
          <w:sz w:val="24"/>
          <w:szCs w:val="24"/>
        </w:rPr>
        <w:t xml:space="preserve"> </w:t>
      </w:r>
      <w:r w:rsidRPr="00724CA2">
        <w:rPr>
          <w:rFonts w:ascii="Times New Roman" w:hAnsi="Times New Roman" w:cs="Times New Roman"/>
          <w:bCs/>
          <w:color w:val="000000" w:themeColor="text1"/>
          <w:sz w:val="24"/>
          <w:szCs w:val="24"/>
        </w:rPr>
        <w:t>from</w:t>
      </w:r>
      <w:r w:rsidRPr="00724CA2">
        <w:rPr>
          <w:rFonts w:ascii="Times New Roman" w:hAnsi="Times New Roman" w:cs="Times New Roman"/>
          <w:bCs/>
          <w:color w:val="000000" w:themeColor="text1"/>
          <w:spacing w:val="31"/>
          <w:sz w:val="24"/>
          <w:szCs w:val="24"/>
        </w:rPr>
        <w:t xml:space="preserve"> </w:t>
      </w:r>
      <w:r w:rsidRPr="00724CA2">
        <w:rPr>
          <w:rFonts w:ascii="Times New Roman" w:hAnsi="Times New Roman" w:cs="Times New Roman"/>
          <w:bCs/>
          <w:color w:val="000000" w:themeColor="text1"/>
          <w:sz w:val="24"/>
          <w:szCs w:val="24"/>
        </w:rPr>
        <w:t>Chinese</w:t>
      </w:r>
      <w:r w:rsidRPr="00724CA2">
        <w:rPr>
          <w:rFonts w:ascii="Times New Roman" w:hAnsi="Times New Roman" w:cs="Times New Roman"/>
          <w:bCs/>
          <w:color w:val="000000" w:themeColor="text1"/>
          <w:spacing w:val="30"/>
          <w:sz w:val="24"/>
          <w:szCs w:val="24"/>
        </w:rPr>
        <w:t xml:space="preserve"> </w:t>
      </w:r>
      <w:r w:rsidRPr="00724CA2">
        <w:rPr>
          <w:rFonts w:ascii="Times New Roman" w:hAnsi="Times New Roman" w:cs="Times New Roman"/>
          <w:bCs/>
          <w:color w:val="000000" w:themeColor="text1"/>
          <w:sz w:val="24"/>
          <w:szCs w:val="24"/>
        </w:rPr>
        <w:t>listed</w:t>
      </w:r>
      <w:r w:rsidRPr="00724CA2">
        <w:rPr>
          <w:rFonts w:ascii="Times New Roman" w:hAnsi="Times New Roman" w:cs="Times New Roman"/>
          <w:bCs/>
          <w:color w:val="000000" w:themeColor="text1"/>
          <w:spacing w:val="31"/>
          <w:sz w:val="24"/>
          <w:szCs w:val="24"/>
        </w:rPr>
        <w:t xml:space="preserve"> </w:t>
      </w:r>
      <w:r w:rsidRPr="00724CA2">
        <w:rPr>
          <w:rFonts w:ascii="Times New Roman" w:hAnsi="Times New Roman" w:cs="Times New Roman"/>
          <w:bCs/>
          <w:color w:val="000000" w:themeColor="text1"/>
          <w:sz w:val="24"/>
          <w:szCs w:val="24"/>
        </w:rPr>
        <w:t>companies</w:t>
      </w:r>
      <w:r w:rsidRPr="00724CA2">
        <w:rPr>
          <w:rFonts w:ascii="Times New Roman" w:hAnsi="Times New Roman" w:cs="Times New Roman"/>
          <w:bCs/>
          <w:color w:val="000000" w:themeColor="text1"/>
          <w:spacing w:val="31"/>
          <w:sz w:val="24"/>
          <w:szCs w:val="24"/>
        </w:rPr>
        <w:t xml:space="preserve"> </w:t>
      </w:r>
      <w:r w:rsidRPr="00724CA2">
        <w:rPr>
          <w:rFonts w:ascii="Times New Roman" w:hAnsi="Times New Roman" w:cs="Times New Roman"/>
          <w:bCs/>
          <w:color w:val="000000" w:themeColor="text1"/>
          <w:sz w:val="24"/>
          <w:szCs w:val="24"/>
        </w:rPr>
        <w:t>in</w:t>
      </w:r>
      <w:r w:rsidRPr="00724CA2">
        <w:rPr>
          <w:rFonts w:ascii="Times New Roman" w:hAnsi="Times New Roman" w:cs="Times New Roman"/>
          <w:bCs/>
          <w:color w:val="000000" w:themeColor="text1"/>
          <w:spacing w:val="34"/>
          <w:sz w:val="24"/>
          <w:szCs w:val="24"/>
        </w:rPr>
        <w:t xml:space="preserve"> </w:t>
      </w:r>
      <w:r w:rsidRPr="00724CA2">
        <w:rPr>
          <w:rFonts w:ascii="Times New Roman" w:hAnsi="Times New Roman" w:cs="Times New Roman"/>
          <w:bCs/>
          <w:color w:val="000000" w:themeColor="text1"/>
          <w:sz w:val="24"/>
          <w:szCs w:val="24"/>
        </w:rPr>
        <w:t>heavily</w:t>
      </w:r>
      <w:r w:rsidRPr="00724CA2">
        <w:rPr>
          <w:rFonts w:ascii="Times New Roman" w:hAnsi="Times New Roman" w:cs="Times New Roman"/>
          <w:bCs/>
          <w:color w:val="000000" w:themeColor="text1"/>
          <w:spacing w:val="26"/>
          <w:sz w:val="24"/>
          <w:szCs w:val="24"/>
        </w:rPr>
        <w:t xml:space="preserve"> </w:t>
      </w:r>
      <w:r w:rsidRPr="00724CA2">
        <w:rPr>
          <w:rFonts w:ascii="Times New Roman" w:hAnsi="Times New Roman" w:cs="Times New Roman"/>
          <w:bCs/>
          <w:color w:val="000000" w:themeColor="text1"/>
          <w:sz w:val="24"/>
          <w:szCs w:val="24"/>
        </w:rPr>
        <w:t>polluted industries</w:t>
      </w:r>
      <w:r w:rsidRPr="00724CA2">
        <w:rPr>
          <w:rFonts w:ascii="Times New Roman" w:hAnsi="Times New Roman" w:cs="Times New Roman"/>
          <w:bCs/>
          <w:i/>
          <w:color w:val="000000" w:themeColor="text1"/>
          <w:sz w:val="24"/>
          <w:szCs w:val="24"/>
        </w:rPr>
        <w:t>. Quality &amp; Quantity</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53</w:t>
      </w:r>
      <w:r w:rsidRPr="00724CA2">
        <w:rPr>
          <w:rFonts w:ascii="Times New Roman" w:hAnsi="Times New Roman" w:cs="Times New Roman"/>
          <w:bCs/>
          <w:color w:val="000000" w:themeColor="text1"/>
          <w:sz w:val="24"/>
          <w:szCs w:val="24"/>
        </w:rPr>
        <w:t>(4),</w:t>
      </w:r>
      <w:r w:rsidRPr="00724CA2">
        <w:rPr>
          <w:rFonts w:ascii="Times New Roman" w:hAnsi="Times New Roman" w:cs="Times New Roman"/>
          <w:bCs/>
          <w:color w:val="000000" w:themeColor="text1"/>
          <w:spacing w:val="-6"/>
          <w:sz w:val="24"/>
          <w:szCs w:val="24"/>
        </w:rPr>
        <w:t xml:space="preserve"> </w:t>
      </w:r>
      <w:r w:rsidRPr="00724CA2">
        <w:rPr>
          <w:rFonts w:ascii="Times New Roman" w:hAnsi="Times New Roman" w:cs="Times New Roman"/>
          <w:bCs/>
          <w:color w:val="000000" w:themeColor="text1"/>
          <w:sz w:val="24"/>
          <w:szCs w:val="24"/>
        </w:rPr>
        <w:t>1941-1958.</w:t>
      </w:r>
    </w:p>
    <w:p w14:paraId="391E9DBB" w14:textId="5CF246F0" w:rsidR="00BF69C3" w:rsidRPr="00724CA2" w:rsidRDefault="00BF69C3" w:rsidP="008B1E39">
      <w:pPr>
        <w:spacing w:after="120" w:line="348" w:lineRule="auto"/>
        <w:jc w:val="both"/>
        <w:rPr>
          <w:rFonts w:ascii="Times New Roman" w:hAnsi="Times New Roman" w:cs="Times New Roman"/>
          <w:bCs/>
          <w:color w:val="000000" w:themeColor="text1"/>
          <w:sz w:val="24"/>
          <w:szCs w:val="24"/>
        </w:rPr>
      </w:pPr>
      <w:bookmarkStart w:id="20" w:name="_Hlk75307757"/>
      <w:r w:rsidRPr="00724CA2">
        <w:rPr>
          <w:rFonts w:ascii="Times New Roman" w:hAnsi="Times New Roman" w:cs="Times New Roman"/>
          <w:bCs/>
          <w:color w:val="000000" w:themeColor="text1"/>
          <w:sz w:val="24"/>
          <w:szCs w:val="24"/>
        </w:rPr>
        <w:t>Sjostrom, E. (2008</w:t>
      </w:r>
      <w:bookmarkEnd w:id="20"/>
      <w:r w:rsidRPr="00724CA2">
        <w:rPr>
          <w:rFonts w:ascii="Times New Roman" w:hAnsi="Times New Roman" w:cs="Times New Roman"/>
          <w:bCs/>
          <w:color w:val="000000" w:themeColor="text1"/>
          <w:sz w:val="24"/>
          <w:szCs w:val="24"/>
        </w:rPr>
        <w:t xml:space="preserve">). Shareholder activism for corporate social responsibility what do we know? </w:t>
      </w:r>
      <w:r w:rsidRPr="00724CA2">
        <w:rPr>
          <w:rFonts w:ascii="Times New Roman" w:hAnsi="Times New Roman" w:cs="Times New Roman"/>
          <w:bCs/>
          <w:i/>
          <w:iCs/>
          <w:color w:val="000000" w:themeColor="text1"/>
          <w:sz w:val="24"/>
          <w:szCs w:val="24"/>
        </w:rPr>
        <w:t xml:space="preserve">Sustainable </w:t>
      </w:r>
      <w:r w:rsidR="00BB17EF" w:rsidRPr="00724CA2">
        <w:rPr>
          <w:rFonts w:ascii="Times New Roman" w:hAnsi="Times New Roman" w:cs="Times New Roman"/>
          <w:bCs/>
          <w:i/>
          <w:iCs/>
          <w:color w:val="000000" w:themeColor="text1"/>
          <w:sz w:val="24"/>
          <w:szCs w:val="24"/>
          <w:lang w:eastAsia="zh-CN"/>
        </w:rPr>
        <w:t>D</w:t>
      </w:r>
      <w:r w:rsidRPr="00724CA2">
        <w:rPr>
          <w:rFonts w:ascii="Times New Roman" w:hAnsi="Times New Roman" w:cs="Times New Roman"/>
          <w:bCs/>
          <w:i/>
          <w:iCs/>
          <w:color w:val="000000" w:themeColor="text1"/>
          <w:sz w:val="24"/>
          <w:szCs w:val="24"/>
        </w:rPr>
        <w:t>evelopment</w:t>
      </w:r>
      <w:r w:rsidRPr="00422185">
        <w:rPr>
          <w:rFonts w:ascii="Times New Roman" w:hAnsi="Times New Roman" w:cs="Times New Roman"/>
          <w:bCs/>
          <w:i/>
          <w:iCs/>
          <w:color w:val="000000" w:themeColor="text1"/>
          <w:sz w:val="24"/>
          <w:szCs w:val="24"/>
        </w:rPr>
        <w:t>, 16</w:t>
      </w:r>
      <w:r w:rsidRPr="00724CA2">
        <w:rPr>
          <w:rFonts w:ascii="Times New Roman" w:hAnsi="Times New Roman" w:cs="Times New Roman"/>
          <w:bCs/>
          <w:color w:val="000000" w:themeColor="text1"/>
          <w:sz w:val="24"/>
          <w:szCs w:val="24"/>
        </w:rPr>
        <w:t>, 141-154.</w:t>
      </w:r>
    </w:p>
    <w:p w14:paraId="27FE3DE7" w14:textId="3F40B2B2" w:rsidR="006D7180" w:rsidRPr="00724CA2" w:rsidRDefault="006D7180"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Stock, J.</w:t>
      </w:r>
      <w:r w:rsidR="00F05F41"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color w:val="000000" w:themeColor="text1"/>
          <w:sz w:val="24"/>
          <w:szCs w:val="24"/>
        </w:rPr>
        <w:t>H.</w:t>
      </w:r>
      <w:r w:rsidR="00900616" w:rsidRPr="00724CA2">
        <w:rPr>
          <w:rFonts w:ascii="Times New Roman" w:hAnsi="Times New Roman" w:cs="Times New Roman"/>
          <w:bCs/>
          <w:color w:val="000000" w:themeColor="text1"/>
          <w:sz w:val="24"/>
          <w:szCs w:val="24"/>
        </w:rPr>
        <w:t xml:space="preserve"> &amp;</w:t>
      </w:r>
      <w:r w:rsidRPr="00724CA2">
        <w:rPr>
          <w:rFonts w:ascii="Times New Roman" w:hAnsi="Times New Roman" w:cs="Times New Roman"/>
          <w:bCs/>
          <w:color w:val="000000" w:themeColor="text1"/>
          <w:sz w:val="24"/>
          <w:szCs w:val="24"/>
        </w:rPr>
        <w:t xml:space="preserve"> Yogo, M. </w:t>
      </w:r>
      <w:r w:rsidR="00A84D01"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2005</w:t>
      </w:r>
      <w:r w:rsidR="00A84D01" w:rsidRPr="00724CA2">
        <w:rPr>
          <w:rFonts w:ascii="Times New Roman"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 Testing for weak instruments in linear IV</w:t>
      </w:r>
      <w:r w:rsidR="00B1514B"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color w:val="000000" w:themeColor="text1"/>
          <w:sz w:val="24"/>
          <w:szCs w:val="24"/>
        </w:rPr>
        <w:t>regression. </w:t>
      </w:r>
      <w:r w:rsidRPr="00724CA2">
        <w:rPr>
          <w:rFonts w:ascii="Times New Roman" w:hAnsi="Times New Roman" w:cs="Times New Roman"/>
          <w:bCs/>
          <w:i/>
          <w:iCs/>
          <w:color w:val="000000" w:themeColor="text1"/>
          <w:sz w:val="24"/>
          <w:szCs w:val="24"/>
        </w:rPr>
        <w:t xml:space="preserve">Identification and inference for econometric models: Essays in </w:t>
      </w:r>
      <w:r w:rsidR="00C13EA5" w:rsidRPr="00724CA2">
        <w:rPr>
          <w:rFonts w:ascii="Times New Roman" w:hAnsi="Times New Roman" w:cs="Times New Roman"/>
          <w:bCs/>
          <w:i/>
          <w:iCs/>
          <w:color w:val="000000" w:themeColor="text1"/>
          <w:sz w:val="24"/>
          <w:szCs w:val="24"/>
        </w:rPr>
        <w:t>honour</w:t>
      </w:r>
      <w:r w:rsidRPr="00724CA2">
        <w:rPr>
          <w:rFonts w:ascii="Times New Roman" w:hAnsi="Times New Roman" w:cs="Times New Roman"/>
          <w:bCs/>
          <w:i/>
          <w:iCs/>
          <w:color w:val="000000" w:themeColor="text1"/>
          <w:sz w:val="24"/>
          <w:szCs w:val="24"/>
        </w:rPr>
        <w:t xml:space="preserve"> of Thomas Rothenberg</w:t>
      </w:r>
      <w:r w:rsidRPr="00724CA2">
        <w:rPr>
          <w:rFonts w:ascii="Times New Roman" w:hAnsi="Times New Roman" w:cs="Times New Roman"/>
          <w:bCs/>
          <w:color w:val="000000" w:themeColor="text1"/>
          <w:sz w:val="24"/>
          <w:szCs w:val="24"/>
        </w:rPr>
        <w:t>, 80-108</w:t>
      </w:r>
      <w:r w:rsidR="00B1514B" w:rsidRPr="00724CA2">
        <w:rPr>
          <w:rFonts w:ascii="Times New Roman" w:hAnsi="Times New Roman" w:cs="Times New Roman"/>
          <w:bCs/>
          <w:color w:val="000000" w:themeColor="text1"/>
          <w:sz w:val="24"/>
          <w:szCs w:val="24"/>
        </w:rPr>
        <w:t>.</w:t>
      </w:r>
    </w:p>
    <w:p w14:paraId="65FAF83E" w14:textId="7485548D" w:rsidR="00B422EC" w:rsidRPr="00724CA2" w:rsidRDefault="00B422EC"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Stroebel, J. </w:t>
      </w:r>
      <w:r w:rsidR="00444F8F" w:rsidRPr="00724CA2">
        <w:rPr>
          <w:rFonts w:ascii="Times New Roman" w:hAnsi="Times New Roman" w:cs="Times New Roman"/>
          <w:bCs/>
          <w:color w:val="000000" w:themeColor="text1"/>
          <w:sz w:val="24"/>
          <w:szCs w:val="24"/>
        </w:rPr>
        <w:t xml:space="preserve">&amp; </w:t>
      </w:r>
      <w:r w:rsidRPr="00724CA2">
        <w:rPr>
          <w:rFonts w:ascii="Times New Roman" w:hAnsi="Times New Roman" w:cs="Times New Roman"/>
          <w:bCs/>
          <w:color w:val="000000" w:themeColor="text1"/>
          <w:sz w:val="24"/>
          <w:szCs w:val="24"/>
        </w:rPr>
        <w:t xml:space="preserve">Wurgler, J. (2021). What do you think about Climate </w:t>
      </w:r>
      <w:r w:rsidR="006407CD" w:rsidRPr="00724CA2">
        <w:rPr>
          <w:rFonts w:ascii="Times New Roman" w:hAnsi="Times New Roman" w:cs="Times New Roman"/>
          <w:bCs/>
          <w:color w:val="000000" w:themeColor="text1"/>
          <w:sz w:val="24"/>
          <w:szCs w:val="24"/>
        </w:rPr>
        <w:t>Finance?</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Journal of Financial Economics</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142</w:t>
      </w:r>
      <w:r w:rsidRPr="00724CA2">
        <w:rPr>
          <w:rFonts w:ascii="Times New Roman" w:hAnsi="Times New Roman" w:cs="Times New Roman"/>
          <w:bCs/>
          <w:color w:val="000000" w:themeColor="text1"/>
          <w:sz w:val="24"/>
          <w:szCs w:val="24"/>
        </w:rPr>
        <w:t xml:space="preserve">, 457-498. </w:t>
      </w:r>
    </w:p>
    <w:p w14:paraId="480C187D" w14:textId="77777777" w:rsidR="00A5079F" w:rsidRPr="00724CA2" w:rsidRDefault="00A5079F"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 xml:space="preserve">Utza,S., Wimmera,M. Steuer R. E. (2015),   Tri-criterion modelling for constructing more – sustainable mutual funds, </w:t>
      </w:r>
      <w:r w:rsidRPr="00724CA2">
        <w:rPr>
          <w:rFonts w:ascii="Times New Roman" w:hAnsi="Times New Roman" w:cs="Times New Roman"/>
          <w:bCs/>
          <w:i/>
          <w:iCs/>
          <w:color w:val="000000" w:themeColor="text1"/>
          <w:sz w:val="24"/>
          <w:szCs w:val="24"/>
          <w:shd w:val="clear" w:color="auto" w:fill="FFFFFF"/>
        </w:rPr>
        <w:t xml:space="preserve">European Journal of Operational </w:t>
      </w:r>
      <w:r w:rsidRPr="00813629">
        <w:rPr>
          <w:rFonts w:ascii="Times New Roman" w:hAnsi="Times New Roman" w:cs="Times New Roman"/>
          <w:bCs/>
          <w:i/>
          <w:iCs/>
          <w:color w:val="000000" w:themeColor="text1"/>
          <w:sz w:val="24"/>
          <w:szCs w:val="24"/>
          <w:shd w:val="clear" w:color="auto" w:fill="FFFFFF"/>
        </w:rPr>
        <w:t>Research, 246,</w:t>
      </w:r>
      <w:r w:rsidRPr="00724CA2">
        <w:rPr>
          <w:rFonts w:ascii="Times New Roman" w:hAnsi="Times New Roman" w:cs="Times New Roman"/>
          <w:bCs/>
          <w:color w:val="000000" w:themeColor="text1"/>
          <w:sz w:val="24"/>
          <w:szCs w:val="24"/>
          <w:shd w:val="clear" w:color="auto" w:fill="FFFFFF"/>
        </w:rPr>
        <w:t xml:space="preserve"> 331–338.</w:t>
      </w:r>
    </w:p>
    <w:p w14:paraId="6695EE04" w14:textId="57EA069A" w:rsidR="00BF69C3" w:rsidRPr="00724CA2" w:rsidRDefault="00BF69C3"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Van der Elst, C. &amp; Lafarre, A. (2019). Blockchain and smart contracting for the shareholder community. </w:t>
      </w:r>
      <w:r w:rsidRPr="00724CA2">
        <w:rPr>
          <w:rFonts w:ascii="Times New Roman" w:hAnsi="Times New Roman" w:cs="Times New Roman"/>
          <w:bCs/>
          <w:i/>
          <w:iCs/>
          <w:color w:val="000000" w:themeColor="text1"/>
          <w:sz w:val="24"/>
          <w:szCs w:val="24"/>
          <w:shd w:val="clear" w:color="auto" w:fill="FFFFFF"/>
        </w:rPr>
        <w:t>European Business Organization Law Review</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20</w:t>
      </w:r>
      <w:r w:rsidRPr="00724CA2">
        <w:rPr>
          <w:rFonts w:ascii="Times New Roman" w:hAnsi="Times New Roman" w:cs="Times New Roman"/>
          <w:bCs/>
          <w:color w:val="000000" w:themeColor="text1"/>
          <w:sz w:val="24"/>
          <w:szCs w:val="24"/>
          <w:shd w:val="clear" w:color="auto" w:fill="FFFFFF"/>
        </w:rPr>
        <w:t>(1), 111-137</w:t>
      </w:r>
    </w:p>
    <w:p w14:paraId="505C269D" w14:textId="0FEB12B9" w:rsidR="00FF285D" w:rsidRPr="00724CA2" w:rsidRDefault="00FF285D"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Velte, P. (2022). Which </w:t>
      </w:r>
      <w:r w:rsidR="006407CD" w:rsidRPr="00724CA2">
        <w:rPr>
          <w:rFonts w:ascii="Times New Roman" w:hAnsi="Times New Roman" w:cs="Times New Roman"/>
          <w:bCs/>
          <w:color w:val="000000" w:themeColor="text1"/>
          <w:sz w:val="24"/>
          <w:szCs w:val="24"/>
        </w:rPr>
        <w:t xml:space="preserve">institutional investors drive </w:t>
      </w:r>
      <w:r w:rsidRPr="00724CA2">
        <w:rPr>
          <w:rFonts w:ascii="Times New Roman" w:hAnsi="Times New Roman" w:cs="Times New Roman"/>
          <w:bCs/>
          <w:color w:val="000000" w:themeColor="text1"/>
          <w:sz w:val="24"/>
          <w:szCs w:val="24"/>
        </w:rPr>
        <w:t>corporate sustainability? A systematic literature review</w:t>
      </w:r>
      <w:r w:rsidR="006407CD">
        <w:rPr>
          <w:rFonts w:ascii="Times New Roman" w:hAnsi="Times New Roman" w:cs="Times New Roman" w:hint="eastAsia"/>
          <w:bCs/>
          <w:color w:val="000000" w:themeColor="text1"/>
          <w:sz w:val="24"/>
          <w:szCs w:val="24"/>
          <w:lang w:eastAsia="zh-CN"/>
        </w:rPr>
        <w:t>.</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Business Strategy</w:t>
      </w:r>
      <w:r w:rsidR="006B1408" w:rsidRPr="00724CA2">
        <w:rPr>
          <w:rFonts w:ascii="Times New Roman" w:hAnsi="Times New Roman" w:cs="Times New Roman"/>
          <w:bCs/>
          <w:i/>
          <w:iCs/>
          <w:color w:val="000000" w:themeColor="text1"/>
          <w:sz w:val="24"/>
          <w:szCs w:val="24"/>
        </w:rPr>
        <w:t>,</w:t>
      </w:r>
      <w:r w:rsidRPr="00724CA2">
        <w:rPr>
          <w:rFonts w:ascii="Times New Roman" w:hAnsi="Times New Roman" w:cs="Times New Roman"/>
          <w:bCs/>
          <w:i/>
          <w:iCs/>
          <w:color w:val="000000" w:themeColor="text1"/>
          <w:sz w:val="24"/>
          <w:szCs w:val="24"/>
        </w:rPr>
        <w:t xml:space="preserve"> and the Environment</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32</w:t>
      </w:r>
      <w:r w:rsidRPr="00724CA2">
        <w:rPr>
          <w:rFonts w:ascii="Times New Roman" w:hAnsi="Times New Roman" w:cs="Times New Roman"/>
          <w:bCs/>
          <w:color w:val="000000" w:themeColor="text1"/>
          <w:sz w:val="24"/>
          <w:szCs w:val="24"/>
        </w:rPr>
        <w:t>, 42-71.</w:t>
      </w:r>
    </w:p>
    <w:p w14:paraId="20D8FC8D" w14:textId="7ABD6B06" w:rsidR="00BF69C3" w:rsidRPr="00724CA2" w:rsidRDefault="00BF69C3"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Wang, H., Fan, C. &amp; Chen, S. (2021). The impact of campaign-style enforcement on corporate environmental Action: Evidence from China’s central environmental protection inspection. </w:t>
      </w:r>
      <w:r w:rsidRPr="00724CA2">
        <w:rPr>
          <w:rFonts w:ascii="Times New Roman" w:hAnsi="Times New Roman" w:cs="Times New Roman"/>
          <w:bCs/>
          <w:i/>
          <w:iCs/>
          <w:color w:val="000000" w:themeColor="text1"/>
          <w:sz w:val="24"/>
          <w:szCs w:val="24"/>
          <w:shd w:val="clear" w:color="auto" w:fill="FFFFFF"/>
        </w:rPr>
        <w:t>Journal of Cleaner Production</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290</w:t>
      </w:r>
      <w:r w:rsidRPr="00724CA2">
        <w:rPr>
          <w:rFonts w:ascii="Times New Roman" w:hAnsi="Times New Roman" w:cs="Times New Roman"/>
          <w:bCs/>
          <w:color w:val="000000" w:themeColor="text1"/>
          <w:sz w:val="24"/>
          <w:szCs w:val="24"/>
          <w:shd w:val="clear" w:color="auto" w:fill="FFFFFF"/>
        </w:rPr>
        <w:t>, 125881.</w:t>
      </w:r>
    </w:p>
    <w:p w14:paraId="44EB0A0A" w14:textId="523B152F" w:rsidR="00BF69C3" w:rsidRPr="00724CA2" w:rsidRDefault="00BF69C3" w:rsidP="008B1E39">
      <w:pPr>
        <w:autoSpaceDE w:val="0"/>
        <w:autoSpaceDN w:val="0"/>
        <w:adjustRightInd w:val="0"/>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Wang, M. </w:t>
      </w:r>
      <w:r w:rsidR="0023402D" w:rsidRPr="00724CA2">
        <w:rPr>
          <w:rFonts w:ascii="Times New Roman" w:hAnsi="Times New Roman" w:cs="Times New Roman"/>
          <w:bCs/>
          <w:color w:val="000000" w:themeColor="text1"/>
          <w:sz w:val="24"/>
          <w:szCs w:val="24"/>
          <w:shd w:val="clear" w:color="auto" w:fill="FFFFFF"/>
        </w:rPr>
        <w:t>&amp;</w:t>
      </w:r>
      <w:r w:rsidRPr="00724CA2">
        <w:rPr>
          <w:rFonts w:ascii="Times New Roman" w:hAnsi="Times New Roman" w:cs="Times New Roman"/>
          <w:bCs/>
          <w:color w:val="000000" w:themeColor="text1"/>
          <w:sz w:val="24"/>
          <w:szCs w:val="24"/>
        </w:rPr>
        <w:t xml:space="preserve"> Chen, Y. (2017). Does voluntary corporate social performance attract institutional investment? Evidence from China, C</w:t>
      </w:r>
      <w:r w:rsidRPr="00724CA2">
        <w:rPr>
          <w:rFonts w:ascii="Times New Roman" w:hAnsi="Times New Roman" w:cs="Times New Roman"/>
          <w:bCs/>
          <w:i/>
          <w:iCs/>
          <w:color w:val="000000" w:themeColor="text1"/>
          <w:sz w:val="24"/>
          <w:szCs w:val="24"/>
        </w:rPr>
        <w:t>orporate Governance: An International Review</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25</w:t>
      </w:r>
      <w:r w:rsidRPr="00724CA2">
        <w:rPr>
          <w:rFonts w:ascii="Times New Roman" w:hAnsi="Times New Roman" w:cs="Times New Roman"/>
          <w:bCs/>
          <w:color w:val="000000" w:themeColor="text1"/>
          <w:sz w:val="24"/>
          <w:szCs w:val="24"/>
        </w:rPr>
        <w:t>, 338</w:t>
      </w:r>
      <w:r w:rsidRPr="00724CA2">
        <w:rPr>
          <w:rFonts w:ascii="Times New Roman" w:eastAsia="AdvTTa9c1b374+20" w:hAnsi="Times New Roman" w:cs="Times New Roman"/>
          <w:bCs/>
          <w:color w:val="000000" w:themeColor="text1"/>
          <w:sz w:val="24"/>
          <w:szCs w:val="24"/>
        </w:rPr>
        <w:t>–</w:t>
      </w:r>
      <w:r w:rsidRPr="00724CA2">
        <w:rPr>
          <w:rFonts w:ascii="Times New Roman" w:hAnsi="Times New Roman" w:cs="Times New Roman"/>
          <w:bCs/>
          <w:color w:val="000000" w:themeColor="text1"/>
          <w:sz w:val="24"/>
          <w:szCs w:val="24"/>
        </w:rPr>
        <w:t>357.</w:t>
      </w:r>
    </w:p>
    <w:p w14:paraId="3FA8A010" w14:textId="2AF93E34" w:rsidR="002351DA" w:rsidRPr="00724CA2" w:rsidRDefault="002351DA" w:rsidP="008B1E39">
      <w:pPr>
        <w:autoSpaceDE w:val="0"/>
        <w:autoSpaceDN w:val="0"/>
        <w:adjustRightInd w:val="0"/>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shd w:val="clear" w:color="auto" w:fill="FFFFFF"/>
        </w:rPr>
        <w:t>Wang, X., Zou, H., Zheng, Y. &amp; Jiang, Z. (2019</w:t>
      </w:r>
      <w:r w:rsidR="007648FF" w:rsidRPr="00724CA2">
        <w:rPr>
          <w:rFonts w:ascii="Times New Roman" w:hAnsi="Times New Roman" w:cs="Times New Roman"/>
          <w:bCs/>
          <w:color w:val="000000" w:themeColor="text1"/>
          <w:sz w:val="24"/>
          <w:szCs w:val="24"/>
          <w:shd w:val="clear" w:color="auto" w:fill="FFFFFF"/>
        </w:rPr>
        <w:t>a</w:t>
      </w:r>
      <w:r w:rsidRPr="00724CA2">
        <w:rPr>
          <w:rFonts w:ascii="Times New Roman" w:hAnsi="Times New Roman" w:cs="Times New Roman"/>
          <w:bCs/>
          <w:color w:val="000000" w:themeColor="text1"/>
          <w:sz w:val="24"/>
          <w:szCs w:val="24"/>
          <w:shd w:val="clear" w:color="auto" w:fill="FFFFFF"/>
        </w:rPr>
        <w:t>). How will different types of industry policies and their mixes affect the innovation performance of wind power enterprises? Based on dual perspectives of regional innovation environment and enterprise ownership. </w:t>
      </w:r>
      <w:r w:rsidRPr="00724CA2">
        <w:rPr>
          <w:rFonts w:ascii="Times New Roman" w:hAnsi="Times New Roman" w:cs="Times New Roman"/>
          <w:bCs/>
          <w:i/>
          <w:iCs/>
          <w:color w:val="000000" w:themeColor="text1"/>
          <w:sz w:val="24"/>
          <w:szCs w:val="24"/>
          <w:shd w:val="clear" w:color="auto" w:fill="FFFFFF"/>
        </w:rPr>
        <w:t>Journal of Environmental Management</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251</w:t>
      </w:r>
      <w:r w:rsidRPr="00724CA2">
        <w:rPr>
          <w:rFonts w:ascii="Times New Roman" w:hAnsi="Times New Roman" w:cs="Times New Roman"/>
          <w:bCs/>
          <w:color w:val="000000" w:themeColor="text1"/>
          <w:sz w:val="24"/>
          <w:szCs w:val="24"/>
          <w:shd w:val="clear" w:color="auto" w:fill="FFFFFF"/>
        </w:rPr>
        <w:t>, 109586.</w:t>
      </w:r>
    </w:p>
    <w:p w14:paraId="3E937ADF" w14:textId="2F2C4A57" w:rsidR="00D11294" w:rsidRDefault="00D11294" w:rsidP="008B1E39">
      <w:pPr>
        <w:pStyle w:val="BodyText"/>
        <w:tabs>
          <w:tab w:val="left" w:pos="567"/>
          <w:tab w:val="left" w:pos="1520"/>
          <w:tab w:val="left" w:pos="1620"/>
        </w:tabs>
        <w:spacing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Wang, Y, Ashton, J.</w:t>
      </w:r>
      <w:r w:rsidR="006B1408"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color w:val="000000" w:themeColor="text1"/>
          <w:sz w:val="24"/>
          <w:szCs w:val="24"/>
        </w:rPr>
        <w:t xml:space="preserve">K. </w:t>
      </w:r>
      <w:r w:rsidR="00AB6C90" w:rsidRPr="00724CA2">
        <w:rPr>
          <w:rFonts w:ascii="Times New Roman" w:hAnsi="Times New Roman" w:cs="Times New Roman"/>
          <w:bCs/>
          <w:color w:val="000000" w:themeColor="text1"/>
          <w:sz w:val="24"/>
          <w:szCs w:val="24"/>
        </w:rPr>
        <w:t xml:space="preserve">&amp; </w:t>
      </w:r>
      <w:r w:rsidRPr="00724CA2">
        <w:rPr>
          <w:rFonts w:ascii="Times New Roman" w:hAnsi="Times New Roman" w:cs="Times New Roman"/>
          <w:bCs/>
          <w:color w:val="000000" w:themeColor="text1"/>
          <w:sz w:val="24"/>
          <w:szCs w:val="24"/>
        </w:rPr>
        <w:t>Jaafar, A. (2019</w:t>
      </w:r>
      <w:r w:rsidR="007648FF" w:rsidRPr="00724CA2">
        <w:rPr>
          <w:rFonts w:ascii="Times New Roman" w:hAnsi="Times New Roman" w:cs="Times New Roman"/>
          <w:bCs/>
          <w:color w:val="000000" w:themeColor="text1"/>
          <w:sz w:val="24"/>
          <w:szCs w:val="24"/>
        </w:rPr>
        <w:t>b</w:t>
      </w:r>
      <w:r w:rsidRPr="00724CA2">
        <w:rPr>
          <w:rFonts w:ascii="Times New Roman" w:hAnsi="Times New Roman" w:cs="Times New Roman"/>
          <w:bCs/>
          <w:color w:val="000000" w:themeColor="text1"/>
          <w:sz w:val="24"/>
          <w:szCs w:val="24"/>
        </w:rPr>
        <w:t xml:space="preserve">). Does mutual fund investment deter accounting fraud?, </w:t>
      </w:r>
      <w:r w:rsidRPr="00724CA2">
        <w:rPr>
          <w:rFonts w:ascii="Times New Roman" w:hAnsi="Times New Roman" w:cs="Times New Roman"/>
          <w:bCs/>
          <w:i/>
          <w:color w:val="000000" w:themeColor="text1"/>
          <w:sz w:val="24"/>
          <w:szCs w:val="24"/>
        </w:rPr>
        <w:t>Emerging Markets Review</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38</w:t>
      </w:r>
      <w:r w:rsidRPr="00724CA2">
        <w:rPr>
          <w:rFonts w:ascii="Times New Roman" w:hAnsi="Times New Roman" w:cs="Times New Roman"/>
          <w:bCs/>
          <w:color w:val="000000" w:themeColor="text1"/>
          <w:sz w:val="24"/>
          <w:szCs w:val="24"/>
        </w:rPr>
        <w:t xml:space="preserve">(1). 142-158.  </w:t>
      </w:r>
    </w:p>
    <w:p w14:paraId="3ADE22E9" w14:textId="1487058D" w:rsidR="00F322D0" w:rsidRPr="00F322D0" w:rsidRDefault="00F322D0" w:rsidP="008B1E39">
      <w:pPr>
        <w:pStyle w:val="BodyText"/>
        <w:tabs>
          <w:tab w:val="left" w:pos="567"/>
          <w:tab w:val="left" w:pos="1520"/>
          <w:tab w:val="left" w:pos="1620"/>
        </w:tabs>
        <w:spacing w:line="348" w:lineRule="auto"/>
        <w:jc w:val="both"/>
        <w:rPr>
          <w:rFonts w:ascii="Times New Roman" w:hAnsi="Times New Roman" w:cs="Times New Roman"/>
          <w:bCs/>
          <w:color w:val="000000" w:themeColor="text1"/>
          <w:sz w:val="24"/>
          <w:szCs w:val="24"/>
        </w:rPr>
      </w:pPr>
      <w:r w:rsidRPr="00F322D0">
        <w:rPr>
          <w:rFonts w:ascii="Times New Roman" w:hAnsi="Times New Roman" w:cs="Times New Roman"/>
          <w:color w:val="222222"/>
          <w:sz w:val="24"/>
          <w:szCs w:val="24"/>
          <w:shd w:val="clear" w:color="auto" w:fill="FFFFFF"/>
        </w:rPr>
        <w:t>Wang, Y., Ashton, J. K., &amp; Liu, J. (2024). Does the form of state ownership and political connections influence the incidence of financial statement fraud? </w:t>
      </w:r>
      <w:r w:rsidRPr="00F322D0">
        <w:rPr>
          <w:rFonts w:ascii="Times New Roman" w:hAnsi="Times New Roman" w:cs="Times New Roman"/>
          <w:i/>
          <w:iCs/>
          <w:color w:val="222222"/>
          <w:sz w:val="24"/>
          <w:szCs w:val="24"/>
          <w:shd w:val="clear" w:color="auto" w:fill="FFFFFF"/>
        </w:rPr>
        <w:t>The European Journal of Finance</w:t>
      </w:r>
      <w:r w:rsidRPr="00F322D0">
        <w:rPr>
          <w:rFonts w:ascii="Times New Roman" w:hAnsi="Times New Roman" w:cs="Times New Roman"/>
          <w:color w:val="222222"/>
          <w:sz w:val="24"/>
          <w:szCs w:val="24"/>
          <w:shd w:val="clear" w:color="auto" w:fill="FFFFFF"/>
        </w:rPr>
        <w:t>, 1-26.</w:t>
      </w:r>
      <w:r w:rsidR="00B93C6A">
        <w:rPr>
          <w:rFonts w:ascii="Times New Roman" w:hAnsi="Times New Roman" w:cs="Times New Roman"/>
          <w:color w:val="222222"/>
          <w:sz w:val="24"/>
          <w:szCs w:val="24"/>
          <w:shd w:val="clear" w:color="auto" w:fill="FFFFFF"/>
        </w:rPr>
        <w:t xml:space="preserve"> </w:t>
      </w:r>
      <w:r w:rsidR="00813629" w:rsidRPr="00813629">
        <w:rPr>
          <w:rFonts w:ascii="Times New Roman" w:hAnsi="Times New Roman" w:cs="Times New Roman"/>
          <w:color w:val="222222"/>
          <w:sz w:val="24"/>
          <w:szCs w:val="24"/>
          <w:shd w:val="clear" w:color="auto" w:fill="FFFFFF"/>
        </w:rPr>
        <w:t>https://doi.org/10.1080/1351847X.2024.2363421</w:t>
      </w:r>
    </w:p>
    <w:p w14:paraId="685FEECD" w14:textId="3C71E14F" w:rsidR="007811A9" w:rsidRPr="00724CA2" w:rsidRDefault="007811A9" w:rsidP="008B1E39">
      <w:pPr>
        <w:autoSpaceDE w:val="0"/>
        <w:autoSpaceDN w:val="0"/>
        <w:adjustRightInd w:val="0"/>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Wang, Y., Yu, M. &amp; Gao, S. (2021). Gender diversity and financial statement fraud. </w:t>
      </w:r>
      <w:r w:rsidRPr="00724CA2">
        <w:rPr>
          <w:rFonts w:ascii="Times New Roman" w:hAnsi="Times New Roman" w:cs="Times New Roman"/>
          <w:bCs/>
          <w:i/>
          <w:iCs/>
          <w:color w:val="000000" w:themeColor="text1"/>
          <w:sz w:val="24"/>
          <w:szCs w:val="24"/>
          <w:shd w:val="clear" w:color="auto" w:fill="FFFFFF"/>
        </w:rPr>
        <w:t xml:space="preserve">Journal of Accounting and Public Policy, </w:t>
      </w:r>
      <w:r w:rsidRPr="00724CA2">
        <w:rPr>
          <w:rFonts w:ascii="Times New Roman" w:hAnsi="Times New Roman" w:cs="Times New Roman"/>
          <w:bCs/>
          <w:color w:val="000000" w:themeColor="text1"/>
          <w:sz w:val="24"/>
          <w:szCs w:val="24"/>
          <w:shd w:val="clear" w:color="auto" w:fill="FFFFFF"/>
        </w:rPr>
        <w:t>106903.</w:t>
      </w:r>
    </w:p>
    <w:p w14:paraId="3F5D72AE" w14:textId="77DD7195" w:rsidR="00BF69C3" w:rsidRPr="00724CA2" w:rsidRDefault="00BF69C3"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Wang, Y. &amp; Zhang, Y. (2020). Do state subsidies increase corporate environmental spending? </w:t>
      </w:r>
      <w:r w:rsidRPr="00724CA2">
        <w:rPr>
          <w:rFonts w:ascii="Times New Roman" w:hAnsi="Times New Roman" w:cs="Times New Roman"/>
          <w:bCs/>
          <w:i/>
          <w:iCs/>
          <w:color w:val="000000" w:themeColor="text1"/>
          <w:sz w:val="24"/>
          <w:szCs w:val="24"/>
          <w:shd w:val="clear" w:color="auto" w:fill="FFFFFF"/>
        </w:rPr>
        <w:t>International Review of Financial Analysis</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72</w:t>
      </w:r>
      <w:r w:rsidRPr="00724CA2">
        <w:rPr>
          <w:rFonts w:ascii="Times New Roman" w:hAnsi="Times New Roman" w:cs="Times New Roman"/>
          <w:bCs/>
          <w:color w:val="000000" w:themeColor="text1"/>
          <w:sz w:val="24"/>
          <w:szCs w:val="24"/>
          <w:shd w:val="clear" w:color="auto" w:fill="FFFFFF"/>
        </w:rPr>
        <w:t>, 101592.</w:t>
      </w:r>
    </w:p>
    <w:p w14:paraId="0133D773" w14:textId="60958D16" w:rsidR="00723ACB" w:rsidRPr="00724CA2" w:rsidRDefault="00723ACB" w:rsidP="008B1E39">
      <w:pPr>
        <w:shd w:val="clear" w:color="auto" w:fill="FFFFFF"/>
        <w:spacing w:after="120" w:line="348" w:lineRule="auto"/>
        <w:jc w:val="both"/>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pPr>
      <w:bookmarkStart w:id="21" w:name="_Hlk75112500"/>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Wang Y.,</w:t>
      </w:r>
      <w:r w:rsidR="00726205"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xml:space="preserve"> </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Lin</w:t>
      </w:r>
      <w:r w:rsidR="00726205"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xml:space="preserve"> Y.,</w:t>
      </w:r>
      <w:r w:rsidR="00726205"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xml:space="preserve"> </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xml:space="preserve">Fu, X. </w:t>
      </w:r>
      <w:r w:rsidR="00726205"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xml:space="preserve">&amp; </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xml:space="preserve">Chen., S. (2023). Institutional ownership heterogeneity and ESG performance: Evidence from </w:t>
      </w:r>
      <w:r w:rsidR="00726205"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 xml:space="preserve">China, </w:t>
      </w:r>
      <w:r w:rsidRPr="00B93C6A">
        <w:rPr>
          <w:rFonts w:ascii="Times New Roman" w:eastAsia="Times New Roman" w:hAnsi="Times New Roman" w:cs="Times New Roman"/>
          <w:bCs/>
          <w:i/>
          <w:iCs/>
          <w:color w:val="000000" w:themeColor="text1"/>
          <w:sz w:val="24"/>
          <w:szCs w:val="24"/>
          <w:bdr w:val="none" w:sz="0" w:space="0" w:color="auto" w:frame="1"/>
          <w:shd w:val="clear" w:color="auto" w:fill="FFFFFF"/>
          <w:lang w:val="en-US" w:eastAsia="en-GB"/>
        </w:rPr>
        <w:t xml:space="preserve">Finance Research Letters, 51, </w:t>
      </w:r>
      <w:r w:rsidRPr="00724CA2">
        <w:rPr>
          <w:rFonts w:ascii="Times New Roman" w:eastAsia="Times New Roman" w:hAnsi="Times New Roman" w:cs="Times New Roman"/>
          <w:bCs/>
          <w:color w:val="000000" w:themeColor="text1"/>
          <w:sz w:val="24"/>
          <w:szCs w:val="24"/>
          <w:bdr w:val="none" w:sz="0" w:space="0" w:color="auto" w:frame="1"/>
          <w:shd w:val="clear" w:color="auto" w:fill="FFFFFF"/>
          <w:lang w:val="en-US" w:eastAsia="en-GB"/>
        </w:rPr>
        <w:t>103448.</w:t>
      </w:r>
    </w:p>
    <w:p w14:paraId="69F2A410" w14:textId="055B51D3" w:rsidR="008638A1" w:rsidRPr="00724CA2" w:rsidRDefault="00BF69C3"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Withisuphakorn, P. &amp; Jiraporn</w:t>
      </w:r>
      <w:bookmarkEnd w:id="21"/>
      <w:r w:rsidRPr="00724CA2">
        <w:rPr>
          <w:rFonts w:ascii="Times New Roman" w:hAnsi="Times New Roman" w:cs="Times New Roman"/>
          <w:bCs/>
          <w:color w:val="000000" w:themeColor="text1"/>
          <w:sz w:val="24"/>
          <w:szCs w:val="24"/>
          <w:shd w:val="clear" w:color="auto" w:fill="FFFFFF"/>
        </w:rPr>
        <w:t>, P. (2019). Deciphering the motives behind corporate social responsibility using managerial ownership: evidence from heteroskedastic identification. </w:t>
      </w:r>
      <w:r w:rsidRPr="00724CA2">
        <w:rPr>
          <w:rFonts w:ascii="Times New Roman" w:hAnsi="Times New Roman" w:cs="Times New Roman"/>
          <w:bCs/>
          <w:i/>
          <w:iCs/>
          <w:color w:val="000000" w:themeColor="text1"/>
          <w:sz w:val="24"/>
          <w:szCs w:val="24"/>
          <w:shd w:val="clear" w:color="auto" w:fill="FFFFFF"/>
        </w:rPr>
        <w:t>Applied Economics Letters</w:t>
      </w:r>
      <w:r w:rsidRPr="00724CA2">
        <w:rPr>
          <w:rFonts w:ascii="Times New Roman" w:hAnsi="Times New Roman" w:cs="Times New Roman"/>
          <w:bCs/>
          <w:color w:val="000000" w:themeColor="text1"/>
          <w:sz w:val="24"/>
          <w:szCs w:val="24"/>
          <w:shd w:val="clear" w:color="auto" w:fill="FFFFFF"/>
        </w:rPr>
        <w:t>, </w:t>
      </w:r>
      <w:r w:rsidRPr="00724CA2">
        <w:rPr>
          <w:rFonts w:ascii="Times New Roman" w:hAnsi="Times New Roman" w:cs="Times New Roman"/>
          <w:bCs/>
          <w:i/>
          <w:iCs/>
          <w:color w:val="000000" w:themeColor="text1"/>
          <w:sz w:val="24"/>
          <w:szCs w:val="24"/>
          <w:shd w:val="clear" w:color="auto" w:fill="FFFFFF"/>
        </w:rPr>
        <w:t>26</w:t>
      </w:r>
      <w:r w:rsidRPr="00724CA2">
        <w:rPr>
          <w:rFonts w:ascii="Times New Roman" w:hAnsi="Times New Roman" w:cs="Times New Roman"/>
          <w:bCs/>
          <w:color w:val="000000" w:themeColor="text1"/>
          <w:sz w:val="24"/>
          <w:szCs w:val="24"/>
          <w:shd w:val="clear" w:color="auto" w:fill="FFFFFF"/>
        </w:rPr>
        <w:t>(12), 963-970.</w:t>
      </w:r>
    </w:p>
    <w:p w14:paraId="727AC7BC" w14:textId="1299240A" w:rsidR="005633F1" w:rsidRPr="00724CA2" w:rsidRDefault="005633F1" w:rsidP="008B1E39">
      <w:pPr>
        <w:spacing w:after="120" w:line="348" w:lineRule="auto"/>
        <w:jc w:val="both"/>
        <w:rPr>
          <w:rFonts w:ascii="Times New Roman" w:hAnsi="Times New Roman" w:cs="Times New Roman"/>
          <w:bCs/>
          <w:color w:val="000000" w:themeColor="text1"/>
          <w:sz w:val="32"/>
          <w:szCs w:val="32"/>
          <w:shd w:val="clear" w:color="auto" w:fill="FFFFFF"/>
        </w:rPr>
      </w:pPr>
      <w:r w:rsidRPr="00724CA2">
        <w:rPr>
          <w:rFonts w:ascii="Times New Roman" w:hAnsi="Times New Roman" w:cs="Times New Roman"/>
          <w:color w:val="000000" w:themeColor="text1"/>
          <w:sz w:val="24"/>
          <w:szCs w:val="24"/>
          <w:shd w:val="clear" w:color="auto" w:fill="FFFFFF"/>
        </w:rPr>
        <w:t>Wu, W., Johan, S. A., &amp; Rui, O. M. (2016). Institutional investors, political connections, and the incidence of regulatory enforcement against corporate fraud. </w:t>
      </w:r>
      <w:r w:rsidRPr="00724CA2">
        <w:rPr>
          <w:rFonts w:ascii="Times New Roman" w:hAnsi="Times New Roman" w:cs="Times New Roman"/>
          <w:i/>
          <w:iCs/>
          <w:color w:val="000000" w:themeColor="text1"/>
          <w:sz w:val="24"/>
          <w:szCs w:val="24"/>
          <w:shd w:val="clear" w:color="auto" w:fill="FFFFFF"/>
        </w:rPr>
        <w:t>Journal of Business Ethics</w:t>
      </w:r>
      <w:r w:rsidRPr="00724CA2">
        <w:rPr>
          <w:rFonts w:ascii="Times New Roman" w:hAnsi="Times New Roman" w:cs="Times New Roman"/>
          <w:color w:val="000000" w:themeColor="text1"/>
          <w:sz w:val="24"/>
          <w:szCs w:val="24"/>
          <w:shd w:val="clear" w:color="auto" w:fill="FFFFFF"/>
        </w:rPr>
        <w:t>, </w:t>
      </w:r>
      <w:r w:rsidRPr="00724CA2">
        <w:rPr>
          <w:rFonts w:ascii="Times New Roman" w:hAnsi="Times New Roman" w:cs="Times New Roman"/>
          <w:i/>
          <w:iCs/>
          <w:color w:val="000000" w:themeColor="text1"/>
          <w:sz w:val="24"/>
          <w:szCs w:val="24"/>
          <w:shd w:val="clear" w:color="auto" w:fill="FFFFFF"/>
        </w:rPr>
        <w:t>134</w:t>
      </w:r>
      <w:r w:rsidRPr="00724CA2">
        <w:rPr>
          <w:rFonts w:ascii="Times New Roman" w:hAnsi="Times New Roman" w:cs="Times New Roman"/>
          <w:color w:val="000000" w:themeColor="text1"/>
          <w:sz w:val="24"/>
          <w:szCs w:val="24"/>
          <w:shd w:val="clear" w:color="auto" w:fill="FFFFFF"/>
        </w:rPr>
        <w:t>, 709-726.</w:t>
      </w:r>
    </w:p>
    <w:p w14:paraId="21BA6D38" w14:textId="1A1ED62B" w:rsidR="00E80540" w:rsidRPr="00724CA2" w:rsidRDefault="00E80540" w:rsidP="008B1E39">
      <w:pPr>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Xu, J., Zeng, S. Qi, S. </w:t>
      </w:r>
      <w:r w:rsidR="005E7BA5" w:rsidRPr="00724CA2">
        <w:rPr>
          <w:rFonts w:ascii="Times New Roman" w:hAnsi="Times New Roman" w:cs="Times New Roman"/>
          <w:bCs/>
          <w:color w:val="000000" w:themeColor="text1"/>
          <w:sz w:val="24"/>
          <w:szCs w:val="24"/>
        </w:rPr>
        <w:t xml:space="preserve">&amp; </w:t>
      </w:r>
      <w:r w:rsidRPr="00724CA2">
        <w:rPr>
          <w:rFonts w:ascii="Times New Roman" w:hAnsi="Times New Roman" w:cs="Times New Roman"/>
          <w:bCs/>
          <w:color w:val="000000" w:themeColor="text1"/>
          <w:sz w:val="24"/>
          <w:szCs w:val="24"/>
        </w:rPr>
        <w:t xml:space="preserve">Cui, J. (2023). Do </w:t>
      </w:r>
      <w:r w:rsidR="006407CD" w:rsidRPr="00724CA2">
        <w:rPr>
          <w:rFonts w:ascii="Times New Roman" w:hAnsi="Times New Roman" w:cs="Times New Roman"/>
          <w:bCs/>
          <w:color w:val="000000" w:themeColor="text1"/>
          <w:sz w:val="24"/>
          <w:szCs w:val="24"/>
        </w:rPr>
        <w:t xml:space="preserve">institutional investors </w:t>
      </w:r>
      <w:r w:rsidRPr="00724CA2">
        <w:rPr>
          <w:rFonts w:ascii="Times New Roman" w:hAnsi="Times New Roman" w:cs="Times New Roman"/>
          <w:bCs/>
          <w:color w:val="000000" w:themeColor="text1"/>
          <w:sz w:val="24"/>
          <w:szCs w:val="24"/>
        </w:rPr>
        <w:t>facilitate corporate environmental</w:t>
      </w:r>
      <w:r w:rsidR="006407CD" w:rsidRPr="00724CA2">
        <w:rPr>
          <w:rFonts w:ascii="Times New Roman" w:hAnsi="Times New Roman" w:cs="Times New Roman"/>
          <w:bCs/>
          <w:color w:val="000000" w:themeColor="text1"/>
          <w:sz w:val="24"/>
          <w:szCs w:val="24"/>
        </w:rPr>
        <w:t xml:space="preserve"> innovation</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Energy Economics</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1177</w:t>
      </w:r>
      <w:r w:rsidRPr="00724CA2">
        <w:rPr>
          <w:rFonts w:ascii="Times New Roman" w:hAnsi="Times New Roman" w:cs="Times New Roman"/>
          <w:bCs/>
          <w:color w:val="000000" w:themeColor="text1"/>
          <w:sz w:val="24"/>
          <w:szCs w:val="24"/>
        </w:rPr>
        <w:t xml:space="preserve">, 106472. </w:t>
      </w:r>
    </w:p>
    <w:p w14:paraId="7E2D9CE3" w14:textId="78CC4937" w:rsidR="00505EA2" w:rsidRPr="00724CA2" w:rsidRDefault="00505EA2" w:rsidP="008B1E39">
      <w:pPr>
        <w:spacing w:after="120" w:line="348" w:lineRule="auto"/>
        <w:jc w:val="both"/>
        <w:rPr>
          <w:rFonts w:ascii="Times New Roman" w:hAnsi="Times New Roman" w:cs="Times New Roman"/>
          <w:bCs/>
          <w:color w:val="000000" w:themeColor="text1"/>
          <w:sz w:val="24"/>
          <w:szCs w:val="24"/>
          <w:shd w:val="clear" w:color="auto" w:fill="FFFFFF"/>
        </w:rPr>
      </w:pPr>
      <w:r w:rsidRPr="00724CA2">
        <w:rPr>
          <w:rFonts w:ascii="Times New Roman" w:hAnsi="Times New Roman" w:cs="Times New Roman"/>
          <w:bCs/>
          <w:color w:val="000000" w:themeColor="text1"/>
          <w:sz w:val="24"/>
          <w:szCs w:val="24"/>
          <w:shd w:val="clear" w:color="auto" w:fill="FFFFFF"/>
        </w:rPr>
        <w:t>Yahia, N. B., Chalwati, A., Hmaied, D.</w:t>
      </w:r>
      <w:r w:rsidR="006B1408" w:rsidRPr="00724CA2">
        <w:rPr>
          <w:rFonts w:ascii="Times New Roman" w:hAnsi="Times New Roman" w:cs="Times New Roman"/>
          <w:bCs/>
          <w:color w:val="000000" w:themeColor="text1"/>
          <w:sz w:val="24"/>
          <w:szCs w:val="24"/>
          <w:shd w:val="clear" w:color="auto" w:fill="FFFFFF"/>
        </w:rPr>
        <w:t>,</w:t>
      </w:r>
      <w:r w:rsidRPr="00724CA2">
        <w:rPr>
          <w:rFonts w:ascii="Times New Roman" w:hAnsi="Times New Roman" w:cs="Times New Roman"/>
          <w:bCs/>
          <w:color w:val="000000" w:themeColor="text1"/>
          <w:sz w:val="24"/>
          <w:szCs w:val="24"/>
          <w:shd w:val="clear" w:color="auto" w:fill="FFFFFF"/>
        </w:rPr>
        <w:t xml:space="preserve"> Khizer, A. M. </w:t>
      </w:r>
      <w:r w:rsidR="005E7BA5" w:rsidRPr="00724CA2">
        <w:rPr>
          <w:rFonts w:ascii="Times New Roman" w:hAnsi="Times New Roman" w:cs="Times New Roman"/>
          <w:bCs/>
          <w:color w:val="000000" w:themeColor="text1"/>
          <w:sz w:val="24"/>
          <w:szCs w:val="24"/>
          <w:shd w:val="clear" w:color="auto" w:fill="FFFFFF"/>
        </w:rPr>
        <w:t>&amp;</w:t>
      </w:r>
      <w:r w:rsidRPr="00724CA2">
        <w:rPr>
          <w:rFonts w:ascii="Times New Roman" w:hAnsi="Times New Roman" w:cs="Times New Roman"/>
          <w:bCs/>
          <w:color w:val="000000" w:themeColor="text1"/>
          <w:sz w:val="24"/>
          <w:szCs w:val="24"/>
          <w:shd w:val="clear" w:color="auto" w:fill="FFFFFF"/>
        </w:rPr>
        <w:t xml:space="preserve"> Trabelsi, S. (2023). Do foreign institutions avoid investing in poorly CSR-performing firms? </w:t>
      </w:r>
      <w:r w:rsidRPr="00724CA2">
        <w:rPr>
          <w:rFonts w:ascii="Times New Roman" w:hAnsi="Times New Roman" w:cs="Times New Roman"/>
          <w:bCs/>
          <w:i/>
          <w:iCs/>
          <w:color w:val="000000" w:themeColor="text1"/>
          <w:sz w:val="24"/>
          <w:szCs w:val="24"/>
          <w:shd w:val="clear" w:color="auto" w:fill="FFFFFF"/>
        </w:rPr>
        <w:t>Journal of Banking and Finance</w:t>
      </w:r>
      <w:r w:rsidRPr="00724CA2">
        <w:rPr>
          <w:rFonts w:ascii="Times New Roman" w:hAnsi="Times New Roman" w:cs="Times New Roman"/>
          <w:bCs/>
          <w:color w:val="000000" w:themeColor="text1"/>
          <w:sz w:val="24"/>
          <w:szCs w:val="24"/>
          <w:shd w:val="clear" w:color="auto" w:fill="FFFFFF"/>
        </w:rPr>
        <w:t xml:space="preserve">, </w:t>
      </w:r>
      <w:r w:rsidRPr="00724CA2">
        <w:rPr>
          <w:rFonts w:ascii="Times New Roman" w:hAnsi="Times New Roman" w:cs="Times New Roman"/>
          <w:bCs/>
          <w:i/>
          <w:iCs/>
          <w:color w:val="000000" w:themeColor="text1"/>
          <w:sz w:val="24"/>
          <w:szCs w:val="24"/>
          <w:shd w:val="clear" w:color="auto" w:fill="FFFFFF"/>
        </w:rPr>
        <w:t>157</w:t>
      </w:r>
      <w:r w:rsidRPr="00724CA2">
        <w:rPr>
          <w:rFonts w:ascii="Times New Roman" w:hAnsi="Times New Roman" w:cs="Times New Roman"/>
          <w:bCs/>
          <w:color w:val="000000" w:themeColor="text1"/>
          <w:sz w:val="24"/>
          <w:szCs w:val="24"/>
          <w:shd w:val="clear" w:color="auto" w:fill="FFFFFF"/>
        </w:rPr>
        <w:t xml:space="preserve">, 107029. </w:t>
      </w:r>
    </w:p>
    <w:p w14:paraId="720F6C9C" w14:textId="33374CB2" w:rsidR="001B697E" w:rsidRDefault="000D593C" w:rsidP="008B1E39">
      <w:pPr>
        <w:autoSpaceDE w:val="0"/>
        <w:autoSpaceDN w:val="0"/>
        <w:adjustRightInd w:val="0"/>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Yan, S., Almandoz, J., </w:t>
      </w:r>
      <w:r w:rsidR="005E7BA5" w:rsidRPr="00724CA2">
        <w:rPr>
          <w:rFonts w:ascii="Times New Roman" w:hAnsi="Times New Roman" w:cs="Times New Roman"/>
          <w:bCs/>
          <w:color w:val="000000" w:themeColor="text1"/>
          <w:sz w:val="24"/>
          <w:szCs w:val="24"/>
        </w:rPr>
        <w:t>&amp;</w:t>
      </w:r>
      <w:r w:rsidRPr="00724CA2">
        <w:rPr>
          <w:rFonts w:ascii="Times New Roman" w:hAnsi="Times New Roman" w:cs="Times New Roman"/>
          <w:bCs/>
          <w:color w:val="000000" w:themeColor="text1"/>
          <w:sz w:val="24"/>
          <w:szCs w:val="24"/>
        </w:rPr>
        <w:t xml:space="preserve"> Ferraro, F. (2021). The </w:t>
      </w:r>
      <w:r w:rsidR="002A6535" w:rsidRPr="00724CA2">
        <w:rPr>
          <w:rFonts w:ascii="Times New Roman" w:hAnsi="Times New Roman" w:cs="Times New Roman"/>
          <w:bCs/>
          <w:color w:val="000000" w:themeColor="text1"/>
          <w:sz w:val="24"/>
          <w:szCs w:val="24"/>
        </w:rPr>
        <w:t>impact</w:t>
      </w:r>
      <w:r w:rsidRPr="00724CA2">
        <w:rPr>
          <w:rFonts w:ascii="Times New Roman" w:hAnsi="Times New Roman" w:cs="Times New Roman"/>
          <w:bCs/>
          <w:color w:val="000000" w:themeColor="text1"/>
          <w:sz w:val="24"/>
          <w:szCs w:val="24"/>
        </w:rPr>
        <w:t xml:space="preserve"> of Logic (In)</w:t>
      </w:r>
      <w:r w:rsidR="002A6535" w:rsidRPr="00724CA2">
        <w:rPr>
          <w:rFonts w:ascii="Times New Roman" w:hAnsi="Times New Roman" w:cs="Times New Roman"/>
          <w:bCs/>
          <w:color w:val="000000" w:themeColor="text1"/>
          <w:sz w:val="24"/>
          <w:szCs w:val="24"/>
        </w:rPr>
        <w:t>compatibility</w:t>
      </w:r>
      <w:r w:rsidRPr="00724CA2">
        <w:rPr>
          <w:rFonts w:ascii="Times New Roman" w:hAnsi="Times New Roman" w:cs="Times New Roman"/>
          <w:bCs/>
          <w:color w:val="000000" w:themeColor="text1"/>
          <w:sz w:val="24"/>
          <w:szCs w:val="24"/>
        </w:rPr>
        <w:t xml:space="preserve">: </w:t>
      </w:r>
      <w:r w:rsidR="002A6535" w:rsidRPr="00724CA2">
        <w:rPr>
          <w:rFonts w:ascii="Times New Roman" w:hAnsi="Times New Roman" w:cs="Times New Roman"/>
          <w:bCs/>
          <w:color w:val="000000" w:themeColor="text1"/>
          <w:sz w:val="24"/>
          <w:szCs w:val="24"/>
        </w:rPr>
        <w:t>green</w:t>
      </w:r>
      <w:r w:rsidRPr="00724CA2">
        <w:rPr>
          <w:rFonts w:ascii="Times New Roman" w:hAnsi="Times New Roman" w:cs="Times New Roman"/>
          <w:bCs/>
          <w:color w:val="000000" w:themeColor="text1"/>
          <w:sz w:val="24"/>
          <w:szCs w:val="24"/>
        </w:rPr>
        <w:t xml:space="preserve"> </w:t>
      </w:r>
      <w:r w:rsidR="002A6535" w:rsidRPr="00724CA2">
        <w:rPr>
          <w:rFonts w:ascii="Times New Roman" w:hAnsi="Times New Roman" w:cs="Times New Roman"/>
          <w:bCs/>
          <w:color w:val="000000" w:themeColor="text1"/>
          <w:sz w:val="24"/>
          <w:szCs w:val="24"/>
        </w:rPr>
        <w:t>investing, state policy, and corporate environmental performance</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Administrative Science Quarterly</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666</w:t>
      </w:r>
      <w:r w:rsidRPr="00724CA2">
        <w:rPr>
          <w:rFonts w:ascii="Times New Roman" w:hAnsi="Times New Roman" w:cs="Times New Roman"/>
          <w:bCs/>
          <w:color w:val="000000" w:themeColor="text1"/>
          <w:sz w:val="24"/>
          <w:szCs w:val="24"/>
        </w:rPr>
        <w:t xml:space="preserve">, 4, 1–42. </w:t>
      </w:r>
    </w:p>
    <w:p w14:paraId="6B79811F" w14:textId="4E06B30A" w:rsidR="007637D5" w:rsidRPr="001B697E" w:rsidRDefault="00A15E9E" w:rsidP="008B1E39">
      <w:pPr>
        <w:autoSpaceDE w:val="0"/>
        <w:autoSpaceDN w:val="0"/>
        <w:adjustRightInd w:val="0"/>
        <w:spacing w:after="120" w:line="348" w:lineRule="auto"/>
        <w:jc w:val="both"/>
        <w:rPr>
          <w:rFonts w:ascii="Times New Roman" w:hAnsi="Times New Roman" w:cs="Times New Roman"/>
          <w:bCs/>
          <w:color w:val="000000" w:themeColor="text1"/>
          <w:sz w:val="24"/>
          <w:szCs w:val="24"/>
        </w:rPr>
      </w:pPr>
      <w:r w:rsidRPr="00724CA2">
        <w:rPr>
          <w:rFonts w:ascii="Times New Roman" w:hAnsi="Times New Roman" w:cs="Times New Roman"/>
          <w:bCs/>
          <w:color w:val="000000" w:themeColor="text1"/>
          <w:sz w:val="24"/>
          <w:szCs w:val="24"/>
        </w:rPr>
        <w:t xml:space="preserve">Zhang, S., Wu, Z., Wang, Y. &amp; Hao, Y. (2021). Fostering green development with green finance: An empirical study on the environmental effect of green credit policy in China. </w:t>
      </w:r>
      <w:r w:rsidRPr="00724CA2">
        <w:rPr>
          <w:rFonts w:ascii="Times New Roman" w:hAnsi="Times New Roman" w:cs="Times New Roman"/>
          <w:bCs/>
          <w:i/>
          <w:iCs/>
          <w:color w:val="000000" w:themeColor="text1"/>
          <w:sz w:val="24"/>
          <w:szCs w:val="24"/>
        </w:rPr>
        <w:t>Journal of Environmental Management</w:t>
      </w:r>
      <w:r w:rsidRPr="00724CA2">
        <w:rPr>
          <w:rFonts w:ascii="Times New Roman" w:hAnsi="Times New Roman" w:cs="Times New Roman"/>
          <w:bCs/>
          <w:color w:val="000000" w:themeColor="text1"/>
          <w:sz w:val="24"/>
          <w:szCs w:val="24"/>
        </w:rPr>
        <w:t xml:space="preserve">, </w:t>
      </w:r>
      <w:r w:rsidRPr="00724CA2">
        <w:rPr>
          <w:rFonts w:ascii="Times New Roman" w:hAnsi="Times New Roman" w:cs="Times New Roman"/>
          <w:bCs/>
          <w:i/>
          <w:iCs/>
          <w:color w:val="000000" w:themeColor="text1"/>
          <w:sz w:val="24"/>
          <w:szCs w:val="24"/>
        </w:rPr>
        <w:t>296</w:t>
      </w:r>
      <w:r w:rsidRPr="00724CA2">
        <w:rPr>
          <w:rFonts w:ascii="Times New Roman" w:hAnsi="Times New Roman" w:cs="Times New Roman"/>
          <w:bCs/>
          <w:color w:val="000000" w:themeColor="text1"/>
          <w:sz w:val="24"/>
          <w:szCs w:val="24"/>
        </w:rPr>
        <w:t>, 113159.</w:t>
      </w:r>
      <w:r w:rsidR="007637D5" w:rsidRPr="00724CA2">
        <w:rPr>
          <w:rFonts w:ascii="Times New Roman" w:hAnsi="Times New Roman" w:cs="Times New Roman"/>
          <w:b/>
          <w:color w:val="000000" w:themeColor="text1"/>
        </w:rPr>
        <w:br w:type="page"/>
      </w:r>
    </w:p>
    <w:bookmarkEnd w:id="15"/>
    <w:bookmarkEnd w:id="16"/>
    <w:p w14:paraId="027FE663" w14:textId="3E93D44D" w:rsidR="00486C4A" w:rsidRPr="00724CA2" w:rsidRDefault="00486C4A" w:rsidP="00486C4A">
      <w:pPr>
        <w:spacing w:afterLines="30" w:after="72"/>
        <w:jc w:val="both"/>
        <w:rPr>
          <w:rFonts w:ascii="Times New Roman" w:hAnsi="Times New Roman" w:cs="Times New Roman"/>
          <w:color w:val="000000" w:themeColor="text1"/>
        </w:rPr>
      </w:pPr>
      <w:r w:rsidRPr="00724CA2">
        <w:rPr>
          <w:rFonts w:ascii="Times New Roman" w:hAnsi="Times New Roman" w:cs="Times New Roman"/>
          <w:b/>
          <w:color w:val="000000" w:themeColor="text1"/>
        </w:rPr>
        <w:t xml:space="preserve">Table 1 </w:t>
      </w:r>
      <w:r w:rsidRPr="00724CA2">
        <w:rPr>
          <w:rFonts w:ascii="Times New Roman" w:hAnsi="Times New Roman" w:cs="Times New Roman"/>
          <w:color w:val="000000" w:themeColor="text1"/>
        </w:rPr>
        <w:t>Variable definitions</w:t>
      </w:r>
    </w:p>
    <w:tbl>
      <w:tblPr>
        <w:tblStyle w:val="TableGrid"/>
        <w:tblW w:w="9948" w:type="dxa"/>
        <w:jc w:val="center"/>
        <w:tblBorders>
          <w:top w:val="thinThickSmallGap" w:sz="18" w:space="0" w:color="auto"/>
          <w:bottom w:val="thinThickSmallGap" w:sz="18" w:space="0" w:color="auto"/>
        </w:tblBorders>
        <w:tblLook w:val="04A0" w:firstRow="1" w:lastRow="0" w:firstColumn="1" w:lastColumn="0" w:noHBand="0" w:noVBand="1"/>
      </w:tblPr>
      <w:tblGrid>
        <w:gridCol w:w="1394"/>
        <w:gridCol w:w="2192"/>
        <w:gridCol w:w="6362"/>
      </w:tblGrid>
      <w:tr w:rsidR="00724CA2" w:rsidRPr="00724CA2" w14:paraId="240C1F51" w14:textId="77777777" w:rsidTr="00954B68">
        <w:trPr>
          <w:trHeight w:val="198"/>
          <w:jc w:val="center"/>
        </w:trPr>
        <w:tc>
          <w:tcPr>
            <w:tcW w:w="1394" w:type="dxa"/>
            <w:tcBorders>
              <w:top w:val="single" w:sz="12" w:space="0" w:color="auto"/>
              <w:bottom w:val="single" w:sz="4" w:space="0" w:color="auto"/>
              <w:right w:val="nil"/>
            </w:tcBorders>
            <w:vAlign w:val="center"/>
          </w:tcPr>
          <w:p w14:paraId="7FB6229A" w14:textId="77777777" w:rsidR="00486C4A" w:rsidRPr="00724CA2" w:rsidRDefault="00486C4A" w:rsidP="007B3E16">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Variable Type</w:t>
            </w:r>
          </w:p>
        </w:tc>
        <w:tc>
          <w:tcPr>
            <w:tcW w:w="2192" w:type="dxa"/>
            <w:tcBorders>
              <w:top w:val="single" w:sz="12" w:space="0" w:color="auto"/>
              <w:left w:val="nil"/>
              <w:bottom w:val="single" w:sz="4" w:space="0" w:color="auto"/>
              <w:right w:val="nil"/>
            </w:tcBorders>
            <w:vAlign w:val="center"/>
          </w:tcPr>
          <w:p w14:paraId="095A6876" w14:textId="77777777" w:rsidR="00486C4A" w:rsidRPr="00724CA2" w:rsidRDefault="00486C4A" w:rsidP="007B3E16">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Variable name</w:t>
            </w:r>
          </w:p>
        </w:tc>
        <w:tc>
          <w:tcPr>
            <w:tcW w:w="6362" w:type="dxa"/>
            <w:tcBorders>
              <w:top w:val="single" w:sz="12" w:space="0" w:color="auto"/>
              <w:left w:val="nil"/>
              <w:bottom w:val="single" w:sz="4" w:space="0" w:color="auto"/>
            </w:tcBorders>
            <w:vAlign w:val="center"/>
          </w:tcPr>
          <w:p w14:paraId="6C661A4E" w14:textId="77777777" w:rsidR="00486C4A" w:rsidRPr="00724CA2" w:rsidRDefault="00486C4A" w:rsidP="007B3E16">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Definition</w:t>
            </w:r>
          </w:p>
        </w:tc>
      </w:tr>
      <w:tr w:rsidR="00724CA2" w:rsidRPr="00724CA2" w14:paraId="595DE8DF" w14:textId="77777777" w:rsidTr="00954B68">
        <w:trPr>
          <w:trHeight w:val="373"/>
          <w:jc w:val="center"/>
        </w:trPr>
        <w:tc>
          <w:tcPr>
            <w:tcW w:w="1394" w:type="dxa"/>
            <w:tcBorders>
              <w:top w:val="single" w:sz="4" w:space="0" w:color="auto"/>
              <w:bottom w:val="single" w:sz="4" w:space="0" w:color="auto"/>
              <w:right w:val="nil"/>
            </w:tcBorders>
            <w:vAlign w:val="center"/>
          </w:tcPr>
          <w:p w14:paraId="001A3F5F" w14:textId="77777777" w:rsidR="00486C4A" w:rsidRPr="00724CA2" w:rsidRDefault="00486C4A" w:rsidP="007B3E16">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Dependent variable</w:t>
            </w:r>
          </w:p>
        </w:tc>
        <w:tc>
          <w:tcPr>
            <w:tcW w:w="2192" w:type="dxa"/>
            <w:tcBorders>
              <w:top w:val="single" w:sz="4" w:space="0" w:color="auto"/>
              <w:left w:val="nil"/>
              <w:bottom w:val="single" w:sz="4" w:space="0" w:color="auto"/>
              <w:right w:val="nil"/>
            </w:tcBorders>
            <w:vAlign w:val="center"/>
          </w:tcPr>
          <w:p w14:paraId="09FDC3EE" w14:textId="77777777" w:rsidR="00486C4A" w:rsidRPr="00724CA2" w:rsidRDefault="00486C4A" w:rsidP="007B3E16">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Environment spending</w:t>
            </w:r>
          </w:p>
        </w:tc>
        <w:tc>
          <w:tcPr>
            <w:tcW w:w="6362" w:type="dxa"/>
            <w:tcBorders>
              <w:top w:val="single" w:sz="4" w:space="0" w:color="auto"/>
              <w:left w:val="nil"/>
              <w:bottom w:val="single" w:sz="4" w:space="0" w:color="auto"/>
            </w:tcBorders>
            <w:vAlign w:val="center"/>
          </w:tcPr>
          <w:p w14:paraId="67523F93" w14:textId="534986A4" w:rsidR="00486C4A" w:rsidRPr="00724CA2" w:rsidRDefault="00486C4A" w:rsidP="007B3E16">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 xml:space="preserve">Natural logarithm of the firm’s </w:t>
            </w:r>
            <w:r w:rsidR="00312430" w:rsidRPr="00724CA2">
              <w:rPr>
                <w:rFonts w:ascii="Times New Roman" w:hAnsi="Times New Roman" w:cs="Times New Roman"/>
                <w:color w:val="000000" w:themeColor="text1"/>
                <w:sz w:val="21"/>
                <w:szCs w:val="21"/>
                <w:lang w:val="en-US"/>
              </w:rPr>
              <w:t xml:space="preserve">environmental spending. A firm’s environmental spending includes its spending on </w:t>
            </w:r>
            <w:r w:rsidR="00BF5851" w:rsidRPr="00724CA2">
              <w:rPr>
                <w:rFonts w:ascii="Times New Roman" w:hAnsi="Times New Roman" w:cs="Times New Roman"/>
                <w:color w:val="000000" w:themeColor="text1"/>
                <w:sz w:val="21"/>
                <w:szCs w:val="21"/>
                <w:lang w:val="en-US"/>
              </w:rPr>
              <w:t>sewage discharge, cleaning, landscaping, greening and environmental protection</w:t>
            </w:r>
          </w:p>
        </w:tc>
      </w:tr>
      <w:tr w:rsidR="00724CA2" w:rsidRPr="00724CA2" w14:paraId="1DC138C3" w14:textId="77777777" w:rsidTr="00954B68">
        <w:trPr>
          <w:trHeight w:val="453"/>
          <w:jc w:val="center"/>
        </w:trPr>
        <w:tc>
          <w:tcPr>
            <w:tcW w:w="1394" w:type="dxa"/>
            <w:vMerge w:val="restart"/>
            <w:tcBorders>
              <w:top w:val="single" w:sz="4" w:space="0" w:color="auto"/>
              <w:right w:val="nil"/>
            </w:tcBorders>
            <w:vAlign w:val="center"/>
          </w:tcPr>
          <w:p w14:paraId="02BB94F2" w14:textId="732AB49E" w:rsidR="00486C4A" w:rsidRPr="00724CA2" w:rsidRDefault="00486C4A" w:rsidP="007B3E16">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Main</w:t>
            </w:r>
            <w:r w:rsidR="008B1E39">
              <w:rPr>
                <w:rFonts w:ascii="Times New Roman" w:hAnsi="Times New Roman" w:cs="Times New Roman" w:hint="eastAsia"/>
                <w:color w:val="000000" w:themeColor="text1"/>
                <w:szCs w:val="21"/>
              </w:rPr>
              <w:t xml:space="preserve"> </w:t>
            </w:r>
            <w:r w:rsidRPr="00724CA2">
              <w:rPr>
                <w:rFonts w:ascii="Times New Roman" w:hAnsi="Times New Roman" w:cs="Times New Roman"/>
                <w:color w:val="000000" w:themeColor="text1"/>
                <w:szCs w:val="21"/>
              </w:rPr>
              <w:t>variables</w:t>
            </w:r>
          </w:p>
        </w:tc>
        <w:tc>
          <w:tcPr>
            <w:tcW w:w="2192" w:type="dxa"/>
            <w:tcBorders>
              <w:top w:val="single" w:sz="4" w:space="0" w:color="auto"/>
              <w:left w:val="nil"/>
              <w:bottom w:val="nil"/>
              <w:right w:val="nil"/>
            </w:tcBorders>
            <w:vAlign w:val="center"/>
          </w:tcPr>
          <w:p w14:paraId="714DCAE6" w14:textId="77777777" w:rsidR="00486C4A" w:rsidRPr="00724CA2" w:rsidRDefault="00486C4A" w:rsidP="007B3E16">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Mutual fund</w:t>
            </w:r>
          </w:p>
        </w:tc>
        <w:tc>
          <w:tcPr>
            <w:tcW w:w="6362" w:type="dxa"/>
            <w:tcBorders>
              <w:top w:val="single" w:sz="4" w:space="0" w:color="auto"/>
              <w:left w:val="nil"/>
              <w:bottom w:val="nil"/>
            </w:tcBorders>
            <w:vAlign w:val="center"/>
          </w:tcPr>
          <w:p w14:paraId="506DC23B" w14:textId="77777777" w:rsidR="00486C4A" w:rsidRPr="00724CA2" w:rsidRDefault="00486C4A" w:rsidP="007B3E16">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The proportion of shares held by mutual funds</w:t>
            </w:r>
          </w:p>
        </w:tc>
      </w:tr>
      <w:tr w:rsidR="00724CA2" w:rsidRPr="00724CA2" w14:paraId="68493B44" w14:textId="77777777" w:rsidTr="00954B68">
        <w:trPr>
          <w:trHeight w:val="261"/>
          <w:jc w:val="center"/>
        </w:trPr>
        <w:tc>
          <w:tcPr>
            <w:tcW w:w="1394" w:type="dxa"/>
            <w:vMerge/>
            <w:tcBorders>
              <w:right w:val="nil"/>
            </w:tcBorders>
            <w:vAlign w:val="center"/>
          </w:tcPr>
          <w:p w14:paraId="18AB56D3" w14:textId="77777777" w:rsidR="00486C4A" w:rsidRPr="00724CA2" w:rsidRDefault="00486C4A" w:rsidP="007B3E16">
            <w:pPr>
              <w:spacing w:line="216" w:lineRule="auto"/>
              <w:jc w:val="both"/>
              <w:rPr>
                <w:rFonts w:ascii="Times New Roman" w:hAnsi="Times New Roman" w:cs="Times New Roman"/>
                <w:color w:val="000000" w:themeColor="text1"/>
                <w:sz w:val="21"/>
                <w:szCs w:val="21"/>
                <w:lang w:val="en-US"/>
              </w:rPr>
            </w:pPr>
          </w:p>
        </w:tc>
        <w:tc>
          <w:tcPr>
            <w:tcW w:w="2192" w:type="dxa"/>
            <w:tcBorders>
              <w:top w:val="nil"/>
              <w:left w:val="nil"/>
              <w:bottom w:val="nil"/>
              <w:right w:val="nil"/>
            </w:tcBorders>
            <w:vAlign w:val="center"/>
          </w:tcPr>
          <w:p w14:paraId="002EA929" w14:textId="77777777" w:rsidR="00486C4A" w:rsidRPr="00724CA2" w:rsidRDefault="00486C4A" w:rsidP="007B3E16">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SOEs</w:t>
            </w:r>
          </w:p>
        </w:tc>
        <w:tc>
          <w:tcPr>
            <w:tcW w:w="6362" w:type="dxa"/>
            <w:tcBorders>
              <w:top w:val="nil"/>
              <w:left w:val="nil"/>
              <w:bottom w:val="nil"/>
            </w:tcBorders>
            <w:vAlign w:val="center"/>
          </w:tcPr>
          <w:p w14:paraId="191C2878" w14:textId="77777777" w:rsidR="00486C4A" w:rsidRPr="00724CA2" w:rsidRDefault="00486C4A" w:rsidP="007B3E16">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A dummy variable equals one if the ultimate controller of a listed firm is state or state agencies and zero otherwise</w:t>
            </w:r>
          </w:p>
        </w:tc>
      </w:tr>
      <w:tr w:rsidR="00724CA2" w:rsidRPr="00724CA2" w14:paraId="3BAC4C69" w14:textId="77777777" w:rsidTr="00954B68">
        <w:trPr>
          <w:trHeight w:val="261"/>
          <w:jc w:val="center"/>
        </w:trPr>
        <w:tc>
          <w:tcPr>
            <w:tcW w:w="1394" w:type="dxa"/>
            <w:vMerge/>
            <w:tcBorders>
              <w:right w:val="nil"/>
            </w:tcBorders>
            <w:vAlign w:val="center"/>
          </w:tcPr>
          <w:p w14:paraId="5C738656" w14:textId="77777777" w:rsidR="00486C4A" w:rsidRPr="00724CA2" w:rsidRDefault="00486C4A" w:rsidP="007B3E16">
            <w:pPr>
              <w:spacing w:line="216" w:lineRule="auto"/>
              <w:jc w:val="both"/>
              <w:rPr>
                <w:rFonts w:ascii="Times New Roman" w:hAnsi="Times New Roman" w:cs="Times New Roman"/>
                <w:color w:val="000000" w:themeColor="text1"/>
                <w:szCs w:val="21"/>
              </w:rPr>
            </w:pPr>
          </w:p>
        </w:tc>
        <w:tc>
          <w:tcPr>
            <w:tcW w:w="2192" w:type="dxa"/>
            <w:tcBorders>
              <w:top w:val="nil"/>
              <w:left w:val="nil"/>
              <w:bottom w:val="nil"/>
              <w:right w:val="nil"/>
            </w:tcBorders>
            <w:vAlign w:val="center"/>
          </w:tcPr>
          <w:p w14:paraId="56F56D1A" w14:textId="77777777" w:rsidR="00486C4A" w:rsidRPr="00724CA2" w:rsidRDefault="00486C4A" w:rsidP="007B3E16">
            <w:pPr>
              <w:spacing w:line="216" w:lineRule="auto"/>
              <w:jc w:val="both"/>
              <w:rPr>
                <w:rFonts w:ascii="Times New Roman" w:hAnsi="Times New Roman" w:cs="Times New Roman"/>
                <w:color w:val="000000" w:themeColor="text1"/>
                <w:szCs w:val="21"/>
              </w:rPr>
            </w:pPr>
            <w:r w:rsidRPr="00724CA2">
              <w:rPr>
                <w:rFonts w:ascii="Times New Roman" w:hAnsi="Times New Roman" w:cs="Times New Roman"/>
                <w:color w:val="000000" w:themeColor="text1"/>
                <w:szCs w:val="21"/>
              </w:rPr>
              <w:t>Legal environment</w:t>
            </w:r>
          </w:p>
        </w:tc>
        <w:tc>
          <w:tcPr>
            <w:tcW w:w="6362" w:type="dxa"/>
            <w:tcBorders>
              <w:top w:val="nil"/>
              <w:left w:val="nil"/>
              <w:bottom w:val="nil"/>
            </w:tcBorders>
            <w:vAlign w:val="center"/>
          </w:tcPr>
          <w:p w14:paraId="206772D0" w14:textId="77777777" w:rsidR="00486C4A" w:rsidRPr="00724CA2" w:rsidRDefault="00486C4A" w:rsidP="007B3E16">
            <w:pPr>
              <w:spacing w:line="216" w:lineRule="auto"/>
              <w:jc w:val="both"/>
              <w:rPr>
                <w:rFonts w:ascii="Times New Roman" w:hAnsi="Times New Roman" w:cs="Times New Roman"/>
                <w:color w:val="000000" w:themeColor="text1"/>
                <w:szCs w:val="21"/>
              </w:rPr>
            </w:pPr>
            <w:r w:rsidRPr="00724CA2">
              <w:rPr>
                <w:rFonts w:ascii="Times New Roman" w:hAnsi="Times New Roman" w:cs="Times New Roman"/>
                <w:color w:val="000000" w:themeColor="text1"/>
                <w:szCs w:val="21"/>
              </w:rPr>
              <w:t>The legal environment index in a province where a listed firm is located. The index is developed by China’s National Economics Research Institute</w:t>
            </w:r>
          </w:p>
        </w:tc>
      </w:tr>
      <w:tr w:rsidR="00724CA2" w:rsidRPr="00724CA2" w14:paraId="69E4D18A" w14:textId="77777777" w:rsidTr="00954B68">
        <w:trPr>
          <w:trHeight w:val="261"/>
          <w:jc w:val="center"/>
        </w:trPr>
        <w:tc>
          <w:tcPr>
            <w:tcW w:w="1394" w:type="dxa"/>
            <w:vMerge/>
            <w:tcBorders>
              <w:right w:val="nil"/>
            </w:tcBorders>
            <w:vAlign w:val="center"/>
          </w:tcPr>
          <w:p w14:paraId="5BFC307C" w14:textId="77777777" w:rsidR="00486C4A" w:rsidRPr="00724CA2" w:rsidRDefault="00486C4A" w:rsidP="007B3E16">
            <w:pPr>
              <w:spacing w:line="216" w:lineRule="auto"/>
              <w:jc w:val="both"/>
              <w:rPr>
                <w:rFonts w:ascii="Times New Roman" w:hAnsi="Times New Roman" w:cs="Times New Roman"/>
                <w:color w:val="000000" w:themeColor="text1"/>
                <w:szCs w:val="21"/>
              </w:rPr>
            </w:pPr>
          </w:p>
        </w:tc>
        <w:tc>
          <w:tcPr>
            <w:tcW w:w="2192" w:type="dxa"/>
            <w:tcBorders>
              <w:top w:val="nil"/>
              <w:left w:val="nil"/>
              <w:bottom w:val="nil"/>
              <w:right w:val="nil"/>
            </w:tcBorders>
            <w:vAlign w:val="center"/>
          </w:tcPr>
          <w:p w14:paraId="74DCE4CD" w14:textId="77777777" w:rsidR="00486C4A" w:rsidRPr="00724CA2" w:rsidRDefault="00486C4A" w:rsidP="007B3E16">
            <w:pPr>
              <w:spacing w:line="216" w:lineRule="auto"/>
              <w:jc w:val="both"/>
              <w:rPr>
                <w:rFonts w:ascii="Times New Roman" w:hAnsi="Times New Roman" w:cs="Times New Roman"/>
                <w:color w:val="000000" w:themeColor="text1"/>
                <w:szCs w:val="21"/>
              </w:rPr>
            </w:pPr>
            <w:r w:rsidRPr="00724CA2">
              <w:rPr>
                <w:rFonts w:ascii="Times New Roman" w:hAnsi="Times New Roman" w:cs="Times New Roman"/>
                <w:color w:val="000000" w:themeColor="text1"/>
                <w:szCs w:val="21"/>
              </w:rPr>
              <w:t>Green questions</w:t>
            </w:r>
          </w:p>
        </w:tc>
        <w:tc>
          <w:tcPr>
            <w:tcW w:w="6362" w:type="dxa"/>
            <w:tcBorders>
              <w:top w:val="nil"/>
              <w:left w:val="nil"/>
              <w:bottom w:val="nil"/>
            </w:tcBorders>
            <w:vAlign w:val="center"/>
          </w:tcPr>
          <w:p w14:paraId="594291EB" w14:textId="77777777" w:rsidR="00486C4A" w:rsidRPr="00724CA2" w:rsidRDefault="00486C4A" w:rsidP="007B3E16">
            <w:pPr>
              <w:spacing w:line="216" w:lineRule="auto"/>
              <w:jc w:val="both"/>
              <w:rPr>
                <w:rFonts w:ascii="Times New Roman" w:hAnsi="Times New Roman" w:cs="Times New Roman"/>
                <w:color w:val="000000" w:themeColor="text1"/>
                <w:szCs w:val="21"/>
              </w:rPr>
            </w:pPr>
            <w:r w:rsidRPr="00724CA2">
              <w:rPr>
                <w:rFonts w:ascii="Times New Roman" w:hAnsi="Times New Roman" w:cs="Times New Roman"/>
                <w:color w:val="000000" w:themeColor="text1"/>
                <w:szCs w:val="21"/>
              </w:rPr>
              <w:t>The total number of ‘green’ questions that a firm was asked to the total number of questions raised by investors during the firm’s annual general meeting.</w:t>
            </w:r>
          </w:p>
        </w:tc>
      </w:tr>
      <w:tr w:rsidR="00724CA2" w:rsidRPr="00724CA2" w14:paraId="3C746023" w14:textId="77777777" w:rsidTr="00954B68">
        <w:trPr>
          <w:trHeight w:val="261"/>
          <w:jc w:val="center"/>
        </w:trPr>
        <w:tc>
          <w:tcPr>
            <w:tcW w:w="1394" w:type="dxa"/>
            <w:vMerge/>
            <w:tcBorders>
              <w:bottom w:val="single" w:sz="4" w:space="0" w:color="auto"/>
              <w:right w:val="nil"/>
            </w:tcBorders>
            <w:vAlign w:val="center"/>
          </w:tcPr>
          <w:p w14:paraId="0A478DED" w14:textId="77777777" w:rsidR="00486C4A" w:rsidRPr="00724CA2" w:rsidRDefault="00486C4A" w:rsidP="007B3E16">
            <w:pPr>
              <w:spacing w:line="216" w:lineRule="auto"/>
              <w:jc w:val="both"/>
              <w:rPr>
                <w:rFonts w:ascii="Times New Roman" w:hAnsi="Times New Roman" w:cs="Times New Roman"/>
                <w:color w:val="000000" w:themeColor="text1"/>
                <w:szCs w:val="21"/>
              </w:rPr>
            </w:pPr>
          </w:p>
        </w:tc>
        <w:tc>
          <w:tcPr>
            <w:tcW w:w="2192" w:type="dxa"/>
            <w:tcBorders>
              <w:top w:val="nil"/>
              <w:left w:val="nil"/>
              <w:bottom w:val="single" w:sz="4" w:space="0" w:color="auto"/>
              <w:right w:val="nil"/>
            </w:tcBorders>
            <w:vAlign w:val="center"/>
          </w:tcPr>
          <w:p w14:paraId="761C7B0F" w14:textId="77777777" w:rsidR="00486C4A" w:rsidRPr="00724CA2" w:rsidRDefault="00486C4A" w:rsidP="007B3E16">
            <w:pPr>
              <w:spacing w:line="216" w:lineRule="auto"/>
              <w:jc w:val="both"/>
              <w:rPr>
                <w:rFonts w:ascii="Times New Roman" w:hAnsi="Times New Roman" w:cs="Times New Roman"/>
                <w:color w:val="000000" w:themeColor="text1"/>
                <w:szCs w:val="21"/>
              </w:rPr>
            </w:pPr>
            <w:r w:rsidRPr="00724CA2">
              <w:rPr>
                <w:rFonts w:ascii="Times New Roman" w:hAnsi="Times New Roman" w:cs="Times New Roman"/>
                <w:color w:val="000000" w:themeColor="text1"/>
                <w:szCs w:val="21"/>
              </w:rPr>
              <w:t>Green board</w:t>
            </w:r>
          </w:p>
        </w:tc>
        <w:tc>
          <w:tcPr>
            <w:tcW w:w="6362" w:type="dxa"/>
            <w:tcBorders>
              <w:top w:val="nil"/>
              <w:left w:val="nil"/>
              <w:bottom w:val="single" w:sz="4" w:space="0" w:color="auto"/>
            </w:tcBorders>
            <w:vAlign w:val="center"/>
          </w:tcPr>
          <w:p w14:paraId="39AEA6C2" w14:textId="285B94F5" w:rsidR="00486C4A" w:rsidRPr="00724CA2" w:rsidRDefault="00486C4A" w:rsidP="007B3E16">
            <w:pPr>
              <w:spacing w:line="216" w:lineRule="auto"/>
              <w:jc w:val="both"/>
              <w:rPr>
                <w:rFonts w:ascii="Times New Roman" w:hAnsi="Times New Roman" w:cs="Times New Roman"/>
                <w:color w:val="000000" w:themeColor="text1"/>
                <w:szCs w:val="21"/>
              </w:rPr>
            </w:pPr>
            <w:r w:rsidRPr="00724CA2">
              <w:rPr>
                <w:rFonts w:ascii="Times New Roman" w:hAnsi="Times New Roman" w:cs="Times New Roman"/>
                <w:color w:val="000000" w:themeColor="text1"/>
                <w:szCs w:val="21"/>
              </w:rPr>
              <w:t xml:space="preserve">The number of board members who have the ‘green’ working experience or </w:t>
            </w:r>
            <w:r w:rsidR="0034638C" w:rsidRPr="00724CA2">
              <w:rPr>
                <w:rFonts w:ascii="Times New Roman" w:hAnsi="Times New Roman" w:cs="Times New Roman"/>
                <w:color w:val="000000" w:themeColor="text1"/>
                <w:szCs w:val="21"/>
              </w:rPr>
              <w:t>an</w:t>
            </w:r>
            <w:r w:rsidRPr="00724CA2">
              <w:rPr>
                <w:rFonts w:ascii="Times New Roman" w:hAnsi="Times New Roman" w:cs="Times New Roman"/>
                <w:color w:val="000000" w:themeColor="text1"/>
                <w:szCs w:val="21"/>
              </w:rPr>
              <w:t xml:space="preserve"> </w:t>
            </w:r>
            <w:r w:rsidR="0034638C" w:rsidRPr="00724CA2">
              <w:rPr>
                <w:rFonts w:ascii="Times New Roman" w:hAnsi="Times New Roman" w:cs="Times New Roman"/>
                <w:color w:val="000000" w:themeColor="text1"/>
                <w:szCs w:val="21"/>
              </w:rPr>
              <w:t xml:space="preserve">environmentally orientated </w:t>
            </w:r>
            <w:r w:rsidRPr="00724CA2">
              <w:rPr>
                <w:rFonts w:ascii="Times New Roman" w:hAnsi="Times New Roman" w:cs="Times New Roman"/>
                <w:color w:val="000000" w:themeColor="text1"/>
                <w:szCs w:val="21"/>
              </w:rPr>
              <w:t>academic degree.</w:t>
            </w:r>
          </w:p>
          <w:p w14:paraId="3DA9F6F8" w14:textId="60F4A716" w:rsidR="0035212D" w:rsidRPr="00724CA2" w:rsidRDefault="0035212D" w:rsidP="007B3E16">
            <w:pPr>
              <w:spacing w:line="216" w:lineRule="auto"/>
              <w:jc w:val="both"/>
              <w:rPr>
                <w:rFonts w:ascii="Times New Roman" w:hAnsi="Times New Roman" w:cs="Times New Roman"/>
                <w:color w:val="000000" w:themeColor="text1"/>
                <w:szCs w:val="21"/>
              </w:rPr>
            </w:pPr>
            <w:r w:rsidRPr="00724CA2">
              <w:rPr>
                <w:rFonts w:ascii="Times New Roman" w:hAnsi="Times New Roman" w:cs="Times New Roman"/>
                <w:color w:val="000000" w:themeColor="text1"/>
              </w:rPr>
              <w:t xml:space="preserve">Green working experience or academic degree is identified through checking the following keywords in the </w:t>
            </w:r>
            <w:r w:rsidR="006A630C" w:rsidRPr="00724CA2">
              <w:rPr>
                <w:rFonts w:ascii="Times New Roman" w:hAnsi="Times New Roman" w:cs="Times New Roman" w:hint="eastAsia"/>
                <w:color w:val="000000" w:themeColor="text1"/>
              </w:rPr>
              <w:t>publi</w:t>
            </w:r>
            <w:r w:rsidR="006A630C" w:rsidRPr="00724CA2">
              <w:rPr>
                <w:rFonts w:ascii="Times New Roman" w:hAnsi="Times New Roman" w:cs="Times New Roman"/>
                <w:color w:val="000000" w:themeColor="text1"/>
              </w:rPr>
              <w:t>cly disclosed</w:t>
            </w:r>
            <w:r w:rsidR="00D23274" w:rsidRPr="00724CA2">
              <w:rPr>
                <w:rFonts w:ascii="Times New Roman" w:hAnsi="Times New Roman" w:cs="Times New Roman"/>
                <w:color w:val="000000" w:themeColor="text1"/>
              </w:rPr>
              <w:t xml:space="preserve"> working and educational</w:t>
            </w:r>
            <w:r w:rsidRPr="00724CA2">
              <w:rPr>
                <w:rFonts w:ascii="Times New Roman" w:hAnsi="Times New Roman" w:cs="Times New Roman"/>
                <w:color w:val="000000" w:themeColor="text1"/>
              </w:rPr>
              <w:t xml:space="preserve"> background</w:t>
            </w:r>
            <w:r w:rsidR="00D23274" w:rsidRPr="00724CA2">
              <w:rPr>
                <w:rFonts w:ascii="Times New Roman" w:hAnsi="Times New Roman" w:cs="Times New Roman"/>
                <w:color w:val="000000" w:themeColor="text1"/>
              </w:rPr>
              <w:t xml:space="preserve"> of board members</w:t>
            </w:r>
            <w:r w:rsidRPr="00724CA2">
              <w:rPr>
                <w:rFonts w:ascii="Times New Roman" w:hAnsi="Times New Roman" w:cs="Times New Roman"/>
                <w:color w:val="000000" w:themeColor="text1"/>
              </w:rPr>
              <w:t>, i.e., environment, ecology, energy, energy saving, green, sustainability, pollution reduction, and biological.</w:t>
            </w:r>
          </w:p>
        </w:tc>
      </w:tr>
      <w:tr w:rsidR="00724CA2" w:rsidRPr="00724CA2" w14:paraId="4D0B3AF6" w14:textId="77777777" w:rsidTr="00312430">
        <w:trPr>
          <w:trHeight w:val="261"/>
          <w:jc w:val="center"/>
        </w:trPr>
        <w:tc>
          <w:tcPr>
            <w:tcW w:w="1394" w:type="dxa"/>
            <w:vMerge w:val="restart"/>
            <w:tcBorders>
              <w:top w:val="single" w:sz="4" w:space="0" w:color="auto"/>
              <w:right w:val="nil"/>
            </w:tcBorders>
            <w:vAlign w:val="center"/>
          </w:tcPr>
          <w:p w14:paraId="5798E299" w14:textId="77777777" w:rsidR="00486C4A" w:rsidRPr="00724CA2" w:rsidRDefault="00486C4A" w:rsidP="007B3E16">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Control variables</w:t>
            </w:r>
          </w:p>
        </w:tc>
        <w:tc>
          <w:tcPr>
            <w:tcW w:w="2192" w:type="dxa"/>
            <w:tcBorders>
              <w:top w:val="single" w:sz="4" w:space="0" w:color="auto"/>
              <w:left w:val="nil"/>
              <w:bottom w:val="nil"/>
              <w:right w:val="nil"/>
            </w:tcBorders>
            <w:vAlign w:val="center"/>
          </w:tcPr>
          <w:p w14:paraId="1F39F727" w14:textId="3E3B5327" w:rsidR="00486C4A" w:rsidRPr="00724CA2" w:rsidRDefault="00BF5851" w:rsidP="007B3E16">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hint="eastAsia"/>
                <w:color w:val="000000" w:themeColor="text1"/>
                <w:sz w:val="21"/>
                <w:szCs w:val="21"/>
                <w:lang w:val="en-US"/>
              </w:rPr>
              <w:t>S</w:t>
            </w:r>
            <w:r w:rsidRPr="00724CA2">
              <w:rPr>
                <w:rFonts w:ascii="Times New Roman" w:hAnsi="Times New Roman" w:cs="Times New Roman"/>
                <w:color w:val="000000" w:themeColor="text1"/>
                <w:sz w:val="21"/>
                <w:szCs w:val="21"/>
                <w:lang w:val="en-US"/>
              </w:rPr>
              <w:t>ociety</w:t>
            </w:r>
          </w:p>
        </w:tc>
        <w:tc>
          <w:tcPr>
            <w:tcW w:w="6362" w:type="dxa"/>
            <w:tcBorders>
              <w:top w:val="single" w:sz="4" w:space="0" w:color="auto"/>
              <w:left w:val="nil"/>
              <w:bottom w:val="nil"/>
            </w:tcBorders>
            <w:vAlign w:val="center"/>
          </w:tcPr>
          <w:p w14:paraId="0DCB5868" w14:textId="38CB393C" w:rsidR="00486C4A" w:rsidRPr="00724CA2" w:rsidRDefault="00BF5851" w:rsidP="007B3E16">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hint="eastAsia"/>
                <w:color w:val="000000" w:themeColor="text1"/>
                <w:sz w:val="21"/>
                <w:szCs w:val="21"/>
                <w:lang w:val="en-US"/>
              </w:rPr>
              <w:t>A</w:t>
            </w:r>
            <w:r w:rsidRPr="00724CA2">
              <w:rPr>
                <w:rFonts w:ascii="Times New Roman" w:hAnsi="Times New Roman" w:cs="Times New Roman"/>
                <w:color w:val="000000" w:themeColor="text1"/>
                <w:sz w:val="21"/>
                <w:szCs w:val="21"/>
                <w:lang w:val="en-US"/>
              </w:rPr>
              <w:t xml:space="preserve"> firm’s overall society pillar score </w:t>
            </w:r>
          </w:p>
        </w:tc>
      </w:tr>
      <w:tr w:rsidR="00724CA2" w:rsidRPr="00724CA2" w14:paraId="36F82A41" w14:textId="77777777" w:rsidTr="00312430">
        <w:trPr>
          <w:trHeight w:val="261"/>
          <w:jc w:val="center"/>
        </w:trPr>
        <w:tc>
          <w:tcPr>
            <w:tcW w:w="1394" w:type="dxa"/>
            <w:vMerge/>
            <w:tcBorders>
              <w:top w:val="single" w:sz="4" w:space="0" w:color="auto"/>
              <w:right w:val="nil"/>
            </w:tcBorders>
            <w:vAlign w:val="center"/>
          </w:tcPr>
          <w:p w14:paraId="518097F7" w14:textId="77777777" w:rsidR="00BF5851" w:rsidRPr="00724CA2" w:rsidRDefault="00BF5851" w:rsidP="00BF5851">
            <w:pPr>
              <w:spacing w:line="216" w:lineRule="auto"/>
              <w:jc w:val="both"/>
              <w:rPr>
                <w:rFonts w:ascii="Times New Roman" w:hAnsi="Times New Roman" w:cs="Times New Roman"/>
                <w:color w:val="000000" w:themeColor="text1"/>
                <w:szCs w:val="21"/>
              </w:rPr>
            </w:pPr>
          </w:p>
        </w:tc>
        <w:tc>
          <w:tcPr>
            <w:tcW w:w="2192" w:type="dxa"/>
            <w:tcBorders>
              <w:top w:val="nil"/>
              <w:left w:val="nil"/>
              <w:bottom w:val="nil"/>
              <w:right w:val="nil"/>
            </w:tcBorders>
            <w:vAlign w:val="center"/>
          </w:tcPr>
          <w:p w14:paraId="4D52B293" w14:textId="4C94605B" w:rsidR="00BF5851" w:rsidRPr="00724CA2" w:rsidRDefault="00BF5851" w:rsidP="00BF5851">
            <w:pPr>
              <w:spacing w:line="216" w:lineRule="auto"/>
              <w:jc w:val="both"/>
              <w:rPr>
                <w:rFonts w:ascii="Times New Roman" w:hAnsi="Times New Roman" w:cs="Times New Roman"/>
                <w:color w:val="000000" w:themeColor="text1"/>
                <w:szCs w:val="21"/>
              </w:rPr>
            </w:pPr>
            <w:r w:rsidRPr="00724CA2">
              <w:rPr>
                <w:rFonts w:ascii="Times New Roman" w:hAnsi="Times New Roman" w:cs="Times New Roman" w:hint="eastAsia"/>
                <w:color w:val="000000" w:themeColor="text1"/>
                <w:szCs w:val="21"/>
              </w:rPr>
              <w:t>G</w:t>
            </w:r>
            <w:r w:rsidRPr="00724CA2">
              <w:rPr>
                <w:rFonts w:ascii="Times New Roman" w:hAnsi="Times New Roman" w:cs="Times New Roman"/>
                <w:color w:val="000000" w:themeColor="text1"/>
                <w:szCs w:val="21"/>
              </w:rPr>
              <w:t>overnance</w:t>
            </w:r>
          </w:p>
        </w:tc>
        <w:tc>
          <w:tcPr>
            <w:tcW w:w="6362" w:type="dxa"/>
            <w:tcBorders>
              <w:top w:val="nil"/>
              <w:left w:val="nil"/>
              <w:bottom w:val="nil"/>
            </w:tcBorders>
            <w:vAlign w:val="center"/>
          </w:tcPr>
          <w:p w14:paraId="7899950E" w14:textId="67AD4FE4" w:rsidR="00BF5851" w:rsidRPr="00724CA2" w:rsidRDefault="00BF5851" w:rsidP="00BF5851">
            <w:pPr>
              <w:spacing w:line="216" w:lineRule="auto"/>
              <w:jc w:val="both"/>
              <w:rPr>
                <w:rFonts w:ascii="Times New Roman" w:hAnsi="Times New Roman" w:cs="Times New Roman"/>
                <w:color w:val="000000" w:themeColor="text1"/>
                <w:szCs w:val="21"/>
              </w:rPr>
            </w:pPr>
            <w:r w:rsidRPr="00724CA2">
              <w:rPr>
                <w:rFonts w:ascii="Times New Roman" w:hAnsi="Times New Roman" w:cs="Times New Roman" w:hint="eastAsia"/>
                <w:color w:val="000000" w:themeColor="text1"/>
                <w:sz w:val="21"/>
                <w:szCs w:val="21"/>
                <w:lang w:val="en-US"/>
              </w:rPr>
              <w:t>A</w:t>
            </w:r>
            <w:r w:rsidRPr="00724CA2">
              <w:rPr>
                <w:rFonts w:ascii="Times New Roman" w:hAnsi="Times New Roman" w:cs="Times New Roman"/>
                <w:color w:val="000000" w:themeColor="text1"/>
                <w:sz w:val="21"/>
                <w:szCs w:val="21"/>
                <w:lang w:val="en-US"/>
              </w:rPr>
              <w:t xml:space="preserve"> firm’s overall governance pillar score</w:t>
            </w:r>
          </w:p>
        </w:tc>
      </w:tr>
      <w:tr w:rsidR="00724CA2" w:rsidRPr="00724CA2" w14:paraId="6F9BC564" w14:textId="77777777" w:rsidTr="00312430">
        <w:trPr>
          <w:trHeight w:val="261"/>
          <w:jc w:val="center"/>
        </w:trPr>
        <w:tc>
          <w:tcPr>
            <w:tcW w:w="1394" w:type="dxa"/>
            <w:vMerge/>
            <w:tcBorders>
              <w:top w:val="single" w:sz="4" w:space="0" w:color="auto"/>
              <w:right w:val="nil"/>
            </w:tcBorders>
            <w:vAlign w:val="center"/>
          </w:tcPr>
          <w:p w14:paraId="2AECF793" w14:textId="77777777" w:rsidR="00BF5851" w:rsidRPr="00724CA2" w:rsidRDefault="00BF5851" w:rsidP="00BF5851">
            <w:pPr>
              <w:spacing w:line="216" w:lineRule="auto"/>
              <w:jc w:val="both"/>
              <w:rPr>
                <w:rFonts w:ascii="Times New Roman" w:hAnsi="Times New Roman" w:cs="Times New Roman"/>
                <w:color w:val="000000" w:themeColor="text1"/>
                <w:szCs w:val="21"/>
              </w:rPr>
            </w:pPr>
          </w:p>
        </w:tc>
        <w:tc>
          <w:tcPr>
            <w:tcW w:w="2192" w:type="dxa"/>
            <w:tcBorders>
              <w:top w:val="nil"/>
              <w:left w:val="nil"/>
              <w:bottom w:val="nil"/>
              <w:right w:val="nil"/>
            </w:tcBorders>
            <w:vAlign w:val="center"/>
          </w:tcPr>
          <w:p w14:paraId="5FE2957F" w14:textId="7AE449CB" w:rsidR="00BF5851" w:rsidRPr="00724CA2" w:rsidRDefault="00BF5851" w:rsidP="00BF5851">
            <w:pPr>
              <w:spacing w:line="216" w:lineRule="auto"/>
              <w:jc w:val="both"/>
              <w:rPr>
                <w:rFonts w:ascii="Times New Roman" w:hAnsi="Times New Roman" w:cs="Times New Roman"/>
                <w:color w:val="000000" w:themeColor="text1"/>
                <w:szCs w:val="21"/>
              </w:rPr>
            </w:pPr>
            <w:r w:rsidRPr="00724CA2">
              <w:rPr>
                <w:rFonts w:ascii="Times New Roman" w:hAnsi="Times New Roman" w:cs="Times New Roman"/>
                <w:color w:val="000000" w:themeColor="text1"/>
                <w:szCs w:val="21"/>
              </w:rPr>
              <w:t>Duality</w:t>
            </w:r>
          </w:p>
        </w:tc>
        <w:tc>
          <w:tcPr>
            <w:tcW w:w="6362" w:type="dxa"/>
            <w:tcBorders>
              <w:top w:val="nil"/>
              <w:left w:val="nil"/>
              <w:bottom w:val="nil"/>
            </w:tcBorders>
            <w:vAlign w:val="center"/>
          </w:tcPr>
          <w:p w14:paraId="128E13D6" w14:textId="22EFEBC8" w:rsidR="00BF5851" w:rsidRPr="00724CA2" w:rsidRDefault="00BF5851" w:rsidP="00BF5851">
            <w:pPr>
              <w:spacing w:line="216" w:lineRule="auto"/>
              <w:jc w:val="both"/>
              <w:rPr>
                <w:rFonts w:ascii="Times New Roman" w:hAnsi="Times New Roman" w:cs="Times New Roman"/>
                <w:color w:val="000000" w:themeColor="text1"/>
                <w:szCs w:val="21"/>
              </w:rPr>
            </w:pPr>
            <w:r w:rsidRPr="00724CA2">
              <w:rPr>
                <w:rFonts w:ascii="Times New Roman" w:hAnsi="Times New Roman" w:cs="Times New Roman"/>
                <w:color w:val="000000" w:themeColor="text1"/>
                <w:szCs w:val="21"/>
              </w:rPr>
              <w:t>A dummy variable equals one if a CEO also serves as the chairman and zero otherwise</w:t>
            </w:r>
          </w:p>
        </w:tc>
      </w:tr>
      <w:tr w:rsidR="00724CA2" w:rsidRPr="00724CA2" w14:paraId="5A3F7895" w14:textId="77777777" w:rsidTr="00954B68">
        <w:trPr>
          <w:trHeight w:val="169"/>
          <w:jc w:val="center"/>
        </w:trPr>
        <w:tc>
          <w:tcPr>
            <w:tcW w:w="1394" w:type="dxa"/>
            <w:vMerge/>
            <w:tcBorders>
              <w:right w:val="nil"/>
            </w:tcBorders>
            <w:vAlign w:val="center"/>
          </w:tcPr>
          <w:p w14:paraId="42E1DD83" w14:textId="77777777" w:rsidR="00BF5851" w:rsidRPr="00724CA2" w:rsidRDefault="00BF5851" w:rsidP="00BF5851">
            <w:pPr>
              <w:spacing w:line="216" w:lineRule="auto"/>
              <w:jc w:val="both"/>
              <w:rPr>
                <w:rFonts w:ascii="Times New Roman" w:hAnsi="Times New Roman" w:cs="Times New Roman"/>
                <w:color w:val="000000" w:themeColor="text1"/>
                <w:sz w:val="21"/>
                <w:szCs w:val="21"/>
                <w:lang w:val="en-US"/>
              </w:rPr>
            </w:pPr>
          </w:p>
        </w:tc>
        <w:tc>
          <w:tcPr>
            <w:tcW w:w="2192" w:type="dxa"/>
            <w:tcBorders>
              <w:top w:val="nil"/>
              <w:left w:val="nil"/>
              <w:bottom w:val="nil"/>
              <w:right w:val="nil"/>
            </w:tcBorders>
            <w:vAlign w:val="center"/>
          </w:tcPr>
          <w:p w14:paraId="6DFBC4E0" w14:textId="77777777" w:rsidR="00BF5851" w:rsidRPr="00724CA2" w:rsidRDefault="00BF5851" w:rsidP="00BF5851">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Independence</w:t>
            </w:r>
          </w:p>
        </w:tc>
        <w:tc>
          <w:tcPr>
            <w:tcW w:w="6362" w:type="dxa"/>
            <w:tcBorders>
              <w:top w:val="nil"/>
              <w:left w:val="nil"/>
              <w:bottom w:val="nil"/>
            </w:tcBorders>
            <w:vAlign w:val="center"/>
          </w:tcPr>
          <w:p w14:paraId="6EBCC0DB" w14:textId="77777777" w:rsidR="00BF5851" w:rsidRPr="00724CA2" w:rsidRDefault="00BF5851" w:rsidP="00BF5851">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The proportion of independent directors in the board of directors</w:t>
            </w:r>
          </w:p>
        </w:tc>
      </w:tr>
      <w:tr w:rsidR="00724CA2" w:rsidRPr="00724CA2" w14:paraId="13F16832" w14:textId="77777777" w:rsidTr="00954B68">
        <w:trPr>
          <w:trHeight w:val="169"/>
          <w:jc w:val="center"/>
        </w:trPr>
        <w:tc>
          <w:tcPr>
            <w:tcW w:w="1394" w:type="dxa"/>
            <w:vMerge/>
            <w:tcBorders>
              <w:right w:val="nil"/>
            </w:tcBorders>
            <w:vAlign w:val="center"/>
          </w:tcPr>
          <w:p w14:paraId="5001E30A" w14:textId="77777777" w:rsidR="00BF5851" w:rsidRPr="00724CA2" w:rsidRDefault="00BF5851" w:rsidP="00BF5851">
            <w:pPr>
              <w:spacing w:line="216" w:lineRule="auto"/>
              <w:jc w:val="both"/>
              <w:rPr>
                <w:rFonts w:ascii="Times New Roman" w:hAnsi="Times New Roman" w:cs="Times New Roman"/>
                <w:color w:val="000000" w:themeColor="text1"/>
                <w:szCs w:val="21"/>
              </w:rPr>
            </w:pPr>
          </w:p>
        </w:tc>
        <w:tc>
          <w:tcPr>
            <w:tcW w:w="2192" w:type="dxa"/>
            <w:tcBorders>
              <w:top w:val="nil"/>
              <w:left w:val="nil"/>
              <w:bottom w:val="nil"/>
              <w:right w:val="nil"/>
            </w:tcBorders>
            <w:vAlign w:val="center"/>
          </w:tcPr>
          <w:p w14:paraId="736FDA96" w14:textId="77777777" w:rsidR="00BF5851" w:rsidRPr="00724CA2" w:rsidRDefault="00BF5851" w:rsidP="00BF5851">
            <w:pPr>
              <w:spacing w:line="216" w:lineRule="auto"/>
              <w:jc w:val="both"/>
              <w:rPr>
                <w:rFonts w:ascii="Times New Roman" w:hAnsi="Times New Roman" w:cs="Times New Roman"/>
                <w:color w:val="000000" w:themeColor="text1"/>
                <w:szCs w:val="21"/>
              </w:rPr>
            </w:pPr>
            <w:r w:rsidRPr="00724CA2">
              <w:rPr>
                <w:rFonts w:ascii="Times New Roman" w:hAnsi="Times New Roman" w:cs="Times New Roman"/>
                <w:color w:val="000000" w:themeColor="text1"/>
                <w:szCs w:val="21"/>
              </w:rPr>
              <w:t>Board meeting</w:t>
            </w:r>
          </w:p>
        </w:tc>
        <w:tc>
          <w:tcPr>
            <w:tcW w:w="6362" w:type="dxa"/>
            <w:tcBorders>
              <w:top w:val="nil"/>
              <w:left w:val="nil"/>
              <w:bottom w:val="nil"/>
            </w:tcBorders>
            <w:vAlign w:val="center"/>
          </w:tcPr>
          <w:p w14:paraId="2521922C" w14:textId="77777777" w:rsidR="00BF5851" w:rsidRPr="00724CA2" w:rsidRDefault="00BF5851" w:rsidP="00BF5851">
            <w:pPr>
              <w:spacing w:line="216" w:lineRule="auto"/>
              <w:jc w:val="both"/>
              <w:rPr>
                <w:rFonts w:ascii="Times New Roman" w:hAnsi="Times New Roman" w:cs="Times New Roman"/>
                <w:color w:val="000000" w:themeColor="text1"/>
                <w:szCs w:val="21"/>
              </w:rPr>
            </w:pPr>
            <w:r w:rsidRPr="00724CA2">
              <w:rPr>
                <w:rFonts w:ascii="Times New Roman" w:hAnsi="Times New Roman" w:cs="Times New Roman"/>
                <w:color w:val="000000" w:themeColor="text1"/>
                <w:szCs w:val="21"/>
              </w:rPr>
              <w:t>The number of meetings held by the board of directors annually</w:t>
            </w:r>
          </w:p>
        </w:tc>
      </w:tr>
      <w:tr w:rsidR="00724CA2" w:rsidRPr="00724CA2" w14:paraId="748FE06E" w14:textId="77777777" w:rsidTr="00954B68">
        <w:trPr>
          <w:trHeight w:val="169"/>
          <w:jc w:val="center"/>
        </w:trPr>
        <w:tc>
          <w:tcPr>
            <w:tcW w:w="1394" w:type="dxa"/>
            <w:vMerge/>
            <w:tcBorders>
              <w:right w:val="nil"/>
            </w:tcBorders>
            <w:vAlign w:val="center"/>
          </w:tcPr>
          <w:p w14:paraId="2F370135" w14:textId="77777777" w:rsidR="00BF5851" w:rsidRPr="00724CA2" w:rsidRDefault="00BF5851" w:rsidP="00BF5851">
            <w:pPr>
              <w:spacing w:line="216" w:lineRule="auto"/>
              <w:jc w:val="both"/>
              <w:rPr>
                <w:rFonts w:ascii="Times New Roman" w:hAnsi="Times New Roman" w:cs="Times New Roman"/>
                <w:color w:val="000000" w:themeColor="text1"/>
                <w:sz w:val="21"/>
                <w:szCs w:val="21"/>
                <w:lang w:val="en-US"/>
              </w:rPr>
            </w:pPr>
          </w:p>
        </w:tc>
        <w:tc>
          <w:tcPr>
            <w:tcW w:w="2192" w:type="dxa"/>
            <w:tcBorders>
              <w:top w:val="nil"/>
              <w:left w:val="nil"/>
              <w:bottom w:val="nil"/>
              <w:right w:val="nil"/>
            </w:tcBorders>
            <w:vAlign w:val="center"/>
          </w:tcPr>
          <w:p w14:paraId="6C362D30" w14:textId="77777777" w:rsidR="00BF5851" w:rsidRPr="00724CA2" w:rsidRDefault="00BF5851" w:rsidP="00BF5851">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Managerial ownership</w:t>
            </w:r>
          </w:p>
        </w:tc>
        <w:tc>
          <w:tcPr>
            <w:tcW w:w="6362" w:type="dxa"/>
            <w:tcBorders>
              <w:top w:val="nil"/>
              <w:left w:val="nil"/>
              <w:bottom w:val="nil"/>
            </w:tcBorders>
            <w:vAlign w:val="center"/>
          </w:tcPr>
          <w:p w14:paraId="75706998" w14:textId="77777777" w:rsidR="00BF5851" w:rsidRPr="00724CA2" w:rsidRDefault="00BF5851" w:rsidP="00BF5851">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The proportion of total outstanding shares held by managers</w:t>
            </w:r>
          </w:p>
        </w:tc>
      </w:tr>
      <w:tr w:rsidR="00724CA2" w:rsidRPr="00724CA2" w14:paraId="627FE5EC" w14:textId="77777777" w:rsidTr="00954B68">
        <w:trPr>
          <w:trHeight w:val="205"/>
          <w:jc w:val="center"/>
        </w:trPr>
        <w:tc>
          <w:tcPr>
            <w:tcW w:w="1394" w:type="dxa"/>
            <w:vMerge/>
            <w:tcBorders>
              <w:right w:val="nil"/>
            </w:tcBorders>
            <w:vAlign w:val="center"/>
          </w:tcPr>
          <w:p w14:paraId="4EA1D1AC" w14:textId="77777777" w:rsidR="00BF5851" w:rsidRPr="00724CA2" w:rsidRDefault="00BF5851" w:rsidP="00BF5851">
            <w:pPr>
              <w:spacing w:line="216" w:lineRule="auto"/>
              <w:jc w:val="both"/>
              <w:rPr>
                <w:rFonts w:ascii="Times New Roman" w:hAnsi="Times New Roman" w:cs="Times New Roman"/>
                <w:color w:val="000000" w:themeColor="text1"/>
                <w:sz w:val="21"/>
                <w:szCs w:val="21"/>
                <w:lang w:val="en-US"/>
              </w:rPr>
            </w:pPr>
          </w:p>
        </w:tc>
        <w:tc>
          <w:tcPr>
            <w:tcW w:w="2192" w:type="dxa"/>
            <w:tcBorders>
              <w:top w:val="nil"/>
              <w:left w:val="nil"/>
              <w:bottom w:val="nil"/>
              <w:right w:val="nil"/>
            </w:tcBorders>
            <w:vAlign w:val="center"/>
          </w:tcPr>
          <w:p w14:paraId="30F59B1D" w14:textId="77777777" w:rsidR="00BF5851" w:rsidRPr="00724CA2" w:rsidRDefault="00BF5851" w:rsidP="00BF5851">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Z Index</w:t>
            </w:r>
          </w:p>
        </w:tc>
        <w:tc>
          <w:tcPr>
            <w:tcW w:w="6362" w:type="dxa"/>
            <w:tcBorders>
              <w:top w:val="nil"/>
              <w:left w:val="nil"/>
              <w:bottom w:val="nil"/>
            </w:tcBorders>
            <w:vAlign w:val="center"/>
          </w:tcPr>
          <w:p w14:paraId="594C6307" w14:textId="77777777" w:rsidR="00BF5851" w:rsidRPr="00724CA2" w:rsidRDefault="00BF5851" w:rsidP="00BF5851">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The ratio of the proportion of shareholdings held by the largest shareholders to the proportion of shareholdings held by the second-largest shareholder</w:t>
            </w:r>
          </w:p>
        </w:tc>
      </w:tr>
      <w:tr w:rsidR="00724CA2" w:rsidRPr="00724CA2" w14:paraId="7DAA61C5" w14:textId="77777777" w:rsidTr="00954B68">
        <w:trPr>
          <w:trHeight w:val="198"/>
          <w:jc w:val="center"/>
        </w:trPr>
        <w:tc>
          <w:tcPr>
            <w:tcW w:w="1394" w:type="dxa"/>
            <w:vMerge/>
            <w:tcBorders>
              <w:right w:val="nil"/>
            </w:tcBorders>
            <w:vAlign w:val="center"/>
          </w:tcPr>
          <w:p w14:paraId="5FA47B87" w14:textId="77777777" w:rsidR="00BF5851" w:rsidRPr="00724CA2" w:rsidRDefault="00BF5851" w:rsidP="00BF5851">
            <w:pPr>
              <w:spacing w:line="216" w:lineRule="auto"/>
              <w:jc w:val="both"/>
              <w:rPr>
                <w:rFonts w:ascii="Times New Roman" w:hAnsi="Times New Roman" w:cs="Times New Roman"/>
                <w:color w:val="000000" w:themeColor="text1"/>
                <w:sz w:val="21"/>
                <w:szCs w:val="21"/>
                <w:lang w:val="en-US"/>
              </w:rPr>
            </w:pPr>
          </w:p>
        </w:tc>
        <w:tc>
          <w:tcPr>
            <w:tcW w:w="2192" w:type="dxa"/>
            <w:tcBorders>
              <w:top w:val="nil"/>
              <w:left w:val="nil"/>
              <w:bottom w:val="nil"/>
              <w:right w:val="nil"/>
            </w:tcBorders>
            <w:vAlign w:val="center"/>
          </w:tcPr>
          <w:p w14:paraId="4423E05B" w14:textId="77777777" w:rsidR="00BF5851" w:rsidRPr="00724CA2" w:rsidRDefault="00BF5851" w:rsidP="00BF5851">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Stock returns</w:t>
            </w:r>
          </w:p>
        </w:tc>
        <w:tc>
          <w:tcPr>
            <w:tcW w:w="6362" w:type="dxa"/>
            <w:tcBorders>
              <w:top w:val="nil"/>
              <w:left w:val="nil"/>
              <w:bottom w:val="nil"/>
            </w:tcBorders>
            <w:vAlign w:val="center"/>
          </w:tcPr>
          <w:p w14:paraId="2F62D5A2" w14:textId="77777777" w:rsidR="00BF5851" w:rsidRPr="00724CA2" w:rsidRDefault="00BF5851" w:rsidP="00BF5851">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Annual firm stock returns (with cash dividend reinvested)</w:t>
            </w:r>
          </w:p>
        </w:tc>
      </w:tr>
      <w:tr w:rsidR="00724CA2" w:rsidRPr="00724CA2" w14:paraId="71B00402" w14:textId="77777777" w:rsidTr="00954B68">
        <w:trPr>
          <w:trHeight w:val="198"/>
          <w:jc w:val="center"/>
        </w:trPr>
        <w:tc>
          <w:tcPr>
            <w:tcW w:w="1394" w:type="dxa"/>
            <w:vMerge/>
            <w:tcBorders>
              <w:right w:val="nil"/>
            </w:tcBorders>
            <w:vAlign w:val="center"/>
          </w:tcPr>
          <w:p w14:paraId="0C75AC12" w14:textId="77777777" w:rsidR="00BF5851" w:rsidRPr="00724CA2" w:rsidRDefault="00BF5851" w:rsidP="00BF5851">
            <w:pPr>
              <w:spacing w:line="216" w:lineRule="auto"/>
              <w:jc w:val="both"/>
              <w:rPr>
                <w:rFonts w:ascii="Times New Roman" w:hAnsi="Times New Roman" w:cs="Times New Roman"/>
                <w:color w:val="000000" w:themeColor="text1"/>
                <w:sz w:val="21"/>
                <w:szCs w:val="21"/>
                <w:lang w:val="en-US"/>
              </w:rPr>
            </w:pPr>
          </w:p>
        </w:tc>
        <w:tc>
          <w:tcPr>
            <w:tcW w:w="2192" w:type="dxa"/>
            <w:tcBorders>
              <w:top w:val="nil"/>
              <w:left w:val="nil"/>
              <w:bottom w:val="nil"/>
              <w:right w:val="nil"/>
            </w:tcBorders>
            <w:vAlign w:val="center"/>
          </w:tcPr>
          <w:p w14:paraId="1956D86D" w14:textId="77777777" w:rsidR="00BF5851" w:rsidRPr="00724CA2" w:rsidRDefault="00BF5851" w:rsidP="00BF5851">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Tobin Q</w:t>
            </w:r>
          </w:p>
        </w:tc>
        <w:tc>
          <w:tcPr>
            <w:tcW w:w="6362" w:type="dxa"/>
            <w:tcBorders>
              <w:top w:val="nil"/>
              <w:left w:val="nil"/>
              <w:bottom w:val="nil"/>
            </w:tcBorders>
            <w:vAlign w:val="center"/>
          </w:tcPr>
          <w:p w14:paraId="33B995AE" w14:textId="77777777" w:rsidR="00BF5851" w:rsidRPr="00724CA2" w:rsidRDefault="00BF5851" w:rsidP="00BF5851">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The ratio of the market value of common equity divided by the book value of total assets</w:t>
            </w:r>
          </w:p>
        </w:tc>
      </w:tr>
      <w:tr w:rsidR="00724CA2" w:rsidRPr="00724CA2" w14:paraId="4EA646DD" w14:textId="77777777" w:rsidTr="00954B68">
        <w:trPr>
          <w:trHeight w:val="198"/>
          <w:jc w:val="center"/>
        </w:trPr>
        <w:tc>
          <w:tcPr>
            <w:tcW w:w="1394" w:type="dxa"/>
            <w:vMerge/>
            <w:tcBorders>
              <w:right w:val="nil"/>
            </w:tcBorders>
            <w:vAlign w:val="center"/>
          </w:tcPr>
          <w:p w14:paraId="0896ABBA" w14:textId="77777777" w:rsidR="00BF5851" w:rsidRPr="00724CA2" w:rsidRDefault="00BF5851" w:rsidP="00BF5851">
            <w:pPr>
              <w:spacing w:line="216" w:lineRule="auto"/>
              <w:jc w:val="both"/>
              <w:rPr>
                <w:rFonts w:ascii="Times New Roman" w:hAnsi="Times New Roman" w:cs="Times New Roman"/>
                <w:color w:val="000000" w:themeColor="text1"/>
                <w:sz w:val="21"/>
                <w:szCs w:val="21"/>
                <w:lang w:val="en-US"/>
              </w:rPr>
            </w:pPr>
          </w:p>
        </w:tc>
        <w:tc>
          <w:tcPr>
            <w:tcW w:w="2192" w:type="dxa"/>
            <w:tcBorders>
              <w:top w:val="nil"/>
              <w:left w:val="nil"/>
              <w:bottom w:val="nil"/>
              <w:right w:val="nil"/>
            </w:tcBorders>
            <w:vAlign w:val="center"/>
          </w:tcPr>
          <w:p w14:paraId="1746C0BC" w14:textId="77777777" w:rsidR="00BF5851" w:rsidRPr="00724CA2" w:rsidRDefault="00BF5851" w:rsidP="00BF5851">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Firm age</w:t>
            </w:r>
          </w:p>
        </w:tc>
        <w:tc>
          <w:tcPr>
            <w:tcW w:w="6362" w:type="dxa"/>
            <w:tcBorders>
              <w:top w:val="nil"/>
              <w:left w:val="nil"/>
              <w:bottom w:val="nil"/>
            </w:tcBorders>
            <w:vAlign w:val="center"/>
          </w:tcPr>
          <w:p w14:paraId="105CAEB0" w14:textId="77777777" w:rsidR="00BF5851" w:rsidRPr="00724CA2" w:rsidRDefault="00BF5851" w:rsidP="00BF5851">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The number of years since the establishment of a firm</w:t>
            </w:r>
          </w:p>
        </w:tc>
      </w:tr>
      <w:tr w:rsidR="00BF5851" w:rsidRPr="00724CA2" w14:paraId="2E8349B1" w14:textId="77777777" w:rsidTr="00954B68">
        <w:trPr>
          <w:trHeight w:val="198"/>
          <w:jc w:val="center"/>
        </w:trPr>
        <w:tc>
          <w:tcPr>
            <w:tcW w:w="1394" w:type="dxa"/>
            <w:vMerge/>
            <w:tcBorders>
              <w:bottom w:val="single" w:sz="12" w:space="0" w:color="auto"/>
              <w:right w:val="nil"/>
            </w:tcBorders>
            <w:vAlign w:val="center"/>
          </w:tcPr>
          <w:p w14:paraId="5BF97D93" w14:textId="77777777" w:rsidR="00BF5851" w:rsidRPr="00724CA2" w:rsidRDefault="00BF5851" w:rsidP="00BF5851">
            <w:pPr>
              <w:spacing w:line="216" w:lineRule="auto"/>
              <w:jc w:val="both"/>
              <w:rPr>
                <w:rFonts w:ascii="Times New Roman" w:hAnsi="Times New Roman" w:cs="Times New Roman"/>
                <w:color w:val="000000" w:themeColor="text1"/>
                <w:szCs w:val="21"/>
                <w:lang w:val="en-US"/>
              </w:rPr>
            </w:pPr>
          </w:p>
        </w:tc>
        <w:tc>
          <w:tcPr>
            <w:tcW w:w="2192" w:type="dxa"/>
            <w:tcBorders>
              <w:top w:val="nil"/>
              <w:left w:val="nil"/>
              <w:bottom w:val="single" w:sz="12" w:space="0" w:color="auto"/>
              <w:right w:val="nil"/>
            </w:tcBorders>
            <w:vAlign w:val="center"/>
          </w:tcPr>
          <w:p w14:paraId="0D5362D2" w14:textId="77777777" w:rsidR="00BF5851" w:rsidRPr="00724CA2" w:rsidRDefault="00BF5851" w:rsidP="00BF5851">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Leverage</w:t>
            </w:r>
          </w:p>
        </w:tc>
        <w:tc>
          <w:tcPr>
            <w:tcW w:w="6362" w:type="dxa"/>
            <w:tcBorders>
              <w:top w:val="nil"/>
              <w:left w:val="nil"/>
              <w:bottom w:val="single" w:sz="12" w:space="0" w:color="auto"/>
            </w:tcBorders>
            <w:vAlign w:val="center"/>
          </w:tcPr>
          <w:p w14:paraId="5302D3C7" w14:textId="77777777" w:rsidR="00BF5851" w:rsidRPr="00724CA2" w:rsidRDefault="00BF5851" w:rsidP="00BF5851">
            <w:pPr>
              <w:spacing w:line="216" w:lineRule="auto"/>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Cs w:val="21"/>
              </w:rPr>
              <w:t>The ratio of total liabilities to the company’s total assets</w:t>
            </w:r>
          </w:p>
        </w:tc>
      </w:tr>
    </w:tbl>
    <w:p w14:paraId="7DAEE151" w14:textId="77777777" w:rsidR="00486C4A" w:rsidRPr="00724CA2" w:rsidRDefault="00486C4A" w:rsidP="00486C4A">
      <w:pPr>
        <w:spacing w:afterLines="100" w:after="240" w:line="360" w:lineRule="auto"/>
        <w:jc w:val="both"/>
        <w:rPr>
          <w:rFonts w:ascii="Times New Roman" w:hAnsi="Times New Roman" w:cs="Times New Roman"/>
          <w:b/>
          <w:bCs/>
          <w:color w:val="000000" w:themeColor="text1"/>
          <w:sz w:val="24"/>
          <w:szCs w:val="24"/>
        </w:rPr>
      </w:pPr>
    </w:p>
    <w:p w14:paraId="5A5ED0DF" w14:textId="3906CE59" w:rsidR="00486C4A" w:rsidRPr="00724CA2" w:rsidRDefault="00486C4A">
      <w:pPr>
        <w:rPr>
          <w:rFonts w:ascii="Times New Roman" w:hAnsi="Times New Roman" w:cs="Times New Roman"/>
          <w:color w:val="000000" w:themeColor="text1"/>
          <w:sz w:val="24"/>
          <w:szCs w:val="24"/>
        </w:rPr>
      </w:pPr>
      <w:r w:rsidRPr="00724CA2">
        <w:rPr>
          <w:rFonts w:ascii="Times New Roman" w:hAnsi="Times New Roman" w:cs="Times New Roman"/>
          <w:color w:val="000000" w:themeColor="text1"/>
          <w:sz w:val="24"/>
          <w:szCs w:val="24"/>
        </w:rPr>
        <w:br w:type="page"/>
      </w:r>
    </w:p>
    <w:p w14:paraId="13CF3A22" w14:textId="585B7A90" w:rsidR="00425913" w:rsidRDefault="00486C4A" w:rsidP="00486C4A">
      <w:pPr>
        <w:spacing w:afterLines="30" w:after="72"/>
        <w:jc w:val="both"/>
        <w:rPr>
          <w:rFonts w:ascii="Times New Roman" w:hAnsi="Times New Roman" w:cs="Times New Roman"/>
          <w:b/>
          <w:color w:val="000000" w:themeColor="text1"/>
        </w:rPr>
      </w:pPr>
      <w:r w:rsidRPr="00724CA2">
        <w:rPr>
          <w:rFonts w:ascii="Times New Roman" w:hAnsi="Times New Roman" w:cs="Times New Roman"/>
          <w:b/>
          <w:color w:val="000000" w:themeColor="text1"/>
        </w:rPr>
        <w:t>Table 2</w:t>
      </w:r>
      <w:r w:rsidR="00425913">
        <w:rPr>
          <w:rFonts w:ascii="Times New Roman" w:hAnsi="Times New Roman" w:cs="Times New Roman" w:hint="eastAsia"/>
          <w:b/>
          <w:color w:val="000000" w:themeColor="text1"/>
          <w:lang w:eastAsia="zh-CN"/>
        </w:rPr>
        <w:t>.</w:t>
      </w:r>
      <w:r w:rsidRPr="00724CA2">
        <w:rPr>
          <w:rFonts w:ascii="Times New Roman" w:hAnsi="Times New Roman" w:cs="Times New Roman"/>
          <w:b/>
          <w:color w:val="000000" w:themeColor="text1"/>
        </w:rPr>
        <w:t xml:space="preserve">  </w:t>
      </w:r>
      <w:r w:rsidR="00425913" w:rsidRPr="00724CA2">
        <w:rPr>
          <w:rFonts w:ascii="Times New Roman" w:hAnsi="Times New Roman" w:cs="Times New Roman"/>
          <w:color w:val="000000" w:themeColor="text1"/>
        </w:rPr>
        <w:t>Descriptive statistics</w:t>
      </w:r>
      <w:r w:rsidRPr="00724CA2">
        <w:rPr>
          <w:rFonts w:ascii="Times New Roman" w:hAnsi="Times New Roman" w:cs="Times New Roman"/>
          <w:b/>
          <w:color w:val="000000" w:themeColor="text1"/>
        </w:rPr>
        <w:t xml:space="preserve"> </w:t>
      </w:r>
    </w:p>
    <w:p w14:paraId="7541158F" w14:textId="0D4581DE" w:rsidR="00486C4A" w:rsidRPr="00724CA2" w:rsidRDefault="00486C4A" w:rsidP="00486C4A">
      <w:pPr>
        <w:spacing w:afterLines="30" w:after="72"/>
        <w:jc w:val="both"/>
        <w:rPr>
          <w:rFonts w:ascii="Times New Roman" w:hAnsi="Times New Roman" w:cs="Times New Roman"/>
          <w:color w:val="000000" w:themeColor="text1"/>
        </w:rPr>
      </w:pPr>
      <w:r w:rsidRPr="00724CA2">
        <w:rPr>
          <w:rFonts w:ascii="Times New Roman" w:hAnsi="Times New Roman" w:cs="Times New Roman"/>
          <w:b/>
          <w:color w:val="000000" w:themeColor="text1"/>
        </w:rPr>
        <w:t xml:space="preserve">Panel A </w:t>
      </w:r>
      <w:r w:rsidR="00425913">
        <w:rPr>
          <w:rFonts w:ascii="Times New Roman" w:hAnsi="Times New Roman" w:cs="Times New Roman" w:hint="eastAsia"/>
          <w:color w:val="000000" w:themeColor="text1"/>
          <w:lang w:eastAsia="zh-CN"/>
        </w:rPr>
        <w:t>Summary</w:t>
      </w:r>
      <w:r w:rsidRPr="00724CA2">
        <w:rPr>
          <w:rFonts w:ascii="Times New Roman" w:hAnsi="Times New Roman" w:cs="Times New Roman"/>
          <w:color w:val="000000" w:themeColor="text1"/>
        </w:rPr>
        <w:t xml:space="preserve"> statistics</w:t>
      </w:r>
    </w:p>
    <w:tbl>
      <w:tblPr>
        <w:tblStyle w:val="TableGrid"/>
        <w:tblW w:w="0" w:type="auto"/>
        <w:jc w:val="center"/>
        <w:tblBorders>
          <w:top w:val="single" w:sz="12" w:space="0" w:color="auto"/>
          <w:bottom w:val="single" w:sz="12" w:space="0" w:color="auto"/>
          <w:insideH w:val="none" w:sz="0" w:space="0" w:color="auto"/>
          <w:insideV w:val="none" w:sz="0" w:space="0" w:color="auto"/>
        </w:tblBorders>
        <w:tblLook w:val="04A0" w:firstRow="1" w:lastRow="0" w:firstColumn="1" w:lastColumn="0" w:noHBand="0" w:noVBand="1"/>
      </w:tblPr>
      <w:tblGrid>
        <w:gridCol w:w="3006"/>
        <w:gridCol w:w="1243"/>
        <w:gridCol w:w="1243"/>
        <w:gridCol w:w="1420"/>
        <w:gridCol w:w="1467"/>
      </w:tblGrid>
      <w:tr w:rsidR="00724CA2" w:rsidRPr="00724CA2" w14:paraId="50FA6C13" w14:textId="77777777" w:rsidTr="00BF5851">
        <w:trPr>
          <w:trHeight w:val="266"/>
          <w:jc w:val="center"/>
        </w:trPr>
        <w:tc>
          <w:tcPr>
            <w:tcW w:w="3006" w:type="dxa"/>
            <w:tcBorders>
              <w:top w:val="single" w:sz="12" w:space="0" w:color="auto"/>
              <w:bottom w:val="single" w:sz="4" w:space="0" w:color="auto"/>
            </w:tcBorders>
            <w:vAlign w:val="center"/>
            <w:hideMark/>
          </w:tcPr>
          <w:p w14:paraId="5CE50A5B" w14:textId="77777777" w:rsidR="00954B68" w:rsidRPr="00724CA2" w:rsidRDefault="00954B68"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Variables</w:t>
            </w:r>
          </w:p>
        </w:tc>
        <w:tc>
          <w:tcPr>
            <w:tcW w:w="1243" w:type="dxa"/>
            <w:tcBorders>
              <w:top w:val="single" w:sz="12" w:space="0" w:color="auto"/>
              <w:bottom w:val="single" w:sz="4" w:space="0" w:color="auto"/>
            </w:tcBorders>
            <w:vAlign w:val="center"/>
            <w:hideMark/>
          </w:tcPr>
          <w:p w14:paraId="615EA45D" w14:textId="77777777" w:rsidR="00954B68" w:rsidRPr="00724CA2" w:rsidRDefault="00954B68"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Mean</w:t>
            </w:r>
          </w:p>
        </w:tc>
        <w:tc>
          <w:tcPr>
            <w:tcW w:w="1243" w:type="dxa"/>
            <w:tcBorders>
              <w:top w:val="single" w:sz="12" w:space="0" w:color="auto"/>
              <w:bottom w:val="single" w:sz="4" w:space="0" w:color="auto"/>
            </w:tcBorders>
            <w:vAlign w:val="center"/>
            <w:hideMark/>
          </w:tcPr>
          <w:p w14:paraId="06D45C47" w14:textId="77777777" w:rsidR="00954B68" w:rsidRPr="00724CA2" w:rsidRDefault="00954B68"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SD</w:t>
            </w:r>
          </w:p>
        </w:tc>
        <w:tc>
          <w:tcPr>
            <w:tcW w:w="1420" w:type="dxa"/>
            <w:tcBorders>
              <w:top w:val="single" w:sz="12" w:space="0" w:color="auto"/>
              <w:bottom w:val="single" w:sz="4" w:space="0" w:color="auto"/>
            </w:tcBorders>
            <w:vAlign w:val="center"/>
            <w:hideMark/>
          </w:tcPr>
          <w:p w14:paraId="1BE4D721" w14:textId="77777777" w:rsidR="00954B68" w:rsidRPr="00724CA2" w:rsidRDefault="00954B68"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Minimum</w:t>
            </w:r>
          </w:p>
        </w:tc>
        <w:tc>
          <w:tcPr>
            <w:tcW w:w="1467" w:type="dxa"/>
            <w:tcBorders>
              <w:top w:val="single" w:sz="12" w:space="0" w:color="auto"/>
              <w:bottom w:val="single" w:sz="4" w:space="0" w:color="auto"/>
            </w:tcBorders>
            <w:vAlign w:val="center"/>
            <w:hideMark/>
          </w:tcPr>
          <w:p w14:paraId="351DBD78" w14:textId="77777777" w:rsidR="00954B68" w:rsidRPr="00724CA2" w:rsidRDefault="00954B68"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Maximum</w:t>
            </w:r>
          </w:p>
        </w:tc>
      </w:tr>
      <w:tr w:rsidR="00724CA2" w:rsidRPr="00724CA2" w14:paraId="74004F59" w14:textId="77777777" w:rsidTr="00BF5851">
        <w:trPr>
          <w:trHeight w:val="390"/>
          <w:jc w:val="center"/>
        </w:trPr>
        <w:tc>
          <w:tcPr>
            <w:tcW w:w="3006" w:type="dxa"/>
            <w:tcBorders>
              <w:top w:val="single" w:sz="4" w:space="0" w:color="auto"/>
            </w:tcBorders>
            <w:vAlign w:val="center"/>
            <w:hideMark/>
          </w:tcPr>
          <w:p w14:paraId="3210F9AF" w14:textId="77777777" w:rsidR="00BF5851" w:rsidRPr="00724CA2" w:rsidRDefault="00BF5851" w:rsidP="00BF5851">
            <w:pPr>
              <w:jc w:val="both"/>
              <w:rPr>
                <w:rFonts w:ascii="Times New Roman" w:hAnsi="Times New Roman" w:cs="Times New Roman"/>
                <w:color w:val="000000" w:themeColor="text1"/>
                <w:szCs w:val="21"/>
                <w:lang w:val="en-US"/>
              </w:rPr>
            </w:pPr>
            <w:bookmarkStart w:id="22" w:name="_Hlk138634999"/>
            <w:r w:rsidRPr="00724CA2">
              <w:rPr>
                <w:rFonts w:ascii="Times New Roman" w:hAnsi="Times New Roman" w:cs="Times New Roman"/>
                <w:color w:val="000000" w:themeColor="text1"/>
                <w:szCs w:val="21"/>
              </w:rPr>
              <w:t>Environment spending</w:t>
            </w:r>
          </w:p>
        </w:tc>
        <w:tc>
          <w:tcPr>
            <w:tcW w:w="1243" w:type="dxa"/>
            <w:tcBorders>
              <w:top w:val="nil"/>
              <w:left w:val="nil"/>
              <w:bottom w:val="nil"/>
              <w:right w:val="nil"/>
            </w:tcBorders>
            <w:shd w:val="clear" w:color="auto" w:fill="auto"/>
            <w:vAlign w:val="center"/>
            <w:hideMark/>
          </w:tcPr>
          <w:p w14:paraId="5F4CAA17" w14:textId="45EE6CFE"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14.925</w:t>
            </w:r>
          </w:p>
        </w:tc>
        <w:tc>
          <w:tcPr>
            <w:tcW w:w="1243" w:type="dxa"/>
            <w:tcBorders>
              <w:top w:val="nil"/>
              <w:left w:val="nil"/>
              <w:bottom w:val="nil"/>
              <w:right w:val="nil"/>
            </w:tcBorders>
            <w:shd w:val="clear" w:color="auto" w:fill="auto"/>
            <w:vAlign w:val="center"/>
            <w:hideMark/>
          </w:tcPr>
          <w:p w14:paraId="1B2612EB" w14:textId="0EAAE7A8"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1.614</w:t>
            </w:r>
          </w:p>
        </w:tc>
        <w:tc>
          <w:tcPr>
            <w:tcW w:w="1420" w:type="dxa"/>
            <w:tcBorders>
              <w:top w:val="nil"/>
              <w:left w:val="nil"/>
              <w:bottom w:val="nil"/>
              <w:right w:val="nil"/>
            </w:tcBorders>
            <w:shd w:val="clear" w:color="auto" w:fill="auto"/>
            <w:vAlign w:val="center"/>
            <w:hideMark/>
          </w:tcPr>
          <w:p w14:paraId="1EB07DB1" w14:textId="223BBC1F"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12.903</w:t>
            </w:r>
          </w:p>
        </w:tc>
        <w:tc>
          <w:tcPr>
            <w:tcW w:w="1467" w:type="dxa"/>
            <w:tcBorders>
              <w:top w:val="nil"/>
              <w:left w:val="nil"/>
              <w:bottom w:val="nil"/>
              <w:right w:val="nil"/>
            </w:tcBorders>
            <w:shd w:val="clear" w:color="auto" w:fill="auto"/>
            <w:vAlign w:val="center"/>
            <w:hideMark/>
          </w:tcPr>
          <w:p w14:paraId="73D2AB3E" w14:textId="474BFDE0"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20.147</w:t>
            </w:r>
          </w:p>
        </w:tc>
      </w:tr>
      <w:tr w:rsidR="00724CA2" w:rsidRPr="00724CA2" w14:paraId="6FE898FE" w14:textId="77777777" w:rsidTr="00BF5851">
        <w:trPr>
          <w:trHeight w:val="390"/>
          <w:jc w:val="center"/>
        </w:trPr>
        <w:tc>
          <w:tcPr>
            <w:tcW w:w="3006" w:type="dxa"/>
            <w:vAlign w:val="center"/>
          </w:tcPr>
          <w:p w14:paraId="5B3C13F1" w14:textId="63225FB7" w:rsidR="00BF5851" w:rsidRPr="00724CA2" w:rsidRDefault="00BF5851" w:rsidP="00BF5851">
            <w:pPr>
              <w:jc w:val="both"/>
              <w:rPr>
                <w:rFonts w:ascii="Times New Roman" w:hAnsi="Times New Roman" w:cs="Times New Roman"/>
                <w:color w:val="000000" w:themeColor="text1"/>
                <w:szCs w:val="21"/>
              </w:rPr>
            </w:pPr>
            <w:r w:rsidRPr="00724CA2">
              <w:rPr>
                <w:rFonts w:ascii="Times New Roman" w:hAnsi="Times New Roman" w:cs="Times New Roman"/>
                <w:color w:val="000000" w:themeColor="text1"/>
                <w:szCs w:val="21"/>
              </w:rPr>
              <w:t>Mutual fund</w:t>
            </w:r>
          </w:p>
        </w:tc>
        <w:tc>
          <w:tcPr>
            <w:tcW w:w="1243" w:type="dxa"/>
            <w:tcBorders>
              <w:top w:val="nil"/>
              <w:left w:val="nil"/>
              <w:bottom w:val="nil"/>
              <w:right w:val="nil"/>
            </w:tcBorders>
            <w:shd w:val="clear" w:color="auto" w:fill="auto"/>
            <w:vAlign w:val="center"/>
          </w:tcPr>
          <w:p w14:paraId="68D5BE9A" w14:textId="38C4B6F1"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0.052</w:t>
            </w:r>
          </w:p>
        </w:tc>
        <w:tc>
          <w:tcPr>
            <w:tcW w:w="1243" w:type="dxa"/>
            <w:tcBorders>
              <w:top w:val="nil"/>
              <w:left w:val="nil"/>
              <w:bottom w:val="nil"/>
              <w:right w:val="nil"/>
            </w:tcBorders>
            <w:shd w:val="clear" w:color="auto" w:fill="auto"/>
            <w:vAlign w:val="center"/>
          </w:tcPr>
          <w:p w14:paraId="6AFE125A" w14:textId="582F65B0"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0.051</w:t>
            </w:r>
          </w:p>
        </w:tc>
        <w:tc>
          <w:tcPr>
            <w:tcW w:w="1420" w:type="dxa"/>
            <w:tcBorders>
              <w:top w:val="nil"/>
              <w:left w:val="nil"/>
              <w:bottom w:val="nil"/>
              <w:right w:val="nil"/>
            </w:tcBorders>
            <w:shd w:val="clear" w:color="auto" w:fill="auto"/>
            <w:vAlign w:val="center"/>
          </w:tcPr>
          <w:p w14:paraId="301302ED" w14:textId="622314E4"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0.010</w:t>
            </w:r>
          </w:p>
        </w:tc>
        <w:tc>
          <w:tcPr>
            <w:tcW w:w="1467" w:type="dxa"/>
            <w:tcBorders>
              <w:top w:val="nil"/>
              <w:left w:val="nil"/>
              <w:bottom w:val="nil"/>
              <w:right w:val="nil"/>
            </w:tcBorders>
            <w:shd w:val="clear" w:color="auto" w:fill="auto"/>
            <w:vAlign w:val="center"/>
          </w:tcPr>
          <w:p w14:paraId="64641E3B" w14:textId="59C7A440"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0.469</w:t>
            </w:r>
          </w:p>
        </w:tc>
      </w:tr>
      <w:tr w:rsidR="00724CA2" w:rsidRPr="00724CA2" w14:paraId="6E8B4477" w14:textId="77777777" w:rsidTr="00BF5851">
        <w:trPr>
          <w:trHeight w:val="390"/>
          <w:jc w:val="center"/>
        </w:trPr>
        <w:tc>
          <w:tcPr>
            <w:tcW w:w="3006" w:type="dxa"/>
            <w:vAlign w:val="center"/>
            <w:hideMark/>
          </w:tcPr>
          <w:p w14:paraId="4994A6A4" w14:textId="77777777" w:rsidR="00BF5851" w:rsidRPr="00724CA2" w:rsidRDefault="00BF5851" w:rsidP="00BF5851">
            <w:pPr>
              <w:jc w:val="both"/>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szCs w:val="21"/>
              </w:rPr>
              <w:t>SOEs</w:t>
            </w:r>
          </w:p>
        </w:tc>
        <w:tc>
          <w:tcPr>
            <w:tcW w:w="1243" w:type="dxa"/>
            <w:tcBorders>
              <w:top w:val="nil"/>
              <w:left w:val="nil"/>
              <w:bottom w:val="nil"/>
              <w:right w:val="nil"/>
            </w:tcBorders>
            <w:shd w:val="clear" w:color="auto" w:fill="auto"/>
            <w:vAlign w:val="center"/>
            <w:hideMark/>
          </w:tcPr>
          <w:p w14:paraId="6738863C" w14:textId="07C7F2E4"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0.553</w:t>
            </w:r>
          </w:p>
        </w:tc>
        <w:tc>
          <w:tcPr>
            <w:tcW w:w="1243" w:type="dxa"/>
            <w:tcBorders>
              <w:top w:val="nil"/>
              <w:left w:val="nil"/>
              <w:bottom w:val="nil"/>
              <w:right w:val="nil"/>
            </w:tcBorders>
            <w:shd w:val="clear" w:color="auto" w:fill="auto"/>
            <w:vAlign w:val="center"/>
            <w:hideMark/>
          </w:tcPr>
          <w:p w14:paraId="7E829F08" w14:textId="35980295"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0.497</w:t>
            </w:r>
          </w:p>
        </w:tc>
        <w:tc>
          <w:tcPr>
            <w:tcW w:w="1420" w:type="dxa"/>
            <w:tcBorders>
              <w:top w:val="nil"/>
              <w:left w:val="nil"/>
              <w:bottom w:val="nil"/>
              <w:right w:val="nil"/>
            </w:tcBorders>
            <w:shd w:val="clear" w:color="auto" w:fill="auto"/>
            <w:vAlign w:val="center"/>
            <w:hideMark/>
          </w:tcPr>
          <w:p w14:paraId="741C040B" w14:textId="78058E98"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0.000</w:t>
            </w:r>
          </w:p>
        </w:tc>
        <w:tc>
          <w:tcPr>
            <w:tcW w:w="1467" w:type="dxa"/>
            <w:tcBorders>
              <w:top w:val="nil"/>
              <w:left w:val="nil"/>
              <w:bottom w:val="nil"/>
              <w:right w:val="nil"/>
            </w:tcBorders>
            <w:shd w:val="clear" w:color="auto" w:fill="auto"/>
            <w:vAlign w:val="center"/>
            <w:hideMark/>
          </w:tcPr>
          <w:p w14:paraId="71D409DC" w14:textId="0F460512"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1.000</w:t>
            </w:r>
          </w:p>
        </w:tc>
      </w:tr>
      <w:tr w:rsidR="00724CA2" w:rsidRPr="00724CA2" w14:paraId="19551DED" w14:textId="77777777" w:rsidTr="00BF5851">
        <w:trPr>
          <w:trHeight w:val="390"/>
          <w:jc w:val="center"/>
        </w:trPr>
        <w:tc>
          <w:tcPr>
            <w:tcW w:w="3006" w:type="dxa"/>
            <w:vAlign w:val="center"/>
            <w:hideMark/>
          </w:tcPr>
          <w:p w14:paraId="6FCE79B2" w14:textId="77777777" w:rsidR="00BF5851" w:rsidRPr="00724CA2" w:rsidRDefault="00BF5851" w:rsidP="00BF5851">
            <w:pPr>
              <w:jc w:val="both"/>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szCs w:val="21"/>
              </w:rPr>
              <w:t>Legal environment</w:t>
            </w:r>
          </w:p>
        </w:tc>
        <w:tc>
          <w:tcPr>
            <w:tcW w:w="1243" w:type="dxa"/>
            <w:tcBorders>
              <w:top w:val="nil"/>
              <w:left w:val="nil"/>
              <w:bottom w:val="nil"/>
              <w:right w:val="nil"/>
            </w:tcBorders>
            <w:shd w:val="clear" w:color="auto" w:fill="auto"/>
            <w:vAlign w:val="center"/>
            <w:hideMark/>
          </w:tcPr>
          <w:p w14:paraId="59866AEE" w14:textId="23F5C04F"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7.710</w:t>
            </w:r>
          </w:p>
        </w:tc>
        <w:tc>
          <w:tcPr>
            <w:tcW w:w="1243" w:type="dxa"/>
            <w:tcBorders>
              <w:top w:val="nil"/>
              <w:left w:val="nil"/>
              <w:bottom w:val="nil"/>
              <w:right w:val="nil"/>
            </w:tcBorders>
            <w:shd w:val="clear" w:color="auto" w:fill="auto"/>
            <w:vAlign w:val="center"/>
            <w:hideMark/>
          </w:tcPr>
          <w:p w14:paraId="14C121F4" w14:textId="031087CF"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4.498</w:t>
            </w:r>
          </w:p>
        </w:tc>
        <w:tc>
          <w:tcPr>
            <w:tcW w:w="1420" w:type="dxa"/>
            <w:tcBorders>
              <w:top w:val="nil"/>
              <w:left w:val="nil"/>
              <w:bottom w:val="nil"/>
              <w:right w:val="nil"/>
            </w:tcBorders>
            <w:shd w:val="clear" w:color="auto" w:fill="auto"/>
            <w:vAlign w:val="center"/>
            <w:hideMark/>
          </w:tcPr>
          <w:p w14:paraId="504039EC" w14:textId="49209680"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0.448</w:t>
            </w:r>
          </w:p>
        </w:tc>
        <w:tc>
          <w:tcPr>
            <w:tcW w:w="1467" w:type="dxa"/>
            <w:tcBorders>
              <w:top w:val="nil"/>
              <w:left w:val="nil"/>
              <w:bottom w:val="nil"/>
              <w:right w:val="nil"/>
            </w:tcBorders>
            <w:shd w:val="clear" w:color="auto" w:fill="auto"/>
            <w:vAlign w:val="center"/>
            <w:hideMark/>
          </w:tcPr>
          <w:p w14:paraId="4AFAF9FC" w14:textId="1A23CA93"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14.854</w:t>
            </w:r>
          </w:p>
        </w:tc>
      </w:tr>
      <w:tr w:rsidR="00724CA2" w:rsidRPr="00724CA2" w14:paraId="69261A0D" w14:textId="77777777" w:rsidTr="00BF5851">
        <w:trPr>
          <w:trHeight w:val="390"/>
          <w:jc w:val="center"/>
        </w:trPr>
        <w:tc>
          <w:tcPr>
            <w:tcW w:w="3006" w:type="dxa"/>
            <w:vAlign w:val="center"/>
          </w:tcPr>
          <w:p w14:paraId="7169DDB8" w14:textId="77777777" w:rsidR="00BF5851" w:rsidRPr="00724CA2" w:rsidRDefault="00BF5851" w:rsidP="00BF5851">
            <w:pPr>
              <w:jc w:val="both"/>
              <w:rPr>
                <w:rFonts w:ascii="Times New Roman" w:hAnsi="Times New Roman" w:cs="Times New Roman"/>
                <w:color w:val="000000" w:themeColor="text1"/>
                <w:szCs w:val="21"/>
              </w:rPr>
            </w:pPr>
            <w:r w:rsidRPr="00724CA2">
              <w:rPr>
                <w:rFonts w:ascii="Times New Roman" w:hAnsi="Times New Roman" w:cs="Times New Roman"/>
                <w:color w:val="000000" w:themeColor="text1"/>
                <w:szCs w:val="21"/>
              </w:rPr>
              <w:t>Green questions (%)</w:t>
            </w:r>
          </w:p>
        </w:tc>
        <w:tc>
          <w:tcPr>
            <w:tcW w:w="1243" w:type="dxa"/>
            <w:tcBorders>
              <w:top w:val="nil"/>
              <w:left w:val="nil"/>
              <w:bottom w:val="nil"/>
              <w:right w:val="nil"/>
            </w:tcBorders>
            <w:shd w:val="clear" w:color="auto" w:fill="auto"/>
            <w:vAlign w:val="center"/>
          </w:tcPr>
          <w:p w14:paraId="12B52ED6" w14:textId="46FFC846" w:rsidR="00BF5851" w:rsidRPr="00724CA2" w:rsidRDefault="00BF5851" w:rsidP="00BF5851">
            <w:pPr>
              <w:rPr>
                <w:rFonts w:ascii="Times New Roman" w:hAnsi="Times New Roman" w:cs="Times New Roman"/>
                <w:color w:val="000000" w:themeColor="text1"/>
              </w:rPr>
            </w:pPr>
            <w:r w:rsidRPr="00724CA2">
              <w:rPr>
                <w:rFonts w:ascii="Times New Roman" w:hAnsi="Times New Roman" w:cs="Times New Roman"/>
                <w:color w:val="000000" w:themeColor="text1"/>
              </w:rPr>
              <w:t>1.962</w:t>
            </w:r>
          </w:p>
        </w:tc>
        <w:tc>
          <w:tcPr>
            <w:tcW w:w="1243" w:type="dxa"/>
            <w:tcBorders>
              <w:top w:val="nil"/>
              <w:left w:val="nil"/>
              <w:bottom w:val="nil"/>
              <w:right w:val="nil"/>
            </w:tcBorders>
            <w:shd w:val="clear" w:color="auto" w:fill="auto"/>
            <w:vAlign w:val="center"/>
          </w:tcPr>
          <w:p w14:paraId="4BD29538" w14:textId="38C696EB" w:rsidR="00BF5851" w:rsidRPr="00724CA2" w:rsidRDefault="00BF5851" w:rsidP="00BF5851">
            <w:pPr>
              <w:rPr>
                <w:rFonts w:ascii="Times New Roman" w:hAnsi="Times New Roman" w:cs="Times New Roman"/>
                <w:color w:val="000000" w:themeColor="text1"/>
              </w:rPr>
            </w:pPr>
            <w:r w:rsidRPr="00724CA2">
              <w:rPr>
                <w:rFonts w:ascii="Times New Roman" w:hAnsi="Times New Roman" w:cs="Times New Roman"/>
                <w:color w:val="000000" w:themeColor="text1"/>
              </w:rPr>
              <w:t>5.535</w:t>
            </w:r>
          </w:p>
        </w:tc>
        <w:tc>
          <w:tcPr>
            <w:tcW w:w="1420" w:type="dxa"/>
            <w:tcBorders>
              <w:top w:val="nil"/>
              <w:left w:val="nil"/>
              <w:bottom w:val="nil"/>
              <w:right w:val="nil"/>
            </w:tcBorders>
            <w:shd w:val="clear" w:color="auto" w:fill="auto"/>
            <w:vAlign w:val="center"/>
          </w:tcPr>
          <w:p w14:paraId="68B35823" w14:textId="36F79098" w:rsidR="00BF5851" w:rsidRPr="00724CA2" w:rsidRDefault="00BF5851" w:rsidP="00BF5851">
            <w:pPr>
              <w:rPr>
                <w:rFonts w:ascii="Times New Roman" w:hAnsi="Times New Roman" w:cs="Times New Roman"/>
                <w:color w:val="000000" w:themeColor="text1"/>
              </w:rPr>
            </w:pPr>
            <w:r w:rsidRPr="00724CA2">
              <w:rPr>
                <w:rFonts w:ascii="Times New Roman" w:hAnsi="Times New Roman" w:cs="Times New Roman"/>
                <w:color w:val="000000" w:themeColor="text1"/>
              </w:rPr>
              <w:t>0.000</w:t>
            </w:r>
          </w:p>
        </w:tc>
        <w:tc>
          <w:tcPr>
            <w:tcW w:w="1467" w:type="dxa"/>
            <w:tcBorders>
              <w:top w:val="nil"/>
              <w:left w:val="nil"/>
              <w:bottom w:val="nil"/>
              <w:right w:val="nil"/>
            </w:tcBorders>
            <w:shd w:val="clear" w:color="auto" w:fill="auto"/>
            <w:vAlign w:val="center"/>
          </w:tcPr>
          <w:p w14:paraId="43492BE7" w14:textId="1DBF07D3" w:rsidR="00BF5851" w:rsidRPr="00724CA2" w:rsidRDefault="00BF5851" w:rsidP="00BF5851">
            <w:pPr>
              <w:rPr>
                <w:rFonts w:ascii="Times New Roman" w:hAnsi="Times New Roman" w:cs="Times New Roman"/>
                <w:color w:val="000000" w:themeColor="text1"/>
              </w:rPr>
            </w:pPr>
            <w:r w:rsidRPr="00724CA2">
              <w:rPr>
                <w:rFonts w:ascii="Times New Roman" w:hAnsi="Times New Roman" w:cs="Times New Roman"/>
                <w:color w:val="000000" w:themeColor="text1"/>
              </w:rPr>
              <w:t>48.284</w:t>
            </w:r>
          </w:p>
        </w:tc>
      </w:tr>
      <w:tr w:rsidR="00724CA2" w:rsidRPr="00724CA2" w14:paraId="1B68794F" w14:textId="77777777" w:rsidTr="00BF5851">
        <w:trPr>
          <w:trHeight w:val="390"/>
          <w:jc w:val="center"/>
        </w:trPr>
        <w:tc>
          <w:tcPr>
            <w:tcW w:w="3006" w:type="dxa"/>
            <w:vAlign w:val="center"/>
          </w:tcPr>
          <w:p w14:paraId="75C25C75" w14:textId="77777777" w:rsidR="00BF5851" w:rsidRPr="00724CA2" w:rsidRDefault="00BF5851" w:rsidP="00BF5851">
            <w:pPr>
              <w:jc w:val="both"/>
              <w:rPr>
                <w:rFonts w:ascii="Times New Roman" w:hAnsi="Times New Roman" w:cs="Times New Roman"/>
                <w:color w:val="000000" w:themeColor="text1"/>
                <w:szCs w:val="21"/>
              </w:rPr>
            </w:pPr>
            <w:r w:rsidRPr="00724CA2">
              <w:rPr>
                <w:rFonts w:ascii="Times New Roman" w:hAnsi="Times New Roman" w:cs="Times New Roman"/>
                <w:color w:val="000000" w:themeColor="text1"/>
                <w:szCs w:val="21"/>
              </w:rPr>
              <w:t>Green board</w:t>
            </w:r>
          </w:p>
        </w:tc>
        <w:tc>
          <w:tcPr>
            <w:tcW w:w="1243" w:type="dxa"/>
            <w:tcBorders>
              <w:top w:val="nil"/>
              <w:left w:val="nil"/>
              <w:bottom w:val="nil"/>
              <w:right w:val="nil"/>
            </w:tcBorders>
            <w:shd w:val="clear" w:color="auto" w:fill="auto"/>
            <w:vAlign w:val="center"/>
          </w:tcPr>
          <w:p w14:paraId="10B70664" w14:textId="2AC129B0" w:rsidR="00BF5851" w:rsidRPr="00724CA2" w:rsidRDefault="00BF5851" w:rsidP="00BF5851">
            <w:pPr>
              <w:rPr>
                <w:rFonts w:ascii="Times New Roman" w:hAnsi="Times New Roman" w:cs="Times New Roman"/>
                <w:color w:val="000000" w:themeColor="text1"/>
                <w:szCs w:val="21"/>
              </w:rPr>
            </w:pPr>
            <w:r w:rsidRPr="00724CA2">
              <w:rPr>
                <w:rFonts w:ascii="Times New Roman" w:hAnsi="Times New Roman" w:cs="Times New Roman"/>
                <w:color w:val="000000" w:themeColor="text1"/>
              </w:rPr>
              <w:t>0.839</w:t>
            </w:r>
          </w:p>
        </w:tc>
        <w:tc>
          <w:tcPr>
            <w:tcW w:w="1243" w:type="dxa"/>
            <w:tcBorders>
              <w:top w:val="nil"/>
              <w:left w:val="nil"/>
              <w:bottom w:val="nil"/>
              <w:right w:val="nil"/>
            </w:tcBorders>
            <w:shd w:val="clear" w:color="auto" w:fill="auto"/>
            <w:vAlign w:val="center"/>
          </w:tcPr>
          <w:p w14:paraId="587CD530" w14:textId="0C0889E9" w:rsidR="00BF5851" w:rsidRPr="00724CA2" w:rsidRDefault="00BF5851" w:rsidP="00BF5851">
            <w:pPr>
              <w:rPr>
                <w:rFonts w:ascii="Times New Roman" w:hAnsi="Times New Roman" w:cs="Times New Roman"/>
                <w:color w:val="000000" w:themeColor="text1"/>
                <w:szCs w:val="21"/>
              </w:rPr>
            </w:pPr>
            <w:r w:rsidRPr="00724CA2">
              <w:rPr>
                <w:rFonts w:ascii="Times New Roman" w:hAnsi="Times New Roman" w:cs="Times New Roman"/>
                <w:color w:val="000000" w:themeColor="text1"/>
              </w:rPr>
              <w:t>1.674</w:t>
            </w:r>
          </w:p>
        </w:tc>
        <w:tc>
          <w:tcPr>
            <w:tcW w:w="1420" w:type="dxa"/>
            <w:tcBorders>
              <w:top w:val="nil"/>
              <w:left w:val="nil"/>
              <w:bottom w:val="nil"/>
              <w:right w:val="nil"/>
            </w:tcBorders>
            <w:shd w:val="clear" w:color="auto" w:fill="auto"/>
            <w:vAlign w:val="center"/>
          </w:tcPr>
          <w:p w14:paraId="480B6861" w14:textId="06A9EB68" w:rsidR="00BF5851" w:rsidRPr="00724CA2" w:rsidRDefault="00BF5851" w:rsidP="00BF5851">
            <w:pPr>
              <w:rPr>
                <w:rFonts w:ascii="Times New Roman" w:hAnsi="Times New Roman" w:cs="Times New Roman"/>
                <w:color w:val="000000" w:themeColor="text1"/>
                <w:szCs w:val="21"/>
              </w:rPr>
            </w:pPr>
            <w:r w:rsidRPr="00724CA2">
              <w:rPr>
                <w:rFonts w:ascii="Times New Roman" w:hAnsi="Times New Roman" w:cs="Times New Roman"/>
                <w:color w:val="000000" w:themeColor="text1"/>
              </w:rPr>
              <w:t>0.000</w:t>
            </w:r>
          </w:p>
        </w:tc>
        <w:tc>
          <w:tcPr>
            <w:tcW w:w="1467" w:type="dxa"/>
            <w:tcBorders>
              <w:top w:val="nil"/>
              <w:left w:val="nil"/>
              <w:bottom w:val="nil"/>
              <w:right w:val="nil"/>
            </w:tcBorders>
            <w:shd w:val="clear" w:color="auto" w:fill="auto"/>
            <w:vAlign w:val="center"/>
          </w:tcPr>
          <w:p w14:paraId="78B03830" w14:textId="2BDF0959" w:rsidR="00BF5851" w:rsidRPr="00724CA2" w:rsidRDefault="00BF5851" w:rsidP="00BF5851">
            <w:pPr>
              <w:rPr>
                <w:rFonts w:ascii="Times New Roman" w:hAnsi="Times New Roman" w:cs="Times New Roman"/>
                <w:color w:val="000000" w:themeColor="text1"/>
                <w:szCs w:val="21"/>
              </w:rPr>
            </w:pPr>
            <w:r w:rsidRPr="00724CA2">
              <w:rPr>
                <w:rFonts w:ascii="Times New Roman" w:hAnsi="Times New Roman" w:cs="Times New Roman"/>
                <w:color w:val="000000" w:themeColor="text1"/>
              </w:rPr>
              <w:t>13.000</w:t>
            </w:r>
          </w:p>
        </w:tc>
      </w:tr>
      <w:tr w:rsidR="00724CA2" w:rsidRPr="00724CA2" w14:paraId="19CBEFD0" w14:textId="77777777" w:rsidTr="00BF5851">
        <w:trPr>
          <w:trHeight w:val="390"/>
          <w:jc w:val="center"/>
        </w:trPr>
        <w:tc>
          <w:tcPr>
            <w:tcW w:w="3006" w:type="dxa"/>
            <w:vAlign w:val="center"/>
          </w:tcPr>
          <w:p w14:paraId="21037CDC" w14:textId="0DC51AE3" w:rsidR="00BF5851" w:rsidRPr="00724CA2" w:rsidRDefault="00BF5851" w:rsidP="00BF5851">
            <w:pPr>
              <w:jc w:val="both"/>
              <w:rPr>
                <w:rFonts w:ascii="Times New Roman" w:hAnsi="Times New Roman" w:cs="Times New Roman"/>
                <w:color w:val="000000" w:themeColor="text1"/>
                <w:szCs w:val="21"/>
                <w:lang w:val="en-US"/>
              </w:rPr>
            </w:pPr>
            <w:r w:rsidRPr="00724CA2">
              <w:rPr>
                <w:rFonts w:ascii="Times New Roman" w:hAnsi="Times New Roman" w:cs="Times New Roman" w:hint="eastAsia"/>
                <w:color w:val="000000" w:themeColor="text1"/>
                <w:szCs w:val="21"/>
                <w:lang w:val="en-US"/>
              </w:rPr>
              <w:t>S</w:t>
            </w:r>
            <w:r w:rsidRPr="00724CA2">
              <w:rPr>
                <w:rFonts w:ascii="Times New Roman" w:hAnsi="Times New Roman" w:cs="Times New Roman"/>
                <w:color w:val="000000" w:themeColor="text1"/>
                <w:szCs w:val="21"/>
                <w:lang w:val="en-US"/>
              </w:rPr>
              <w:t xml:space="preserve">ociety </w:t>
            </w:r>
          </w:p>
        </w:tc>
        <w:tc>
          <w:tcPr>
            <w:tcW w:w="1243" w:type="dxa"/>
            <w:tcBorders>
              <w:top w:val="nil"/>
              <w:left w:val="nil"/>
              <w:bottom w:val="nil"/>
              <w:right w:val="nil"/>
            </w:tcBorders>
            <w:shd w:val="clear" w:color="auto" w:fill="auto"/>
            <w:vAlign w:val="center"/>
          </w:tcPr>
          <w:p w14:paraId="1DD9D260" w14:textId="26765388"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71.539</w:t>
            </w:r>
          </w:p>
        </w:tc>
        <w:tc>
          <w:tcPr>
            <w:tcW w:w="1243" w:type="dxa"/>
            <w:tcBorders>
              <w:top w:val="nil"/>
              <w:left w:val="nil"/>
              <w:bottom w:val="nil"/>
              <w:right w:val="nil"/>
            </w:tcBorders>
            <w:shd w:val="clear" w:color="auto" w:fill="auto"/>
            <w:vAlign w:val="center"/>
          </w:tcPr>
          <w:p w14:paraId="4868672B" w14:textId="246F44BA"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10.654</w:t>
            </w:r>
          </w:p>
        </w:tc>
        <w:tc>
          <w:tcPr>
            <w:tcW w:w="1420" w:type="dxa"/>
            <w:tcBorders>
              <w:top w:val="nil"/>
              <w:left w:val="nil"/>
              <w:bottom w:val="nil"/>
              <w:right w:val="nil"/>
            </w:tcBorders>
            <w:shd w:val="clear" w:color="auto" w:fill="auto"/>
            <w:vAlign w:val="center"/>
          </w:tcPr>
          <w:p w14:paraId="684AC299" w14:textId="5BAC4F83"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4.880</w:t>
            </w:r>
          </w:p>
        </w:tc>
        <w:tc>
          <w:tcPr>
            <w:tcW w:w="1467" w:type="dxa"/>
            <w:tcBorders>
              <w:top w:val="nil"/>
              <w:left w:val="nil"/>
              <w:bottom w:val="nil"/>
              <w:right w:val="nil"/>
            </w:tcBorders>
            <w:shd w:val="clear" w:color="auto" w:fill="auto"/>
            <w:vAlign w:val="center"/>
          </w:tcPr>
          <w:p w14:paraId="17184997" w14:textId="7C733A6A"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100.000</w:t>
            </w:r>
          </w:p>
        </w:tc>
      </w:tr>
      <w:tr w:rsidR="00724CA2" w:rsidRPr="00724CA2" w14:paraId="23808478" w14:textId="77777777" w:rsidTr="00BF5851">
        <w:trPr>
          <w:trHeight w:val="390"/>
          <w:jc w:val="center"/>
        </w:trPr>
        <w:tc>
          <w:tcPr>
            <w:tcW w:w="3006" w:type="dxa"/>
            <w:vAlign w:val="center"/>
          </w:tcPr>
          <w:p w14:paraId="7FE2E410" w14:textId="6669C621" w:rsidR="00BF5851" w:rsidRPr="00724CA2" w:rsidRDefault="00BF5851" w:rsidP="00BF5851">
            <w:pPr>
              <w:jc w:val="both"/>
              <w:rPr>
                <w:rFonts w:ascii="Times New Roman" w:hAnsi="Times New Roman" w:cs="Times New Roman"/>
                <w:color w:val="000000" w:themeColor="text1"/>
                <w:szCs w:val="21"/>
                <w:lang w:val="en-US"/>
              </w:rPr>
            </w:pPr>
            <w:r w:rsidRPr="00724CA2">
              <w:rPr>
                <w:rFonts w:ascii="Times New Roman" w:hAnsi="Times New Roman" w:cs="Times New Roman" w:hint="eastAsia"/>
                <w:color w:val="000000" w:themeColor="text1"/>
                <w:szCs w:val="21"/>
                <w:lang w:val="en-US"/>
              </w:rPr>
              <w:t>G</w:t>
            </w:r>
            <w:r w:rsidRPr="00724CA2">
              <w:rPr>
                <w:rFonts w:ascii="Times New Roman" w:hAnsi="Times New Roman" w:cs="Times New Roman"/>
                <w:color w:val="000000" w:themeColor="text1"/>
                <w:szCs w:val="21"/>
                <w:lang w:val="en-US"/>
              </w:rPr>
              <w:t>overnance</w:t>
            </w:r>
          </w:p>
        </w:tc>
        <w:tc>
          <w:tcPr>
            <w:tcW w:w="1243" w:type="dxa"/>
            <w:tcBorders>
              <w:top w:val="nil"/>
              <w:left w:val="nil"/>
              <w:bottom w:val="nil"/>
              <w:right w:val="nil"/>
            </w:tcBorders>
            <w:shd w:val="clear" w:color="auto" w:fill="auto"/>
            <w:vAlign w:val="center"/>
          </w:tcPr>
          <w:p w14:paraId="3E5445DB" w14:textId="6B94EEF0"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79.434</w:t>
            </w:r>
          </w:p>
        </w:tc>
        <w:tc>
          <w:tcPr>
            <w:tcW w:w="1243" w:type="dxa"/>
            <w:tcBorders>
              <w:top w:val="nil"/>
              <w:left w:val="nil"/>
              <w:bottom w:val="nil"/>
              <w:right w:val="nil"/>
            </w:tcBorders>
            <w:shd w:val="clear" w:color="auto" w:fill="auto"/>
            <w:vAlign w:val="center"/>
          </w:tcPr>
          <w:p w14:paraId="4208A8C4" w14:textId="4B9F65E6"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6.964</w:t>
            </w:r>
          </w:p>
        </w:tc>
        <w:tc>
          <w:tcPr>
            <w:tcW w:w="1420" w:type="dxa"/>
            <w:tcBorders>
              <w:top w:val="nil"/>
              <w:left w:val="nil"/>
              <w:bottom w:val="nil"/>
              <w:right w:val="nil"/>
            </w:tcBorders>
            <w:shd w:val="clear" w:color="auto" w:fill="auto"/>
            <w:vAlign w:val="center"/>
          </w:tcPr>
          <w:p w14:paraId="613F489C" w14:textId="3D14F402"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23.870</w:t>
            </w:r>
          </w:p>
        </w:tc>
        <w:tc>
          <w:tcPr>
            <w:tcW w:w="1467" w:type="dxa"/>
            <w:tcBorders>
              <w:top w:val="nil"/>
              <w:left w:val="nil"/>
              <w:bottom w:val="nil"/>
              <w:right w:val="nil"/>
            </w:tcBorders>
            <w:shd w:val="clear" w:color="auto" w:fill="auto"/>
            <w:vAlign w:val="center"/>
          </w:tcPr>
          <w:p w14:paraId="53D1679B" w14:textId="67E1C731"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97.330</w:t>
            </w:r>
          </w:p>
        </w:tc>
      </w:tr>
      <w:tr w:rsidR="00724CA2" w:rsidRPr="00724CA2" w14:paraId="01B892C8" w14:textId="77777777" w:rsidTr="00BF5851">
        <w:trPr>
          <w:trHeight w:val="390"/>
          <w:jc w:val="center"/>
        </w:trPr>
        <w:tc>
          <w:tcPr>
            <w:tcW w:w="3006" w:type="dxa"/>
            <w:vAlign w:val="center"/>
            <w:hideMark/>
          </w:tcPr>
          <w:p w14:paraId="12028685" w14:textId="77777777" w:rsidR="00BF5851" w:rsidRPr="00724CA2" w:rsidRDefault="00BF5851" w:rsidP="00BF5851">
            <w:pPr>
              <w:jc w:val="both"/>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szCs w:val="21"/>
                <w:lang w:val="en-US"/>
              </w:rPr>
              <w:t>Duality</w:t>
            </w:r>
          </w:p>
        </w:tc>
        <w:tc>
          <w:tcPr>
            <w:tcW w:w="1243" w:type="dxa"/>
            <w:tcBorders>
              <w:top w:val="nil"/>
              <w:left w:val="nil"/>
              <w:bottom w:val="nil"/>
              <w:right w:val="nil"/>
            </w:tcBorders>
            <w:shd w:val="clear" w:color="auto" w:fill="auto"/>
            <w:vAlign w:val="center"/>
            <w:hideMark/>
          </w:tcPr>
          <w:p w14:paraId="4C36297E" w14:textId="2D7808A5"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0.178</w:t>
            </w:r>
          </w:p>
        </w:tc>
        <w:tc>
          <w:tcPr>
            <w:tcW w:w="1243" w:type="dxa"/>
            <w:tcBorders>
              <w:top w:val="nil"/>
              <w:left w:val="nil"/>
              <w:bottom w:val="nil"/>
              <w:right w:val="nil"/>
            </w:tcBorders>
            <w:shd w:val="clear" w:color="auto" w:fill="auto"/>
            <w:vAlign w:val="center"/>
            <w:hideMark/>
          </w:tcPr>
          <w:p w14:paraId="54E29359" w14:textId="50852A79"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0.383</w:t>
            </w:r>
          </w:p>
        </w:tc>
        <w:tc>
          <w:tcPr>
            <w:tcW w:w="1420" w:type="dxa"/>
            <w:tcBorders>
              <w:top w:val="nil"/>
              <w:left w:val="nil"/>
              <w:bottom w:val="nil"/>
              <w:right w:val="nil"/>
            </w:tcBorders>
            <w:shd w:val="clear" w:color="auto" w:fill="auto"/>
            <w:vAlign w:val="center"/>
            <w:hideMark/>
          </w:tcPr>
          <w:p w14:paraId="133BAF9A" w14:textId="6C2A9932"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0.000</w:t>
            </w:r>
          </w:p>
        </w:tc>
        <w:tc>
          <w:tcPr>
            <w:tcW w:w="1467" w:type="dxa"/>
            <w:tcBorders>
              <w:top w:val="nil"/>
              <w:left w:val="nil"/>
              <w:bottom w:val="nil"/>
              <w:right w:val="nil"/>
            </w:tcBorders>
            <w:shd w:val="clear" w:color="auto" w:fill="auto"/>
            <w:vAlign w:val="center"/>
            <w:hideMark/>
          </w:tcPr>
          <w:p w14:paraId="73CC5A7E" w14:textId="7FA2BD31"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1.000</w:t>
            </w:r>
          </w:p>
        </w:tc>
      </w:tr>
      <w:tr w:rsidR="00724CA2" w:rsidRPr="00724CA2" w14:paraId="26011879" w14:textId="77777777" w:rsidTr="00BF5851">
        <w:trPr>
          <w:trHeight w:val="390"/>
          <w:jc w:val="center"/>
        </w:trPr>
        <w:tc>
          <w:tcPr>
            <w:tcW w:w="3006" w:type="dxa"/>
            <w:vAlign w:val="center"/>
            <w:hideMark/>
          </w:tcPr>
          <w:p w14:paraId="20E3B1A3" w14:textId="77777777" w:rsidR="00BF5851" w:rsidRPr="00724CA2" w:rsidRDefault="00BF5851" w:rsidP="00BF5851">
            <w:pPr>
              <w:jc w:val="both"/>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szCs w:val="21"/>
                <w:lang w:val="en-US"/>
              </w:rPr>
              <w:t>Independence</w:t>
            </w:r>
          </w:p>
        </w:tc>
        <w:tc>
          <w:tcPr>
            <w:tcW w:w="1243" w:type="dxa"/>
            <w:tcBorders>
              <w:top w:val="nil"/>
              <w:left w:val="nil"/>
              <w:bottom w:val="nil"/>
              <w:right w:val="nil"/>
            </w:tcBorders>
            <w:shd w:val="clear" w:color="auto" w:fill="auto"/>
            <w:vAlign w:val="center"/>
            <w:hideMark/>
          </w:tcPr>
          <w:p w14:paraId="7AF2ED21" w14:textId="53AB4DBC"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0.371</w:t>
            </w:r>
          </w:p>
        </w:tc>
        <w:tc>
          <w:tcPr>
            <w:tcW w:w="1243" w:type="dxa"/>
            <w:tcBorders>
              <w:top w:val="nil"/>
              <w:left w:val="nil"/>
              <w:bottom w:val="nil"/>
              <w:right w:val="nil"/>
            </w:tcBorders>
            <w:shd w:val="clear" w:color="auto" w:fill="auto"/>
            <w:vAlign w:val="center"/>
            <w:hideMark/>
          </w:tcPr>
          <w:p w14:paraId="54800665" w14:textId="2F1E31E5"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0.055</w:t>
            </w:r>
          </w:p>
        </w:tc>
        <w:tc>
          <w:tcPr>
            <w:tcW w:w="1420" w:type="dxa"/>
            <w:tcBorders>
              <w:top w:val="nil"/>
              <w:left w:val="nil"/>
              <w:bottom w:val="nil"/>
              <w:right w:val="nil"/>
            </w:tcBorders>
            <w:shd w:val="clear" w:color="auto" w:fill="auto"/>
            <w:vAlign w:val="center"/>
            <w:hideMark/>
          </w:tcPr>
          <w:p w14:paraId="4E8230D3" w14:textId="4EAB93AC"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0.200</w:t>
            </w:r>
          </w:p>
        </w:tc>
        <w:tc>
          <w:tcPr>
            <w:tcW w:w="1467" w:type="dxa"/>
            <w:tcBorders>
              <w:top w:val="nil"/>
              <w:left w:val="nil"/>
              <w:bottom w:val="nil"/>
              <w:right w:val="nil"/>
            </w:tcBorders>
            <w:shd w:val="clear" w:color="auto" w:fill="auto"/>
            <w:vAlign w:val="center"/>
            <w:hideMark/>
          </w:tcPr>
          <w:p w14:paraId="7397EA36" w14:textId="4FAEDD61"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0.750</w:t>
            </w:r>
          </w:p>
        </w:tc>
      </w:tr>
      <w:tr w:rsidR="00724CA2" w:rsidRPr="00724CA2" w14:paraId="0DFC910C" w14:textId="77777777" w:rsidTr="00BF5851">
        <w:trPr>
          <w:trHeight w:val="390"/>
          <w:jc w:val="center"/>
        </w:trPr>
        <w:tc>
          <w:tcPr>
            <w:tcW w:w="3006" w:type="dxa"/>
            <w:vAlign w:val="center"/>
            <w:hideMark/>
          </w:tcPr>
          <w:p w14:paraId="1314A15E" w14:textId="77777777" w:rsidR="00BF5851" w:rsidRPr="00724CA2" w:rsidRDefault="00BF5851" w:rsidP="00BF5851">
            <w:pPr>
              <w:jc w:val="both"/>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szCs w:val="21"/>
                <w:lang w:val="en-US"/>
              </w:rPr>
              <w:t>Board meeting</w:t>
            </w:r>
          </w:p>
        </w:tc>
        <w:tc>
          <w:tcPr>
            <w:tcW w:w="1243" w:type="dxa"/>
            <w:tcBorders>
              <w:top w:val="nil"/>
              <w:left w:val="nil"/>
              <w:bottom w:val="nil"/>
              <w:right w:val="nil"/>
            </w:tcBorders>
            <w:shd w:val="clear" w:color="auto" w:fill="auto"/>
            <w:vAlign w:val="center"/>
            <w:hideMark/>
          </w:tcPr>
          <w:p w14:paraId="435D92F1" w14:textId="0FA81E45"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9.783</w:t>
            </w:r>
          </w:p>
        </w:tc>
        <w:tc>
          <w:tcPr>
            <w:tcW w:w="1243" w:type="dxa"/>
            <w:tcBorders>
              <w:top w:val="nil"/>
              <w:left w:val="nil"/>
              <w:bottom w:val="nil"/>
              <w:right w:val="nil"/>
            </w:tcBorders>
            <w:shd w:val="clear" w:color="auto" w:fill="auto"/>
            <w:vAlign w:val="center"/>
            <w:hideMark/>
          </w:tcPr>
          <w:p w14:paraId="77DB0CB3" w14:textId="2B5553D3"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4.074</w:t>
            </w:r>
          </w:p>
        </w:tc>
        <w:tc>
          <w:tcPr>
            <w:tcW w:w="1420" w:type="dxa"/>
            <w:tcBorders>
              <w:top w:val="nil"/>
              <w:left w:val="nil"/>
              <w:bottom w:val="nil"/>
              <w:right w:val="nil"/>
            </w:tcBorders>
            <w:shd w:val="clear" w:color="auto" w:fill="auto"/>
            <w:vAlign w:val="center"/>
            <w:hideMark/>
          </w:tcPr>
          <w:p w14:paraId="29833779" w14:textId="039EEA7F"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1.000</w:t>
            </w:r>
          </w:p>
        </w:tc>
        <w:tc>
          <w:tcPr>
            <w:tcW w:w="1467" w:type="dxa"/>
            <w:tcBorders>
              <w:top w:val="nil"/>
              <w:left w:val="nil"/>
              <w:bottom w:val="nil"/>
              <w:right w:val="nil"/>
            </w:tcBorders>
            <w:shd w:val="clear" w:color="auto" w:fill="auto"/>
            <w:vAlign w:val="center"/>
            <w:hideMark/>
          </w:tcPr>
          <w:p w14:paraId="29F3EDF5" w14:textId="69E139A1"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40.000</w:t>
            </w:r>
          </w:p>
        </w:tc>
      </w:tr>
      <w:tr w:rsidR="00724CA2" w:rsidRPr="00724CA2" w14:paraId="6ECF2E93" w14:textId="77777777" w:rsidTr="00BF5851">
        <w:trPr>
          <w:trHeight w:val="390"/>
          <w:jc w:val="center"/>
        </w:trPr>
        <w:tc>
          <w:tcPr>
            <w:tcW w:w="3006" w:type="dxa"/>
            <w:vAlign w:val="center"/>
            <w:hideMark/>
          </w:tcPr>
          <w:p w14:paraId="2D551FF3" w14:textId="77777777" w:rsidR="00BF5851" w:rsidRPr="00724CA2" w:rsidRDefault="00BF5851" w:rsidP="00BF5851">
            <w:pPr>
              <w:jc w:val="both"/>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szCs w:val="21"/>
                <w:lang w:val="en-US"/>
              </w:rPr>
              <w:t>Managerial ownership</w:t>
            </w:r>
          </w:p>
        </w:tc>
        <w:tc>
          <w:tcPr>
            <w:tcW w:w="1243" w:type="dxa"/>
            <w:tcBorders>
              <w:top w:val="nil"/>
              <w:left w:val="nil"/>
              <w:bottom w:val="nil"/>
              <w:right w:val="nil"/>
            </w:tcBorders>
            <w:shd w:val="clear" w:color="auto" w:fill="auto"/>
            <w:vAlign w:val="center"/>
            <w:hideMark/>
          </w:tcPr>
          <w:p w14:paraId="5A2999B4" w14:textId="6982B928"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0.064</w:t>
            </w:r>
          </w:p>
        </w:tc>
        <w:tc>
          <w:tcPr>
            <w:tcW w:w="1243" w:type="dxa"/>
            <w:tcBorders>
              <w:top w:val="nil"/>
              <w:left w:val="nil"/>
              <w:bottom w:val="nil"/>
              <w:right w:val="nil"/>
            </w:tcBorders>
            <w:shd w:val="clear" w:color="auto" w:fill="auto"/>
            <w:vAlign w:val="center"/>
            <w:hideMark/>
          </w:tcPr>
          <w:p w14:paraId="08FA68E8" w14:textId="20697990"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0.147</w:t>
            </w:r>
          </w:p>
        </w:tc>
        <w:tc>
          <w:tcPr>
            <w:tcW w:w="1420" w:type="dxa"/>
            <w:tcBorders>
              <w:top w:val="nil"/>
              <w:left w:val="nil"/>
              <w:bottom w:val="nil"/>
              <w:right w:val="nil"/>
            </w:tcBorders>
            <w:shd w:val="clear" w:color="auto" w:fill="auto"/>
            <w:vAlign w:val="center"/>
            <w:hideMark/>
          </w:tcPr>
          <w:p w14:paraId="09974FF2" w14:textId="24F4C711"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0.000</w:t>
            </w:r>
          </w:p>
        </w:tc>
        <w:tc>
          <w:tcPr>
            <w:tcW w:w="1467" w:type="dxa"/>
            <w:tcBorders>
              <w:top w:val="nil"/>
              <w:left w:val="nil"/>
              <w:bottom w:val="nil"/>
              <w:right w:val="nil"/>
            </w:tcBorders>
            <w:shd w:val="clear" w:color="auto" w:fill="auto"/>
            <w:vAlign w:val="center"/>
            <w:hideMark/>
          </w:tcPr>
          <w:p w14:paraId="0CE2AB38" w14:textId="68F98542"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0.822</w:t>
            </w:r>
          </w:p>
        </w:tc>
      </w:tr>
      <w:tr w:rsidR="00724CA2" w:rsidRPr="00724CA2" w14:paraId="21FD3764" w14:textId="77777777" w:rsidTr="00BF5851">
        <w:trPr>
          <w:trHeight w:val="390"/>
          <w:jc w:val="center"/>
        </w:trPr>
        <w:tc>
          <w:tcPr>
            <w:tcW w:w="3006" w:type="dxa"/>
            <w:vAlign w:val="center"/>
            <w:hideMark/>
          </w:tcPr>
          <w:p w14:paraId="1D3AB630" w14:textId="77777777" w:rsidR="00BF5851" w:rsidRPr="00724CA2" w:rsidRDefault="00BF5851" w:rsidP="00BF5851">
            <w:pPr>
              <w:jc w:val="both"/>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szCs w:val="21"/>
                <w:lang w:val="en-US"/>
              </w:rPr>
              <w:t>Z Index</w:t>
            </w:r>
          </w:p>
        </w:tc>
        <w:tc>
          <w:tcPr>
            <w:tcW w:w="1243" w:type="dxa"/>
            <w:tcBorders>
              <w:top w:val="nil"/>
              <w:left w:val="nil"/>
              <w:bottom w:val="nil"/>
              <w:right w:val="nil"/>
            </w:tcBorders>
            <w:shd w:val="clear" w:color="auto" w:fill="auto"/>
            <w:vAlign w:val="center"/>
            <w:hideMark/>
          </w:tcPr>
          <w:p w14:paraId="7F58E765" w14:textId="335779EA"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9.385</w:t>
            </w:r>
          </w:p>
        </w:tc>
        <w:tc>
          <w:tcPr>
            <w:tcW w:w="1243" w:type="dxa"/>
            <w:tcBorders>
              <w:top w:val="nil"/>
              <w:left w:val="nil"/>
              <w:bottom w:val="nil"/>
              <w:right w:val="nil"/>
            </w:tcBorders>
            <w:shd w:val="clear" w:color="auto" w:fill="auto"/>
            <w:vAlign w:val="center"/>
            <w:hideMark/>
          </w:tcPr>
          <w:p w14:paraId="10B203B5" w14:textId="416E8F5C"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9.631</w:t>
            </w:r>
          </w:p>
        </w:tc>
        <w:tc>
          <w:tcPr>
            <w:tcW w:w="1420" w:type="dxa"/>
            <w:tcBorders>
              <w:top w:val="nil"/>
              <w:left w:val="nil"/>
              <w:bottom w:val="nil"/>
              <w:right w:val="nil"/>
            </w:tcBorders>
            <w:shd w:val="clear" w:color="auto" w:fill="auto"/>
            <w:vAlign w:val="center"/>
            <w:hideMark/>
          </w:tcPr>
          <w:p w14:paraId="1844ED87" w14:textId="19293093"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1.246</w:t>
            </w:r>
          </w:p>
        </w:tc>
        <w:tc>
          <w:tcPr>
            <w:tcW w:w="1467" w:type="dxa"/>
            <w:tcBorders>
              <w:top w:val="nil"/>
              <w:left w:val="nil"/>
              <w:bottom w:val="nil"/>
              <w:right w:val="nil"/>
            </w:tcBorders>
            <w:shd w:val="clear" w:color="auto" w:fill="auto"/>
            <w:vAlign w:val="center"/>
            <w:hideMark/>
          </w:tcPr>
          <w:p w14:paraId="2759256B" w14:textId="190661B7"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28.903</w:t>
            </w:r>
          </w:p>
        </w:tc>
      </w:tr>
      <w:tr w:rsidR="00724CA2" w:rsidRPr="00724CA2" w14:paraId="7C67E066" w14:textId="77777777" w:rsidTr="00BF5851">
        <w:trPr>
          <w:trHeight w:val="390"/>
          <w:jc w:val="center"/>
        </w:trPr>
        <w:tc>
          <w:tcPr>
            <w:tcW w:w="3006" w:type="dxa"/>
            <w:vAlign w:val="center"/>
            <w:hideMark/>
          </w:tcPr>
          <w:p w14:paraId="0A42AFAE" w14:textId="77777777" w:rsidR="00BF5851" w:rsidRPr="00724CA2" w:rsidRDefault="00BF5851" w:rsidP="00BF5851">
            <w:pPr>
              <w:jc w:val="both"/>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szCs w:val="21"/>
              </w:rPr>
              <w:t>Stock returns</w:t>
            </w:r>
          </w:p>
        </w:tc>
        <w:tc>
          <w:tcPr>
            <w:tcW w:w="1243" w:type="dxa"/>
            <w:tcBorders>
              <w:top w:val="nil"/>
              <w:left w:val="nil"/>
              <w:bottom w:val="nil"/>
              <w:right w:val="nil"/>
            </w:tcBorders>
            <w:shd w:val="clear" w:color="auto" w:fill="auto"/>
            <w:vAlign w:val="center"/>
            <w:hideMark/>
          </w:tcPr>
          <w:p w14:paraId="11D9A183" w14:textId="27995934"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0.039</w:t>
            </w:r>
          </w:p>
        </w:tc>
        <w:tc>
          <w:tcPr>
            <w:tcW w:w="1243" w:type="dxa"/>
            <w:tcBorders>
              <w:top w:val="nil"/>
              <w:left w:val="nil"/>
              <w:bottom w:val="nil"/>
              <w:right w:val="nil"/>
            </w:tcBorders>
            <w:shd w:val="clear" w:color="auto" w:fill="auto"/>
            <w:vAlign w:val="center"/>
            <w:hideMark/>
          </w:tcPr>
          <w:p w14:paraId="6515DECD" w14:textId="35A97D4A"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0.497</w:t>
            </w:r>
          </w:p>
        </w:tc>
        <w:tc>
          <w:tcPr>
            <w:tcW w:w="1420" w:type="dxa"/>
            <w:tcBorders>
              <w:top w:val="nil"/>
              <w:left w:val="nil"/>
              <w:bottom w:val="nil"/>
              <w:right w:val="nil"/>
            </w:tcBorders>
            <w:shd w:val="clear" w:color="auto" w:fill="auto"/>
            <w:vAlign w:val="center"/>
            <w:hideMark/>
          </w:tcPr>
          <w:p w14:paraId="131151DE" w14:textId="05F3CA19"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-0.706</w:t>
            </w:r>
          </w:p>
        </w:tc>
        <w:tc>
          <w:tcPr>
            <w:tcW w:w="1467" w:type="dxa"/>
            <w:tcBorders>
              <w:top w:val="nil"/>
              <w:left w:val="nil"/>
              <w:bottom w:val="nil"/>
              <w:right w:val="nil"/>
            </w:tcBorders>
            <w:shd w:val="clear" w:color="auto" w:fill="auto"/>
            <w:vAlign w:val="center"/>
            <w:hideMark/>
          </w:tcPr>
          <w:p w14:paraId="1A7E5AA3" w14:textId="424DC432"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5.107</w:t>
            </w:r>
          </w:p>
        </w:tc>
      </w:tr>
      <w:tr w:rsidR="00724CA2" w:rsidRPr="00724CA2" w14:paraId="3A93F4C3" w14:textId="77777777" w:rsidTr="00BF5851">
        <w:trPr>
          <w:trHeight w:val="390"/>
          <w:jc w:val="center"/>
        </w:trPr>
        <w:tc>
          <w:tcPr>
            <w:tcW w:w="3006" w:type="dxa"/>
            <w:vAlign w:val="center"/>
            <w:hideMark/>
          </w:tcPr>
          <w:p w14:paraId="3818AA4F" w14:textId="77777777" w:rsidR="00BF5851" w:rsidRPr="00724CA2" w:rsidRDefault="00BF5851" w:rsidP="00BF5851">
            <w:pPr>
              <w:jc w:val="both"/>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szCs w:val="21"/>
                <w:lang w:val="en-US"/>
              </w:rPr>
              <w:t>Tobin Q</w:t>
            </w:r>
          </w:p>
        </w:tc>
        <w:tc>
          <w:tcPr>
            <w:tcW w:w="1243" w:type="dxa"/>
            <w:tcBorders>
              <w:top w:val="nil"/>
              <w:left w:val="nil"/>
              <w:bottom w:val="nil"/>
              <w:right w:val="nil"/>
            </w:tcBorders>
            <w:shd w:val="clear" w:color="auto" w:fill="auto"/>
            <w:vAlign w:val="center"/>
            <w:hideMark/>
          </w:tcPr>
          <w:p w14:paraId="3041D609" w14:textId="2A9D1B8A"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1.639</w:t>
            </w:r>
          </w:p>
        </w:tc>
        <w:tc>
          <w:tcPr>
            <w:tcW w:w="1243" w:type="dxa"/>
            <w:tcBorders>
              <w:top w:val="nil"/>
              <w:left w:val="nil"/>
              <w:bottom w:val="nil"/>
              <w:right w:val="nil"/>
            </w:tcBorders>
            <w:shd w:val="clear" w:color="auto" w:fill="auto"/>
            <w:vAlign w:val="center"/>
            <w:hideMark/>
          </w:tcPr>
          <w:p w14:paraId="68BCE69E" w14:textId="033593DD"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1.468</w:t>
            </w:r>
          </w:p>
        </w:tc>
        <w:tc>
          <w:tcPr>
            <w:tcW w:w="1420" w:type="dxa"/>
            <w:tcBorders>
              <w:top w:val="nil"/>
              <w:left w:val="nil"/>
              <w:bottom w:val="nil"/>
              <w:right w:val="nil"/>
            </w:tcBorders>
            <w:shd w:val="clear" w:color="auto" w:fill="auto"/>
            <w:vAlign w:val="center"/>
            <w:hideMark/>
          </w:tcPr>
          <w:p w14:paraId="31E822F3" w14:textId="072D255D"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0.067</w:t>
            </w:r>
          </w:p>
        </w:tc>
        <w:tc>
          <w:tcPr>
            <w:tcW w:w="1467" w:type="dxa"/>
            <w:tcBorders>
              <w:top w:val="nil"/>
              <w:left w:val="nil"/>
              <w:bottom w:val="nil"/>
              <w:right w:val="nil"/>
            </w:tcBorders>
            <w:shd w:val="clear" w:color="auto" w:fill="auto"/>
            <w:vAlign w:val="center"/>
            <w:hideMark/>
          </w:tcPr>
          <w:p w14:paraId="31919F2B" w14:textId="7971433E"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13.429</w:t>
            </w:r>
          </w:p>
        </w:tc>
      </w:tr>
      <w:tr w:rsidR="00724CA2" w:rsidRPr="00724CA2" w14:paraId="6AD766A9" w14:textId="77777777" w:rsidTr="00BF5851">
        <w:trPr>
          <w:trHeight w:val="390"/>
          <w:jc w:val="center"/>
        </w:trPr>
        <w:tc>
          <w:tcPr>
            <w:tcW w:w="3006" w:type="dxa"/>
            <w:vAlign w:val="center"/>
            <w:hideMark/>
          </w:tcPr>
          <w:p w14:paraId="5921A2E6" w14:textId="77777777" w:rsidR="00BF5851" w:rsidRPr="00724CA2" w:rsidRDefault="00BF5851" w:rsidP="00BF5851">
            <w:pPr>
              <w:jc w:val="both"/>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szCs w:val="21"/>
                <w:lang w:val="en-US"/>
              </w:rPr>
              <w:t>Firm age</w:t>
            </w:r>
          </w:p>
        </w:tc>
        <w:tc>
          <w:tcPr>
            <w:tcW w:w="1243" w:type="dxa"/>
            <w:tcBorders>
              <w:top w:val="nil"/>
              <w:left w:val="nil"/>
              <w:bottom w:val="nil"/>
              <w:right w:val="nil"/>
            </w:tcBorders>
            <w:shd w:val="clear" w:color="auto" w:fill="auto"/>
            <w:vAlign w:val="center"/>
            <w:hideMark/>
          </w:tcPr>
          <w:p w14:paraId="2E603E5B" w14:textId="34C223D7"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17.234</w:t>
            </w:r>
          </w:p>
        </w:tc>
        <w:tc>
          <w:tcPr>
            <w:tcW w:w="1243" w:type="dxa"/>
            <w:tcBorders>
              <w:top w:val="nil"/>
              <w:left w:val="nil"/>
              <w:bottom w:val="nil"/>
              <w:right w:val="nil"/>
            </w:tcBorders>
            <w:shd w:val="clear" w:color="auto" w:fill="auto"/>
            <w:vAlign w:val="center"/>
            <w:hideMark/>
          </w:tcPr>
          <w:p w14:paraId="3D45078B" w14:textId="07F06260"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5.359</w:t>
            </w:r>
          </w:p>
        </w:tc>
        <w:tc>
          <w:tcPr>
            <w:tcW w:w="1420" w:type="dxa"/>
            <w:tcBorders>
              <w:top w:val="nil"/>
              <w:left w:val="nil"/>
              <w:bottom w:val="nil"/>
              <w:right w:val="nil"/>
            </w:tcBorders>
            <w:shd w:val="clear" w:color="auto" w:fill="auto"/>
            <w:vAlign w:val="center"/>
            <w:hideMark/>
          </w:tcPr>
          <w:p w14:paraId="1C3F3B36" w14:textId="4B15A0D3"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3.093</w:t>
            </w:r>
          </w:p>
        </w:tc>
        <w:tc>
          <w:tcPr>
            <w:tcW w:w="1467" w:type="dxa"/>
            <w:tcBorders>
              <w:top w:val="nil"/>
              <w:left w:val="nil"/>
              <w:bottom w:val="nil"/>
              <w:right w:val="nil"/>
            </w:tcBorders>
            <w:shd w:val="clear" w:color="auto" w:fill="auto"/>
            <w:vAlign w:val="center"/>
            <w:hideMark/>
          </w:tcPr>
          <w:p w14:paraId="40CF46AE" w14:textId="5F5D0981"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35.136</w:t>
            </w:r>
          </w:p>
        </w:tc>
      </w:tr>
      <w:tr w:rsidR="00BF5851" w:rsidRPr="00724CA2" w14:paraId="69179E88" w14:textId="77777777" w:rsidTr="00BF5851">
        <w:trPr>
          <w:trHeight w:val="390"/>
          <w:jc w:val="center"/>
        </w:trPr>
        <w:tc>
          <w:tcPr>
            <w:tcW w:w="3006" w:type="dxa"/>
            <w:tcBorders>
              <w:bottom w:val="single" w:sz="12" w:space="0" w:color="auto"/>
            </w:tcBorders>
            <w:vAlign w:val="center"/>
            <w:hideMark/>
          </w:tcPr>
          <w:p w14:paraId="648A5F59" w14:textId="77777777" w:rsidR="00BF5851" w:rsidRPr="00724CA2" w:rsidRDefault="00BF5851" w:rsidP="00BF5851">
            <w:pPr>
              <w:jc w:val="both"/>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szCs w:val="21"/>
                <w:lang w:val="en-US"/>
              </w:rPr>
              <w:t>Leverage</w:t>
            </w:r>
          </w:p>
        </w:tc>
        <w:tc>
          <w:tcPr>
            <w:tcW w:w="1243" w:type="dxa"/>
            <w:tcBorders>
              <w:top w:val="nil"/>
              <w:left w:val="nil"/>
              <w:bottom w:val="single" w:sz="12" w:space="0" w:color="auto"/>
              <w:right w:val="nil"/>
            </w:tcBorders>
            <w:shd w:val="clear" w:color="auto" w:fill="auto"/>
            <w:vAlign w:val="center"/>
            <w:hideMark/>
          </w:tcPr>
          <w:p w14:paraId="52729A27" w14:textId="0588591B"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0.501</w:t>
            </w:r>
          </w:p>
        </w:tc>
        <w:tc>
          <w:tcPr>
            <w:tcW w:w="1243" w:type="dxa"/>
            <w:tcBorders>
              <w:top w:val="nil"/>
              <w:left w:val="nil"/>
              <w:bottom w:val="single" w:sz="12" w:space="0" w:color="auto"/>
              <w:right w:val="nil"/>
            </w:tcBorders>
            <w:shd w:val="clear" w:color="auto" w:fill="auto"/>
            <w:vAlign w:val="center"/>
            <w:hideMark/>
          </w:tcPr>
          <w:p w14:paraId="1190AF66" w14:textId="56C29540"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0.315</w:t>
            </w:r>
          </w:p>
        </w:tc>
        <w:tc>
          <w:tcPr>
            <w:tcW w:w="1420" w:type="dxa"/>
            <w:tcBorders>
              <w:top w:val="nil"/>
              <w:left w:val="nil"/>
              <w:bottom w:val="single" w:sz="12" w:space="0" w:color="auto"/>
              <w:right w:val="nil"/>
            </w:tcBorders>
            <w:shd w:val="clear" w:color="auto" w:fill="auto"/>
            <w:vAlign w:val="center"/>
            <w:hideMark/>
          </w:tcPr>
          <w:p w14:paraId="76A59EBD" w14:textId="3849B397"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0.007</w:t>
            </w:r>
          </w:p>
        </w:tc>
        <w:tc>
          <w:tcPr>
            <w:tcW w:w="1467" w:type="dxa"/>
            <w:tcBorders>
              <w:top w:val="nil"/>
              <w:left w:val="nil"/>
              <w:bottom w:val="single" w:sz="12" w:space="0" w:color="auto"/>
              <w:right w:val="nil"/>
            </w:tcBorders>
            <w:shd w:val="clear" w:color="auto" w:fill="auto"/>
            <w:vAlign w:val="center"/>
            <w:hideMark/>
          </w:tcPr>
          <w:p w14:paraId="4AC7ABD3" w14:textId="60E9AC55" w:rsidR="00BF5851" w:rsidRPr="00724CA2" w:rsidRDefault="00BF5851" w:rsidP="00BF5851">
            <w:pPr>
              <w:rPr>
                <w:rFonts w:ascii="Times New Roman" w:hAnsi="Times New Roman" w:cs="Times New Roman"/>
                <w:color w:val="000000" w:themeColor="text1"/>
                <w:szCs w:val="21"/>
                <w:lang w:val="en-US"/>
              </w:rPr>
            </w:pPr>
            <w:r w:rsidRPr="00724CA2">
              <w:rPr>
                <w:rFonts w:ascii="Times New Roman" w:hAnsi="Times New Roman" w:cs="Times New Roman"/>
                <w:color w:val="000000" w:themeColor="text1"/>
              </w:rPr>
              <w:t>2.992</w:t>
            </w:r>
          </w:p>
        </w:tc>
      </w:tr>
      <w:bookmarkEnd w:id="22"/>
    </w:tbl>
    <w:p w14:paraId="4C130FCB" w14:textId="77777777" w:rsidR="00237B60" w:rsidRPr="00724CA2" w:rsidRDefault="00237B60" w:rsidP="00486C4A">
      <w:pPr>
        <w:spacing w:afterLines="50" w:after="120"/>
        <w:jc w:val="both"/>
        <w:rPr>
          <w:rFonts w:ascii="Times New Roman" w:hAnsi="Times New Roman" w:cs="Times New Roman"/>
          <w:b/>
          <w:bCs/>
          <w:color w:val="000000" w:themeColor="text1"/>
        </w:rPr>
      </w:pPr>
    </w:p>
    <w:p w14:paraId="4CDD141F" w14:textId="77777777" w:rsidR="00486C4A" w:rsidRPr="00724CA2" w:rsidRDefault="00486C4A" w:rsidP="00486C4A">
      <w:pPr>
        <w:spacing w:afterLines="50" w:after="120"/>
        <w:jc w:val="both"/>
        <w:rPr>
          <w:rFonts w:ascii="Times New Roman" w:hAnsi="Times New Roman" w:cs="Times New Roman"/>
          <w:color w:val="000000" w:themeColor="text1"/>
        </w:rPr>
      </w:pPr>
      <w:r w:rsidRPr="00724CA2">
        <w:rPr>
          <w:rFonts w:ascii="Times New Roman" w:hAnsi="Times New Roman" w:cs="Times New Roman"/>
          <w:b/>
          <w:bCs/>
          <w:color w:val="000000" w:themeColor="text1"/>
        </w:rPr>
        <w:t>Panel B</w:t>
      </w:r>
      <w:r w:rsidRPr="00724CA2">
        <w:rPr>
          <w:rFonts w:ascii="Times New Roman" w:hAnsi="Times New Roman" w:cs="Times New Roman"/>
          <w:color w:val="000000" w:themeColor="text1"/>
        </w:rPr>
        <w:t xml:space="preserve"> The average legal environment score among different provinces in China</w:t>
      </w:r>
    </w:p>
    <w:tbl>
      <w:tblPr>
        <w:tblStyle w:val="TableGrid"/>
        <w:tblW w:w="0" w:type="auto"/>
        <w:jc w:val="center"/>
        <w:tblBorders>
          <w:top w:val="single" w:sz="12" w:space="0" w:color="auto"/>
          <w:bottom w:val="single" w:sz="12" w:space="0" w:color="auto"/>
          <w:insideH w:val="none" w:sz="0" w:space="0" w:color="auto"/>
          <w:insideV w:val="none" w:sz="0" w:space="0" w:color="auto"/>
        </w:tblBorders>
        <w:tblLook w:val="04A0" w:firstRow="1" w:lastRow="0" w:firstColumn="1" w:lastColumn="0" w:noHBand="0" w:noVBand="1"/>
      </w:tblPr>
      <w:tblGrid>
        <w:gridCol w:w="1481"/>
        <w:gridCol w:w="2057"/>
        <w:gridCol w:w="1383"/>
        <w:gridCol w:w="2030"/>
      </w:tblGrid>
      <w:tr w:rsidR="00724CA2" w:rsidRPr="00724CA2" w14:paraId="4C9DBBA9" w14:textId="77777777" w:rsidTr="007B3E16">
        <w:trPr>
          <w:trHeight w:val="259"/>
          <w:jc w:val="center"/>
        </w:trPr>
        <w:tc>
          <w:tcPr>
            <w:tcW w:w="1481" w:type="dxa"/>
            <w:tcBorders>
              <w:top w:val="single" w:sz="12" w:space="0" w:color="auto"/>
              <w:bottom w:val="single" w:sz="4" w:space="0" w:color="auto"/>
            </w:tcBorders>
            <w:noWrap/>
            <w:vAlign w:val="center"/>
            <w:hideMark/>
          </w:tcPr>
          <w:p w14:paraId="5859C340"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Province</w:t>
            </w:r>
          </w:p>
        </w:tc>
        <w:tc>
          <w:tcPr>
            <w:tcW w:w="2057" w:type="dxa"/>
            <w:tcBorders>
              <w:top w:val="single" w:sz="12" w:space="0" w:color="auto"/>
              <w:bottom w:val="single" w:sz="4" w:space="0" w:color="auto"/>
            </w:tcBorders>
            <w:noWrap/>
            <w:vAlign w:val="center"/>
            <w:hideMark/>
          </w:tcPr>
          <w:p w14:paraId="06A44DDD"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Legal environment score</w:t>
            </w:r>
          </w:p>
        </w:tc>
        <w:tc>
          <w:tcPr>
            <w:tcW w:w="1383" w:type="dxa"/>
            <w:tcBorders>
              <w:top w:val="single" w:sz="12" w:space="0" w:color="auto"/>
              <w:bottom w:val="single" w:sz="4" w:space="0" w:color="auto"/>
            </w:tcBorders>
            <w:noWrap/>
            <w:vAlign w:val="center"/>
            <w:hideMark/>
          </w:tcPr>
          <w:p w14:paraId="684BC211"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Province</w:t>
            </w:r>
          </w:p>
        </w:tc>
        <w:tc>
          <w:tcPr>
            <w:tcW w:w="2030" w:type="dxa"/>
            <w:tcBorders>
              <w:top w:val="single" w:sz="12" w:space="0" w:color="auto"/>
              <w:bottom w:val="single" w:sz="4" w:space="0" w:color="auto"/>
            </w:tcBorders>
            <w:noWrap/>
            <w:vAlign w:val="center"/>
            <w:hideMark/>
          </w:tcPr>
          <w:p w14:paraId="3D60FB84"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Legal environment score</w:t>
            </w:r>
          </w:p>
        </w:tc>
      </w:tr>
      <w:tr w:rsidR="00724CA2" w:rsidRPr="00724CA2" w14:paraId="651FA152" w14:textId="77777777" w:rsidTr="007B3E16">
        <w:trPr>
          <w:trHeight w:val="305"/>
          <w:jc w:val="center"/>
        </w:trPr>
        <w:tc>
          <w:tcPr>
            <w:tcW w:w="1481" w:type="dxa"/>
            <w:tcBorders>
              <w:top w:val="single" w:sz="4" w:space="0" w:color="auto"/>
            </w:tcBorders>
            <w:noWrap/>
            <w:vAlign w:val="center"/>
            <w:hideMark/>
          </w:tcPr>
          <w:p w14:paraId="5A3531E3"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Zhejiang</w:t>
            </w:r>
          </w:p>
        </w:tc>
        <w:tc>
          <w:tcPr>
            <w:tcW w:w="2057" w:type="dxa"/>
            <w:tcBorders>
              <w:top w:val="single" w:sz="4" w:space="0" w:color="auto"/>
            </w:tcBorders>
            <w:noWrap/>
            <w:vAlign w:val="center"/>
            <w:hideMark/>
          </w:tcPr>
          <w:p w14:paraId="45C7B618"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14.854</w:t>
            </w:r>
          </w:p>
        </w:tc>
        <w:tc>
          <w:tcPr>
            <w:tcW w:w="1383" w:type="dxa"/>
            <w:tcBorders>
              <w:top w:val="single" w:sz="4" w:space="0" w:color="auto"/>
            </w:tcBorders>
            <w:noWrap/>
            <w:vAlign w:val="center"/>
            <w:hideMark/>
          </w:tcPr>
          <w:p w14:paraId="19A18E63"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Hunan</w:t>
            </w:r>
          </w:p>
        </w:tc>
        <w:tc>
          <w:tcPr>
            <w:tcW w:w="2030" w:type="dxa"/>
            <w:tcBorders>
              <w:top w:val="single" w:sz="4" w:space="0" w:color="auto"/>
            </w:tcBorders>
            <w:noWrap/>
            <w:vAlign w:val="center"/>
            <w:hideMark/>
          </w:tcPr>
          <w:p w14:paraId="65E0335F"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3.946</w:t>
            </w:r>
          </w:p>
        </w:tc>
      </w:tr>
      <w:tr w:rsidR="00724CA2" w:rsidRPr="00724CA2" w14:paraId="7D86935D" w14:textId="77777777" w:rsidTr="007B3E16">
        <w:trPr>
          <w:trHeight w:val="293"/>
          <w:jc w:val="center"/>
        </w:trPr>
        <w:tc>
          <w:tcPr>
            <w:tcW w:w="1481" w:type="dxa"/>
            <w:noWrap/>
            <w:vAlign w:val="center"/>
            <w:hideMark/>
          </w:tcPr>
          <w:p w14:paraId="097CB084"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Jiangsu</w:t>
            </w:r>
          </w:p>
        </w:tc>
        <w:tc>
          <w:tcPr>
            <w:tcW w:w="2057" w:type="dxa"/>
            <w:noWrap/>
            <w:vAlign w:val="center"/>
            <w:hideMark/>
          </w:tcPr>
          <w:p w14:paraId="0F8C76BF"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13.980</w:t>
            </w:r>
          </w:p>
        </w:tc>
        <w:tc>
          <w:tcPr>
            <w:tcW w:w="1383" w:type="dxa"/>
            <w:noWrap/>
            <w:vAlign w:val="center"/>
            <w:hideMark/>
          </w:tcPr>
          <w:p w14:paraId="1AB4391B"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Henan</w:t>
            </w:r>
          </w:p>
        </w:tc>
        <w:tc>
          <w:tcPr>
            <w:tcW w:w="2030" w:type="dxa"/>
            <w:noWrap/>
            <w:vAlign w:val="center"/>
            <w:hideMark/>
          </w:tcPr>
          <w:p w14:paraId="0EFF91BC"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3.805</w:t>
            </w:r>
          </w:p>
        </w:tc>
      </w:tr>
      <w:tr w:rsidR="00724CA2" w:rsidRPr="00724CA2" w14:paraId="40A1507B" w14:textId="77777777" w:rsidTr="007B3E16">
        <w:trPr>
          <w:trHeight w:val="293"/>
          <w:jc w:val="center"/>
        </w:trPr>
        <w:tc>
          <w:tcPr>
            <w:tcW w:w="1481" w:type="dxa"/>
            <w:noWrap/>
            <w:vAlign w:val="center"/>
            <w:hideMark/>
          </w:tcPr>
          <w:p w14:paraId="2ED04E39"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Beijing</w:t>
            </w:r>
          </w:p>
        </w:tc>
        <w:tc>
          <w:tcPr>
            <w:tcW w:w="2057" w:type="dxa"/>
            <w:noWrap/>
            <w:vAlign w:val="center"/>
            <w:hideMark/>
          </w:tcPr>
          <w:p w14:paraId="0855A8DE"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12.280</w:t>
            </w:r>
          </w:p>
        </w:tc>
        <w:tc>
          <w:tcPr>
            <w:tcW w:w="1383" w:type="dxa"/>
            <w:noWrap/>
            <w:vAlign w:val="center"/>
            <w:hideMark/>
          </w:tcPr>
          <w:p w14:paraId="593BFD0D"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Guangxi</w:t>
            </w:r>
          </w:p>
        </w:tc>
        <w:tc>
          <w:tcPr>
            <w:tcW w:w="2030" w:type="dxa"/>
            <w:noWrap/>
            <w:vAlign w:val="center"/>
            <w:hideMark/>
          </w:tcPr>
          <w:p w14:paraId="6D67C299"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3.560</w:t>
            </w:r>
          </w:p>
        </w:tc>
      </w:tr>
      <w:tr w:rsidR="00724CA2" w:rsidRPr="00724CA2" w14:paraId="5A635E2F" w14:textId="77777777" w:rsidTr="007B3E16">
        <w:trPr>
          <w:trHeight w:val="293"/>
          <w:jc w:val="center"/>
        </w:trPr>
        <w:tc>
          <w:tcPr>
            <w:tcW w:w="1481" w:type="dxa"/>
            <w:noWrap/>
            <w:vAlign w:val="center"/>
            <w:hideMark/>
          </w:tcPr>
          <w:p w14:paraId="079963EA"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Shanghai</w:t>
            </w:r>
          </w:p>
        </w:tc>
        <w:tc>
          <w:tcPr>
            <w:tcW w:w="2057" w:type="dxa"/>
            <w:noWrap/>
            <w:vAlign w:val="center"/>
            <w:hideMark/>
          </w:tcPr>
          <w:p w14:paraId="229ACAB2"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11.742</w:t>
            </w:r>
          </w:p>
        </w:tc>
        <w:tc>
          <w:tcPr>
            <w:tcW w:w="1383" w:type="dxa"/>
            <w:noWrap/>
            <w:vAlign w:val="center"/>
            <w:hideMark/>
          </w:tcPr>
          <w:p w14:paraId="275EDB78"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Hainan</w:t>
            </w:r>
          </w:p>
        </w:tc>
        <w:tc>
          <w:tcPr>
            <w:tcW w:w="2030" w:type="dxa"/>
            <w:noWrap/>
            <w:vAlign w:val="center"/>
            <w:hideMark/>
          </w:tcPr>
          <w:p w14:paraId="7D164509"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3.232</w:t>
            </w:r>
          </w:p>
        </w:tc>
      </w:tr>
      <w:tr w:rsidR="00724CA2" w:rsidRPr="00724CA2" w14:paraId="49F25DBD" w14:textId="77777777" w:rsidTr="007B3E16">
        <w:trPr>
          <w:trHeight w:val="293"/>
          <w:jc w:val="center"/>
        </w:trPr>
        <w:tc>
          <w:tcPr>
            <w:tcW w:w="1481" w:type="dxa"/>
            <w:noWrap/>
            <w:vAlign w:val="center"/>
            <w:hideMark/>
          </w:tcPr>
          <w:p w14:paraId="31210AEA"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Tianjin</w:t>
            </w:r>
          </w:p>
        </w:tc>
        <w:tc>
          <w:tcPr>
            <w:tcW w:w="2057" w:type="dxa"/>
            <w:noWrap/>
            <w:vAlign w:val="center"/>
            <w:hideMark/>
          </w:tcPr>
          <w:p w14:paraId="5BAC84AE"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10.298</w:t>
            </w:r>
          </w:p>
        </w:tc>
        <w:tc>
          <w:tcPr>
            <w:tcW w:w="1383" w:type="dxa"/>
            <w:noWrap/>
            <w:vAlign w:val="center"/>
            <w:hideMark/>
          </w:tcPr>
          <w:p w14:paraId="046AE09B"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Shanxi</w:t>
            </w:r>
          </w:p>
        </w:tc>
        <w:tc>
          <w:tcPr>
            <w:tcW w:w="2030" w:type="dxa"/>
            <w:noWrap/>
            <w:vAlign w:val="center"/>
            <w:hideMark/>
          </w:tcPr>
          <w:p w14:paraId="1337422C"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2.969</w:t>
            </w:r>
          </w:p>
        </w:tc>
      </w:tr>
      <w:tr w:rsidR="00724CA2" w:rsidRPr="00724CA2" w14:paraId="7992E2B2" w14:textId="77777777" w:rsidTr="007B3E16">
        <w:trPr>
          <w:trHeight w:val="293"/>
          <w:jc w:val="center"/>
        </w:trPr>
        <w:tc>
          <w:tcPr>
            <w:tcW w:w="1481" w:type="dxa"/>
            <w:noWrap/>
            <w:vAlign w:val="center"/>
            <w:hideMark/>
          </w:tcPr>
          <w:p w14:paraId="7202E7A2"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Guangdong</w:t>
            </w:r>
          </w:p>
        </w:tc>
        <w:tc>
          <w:tcPr>
            <w:tcW w:w="2057" w:type="dxa"/>
            <w:noWrap/>
            <w:vAlign w:val="center"/>
            <w:hideMark/>
          </w:tcPr>
          <w:p w14:paraId="747D3918"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9.769</w:t>
            </w:r>
          </w:p>
        </w:tc>
        <w:tc>
          <w:tcPr>
            <w:tcW w:w="1383" w:type="dxa"/>
            <w:noWrap/>
            <w:vAlign w:val="center"/>
            <w:hideMark/>
          </w:tcPr>
          <w:p w14:paraId="030448AE"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Jiangxi</w:t>
            </w:r>
          </w:p>
        </w:tc>
        <w:tc>
          <w:tcPr>
            <w:tcW w:w="2030" w:type="dxa"/>
            <w:noWrap/>
            <w:vAlign w:val="center"/>
            <w:hideMark/>
          </w:tcPr>
          <w:p w14:paraId="5664F188"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2.831</w:t>
            </w:r>
          </w:p>
        </w:tc>
      </w:tr>
      <w:tr w:rsidR="00724CA2" w:rsidRPr="00724CA2" w14:paraId="1D9CC3FE" w14:textId="77777777" w:rsidTr="007B3E16">
        <w:trPr>
          <w:trHeight w:val="293"/>
          <w:jc w:val="center"/>
        </w:trPr>
        <w:tc>
          <w:tcPr>
            <w:tcW w:w="1481" w:type="dxa"/>
            <w:noWrap/>
            <w:vAlign w:val="center"/>
            <w:hideMark/>
          </w:tcPr>
          <w:p w14:paraId="130FB3EA"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Chongqing</w:t>
            </w:r>
          </w:p>
        </w:tc>
        <w:tc>
          <w:tcPr>
            <w:tcW w:w="2057" w:type="dxa"/>
            <w:noWrap/>
            <w:vAlign w:val="center"/>
            <w:hideMark/>
          </w:tcPr>
          <w:p w14:paraId="5C75C530"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6.893</w:t>
            </w:r>
          </w:p>
        </w:tc>
        <w:tc>
          <w:tcPr>
            <w:tcW w:w="1383" w:type="dxa"/>
            <w:noWrap/>
            <w:vAlign w:val="center"/>
            <w:hideMark/>
          </w:tcPr>
          <w:p w14:paraId="2D1AB095"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Hebei</w:t>
            </w:r>
          </w:p>
        </w:tc>
        <w:tc>
          <w:tcPr>
            <w:tcW w:w="2030" w:type="dxa"/>
            <w:noWrap/>
            <w:vAlign w:val="center"/>
            <w:hideMark/>
          </w:tcPr>
          <w:p w14:paraId="73F51E6A"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2.698</w:t>
            </w:r>
          </w:p>
        </w:tc>
      </w:tr>
      <w:tr w:rsidR="00724CA2" w:rsidRPr="00724CA2" w14:paraId="3B7101E5" w14:textId="77777777" w:rsidTr="007B3E16">
        <w:trPr>
          <w:trHeight w:val="293"/>
          <w:jc w:val="center"/>
        </w:trPr>
        <w:tc>
          <w:tcPr>
            <w:tcW w:w="1481" w:type="dxa"/>
            <w:noWrap/>
            <w:vAlign w:val="center"/>
            <w:hideMark/>
          </w:tcPr>
          <w:p w14:paraId="2217A7F0"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Fujian</w:t>
            </w:r>
          </w:p>
        </w:tc>
        <w:tc>
          <w:tcPr>
            <w:tcW w:w="2057" w:type="dxa"/>
            <w:noWrap/>
            <w:vAlign w:val="center"/>
            <w:hideMark/>
          </w:tcPr>
          <w:p w14:paraId="009272AA"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6.801</w:t>
            </w:r>
          </w:p>
        </w:tc>
        <w:tc>
          <w:tcPr>
            <w:tcW w:w="1383" w:type="dxa"/>
            <w:noWrap/>
            <w:vAlign w:val="center"/>
            <w:hideMark/>
          </w:tcPr>
          <w:p w14:paraId="0D459A62"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Yunnan</w:t>
            </w:r>
          </w:p>
        </w:tc>
        <w:tc>
          <w:tcPr>
            <w:tcW w:w="2030" w:type="dxa"/>
            <w:noWrap/>
            <w:vAlign w:val="center"/>
            <w:hideMark/>
          </w:tcPr>
          <w:p w14:paraId="4240650A"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2.599</w:t>
            </w:r>
          </w:p>
        </w:tc>
      </w:tr>
      <w:tr w:rsidR="00724CA2" w:rsidRPr="00724CA2" w14:paraId="4FCB6BD0" w14:textId="77777777" w:rsidTr="007B3E16">
        <w:trPr>
          <w:trHeight w:val="293"/>
          <w:jc w:val="center"/>
        </w:trPr>
        <w:tc>
          <w:tcPr>
            <w:tcW w:w="1481" w:type="dxa"/>
            <w:noWrap/>
            <w:vAlign w:val="center"/>
            <w:hideMark/>
          </w:tcPr>
          <w:p w14:paraId="79627479"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Anhui</w:t>
            </w:r>
          </w:p>
        </w:tc>
        <w:tc>
          <w:tcPr>
            <w:tcW w:w="2057" w:type="dxa"/>
            <w:noWrap/>
            <w:vAlign w:val="center"/>
            <w:hideMark/>
          </w:tcPr>
          <w:p w14:paraId="511B2E55"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6.303</w:t>
            </w:r>
          </w:p>
        </w:tc>
        <w:tc>
          <w:tcPr>
            <w:tcW w:w="1383" w:type="dxa"/>
            <w:noWrap/>
            <w:vAlign w:val="center"/>
            <w:hideMark/>
          </w:tcPr>
          <w:p w14:paraId="1ACD4DC5"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Neimenggu</w:t>
            </w:r>
          </w:p>
        </w:tc>
        <w:tc>
          <w:tcPr>
            <w:tcW w:w="2030" w:type="dxa"/>
            <w:noWrap/>
            <w:vAlign w:val="center"/>
            <w:hideMark/>
          </w:tcPr>
          <w:p w14:paraId="512D3EB4"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2.288</w:t>
            </w:r>
          </w:p>
        </w:tc>
      </w:tr>
      <w:tr w:rsidR="00724CA2" w:rsidRPr="00724CA2" w14:paraId="564FB56C" w14:textId="77777777" w:rsidTr="007B3E16">
        <w:trPr>
          <w:trHeight w:val="293"/>
          <w:jc w:val="center"/>
        </w:trPr>
        <w:tc>
          <w:tcPr>
            <w:tcW w:w="1481" w:type="dxa"/>
            <w:noWrap/>
            <w:vAlign w:val="center"/>
            <w:hideMark/>
          </w:tcPr>
          <w:p w14:paraId="49F3DE08"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Shandong</w:t>
            </w:r>
          </w:p>
        </w:tc>
        <w:tc>
          <w:tcPr>
            <w:tcW w:w="2057" w:type="dxa"/>
            <w:noWrap/>
            <w:vAlign w:val="center"/>
            <w:hideMark/>
          </w:tcPr>
          <w:p w14:paraId="2B99C016"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5.208</w:t>
            </w:r>
          </w:p>
        </w:tc>
        <w:tc>
          <w:tcPr>
            <w:tcW w:w="1383" w:type="dxa"/>
            <w:noWrap/>
            <w:vAlign w:val="center"/>
            <w:hideMark/>
          </w:tcPr>
          <w:p w14:paraId="446AC40A"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Guizhou</w:t>
            </w:r>
          </w:p>
        </w:tc>
        <w:tc>
          <w:tcPr>
            <w:tcW w:w="2030" w:type="dxa"/>
            <w:noWrap/>
            <w:vAlign w:val="center"/>
            <w:hideMark/>
          </w:tcPr>
          <w:p w14:paraId="4EEF8860"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2.222</w:t>
            </w:r>
          </w:p>
        </w:tc>
      </w:tr>
      <w:tr w:rsidR="00724CA2" w:rsidRPr="00724CA2" w14:paraId="3E86FE81" w14:textId="77777777" w:rsidTr="007B3E16">
        <w:trPr>
          <w:trHeight w:val="293"/>
          <w:jc w:val="center"/>
        </w:trPr>
        <w:tc>
          <w:tcPr>
            <w:tcW w:w="1481" w:type="dxa"/>
            <w:noWrap/>
            <w:vAlign w:val="center"/>
            <w:hideMark/>
          </w:tcPr>
          <w:p w14:paraId="4AEFD550"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Sichuan</w:t>
            </w:r>
          </w:p>
        </w:tc>
        <w:tc>
          <w:tcPr>
            <w:tcW w:w="2057" w:type="dxa"/>
            <w:noWrap/>
            <w:vAlign w:val="center"/>
            <w:hideMark/>
          </w:tcPr>
          <w:p w14:paraId="6DD7392C"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5.152</w:t>
            </w:r>
          </w:p>
        </w:tc>
        <w:tc>
          <w:tcPr>
            <w:tcW w:w="1383" w:type="dxa"/>
            <w:noWrap/>
            <w:vAlign w:val="center"/>
            <w:hideMark/>
          </w:tcPr>
          <w:p w14:paraId="74B94863"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Gansu</w:t>
            </w:r>
          </w:p>
        </w:tc>
        <w:tc>
          <w:tcPr>
            <w:tcW w:w="2030" w:type="dxa"/>
            <w:noWrap/>
            <w:vAlign w:val="center"/>
            <w:hideMark/>
          </w:tcPr>
          <w:p w14:paraId="031B0477"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2.141</w:t>
            </w:r>
          </w:p>
        </w:tc>
      </w:tr>
      <w:tr w:rsidR="00724CA2" w:rsidRPr="00724CA2" w14:paraId="58095413" w14:textId="77777777" w:rsidTr="007B3E16">
        <w:trPr>
          <w:trHeight w:val="293"/>
          <w:jc w:val="center"/>
        </w:trPr>
        <w:tc>
          <w:tcPr>
            <w:tcW w:w="1481" w:type="dxa"/>
            <w:noWrap/>
            <w:vAlign w:val="center"/>
            <w:hideMark/>
          </w:tcPr>
          <w:p w14:paraId="5BDE7A53"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Heilongjiang</w:t>
            </w:r>
          </w:p>
        </w:tc>
        <w:tc>
          <w:tcPr>
            <w:tcW w:w="2057" w:type="dxa"/>
            <w:noWrap/>
            <w:vAlign w:val="center"/>
            <w:hideMark/>
          </w:tcPr>
          <w:p w14:paraId="01079C5F"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4.888</w:t>
            </w:r>
          </w:p>
        </w:tc>
        <w:tc>
          <w:tcPr>
            <w:tcW w:w="1383" w:type="dxa"/>
            <w:noWrap/>
            <w:vAlign w:val="center"/>
            <w:hideMark/>
          </w:tcPr>
          <w:p w14:paraId="1C06904D"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Xinjiang</w:t>
            </w:r>
          </w:p>
        </w:tc>
        <w:tc>
          <w:tcPr>
            <w:tcW w:w="2030" w:type="dxa"/>
            <w:noWrap/>
            <w:vAlign w:val="center"/>
            <w:hideMark/>
          </w:tcPr>
          <w:p w14:paraId="42DA9EC2"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2.006</w:t>
            </w:r>
          </w:p>
        </w:tc>
      </w:tr>
      <w:tr w:rsidR="00724CA2" w:rsidRPr="00724CA2" w14:paraId="517B7FBD" w14:textId="77777777" w:rsidTr="007B3E16">
        <w:trPr>
          <w:trHeight w:val="293"/>
          <w:jc w:val="center"/>
        </w:trPr>
        <w:tc>
          <w:tcPr>
            <w:tcW w:w="1481" w:type="dxa"/>
            <w:noWrap/>
            <w:vAlign w:val="center"/>
            <w:hideMark/>
          </w:tcPr>
          <w:p w14:paraId="78EB4C18"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Liaoning</w:t>
            </w:r>
          </w:p>
        </w:tc>
        <w:tc>
          <w:tcPr>
            <w:tcW w:w="2057" w:type="dxa"/>
            <w:noWrap/>
            <w:vAlign w:val="center"/>
            <w:hideMark/>
          </w:tcPr>
          <w:p w14:paraId="75D323D6"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4.718</w:t>
            </w:r>
          </w:p>
        </w:tc>
        <w:tc>
          <w:tcPr>
            <w:tcW w:w="1383" w:type="dxa"/>
            <w:noWrap/>
            <w:vAlign w:val="center"/>
            <w:hideMark/>
          </w:tcPr>
          <w:p w14:paraId="4012B0F8"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Ningxia</w:t>
            </w:r>
          </w:p>
        </w:tc>
        <w:tc>
          <w:tcPr>
            <w:tcW w:w="2030" w:type="dxa"/>
            <w:noWrap/>
            <w:vAlign w:val="center"/>
            <w:hideMark/>
          </w:tcPr>
          <w:p w14:paraId="281BE70C"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1.588</w:t>
            </w:r>
          </w:p>
        </w:tc>
      </w:tr>
      <w:tr w:rsidR="00724CA2" w:rsidRPr="00724CA2" w14:paraId="49F9FDDA" w14:textId="77777777" w:rsidTr="007B3E16">
        <w:trPr>
          <w:trHeight w:val="293"/>
          <w:jc w:val="center"/>
        </w:trPr>
        <w:tc>
          <w:tcPr>
            <w:tcW w:w="1481" w:type="dxa"/>
            <w:noWrap/>
            <w:vAlign w:val="center"/>
            <w:hideMark/>
          </w:tcPr>
          <w:p w14:paraId="09E06156"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Shaanxi</w:t>
            </w:r>
          </w:p>
        </w:tc>
        <w:tc>
          <w:tcPr>
            <w:tcW w:w="2057" w:type="dxa"/>
            <w:noWrap/>
            <w:vAlign w:val="center"/>
            <w:hideMark/>
          </w:tcPr>
          <w:p w14:paraId="0002D466"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4.518</w:t>
            </w:r>
          </w:p>
        </w:tc>
        <w:tc>
          <w:tcPr>
            <w:tcW w:w="1383" w:type="dxa"/>
            <w:noWrap/>
            <w:vAlign w:val="center"/>
            <w:hideMark/>
          </w:tcPr>
          <w:p w14:paraId="079AEA5B"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Qinghai</w:t>
            </w:r>
          </w:p>
        </w:tc>
        <w:tc>
          <w:tcPr>
            <w:tcW w:w="2030" w:type="dxa"/>
            <w:noWrap/>
            <w:vAlign w:val="center"/>
            <w:hideMark/>
          </w:tcPr>
          <w:p w14:paraId="5D1D595C"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1.447</w:t>
            </w:r>
          </w:p>
        </w:tc>
      </w:tr>
      <w:tr w:rsidR="00724CA2" w:rsidRPr="00724CA2" w14:paraId="069D2502" w14:textId="77777777" w:rsidTr="007B3E16">
        <w:trPr>
          <w:trHeight w:val="293"/>
          <w:jc w:val="center"/>
        </w:trPr>
        <w:tc>
          <w:tcPr>
            <w:tcW w:w="1481" w:type="dxa"/>
            <w:noWrap/>
            <w:vAlign w:val="center"/>
            <w:hideMark/>
          </w:tcPr>
          <w:p w14:paraId="168C765B"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Hubei</w:t>
            </w:r>
          </w:p>
        </w:tc>
        <w:tc>
          <w:tcPr>
            <w:tcW w:w="2057" w:type="dxa"/>
            <w:noWrap/>
            <w:vAlign w:val="center"/>
            <w:hideMark/>
          </w:tcPr>
          <w:p w14:paraId="25A53297"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4.120</w:t>
            </w:r>
          </w:p>
        </w:tc>
        <w:tc>
          <w:tcPr>
            <w:tcW w:w="1383" w:type="dxa"/>
            <w:noWrap/>
            <w:vAlign w:val="center"/>
            <w:hideMark/>
          </w:tcPr>
          <w:p w14:paraId="4D9280CE"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Xizang</w:t>
            </w:r>
          </w:p>
        </w:tc>
        <w:tc>
          <w:tcPr>
            <w:tcW w:w="2030" w:type="dxa"/>
            <w:noWrap/>
            <w:vAlign w:val="center"/>
            <w:hideMark/>
          </w:tcPr>
          <w:p w14:paraId="08643049"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0.447</w:t>
            </w:r>
          </w:p>
        </w:tc>
      </w:tr>
      <w:tr w:rsidR="00486C4A" w:rsidRPr="00724CA2" w14:paraId="60760FD7" w14:textId="77777777" w:rsidTr="007B3E16">
        <w:trPr>
          <w:trHeight w:val="259"/>
          <w:jc w:val="center"/>
        </w:trPr>
        <w:tc>
          <w:tcPr>
            <w:tcW w:w="1481" w:type="dxa"/>
            <w:noWrap/>
            <w:vAlign w:val="center"/>
            <w:hideMark/>
          </w:tcPr>
          <w:p w14:paraId="55A171F3"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Jilin</w:t>
            </w:r>
          </w:p>
        </w:tc>
        <w:tc>
          <w:tcPr>
            <w:tcW w:w="2057" w:type="dxa"/>
            <w:noWrap/>
            <w:vAlign w:val="center"/>
            <w:hideMark/>
          </w:tcPr>
          <w:p w14:paraId="2D9D6845"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4.044</w:t>
            </w:r>
          </w:p>
        </w:tc>
        <w:tc>
          <w:tcPr>
            <w:tcW w:w="1383" w:type="dxa"/>
            <w:noWrap/>
            <w:vAlign w:val="center"/>
            <w:hideMark/>
          </w:tcPr>
          <w:p w14:paraId="0AB5F59D" w14:textId="77777777" w:rsidR="00486C4A" w:rsidRPr="00724CA2" w:rsidRDefault="00486C4A" w:rsidP="007B3E16">
            <w:pPr>
              <w:jc w:val="both"/>
              <w:rPr>
                <w:rFonts w:ascii="Times New Roman" w:hAnsi="Times New Roman" w:cs="Times New Roman"/>
                <w:color w:val="000000" w:themeColor="text1"/>
                <w:lang w:val="en-US"/>
              </w:rPr>
            </w:pPr>
          </w:p>
        </w:tc>
        <w:tc>
          <w:tcPr>
            <w:tcW w:w="2030" w:type="dxa"/>
            <w:noWrap/>
            <w:vAlign w:val="center"/>
            <w:hideMark/>
          </w:tcPr>
          <w:p w14:paraId="019C33A6" w14:textId="77777777" w:rsidR="00486C4A" w:rsidRPr="00724CA2" w:rsidRDefault="00486C4A" w:rsidP="007B3E16">
            <w:pPr>
              <w:jc w:val="both"/>
              <w:rPr>
                <w:rFonts w:ascii="Times New Roman" w:hAnsi="Times New Roman" w:cs="Times New Roman"/>
                <w:color w:val="000000" w:themeColor="text1"/>
                <w:lang w:val="en-US"/>
              </w:rPr>
            </w:pPr>
          </w:p>
        </w:tc>
      </w:tr>
    </w:tbl>
    <w:p w14:paraId="672EBC7C" w14:textId="55BDA164" w:rsidR="00486C4A" w:rsidRPr="00724CA2" w:rsidRDefault="00486C4A" w:rsidP="00486C4A">
      <w:pPr>
        <w:spacing w:afterLines="30" w:after="72"/>
        <w:jc w:val="both"/>
        <w:rPr>
          <w:rFonts w:ascii="Times New Roman" w:hAnsi="Times New Roman" w:cs="Times New Roman"/>
          <w:color w:val="000000" w:themeColor="text1"/>
        </w:rPr>
      </w:pPr>
      <w:r w:rsidRPr="00724CA2">
        <w:rPr>
          <w:rFonts w:ascii="Times New Roman" w:hAnsi="Times New Roman" w:cs="Times New Roman"/>
          <w:b/>
          <w:color w:val="000000" w:themeColor="text1"/>
        </w:rPr>
        <w:t xml:space="preserve">Table 3 </w:t>
      </w:r>
      <w:r w:rsidRPr="00724CA2">
        <w:rPr>
          <w:rFonts w:ascii="Times New Roman" w:hAnsi="Times New Roman" w:cs="Times New Roman"/>
          <w:bCs/>
          <w:color w:val="000000" w:themeColor="text1"/>
        </w:rPr>
        <w:t>Main regression</w:t>
      </w:r>
    </w:p>
    <w:tbl>
      <w:tblPr>
        <w:tblStyle w:val="TableGrid"/>
        <w:tblW w:w="8651" w:type="dxa"/>
        <w:jc w:val="center"/>
        <w:tblBorders>
          <w:top w:val="single" w:sz="12" w:space="0" w:color="auto"/>
          <w:bottom w:val="single" w:sz="12" w:space="0" w:color="auto"/>
          <w:insideH w:val="none" w:sz="0" w:space="0" w:color="auto"/>
          <w:insideV w:val="none" w:sz="0" w:space="0" w:color="auto"/>
        </w:tblBorders>
        <w:tblLayout w:type="fixed"/>
        <w:tblLook w:val="04A0" w:firstRow="1" w:lastRow="0" w:firstColumn="1" w:lastColumn="0" w:noHBand="0" w:noVBand="1"/>
      </w:tblPr>
      <w:tblGrid>
        <w:gridCol w:w="4574"/>
        <w:gridCol w:w="1359"/>
        <w:gridCol w:w="1359"/>
        <w:gridCol w:w="1359"/>
      </w:tblGrid>
      <w:tr w:rsidR="00724CA2" w:rsidRPr="00724CA2" w14:paraId="10789B62" w14:textId="77777777" w:rsidTr="00BF5851">
        <w:trPr>
          <w:trHeight w:val="273"/>
          <w:jc w:val="center"/>
        </w:trPr>
        <w:tc>
          <w:tcPr>
            <w:tcW w:w="4574" w:type="dxa"/>
            <w:tcBorders>
              <w:top w:val="single" w:sz="12" w:space="0" w:color="auto"/>
              <w:bottom w:val="single" w:sz="4" w:space="0" w:color="auto"/>
            </w:tcBorders>
            <w:noWrap/>
            <w:vAlign w:val="center"/>
            <w:hideMark/>
          </w:tcPr>
          <w:p w14:paraId="0701CC33"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Variables</w:t>
            </w:r>
          </w:p>
        </w:tc>
        <w:tc>
          <w:tcPr>
            <w:tcW w:w="1359" w:type="dxa"/>
            <w:tcBorders>
              <w:top w:val="single" w:sz="12" w:space="0" w:color="auto"/>
              <w:bottom w:val="single" w:sz="4" w:space="0" w:color="auto"/>
            </w:tcBorders>
            <w:noWrap/>
            <w:vAlign w:val="center"/>
            <w:hideMark/>
          </w:tcPr>
          <w:p w14:paraId="6B038143"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Model 1</w:t>
            </w:r>
          </w:p>
        </w:tc>
        <w:tc>
          <w:tcPr>
            <w:tcW w:w="1359" w:type="dxa"/>
            <w:tcBorders>
              <w:top w:val="single" w:sz="12" w:space="0" w:color="auto"/>
              <w:bottom w:val="single" w:sz="4" w:space="0" w:color="auto"/>
            </w:tcBorders>
            <w:noWrap/>
            <w:vAlign w:val="center"/>
            <w:hideMark/>
          </w:tcPr>
          <w:p w14:paraId="0082E526"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Model 2</w:t>
            </w:r>
          </w:p>
        </w:tc>
        <w:tc>
          <w:tcPr>
            <w:tcW w:w="1359" w:type="dxa"/>
            <w:tcBorders>
              <w:top w:val="single" w:sz="12" w:space="0" w:color="auto"/>
              <w:bottom w:val="single" w:sz="4" w:space="0" w:color="auto"/>
            </w:tcBorders>
            <w:noWrap/>
            <w:vAlign w:val="center"/>
            <w:hideMark/>
          </w:tcPr>
          <w:p w14:paraId="389D9562"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Model 3</w:t>
            </w:r>
          </w:p>
        </w:tc>
      </w:tr>
      <w:tr w:rsidR="00724CA2" w:rsidRPr="00724CA2" w14:paraId="502754C5" w14:textId="77777777" w:rsidTr="00E8468B">
        <w:trPr>
          <w:trHeight w:val="273"/>
          <w:jc w:val="center"/>
        </w:trPr>
        <w:tc>
          <w:tcPr>
            <w:tcW w:w="4574" w:type="dxa"/>
            <w:tcBorders>
              <w:top w:val="single" w:sz="4" w:space="0" w:color="auto"/>
            </w:tcBorders>
            <w:noWrap/>
            <w:vAlign w:val="center"/>
            <w:hideMark/>
          </w:tcPr>
          <w:p w14:paraId="7DEDC82D" w14:textId="77777777" w:rsidR="00BF5851" w:rsidRPr="00724CA2" w:rsidRDefault="00BF5851" w:rsidP="00BF5851">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rPr>
              <w:t>Mutual fund</w:t>
            </w:r>
          </w:p>
        </w:tc>
        <w:tc>
          <w:tcPr>
            <w:tcW w:w="1359" w:type="dxa"/>
            <w:tcBorders>
              <w:top w:val="nil"/>
              <w:left w:val="nil"/>
              <w:bottom w:val="nil"/>
              <w:right w:val="nil"/>
            </w:tcBorders>
            <w:shd w:val="clear" w:color="auto" w:fill="auto"/>
            <w:noWrap/>
            <w:vAlign w:val="bottom"/>
          </w:tcPr>
          <w:p w14:paraId="262574CA" w14:textId="3D1F729E"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3.990***</w:t>
            </w:r>
          </w:p>
        </w:tc>
        <w:tc>
          <w:tcPr>
            <w:tcW w:w="1359" w:type="dxa"/>
            <w:tcBorders>
              <w:top w:val="nil"/>
              <w:left w:val="nil"/>
              <w:bottom w:val="nil"/>
              <w:right w:val="nil"/>
            </w:tcBorders>
            <w:shd w:val="clear" w:color="auto" w:fill="auto"/>
            <w:noWrap/>
            <w:vAlign w:val="bottom"/>
          </w:tcPr>
          <w:p w14:paraId="05FE2867" w14:textId="23D85E83"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4.323***</w:t>
            </w:r>
          </w:p>
        </w:tc>
        <w:tc>
          <w:tcPr>
            <w:tcW w:w="1359" w:type="dxa"/>
            <w:tcBorders>
              <w:top w:val="nil"/>
              <w:left w:val="nil"/>
              <w:bottom w:val="nil"/>
              <w:right w:val="nil"/>
            </w:tcBorders>
            <w:shd w:val="clear" w:color="auto" w:fill="auto"/>
            <w:noWrap/>
            <w:vAlign w:val="bottom"/>
          </w:tcPr>
          <w:p w14:paraId="0260A1AE" w14:textId="46918E66"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4.442***</w:t>
            </w:r>
          </w:p>
        </w:tc>
      </w:tr>
      <w:tr w:rsidR="00724CA2" w:rsidRPr="00724CA2" w14:paraId="08A2A3DD" w14:textId="77777777" w:rsidTr="00E8468B">
        <w:trPr>
          <w:trHeight w:val="273"/>
          <w:jc w:val="center"/>
        </w:trPr>
        <w:tc>
          <w:tcPr>
            <w:tcW w:w="4574" w:type="dxa"/>
            <w:noWrap/>
            <w:vAlign w:val="center"/>
            <w:hideMark/>
          </w:tcPr>
          <w:p w14:paraId="0FEBEB21" w14:textId="77777777" w:rsidR="00BF5851" w:rsidRPr="00724CA2" w:rsidRDefault="00BF5851" w:rsidP="00BF5851">
            <w:pPr>
              <w:jc w:val="both"/>
              <w:rPr>
                <w:rFonts w:ascii="Times New Roman" w:hAnsi="Times New Roman" w:cs="Times New Roman"/>
                <w:color w:val="000000" w:themeColor="text1"/>
                <w:lang w:val="en-US"/>
              </w:rPr>
            </w:pPr>
          </w:p>
        </w:tc>
        <w:tc>
          <w:tcPr>
            <w:tcW w:w="1359" w:type="dxa"/>
            <w:tcBorders>
              <w:top w:val="nil"/>
              <w:left w:val="nil"/>
              <w:bottom w:val="nil"/>
              <w:right w:val="nil"/>
            </w:tcBorders>
            <w:shd w:val="clear" w:color="auto" w:fill="auto"/>
            <w:noWrap/>
            <w:vAlign w:val="bottom"/>
          </w:tcPr>
          <w:p w14:paraId="68A80822" w14:textId="732A287F"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(0.585)</w:t>
            </w:r>
          </w:p>
        </w:tc>
        <w:tc>
          <w:tcPr>
            <w:tcW w:w="1359" w:type="dxa"/>
            <w:tcBorders>
              <w:top w:val="nil"/>
              <w:left w:val="nil"/>
              <w:bottom w:val="nil"/>
              <w:right w:val="nil"/>
            </w:tcBorders>
            <w:shd w:val="clear" w:color="auto" w:fill="auto"/>
            <w:noWrap/>
            <w:vAlign w:val="bottom"/>
          </w:tcPr>
          <w:p w14:paraId="114CF492" w14:textId="19073CF1"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(0.465)</w:t>
            </w:r>
          </w:p>
        </w:tc>
        <w:tc>
          <w:tcPr>
            <w:tcW w:w="1359" w:type="dxa"/>
            <w:tcBorders>
              <w:top w:val="nil"/>
              <w:left w:val="nil"/>
              <w:bottom w:val="nil"/>
              <w:right w:val="nil"/>
            </w:tcBorders>
            <w:shd w:val="clear" w:color="auto" w:fill="auto"/>
            <w:noWrap/>
            <w:vAlign w:val="bottom"/>
          </w:tcPr>
          <w:p w14:paraId="504F2DF3" w14:textId="0144D39E"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(0.750)</w:t>
            </w:r>
          </w:p>
        </w:tc>
      </w:tr>
      <w:tr w:rsidR="00724CA2" w:rsidRPr="00724CA2" w14:paraId="23A0F75C" w14:textId="77777777" w:rsidTr="00E8468B">
        <w:trPr>
          <w:trHeight w:val="273"/>
          <w:jc w:val="center"/>
        </w:trPr>
        <w:tc>
          <w:tcPr>
            <w:tcW w:w="4574" w:type="dxa"/>
            <w:noWrap/>
            <w:vAlign w:val="center"/>
            <w:hideMark/>
          </w:tcPr>
          <w:p w14:paraId="62750DEE" w14:textId="77777777" w:rsidR="00BF5851" w:rsidRPr="00724CA2" w:rsidRDefault="00BF5851" w:rsidP="00BF5851">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Mutual fund*SOEs</w:t>
            </w:r>
          </w:p>
        </w:tc>
        <w:tc>
          <w:tcPr>
            <w:tcW w:w="1359" w:type="dxa"/>
            <w:tcBorders>
              <w:top w:val="nil"/>
              <w:left w:val="nil"/>
              <w:bottom w:val="nil"/>
              <w:right w:val="nil"/>
            </w:tcBorders>
            <w:shd w:val="clear" w:color="auto" w:fill="auto"/>
            <w:noWrap/>
            <w:vAlign w:val="bottom"/>
          </w:tcPr>
          <w:p w14:paraId="3FA44997" w14:textId="77777777" w:rsidR="00BF5851" w:rsidRPr="00724CA2" w:rsidRDefault="00BF5851" w:rsidP="00BF5851">
            <w:pPr>
              <w:jc w:val="both"/>
              <w:rPr>
                <w:rFonts w:ascii="Times New Roman" w:hAnsi="Times New Roman" w:cs="Times New Roman"/>
                <w:color w:val="000000" w:themeColor="text1"/>
                <w:sz w:val="20"/>
                <w:szCs w:val="20"/>
                <w:lang w:val="en-US"/>
              </w:rPr>
            </w:pPr>
          </w:p>
        </w:tc>
        <w:tc>
          <w:tcPr>
            <w:tcW w:w="1359" w:type="dxa"/>
            <w:tcBorders>
              <w:top w:val="nil"/>
              <w:left w:val="nil"/>
              <w:bottom w:val="nil"/>
              <w:right w:val="nil"/>
            </w:tcBorders>
            <w:shd w:val="clear" w:color="auto" w:fill="auto"/>
            <w:noWrap/>
            <w:vAlign w:val="bottom"/>
          </w:tcPr>
          <w:p w14:paraId="1CA7EF70" w14:textId="1A30C5A5"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3.233***</w:t>
            </w:r>
          </w:p>
        </w:tc>
        <w:tc>
          <w:tcPr>
            <w:tcW w:w="1359" w:type="dxa"/>
            <w:tcBorders>
              <w:top w:val="nil"/>
              <w:left w:val="nil"/>
              <w:bottom w:val="nil"/>
              <w:right w:val="nil"/>
            </w:tcBorders>
            <w:shd w:val="clear" w:color="auto" w:fill="auto"/>
            <w:noWrap/>
            <w:vAlign w:val="bottom"/>
          </w:tcPr>
          <w:p w14:paraId="71995D66" w14:textId="77777777" w:rsidR="00BF5851" w:rsidRPr="00724CA2" w:rsidRDefault="00BF5851" w:rsidP="00BF5851">
            <w:pPr>
              <w:jc w:val="both"/>
              <w:rPr>
                <w:rFonts w:ascii="Times New Roman" w:hAnsi="Times New Roman" w:cs="Times New Roman"/>
                <w:color w:val="000000" w:themeColor="text1"/>
                <w:sz w:val="20"/>
                <w:szCs w:val="20"/>
                <w:lang w:val="en-US"/>
              </w:rPr>
            </w:pPr>
          </w:p>
        </w:tc>
      </w:tr>
      <w:tr w:rsidR="00724CA2" w:rsidRPr="00724CA2" w14:paraId="22E63459" w14:textId="77777777" w:rsidTr="00E8468B">
        <w:trPr>
          <w:trHeight w:val="273"/>
          <w:jc w:val="center"/>
        </w:trPr>
        <w:tc>
          <w:tcPr>
            <w:tcW w:w="4574" w:type="dxa"/>
            <w:noWrap/>
            <w:vAlign w:val="center"/>
            <w:hideMark/>
          </w:tcPr>
          <w:p w14:paraId="713E4E13" w14:textId="77777777" w:rsidR="00BF5851" w:rsidRPr="00724CA2" w:rsidRDefault="00BF5851" w:rsidP="00BF5851">
            <w:pPr>
              <w:jc w:val="both"/>
              <w:rPr>
                <w:rFonts w:ascii="Times New Roman" w:hAnsi="Times New Roman" w:cs="Times New Roman"/>
                <w:color w:val="000000" w:themeColor="text1"/>
                <w:lang w:val="en-US"/>
              </w:rPr>
            </w:pPr>
          </w:p>
        </w:tc>
        <w:tc>
          <w:tcPr>
            <w:tcW w:w="1359" w:type="dxa"/>
            <w:tcBorders>
              <w:top w:val="nil"/>
              <w:left w:val="nil"/>
              <w:bottom w:val="nil"/>
              <w:right w:val="nil"/>
            </w:tcBorders>
            <w:shd w:val="clear" w:color="auto" w:fill="auto"/>
            <w:noWrap/>
            <w:vAlign w:val="bottom"/>
          </w:tcPr>
          <w:p w14:paraId="7E461DF1" w14:textId="77777777" w:rsidR="00BF5851" w:rsidRPr="00724CA2" w:rsidRDefault="00BF5851" w:rsidP="00BF5851">
            <w:pPr>
              <w:jc w:val="both"/>
              <w:rPr>
                <w:rFonts w:ascii="Times New Roman" w:hAnsi="Times New Roman" w:cs="Times New Roman"/>
                <w:color w:val="000000" w:themeColor="text1"/>
                <w:sz w:val="20"/>
                <w:szCs w:val="20"/>
                <w:lang w:val="en-US"/>
              </w:rPr>
            </w:pPr>
          </w:p>
        </w:tc>
        <w:tc>
          <w:tcPr>
            <w:tcW w:w="1359" w:type="dxa"/>
            <w:tcBorders>
              <w:top w:val="nil"/>
              <w:left w:val="nil"/>
              <w:bottom w:val="nil"/>
              <w:right w:val="nil"/>
            </w:tcBorders>
            <w:shd w:val="clear" w:color="auto" w:fill="auto"/>
            <w:noWrap/>
            <w:vAlign w:val="bottom"/>
          </w:tcPr>
          <w:p w14:paraId="62F7AE3E" w14:textId="145F8C5F"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(0.415)</w:t>
            </w:r>
          </w:p>
        </w:tc>
        <w:tc>
          <w:tcPr>
            <w:tcW w:w="1359" w:type="dxa"/>
            <w:tcBorders>
              <w:top w:val="nil"/>
              <w:left w:val="nil"/>
              <w:bottom w:val="nil"/>
              <w:right w:val="nil"/>
            </w:tcBorders>
            <w:shd w:val="clear" w:color="auto" w:fill="auto"/>
            <w:noWrap/>
            <w:vAlign w:val="bottom"/>
          </w:tcPr>
          <w:p w14:paraId="52E47EED" w14:textId="77777777" w:rsidR="00BF5851" w:rsidRPr="00724CA2" w:rsidRDefault="00BF5851" w:rsidP="00BF5851">
            <w:pPr>
              <w:jc w:val="both"/>
              <w:rPr>
                <w:rFonts w:ascii="Times New Roman" w:hAnsi="Times New Roman" w:cs="Times New Roman"/>
                <w:color w:val="000000" w:themeColor="text1"/>
                <w:sz w:val="20"/>
                <w:szCs w:val="20"/>
                <w:lang w:val="en-US"/>
              </w:rPr>
            </w:pPr>
          </w:p>
        </w:tc>
      </w:tr>
      <w:tr w:rsidR="00724CA2" w:rsidRPr="00724CA2" w14:paraId="7B6D9693" w14:textId="77777777" w:rsidTr="00E8468B">
        <w:trPr>
          <w:trHeight w:val="273"/>
          <w:jc w:val="center"/>
        </w:trPr>
        <w:tc>
          <w:tcPr>
            <w:tcW w:w="4574" w:type="dxa"/>
            <w:noWrap/>
            <w:vAlign w:val="center"/>
            <w:hideMark/>
          </w:tcPr>
          <w:p w14:paraId="74730389" w14:textId="77777777" w:rsidR="00BF5851" w:rsidRPr="00724CA2" w:rsidRDefault="00BF5851" w:rsidP="00BF5851">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Mutual fund* Legal environment</w:t>
            </w:r>
          </w:p>
        </w:tc>
        <w:tc>
          <w:tcPr>
            <w:tcW w:w="1359" w:type="dxa"/>
            <w:tcBorders>
              <w:top w:val="nil"/>
              <w:left w:val="nil"/>
              <w:bottom w:val="nil"/>
              <w:right w:val="nil"/>
            </w:tcBorders>
            <w:shd w:val="clear" w:color="auto" w:fill="auto"/>
            <w:noWrap/>
            <w:vAlign w:val="bottom"/>
          </w:tcPr>
          <w:p w14:paraId="7B5B8A5D" w14:textId="77777777" w:rsidR="00BF5851" w:rsidRPr="00724CA2" w:rsidRDefault="00BF5851" w:rsidP="00BF5851">
            <w:pPr>
              <w:jc w:val="both"/>
              <w:rPr>
                <w:rFonts w:ascii="Times New Roman" w:hAnsi="Times New Roman" w:cs="Times New Roman"/>
                <w:color w:val="000000" w:themeColor="text1"/>
                <w:sz w:val="20"/>
                <w:szCs w:val="20"/>
                <w:lang w:val="en-US"/>
              </w:rPr>
            </w:pPr>
          </w:p>
        </w:tc>
        <w:tc>
          <w:tcPr>
            <w:tcW w:w="1359" w:type="dxa"/>
            <w:tcBorders>
              <w:top w:val="nil"/>
              <w:left w:val="nil"/>
              <w:bottom w:val="nil"/>
              <w:right w:val="nil"/>
            </w:tcBorders>
            <w:shd w:val="clear" w:color="auto" w:fill="auto"/>
            <w:noWrap/>
            <w:vAlign w:val="bottom"/>
          </w:tcPr>
          <w:p w14:paraId="01D80BB3" w14:textId="77777777" w:rsidR="00BF5851" w:rsidRPr="00724CA2" w:rsidRDefault="00BF5851" w:rsidP="00BF5851">
            <w:pPr>
              <w:jc w:val="both"/>
              <w:rPr>
                <w:rFonts w:ascii="Times New Roman" w:hAnsi="Times New Roman" w:cs="Times New Roman"/>
                <w:color w:val="000000" w:themeColor="text1"/>
                <w:sz w:val="20"/>
                <w:szCs w:val="20"/>
                <w:lang w:val="en-US"/>
              </w:rPr>
            </w:pPr>
          </w:p>
        </w:tc>
        <w:tc>
          <w:tcPr>
            <w:tcW w:w="1359" w:type="dxa"/>
            <w:tcBorders>
              <w:top w:val="nil"/>
              <w:left w:val="nil"/>
              <w:bottom w:val="nil"/>
              <w:right w:val="nil"/>
            </w:tcBorders>
            <w:shd w:val="clear" w:color="auto" w:fill="auto"/>
            <w:noWrap/>
            <w:vAlign w:val="bottom"/>
          </w:tcPr>
          <w:p w14:paraId="58457385" w14:textId="7229AB52"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0.416***</w:t>
            </w:r>
          </w:p>
        </w:tc>
      </w:tr>
      <w:tr w:rsidR="00724CA2" w:rsidRPr="00724CA2" w14:paraId="7E89030D" w14:textId="77777777" w:rsidTr="00E8468B">
        <w:trPr>
          <w:trHeight w:val="273"/>
          <w:jc w:val="center"/>
        </w:trPr>
        <w:tc>
          <w:tcPr>
            <w:tcW w:w="4574" w:type="dxa"/>
            <w:noWrap/>
            <w:vAlign w:val="center"/>
            <w:hideMark/>
          </w:tcPr>
          <w:p w14:paraId="36366D67" w14:textId="77777777" w:rsidR="00BF5851" w:rsidRPr="00724CA2" w:rsidRDefault="00BF5851" w:rsidP="00BF5851">
            <w:pPr>
              <w:jc w:val="both"/>
              <w:rPr>
                <w:rFonts w:ascii="Times New Roman" w:hAnsi="Times New Roman" w:cs="Times New Roman"/>
                <w:color w:val="000000" w:themeColor="text1"/>
                <w:lang w:val="en-US"/>
              </w:rPr>
            </w:pPr>
          </w:p>
        </w:tc>
        <w:tc>
          <w:tcPr>
            <w:tcW w:w="1359" w:type="dxa"/>
            <w:tcBorders>
              <w:top w:val="nil"/>
              <w:left w:val="nil"/>
              <w:bottom w:val="nil"/>
              <w:right w:val="nil"/>
            </w:tcBorders>
            <w:shd w:val="clear" w:color="auto" w:fill="auto"/>
            <w:noWrap/>
            <w:vAlign w:val="bottom"/>
          </w:tcPr>
          <w:p w14:paraId="610FE6C0" w14:textId="77777777" w:rsidR="00BF5851" w:rsidRPr="00724CA2" w:rsidRDefault="00BF5851" w:rsidP="00BF5851">
            <w:pPr>
              <w:jc w:val="both"/>
              <w:rPr>
                <w:rFonts w:ascii="Times New Roman" w:hAnsi="Times New Roman" w:cs="Times New Roman"/>
                <w:color w:val="000000" w:themeColor="text1"/>
                <w:sz w:val="20"/>
                <w:szCs w:val="20"/>
                <w:lang w:val="en-US"/>
              </w:rPr>
            </w:pPr>
          </w:p>
        </w:tc>
        <w:tc>
          <w:tcPr>
            <w:tcW w:w="1359" w:type="dxa"/>
            <w:tcBorders>
              <w:top w:val="nil"/>
              <w:left w:val="nil"/>
              <w:bottom w:val="nil"/>
              <w:right w:val="nil"/>
            </w:tcBorders>
            <w:shd w:val="clear" w:color="auto" w:fill="auto"/>
            <w:noWrap/>
            <w:vAlign w:val="bottom"/>
          </w:tcPr>
          <w:p w14:paraId="3A1447E4" w14:textId="77777777" w:rsidR="00BF5851" w:rsidRPr="00724CA2" w:rsidRDefault="00BF5851" w:rsidP="00BF5851">
            <w:pPr>
              <w:jc w:val="both"/>
              <w:rPr>
                <w:rFonts w:ascii="Times New Roman" w:hAnsi="Times New Roman" w:cs="Times New Roman"/>
                <w:color w:val="000000" w:themeColor="text1"/>
                <w:sz w:val="20"/>
                <w:szCs w:val="20"/>
                <w:lang w:val="en-US"/>
              </w:rPr>
            </w:pPr>
          </w:p>
        </w:tc>
        <w:tc>
          <w:tcPr>
            <w:tcW w:w="1359" w:type="dxa"/>
            <w:tcBorders>
              <w:top w:val="nil"/>
              <w:left w:val="nil"/>
              <w:bottom w:val="nil"/>
              <w:right w:val="nil"/>
            </w:tcBorders>
            <w:shd w:val="clear" w:color="auto" w:fill="auto"/>
            <w:noWrap/>
            <w:vAlign w:val="bottom"/>
          </w:tcPr>
          <w:p w14:paraId="3716BE23" w14:textId="2B3AD78B"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(0.034)</w:t>
            </w:r>
          </w:p>
        </w:tc>
      </w:tr>
      <w:tr w:rsidR="00724CA2" w:rsidRPr="00724CA2" w14:paraId="5DB8C56A" w14:textId="77777777" w:rsidTr="00E8468B">
        <w:trPr>
          <w:trHeight w:val="273"/>
          <w:jc w:val="center"/>
        </w:trPr>
        <w:tc>
          <w:tcPr>
            <w:tcW w:w="4574" w:type="dxa"/>
            <w:noWrap/>
            <w:vAlign w:val="center"/>
          </w:tcPr>
          <w:p w14:paraId="6242D3A7" w14:textId="1F9DF98F" w:rsidR="00BF5851" w:rsidRPr="00724CA2" w:rsidRDefault="00BF5851" w:rsidP="00BF5851">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SOEs</w:t>
            </w:r>
          </w:p>
        </w:tc>
        <w:tc>
          <w:tcPr>
            <w:tcW w:w="1359" w:type="dxa"/>
            <w:tcBorders>
              <w:top w:val="nil"/>
              <w:left w:val="nil"/>
              <w:bottom w:val="nil"/>
              <w:right w:val="nil"/>
            </w:tcBorders>
            <w:shd w:val="clear" w:color="auto" w:fill="auto"/>
            <w:noWrap/>
            <w:vAlign w:val="bottom"/>
          </w:tcPr>
          <w:p w14:paraId="38BE8F00" w14:textId="77777777" w:rsidR="00BF5851" w:rsidRPr="00724CA2" w:rsidRDefault="00BF5851" w:rsidP="00BF5851">
            <w:pPr>
              <w:jc w:val="both"/>
              <w:rPr>
                <w:rFonts w:ascii="Times New Roman" w:hAnsi="Times New Roman" w:cs="Times New Roman"/>
                <w:color w:val="000000" w:themeColor="text1"/>
                <w:sz w:val="20"/>
                <w:szCs w:val="20"/>
                <w:lang w:val="en-US"/>
              </w:rPr>
            </w:pPr>
          </w:p>
        </w:tc>
        <w:tc>
          <w:tcPr>
            <w:tcW w:w="1359" w:type="dxa"/>
            <w:tcBorders>
              <w:top w:val="nil"/>
              <w:left w:val="nil"/>
              <w:bottom w:val="nil"/>
              <w:right w:val="nil"/>
            </w:tcBorders>
            <w:shd w:val="clear" w:color="auto" w:fill="auto"/>
            <w:noWrap/>
            <w:vAlign w:val="bottom"/>
          </w:tcPr>
          <w:p w14:paraId="0180CAF8" w14:textId="40FDDB14"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0.127</w:t>
            </w:r>
          </w:p>
        </w:tc>
        <w:tc>
          <w:tcPr>
            <w:tcW w:w="1359" w:type="dxa"/>
            <w:tcBorders>
              <w:top w:val="nil"/>
              <w:left w:val="nil"/>
              <w:bottom w:val="nil"/>
              <w:right w:val="nil"/>
            </w:tcBorders>
            <w:shd w:val="clear" w:color="auto" w:fill="auto"/>
            <w:noWrap/>
            <w:vAlign w:val="bottom"/>
          </w:tcPr>
          <w:p w14:paraId="44F74903" w14:textId="77777777" w:rsidR="00BF5851" w:rsidRPr="00724CA2" w:rsidRDefault="00BF5851" w:rsidP="00BF5851">
            <w:pPr>
              <w:jc w:val="both"/>
              <w:rPr>
                <w:rFonts w:ascii="Times New Roman" w:hAnsi="Times New Roman" w:cs="Times New Roman"/>
                <w:color w:val="000000" w:themeColor="text1"/>
                <w:sz w:val="20"/>
                <w:szCs w:val="20"/>
              </w:rPr>
            </w:pPr>
          </w:p>
        </w:tc>
      </w:tr>
      <w:tr w:rsidR="00724CA2" w:rsidRPr="00724CA2" w14:paraId="713B9D36" w14:textId="77777777" w:rsidTr="00E8468B">
        <w:trPr>
          <w:trHeight w:val="273"/>
          <w:jc w:val="center"/>
        </w:trPr>
        <w:tc>
          <w:tcPr>
            <w:tcW w:w="4574" w:type="dxa"/>
            <w:noWrap/>
            <w:vAlign w:val="center"/>
          </w:tcPr>
          <w:p w14:paraId="284AB713" w14:textId="77777777" w:rsidR="00BF5851" w:rsidRPr="00724CA2" w:rsidRDefault="00BF5851" w:rsidP="00BF5851">
            <w:pPr>
              <w:jc w:val="both"/>
              <w:rPr>
                <w:rFonts w:ascii="Times New Roman" w:hAnsi="Times New Roman" w:cs="Times New Roman"/>
                <w:color w:val="000000" w:themeColor="text1"/>
                <w:lang w:val="en-US"/>
              </w:rPr>
            </w:pPr>
          </w:p>
        </w:tc>
        <w:tc>
          <w:tcPr>
            <w:tcW w:w="1359" w:type="dxa"/>
            <w:tcBorders>
              <w:top w:val="nil"/>
              <w:left w:val="nil"/>
              <w:bottom w:val="nil"/>
              <w:right w:val="nil"/>
            </w:tcBorders>
            <w:shd w:val="clear" w:color="auto" w:fill="auto"/>
            <w:noWrap/>
            <w:vAlign w:val="bottom"/>
          </w:tcPr>
          <w:p w14:paraId="555E1ADC" w14:textId="77777777" w:rsidR="00BF5851" w:rsidRPr="00724CA2" w:rsidRDefault="00BF5851" w:rsidP="00BF5851">
            <w:pPr>
              <w:jc w:val="both"/>
              <w:rPr>
                <w:rFonts w:ascii="Times New Roman" w:hAnsi="Times New Roman" w:cs="Times New Roman"/>
                <w:color w:val="000000" w:themeColor="text1"/>
                <w:sz w:val="20"/>
                <w:szCs w:val="20"/>
                <w:lang w:val="en-US"/>
              </w:rPr>
            </w:pPr>
          </w:p>
        </w:tc>
        <w:tc>
          <w:tcPr>
            <w:tcW w:w="1359" w:type="dxa"/>
            <w:tcBorders>
              <w:top w:val="nil"/>
              <w:left w:val="nil"/>
              <w:bottom w:val="nil"/>
              <w:right w:val="nil"/>
            </w:tcBorders>
            <w:shd w:val="clear" w:color="auto" w:fill="auto"/>
            <w:noWrap/>
            <w:vAlign w:val="bottom"/>
          </w:tcPr>
          <w:p w14:paraId="1639444A" w14:textId="20C68875"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(0.167)</w:t>
            </w:r>
          </w:p>
        </w:tc>
        <w:tc>
          <w:tcPr>
            <w:tcW w:w="1359" w:type="dxa"/>
            <w:tcBorders>
              <w:top w:val="nil"/>
              <w:left w:val="nil"/>
              <w:bottom w:val="nil"/>
              <w:right w:val="nil"/>
            </w:tcBorders>
            <w:shd w:val="clear" w:color="auto" w:fill="auto"/>
            <w:noWrap/>
            <w:vAlign w:val="bottom"/>
          </w:tcPr>
          <w:p w14:paraId="2DFD809C" w14:textId="77777777" w:rsidR="00BF5851" w:rsidRPr="00724CA2" w:rsidRDefault="00BF5851" w:rsidP="00BF5851">
            <w:pPr>
              <w:jc w:val="both"/>
              <w:rPr>
                <w:rFonts w:ascii="Times New Roman" w:hAnsi="Times New Roman" w:cs="Times New Roman"/>
                <w:color w:val="000000" w:themeColor="text1"/>
                <w:sz w:val="20"/>
                <w:szCs w:val="20"/>
              </w:rPr>
            </w:pPr>
          </w:p>
        </w:tc>
      </w:tr>
      <w:tr w:rsidR="00724CA2" w:rsidRPr="00724CA2" w14:paraId="339AFBEC" w14:textId="77777777" w:rsidTr="00E8468B">
        <w:trPr>
          <w:trHeight w:val="273"/>
          <w:jc w:val="center"/>
        </w:trPr>
        <w:tc>
          <w:tcPr>
            <w:tcW w:w="4574" w:type="dxa"/>
            <w:noWrap/>
            <w:vAlign w:val="center"/>
          </w:tcPr>
          <w:p w14:paraId="0C709DCD" w14:textId="1818A718" w:rsidR="00BF5851" w:rsidRPr="00724CA2" w:rsidRDefault="00BF5851" w:rsidP="00BF5851">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Legal environment</w:t>
            </w:r>
          </w:p>
        </w:tc>
        <w:tc>
          <w:tcPr>
            <w:tcW w:w="1359" w:type="dxa"/>
            <w:tcBorders>
              <w:top w:val="nil"/>
              <w:left w:val="nil"/>
              <w:bottom w:val="nil"/>
              <w:right w:val="nil"/>
            </w:tcBorders>
            <w:shd w:val="clear" w:color="auto" w:fill="auto"/>
            <w:noWrap/>
            <w:vAlign w:val="bottom"/>
          </w:tcPr>
          <w:p w14:paraId="57626EE1" w14:textId="77777777" w:rsidR="00BF5851" w:rsidRPr="00724CA2" w:rsidRDefault="00BF5851" w:rsidP="00BF5851">
            <w:pPr>
              <w:jc w:val="both"/>
              <w:rPr>
                <w:rFonts w:ascii="Times New Roman" w:hAnsi="Times New Roman" w:cs="Times New Roman"/>
                <w:color w:val="000000" w:themeColor="text1"/>
                <w:sz w:val="20"/>
                <w:szCs w:val="20"/>
                <w:lang w:val="en-US"/>
              </w:rPr>
            </w:pPr>
          </w:p>
        </w:tc>
        <w:tc>
          <w:tcPr>
            <w:tcW w:w="1359" w:type="dxa"/>
            <w:tcBorders>
              <w:top w:val="nil"/>
              <w:left w:val="nil"/>
              <w:bottom w:val="nil"/>
              <w:right w:val="nil"/>
            </w:tcBorders>
            <w:shd w:val="clear" w:color="auto" w:fill="auto"/>
            <w:noWrap/>
            <w:vAlign w:val="bottom"/>
          </w:tcPr>
          <w:p w14:paraId="76448A6C" w14:textId="77777777" w:rsidR="00BF5851" w:rsidRPr="00724CA2" w:rsidRDefault="00BF5851" w:rsidP="00BF5851">
            <w:pPr>
              <w:jc w:val="both"/>
              <w:rPr>
                <w:rFonts w:ascii="Times New Roman" w:hAnsi="Times New Roman" w:cs="Times New Roman"/>
                <w:color w:val="000000" w:themeColor="text1"/>
                <w:sz w:val="20"/>
                <w:szCs w:val="20"/>
                <w:lang w:val="en-US"/>
              </w:rPr>
            </w:pPr>
          </w:p>
        </w:tc>
        <w:tc>
          <w:tcPr>
            <w:tcW w:w="1359" w:type="dxa"/>
            <w:tcBorders>
              <w:top w:val="nil"/>
              <w:left w:val="nil"/>
              <w:bottom w:val="nil"/>
              <w:right w:val="nil"/>
            </w:tcBorders>
            <w:shd w:val="clear" w:color="auto" w:fill="auto"/>
            <w:noWrap/>
            <w:vAlign w:val="bottom"/>
          </w:tcPr>
          <w:p w14:paraId="3E7F4586" w14:textId="3ADC2777" w:rsidR="00BF5851" w:rsidRPr="00724CA2" w:rsidRDefault="00BF5851" w:rsidP="00BF5851">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0.021**</w:t>
            </w:r>
          </w:p>
        </w:tc>
      </w:tr>
      <w:tr w:rsidR="00724CA2" w:rsidRPr="00724CA2" w14:paraId="6AC4B9CC" w14:textId="77777777" w:rsidTr="00E8468B">
        <w:trPr>
          <w:trHeight w:val="273"/>
          <w:jc w:val="center"/>
        </w:trPr>
        <w:tc>
          <w:tcPr>
            <w:tcW w:w="4574" w:type="dxa"/>
            <w:noWrap/>
            <w:vAlign w:val="center"/>
          </w:tcPr>
          <w:p w14:paraId="55B9A3A0" w14:textId="77777777" w:rsidR="00BF5851" w:rsidRPr="00724CA2" w:rsidRDefault="00BF5851" w:rsidP="00BF5851">
            <w:pPr>
              <w:jc w:val="both"/>
              <w:rPr>
                <w:rFonts w:ascii="Times New Roman" w:hAnsi="Times New Roman" w:cs="Times New Roman"/>
                <w:color w:val="000000" w:themeColor="text1"/>
                <w:lang w:val="en-US"/>
              </w:rPr>
            </w:pPr>
          </w:p>
        </w:tc>
        <w:tc>
          <w:tcPr>
            <w:tcW w:w="1359" w:type="dxa"/>
            <w:tcBorders>
              <w:top w:val="nil"/>
              <w:left w:val="nil"/>
              <w:bottom w:val="nil"/>
              <w:right w:val="nil"/>
            </w:tcBorders>
            <w:shd w:val="clear" w:color="auto" w:fill="auto"/>
            <w:noWrap/>
            <w:vAlign w:val="bottom"/>
          </w:tcPr>
          <w:p w14:paraId="4DC704D2" w14:textId="77777777" w:rsidR="00BF5851" w:rsidRPr="00724CA2" w:rsidRDefault="00BF5851" w:rsidP="00BF5851">
            <w:pPr>
              <w:jc w:val="both"/>
              <w:rPr>
                <w:rFonts w:ascii="Times New Roman" w:hAnsi="Times New Roman" w:cs="Times New Roman"/>
                <w:color w:val="000000" w:themeColor="text1"/>
                <w:sz w:val="20"/>
                <w:szCs w:val="20"/>
                <w:lang w:val="en-US"/>
              </w:rPr>
            </w:pPr>
          </w:p>
        </w:tc>
        <w:tc>
          <w:tcPr>
            <w:tcW w:w="1359" w:type="dxa"/>
            <w:tcBorders>
              <w:top w:val="nil"/>
              <w:left w:val="nil"/>
              <w:bottom w:val="nil"/>
              <w:right w:val="nil"/>
            </w:tcBorders>
            <w:shd w:val="clear" w:color="auto" w:fill="auto"/>
            <w:noWrap/>
            <w:vAlign w:val="bottom"/>
          </w:tcPr>
          <w:p w14:paraId="6710C201" w14:textId="77777777" w:rsidR="00BF5851" w:rsidRPr="00724CA2" w:rsidRDefault="00BF5851" w:rsidP="00BF5851">
            <w:pPr>
              <w:jc w:val="both"/>
              <w:rPr>
                <w:rFonts w:ascii="Times New Roman" w:hAnsi="Times New Roman" w:cs="Times New Roman"/>
                <w:color w:val="000000" w:themeColor="text1"/>
                <w:sz w:val="20"/>
                <w:szCs w:val="20"/>
                <w:lang w:val="en-US"/>
              </w:rPr>
            </w:pPr>
          </w:p>
        </w:tc>
        <w:tc>
          <w:tcPr>
            <w:tcW w:w="1359" w:type="dxa"/>
            <w:tcBorders>
              <w:top w:val="nil"/>
              <w:left w:val="nil"/>
              <w:bottom w:val="nil"/>
              <w:right w:val="nil"/>
            </w:tcBorders>
            <w:shd w:val="clear" w:color="auto" w:fill="auto"/>
            <w:noWrap/>
            <w:vAlign w:val="bottom"/>
          </w:tcPr>
          <w:p w14:paraId="08EF98C7" w14:textId="5A5F0706" w:rsidR="00BF5851" w:rsidRPr="00724CA2" w:rsidRDefault="00BF5851" w:rsidP="00BF5851">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(0.010)</w:t>
            </w:r>
          </w:p>
        </w:tc>
      </w:tr>
      <w:tr w:rsidR="00724CA2" w:rsidRPr="00724CA2" w14:paraId="6E39C804" w14:textId="77777777" w:rsidTr="00E8468B">
        <w:trPr>
          <w:trHeight w:val="273"/>
          <w:jc w:val="center"/>
        </w:trPr>
        <w:tc>
          <w:tcPr>
            <w:tcW w:w="4574" w:type="dxa"/>
            <w:noWrap/>
            <w:vAlign w:val="center"/>
          </w:tcPr>
          <w:p w14:paraId="69F95587" w14:textId="0F064B40" w:rsidR="00BF5851" w:rsidRPr="00724CA2" w:rsidRDefault="00BF5851" w:rsidP="00BF5851">
            <w:pPr>
              <w:jc w:val="both"/>
              <w:rPr>
                <w:rFonts w:ascii="Times New Roman" w:hAnsi="Times New Roman" w:cs="Times New Roman"/>
                <w:color w:val="000000" w:themeColor="text1"/>
                <w:lang w:val="en-US"/>
              </w:rPr>
            </w:pPr>
            <w:r w:rsidRPr="00724CA2">
              <w:rPr>
                <w:rFonts w:ascii="Times New Roman" w:hAnsi="Times New Roman" w:cs="Times New Roman" w:hint="eastAsia"/>
                <w:color w:val="000000" w:themeColor="text1"/>
                <w:lang w:val="en-US"/>
              </w:rPr>
              <w:t>S</w:t>
            </w:r>
            <w:r w:rsidRPr="00724CA2">
              <w:rPr>
                <w:rFonts w:ascii="Times New Roman" w:hAnsi="Times New Roman" w:cs="Times New Roman"/>
                <w:color w:val="000000" w:themeColor="text1"/>
                <w:lang w:val="en-US"/>
              </w:rPr>
              <w:t>ociety</w:t>
            </w:r>
          </w:p>
        </w:tc>
        <w:tc>
          <w:tcPr>
            <w:tcW w:w="1359" w:type="dxa"/>
            <w:tcBorders>
              <w:top w:val="nil"/>
              <w:left w:val="nil"/>
              <w:bottom w:val="nil"/>
              <w:right w:val="nil"/>
            </w:tcBorders>
            <w:shd w:val="clear" w:color="auto" w:fill="auto"/>
            <w:noWrap/>
            <w:vAlign w:val="bottom"/>
          </w:tcPr>
          <w:p w14:paraId="1D52FB6E" w14:textId="0A9D4939" w:rsidR="00BF5851" w:rsidRPr="00724CA2" w:rsidRDefault="00BF5851" w:rsidP="00BF5851">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0.015***</w:t>
            </w:r>
          </w:p>
        </w:tc>
        <w:tc>
          <w:tcPr>
            <w:tcW w:w="1359" w:type="dxa"/>
            <w:tcBorders>
              <w:top w:val="nil"/>
              <w:left w:val="nil"/>
              <w:bottom w:val="nil"/>
              <w:right w:val="nil"/>
            </w:tcBorders>
            <w:shd w:val="clear" w:color="auto" w:fill="auto"/>
            <w:noWrap/>
            <w:vAlign w:val="bottom"/>
          </w:tcPr>
          <w:p w14:paraId="13846735" w14:textId="4F0ED397" w:rsidR="00BF5851" w:rsidRPr="00724CA2" w:rsidRDefault="00BF5851" w:rsidP="00BF5851">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0.015***</w:t>
            </w:r>
          </w:p>
        </w:tc>
        <w:tc>
          <w:tcPr>
            <w:tcW w:w="1359" w:type="dxa"/>
            <w:tcBorders>
              <w:top w:val="nil"/>
              <w:left w:val="nil"/>
              <w:bottom w:val="nil"/>
              <w:right w:val="nil"/>
            </w:tcBorders>
            <w:shd w:val="clear" w:color="auto" w:fill="auto"/>
            <w:noWrap/>
            <w:vAlign w:val="bottom"/>
          </w:tcPr>
          <w:p w14:paraId="5978113A" w14:textId="06D8376D" w:rsidR="00BF5851" w:rsidRPr="00724CA2" w:rsidRDefault="00BF5851" w:rsidP="00BF5851">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0.015***</w:t>
            </w:r>
          </w:p>
        </w:tc>
      </w:tr>
      <w:tr w:rsidR="00724CA2" w:rsidRPr="00724CA2" w14:paraId="4666D4CD" w14:textId="77777777" w:rsidTr="00E8468B">
        <w:trPr>
          <w:trHeight w:val="273"/>
          <w:jc w:val="center"/>
        </w:trPr>
        <w:tc>
          <w:tcPr>
            <w:tcW w:w="4574" w:type="dxa"/>
            <w:noWrap/>
            <w:vAlign w:val="center"/>
          </w:tcPr>
          <w:p w14:paraId="39BB3B83" w14:textId="77777777" w:rsidR="00BF5851" w:rsidRPr="00724CA2" w:rsidRDefault="00BF5851" w:rsidP="00BF5851">
            <w:pPr>
              <w:jc w:val="both"/>
              <w:rPr>
                <w:rFonts w:ascii="Times New Roman" w:hAnsi="Times New Roman" w:cs="Times New Roman"/>
                <w:color w:val="000000" w:themeColor="text1"/>
                <w:lang w:val="en-US"/>
              </w:rPr>
            </w:pPr>
          </w:p>
        </w:tc>
        <w:tc>
          <w:tcPr>
            <w:tcW w:w="1359" w:type="dxa"/>
            <w:tcBorders>
              <w:top w:val="nil"/>
              <w:left w:val="nil"/>
              <w:bottom w:val="nil"/>
              <w:right w:val="nil"/>
            </w:tcBorders>
            <w:shd w:val="clear" w:color="auto" w:fill="auto"/>
            <w:noWrap/>
            <w:vAlign w:val="bottom"/>
          </w:tcPr>
          <w:p w14:paraId="5EE6E662" w14:textId="2FD315D5" w:rsidR="00BF5851" w:rsidRPr="00724CA2" w:rsidRDefault="00BF5851" w:rsidP="00BF5851">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(0.005)</w:t>
            </w:r>
          </w:p>
        </w:tc>
        <w:tc>
          <w:tcPr>
            <w:tcW w:w="1359" w:type="dxa"/>
            <w:tcBorders>
              <w:top w:val="nil"/>
              <w:left w:val="nil"/>
              <w:bottom w:val="nil"/>
              <w:right w:val="nil"/>
            </w:tcBorders>
            <w:shd w:val="clear" w:color="auto" w:fill="auto"/>
            <w:noWrap/>
            <w:vAlign w:val="bottom"/>
          </w:tcPr>
          <w:p w14:paraId="5B21169D" w14:textId="4FF95FEC" w:rsidR="00BF5851" w:rsidRPr="00724CA2" w:rsidRDefault="00BF5851" w:rsidP="00BF5851">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(0.005)</w:t>
            </w:r>
          </w:p>
        </w:tc>
        <w:tc>
          <w:tcPr>
            <w:tcW w:w="1359" w:type="dxa"/>
            <w:tcBorders>
              <w:top w:val="nil"/>
              <w:left w:val="nil"/>
              <w:bottom w:val="nil"/>
              <w:right w:val="nil"/>
            </w:tcBorders>
            <w:shd w:val="clear" w:color="auto" w:fill="auto"/>
            <w:noWrap/>
            <w:vAlign w:val="bottom"/>
          </w:tcPr>
          <w:p w14:paraId="1F6D7D26" w14:textId="2CE1CEE1" w:rsidR="00BF5851" w:rsidRPr="00724CA2" w:rsidRDefault="00BF5851" w:rsidP="00BF5851">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(0.005)</w:t>
            </w:r>
          </w:p>
        </w:tc>
      </w:tr>
      <w:tr w:rsidR="00724CA2" w:rsidRPr="00724CA2" w14:paraId="21B68A86" w14:textId="77777777" w:rsidTr="00E8468B">
        <w:trPr>
          <w:trHeight w:val="273"/>
          <w:jc w:val="center"/>
        </w:trPr>
        <w:tc>
          <w:tcPr>
            <w:tcW w:w="4574" w:type="dxa"/>
            <w:noWrap/>
            <w:vAlign w:val="center"/>
          </w:tcPr>
          <w:p w14:paraId="71FE8693" w14:textId="5201B45B" w:rsidR="00BF5851" w:rsidRPr="00724CA2" w:rsidRDefault="00BF5851" w:rsidP="00BF5851">
            <w:pPr>
              <w:jc w:val="both"/>
              <w:rPr>
                <w:rFonts w:ascii="Times New Roman" w:hAnsi="Times New Roman" w:cs="Times New Roman"/>
                <w:color w:val="000000" w:themeColor="text1"/>
                <w:lang w:val="en-US"/>
              </w:rPr>
            </w:pPr>
            <w:r w:rsidRPr="00724CA2">
              <w:rPr>
                <w:rFonts w:ascii="Times New Roman" w:hAnsi="Times New Roman" w:cs="Times New Roman" w:hint="eastAsia"/>
                <w:color w:val="000000" w:themeColor="text1"/>
                <w:lang w:val="en-US"/>
              </w:rPr>
              <w:t>G</w:t>
            </w:r>
            <w:r w:rsidRPr="00724CA2">
              <w:rPr>
                <w:rFonts w:ascii="Times New Roman" w:hAnsi="Times New Roman" w:cs="Times New Roman"/>
                <w:color w:val="000000" w:themeColor="text1"/>
                <w:lang w:val="en-US"/>
              </w:rPr>
              <w:t>overnance</w:t>
            </w:r>
          </w:p>
        </w:tc>
        <w:tc>
          <w:tcPr>
            <w:tcW w:w="1359" w:type="dxa"/>
            <w:tcBorders>
              <w:top w:val="nil"/>
              <w:left w:val="nil"/>
              <w:bottom w:val="nil"/>
              <w:right w:val="nil"/>
            </w:tcBorders>
            <w:shd w:val="clear" w:color="auto" w:fill="auto"/>
            <w:noWrap/>
            <w:vAlign w:val="bottom"/>
          </w:tcPr>
          <w:p w14:paraId="4C7DA7E4" w14:textId="6DCA6806" w:rsidR="00BF5851" w:rsidRPr="00724CA2" w:rsidRDefault="00BF5851" w:rsidP="00BF5851">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0.024***</w:t>
            </w:r>
          </w:p>
        </w:tc>
        <w:tc>
          <w:tcPr>
            <w:tcW w:w="1359" w:type="dxa"/>
            <w:tcBorders>
              <w:top w:val="nil"/>
              <w:left w:val="nil"/>
              <w:bottom w:val="nil"/>
              <w:right w:val="nil"/>
            </w:tcBorders>
            <w:shd w:val="clear" w:color="auto" w:fill="auto"/>
            <w:noWrap/>
            <w:vAlign w:val="bottom"/>
          </w:tcPr>
          <w:p w14:paraId="0B9EC4A7" w14:textId="0905A9AA" w:rsidR="00BF5851" w:rsidRPr="00724CA2" w:rsidRDefault="00BF5851" w:rsidP="00BF5851">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0.023***</w:t>
            </w:r>
          </w:p>
        </w:tc>
        <w:tc>
          <w:tcPr>
            <w:tcW w:w="1359" w:type="dxa"/>
            <w:tcBorders>
              <w:top w:val="nil"/>
              <w:left w:val="nil"/>
              <w:bottom w:val="nil"/>
              <w:right w:val="nil"/>
            </w:tcBorders>
            <w:shd w:val="clear" w:color="auto" w:fill="auto"/>
            <w:noWrap/>
            <w:vAlign w:val="bottom"/>
          </w:tcPr>
          <w:p w14:paraId="64EAE094" w14:textId="394A9F6C" w:rsidR="00BF5851" w:rsidRPr="00724CA2" w:rsidRDefault="00BF5851" w:rsidP="00BF5851">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0.023**</w:t>
            </w:r>
          </w:p>
        </w:tc>
      </w:tr>
      <w:tr w:rsidR="00724CA2" w:rsidRPr="00724CA2" w14:paraId="0615E7CC" w14:textId="77777777" w:rsidTr="00E8468B">
        <w:trPr>
          <w:trHeight w:val="273"/>
          <w:jc w:val="center"/>
        </w:trPr>
        <w:tc>
          <w:tcPr>
            <w:tcW w:w="4574" w:type="dxa"/>
            <w:noWrap/>
            <w:vAlign w:val="center"/>
          </w:tcPr>
          <w:p w14:paraId="72ECFAB6" w14:textId="77777777" w:rsidR="00BF5851" w:rsidRPr="00724CA2" w:rsidRDefault="00BF5851" w:rsidP="00BF5851">
            <w:pPr>
              <w:jc w:val="both"/>
              <w:rPr>
                <w:rFonts w:ascii="Times New Roman" w:hAnsi="Times New Roman" w:cs="Times New Roman"/>
                <w:color w:val="000000" w:themeColor="text1"/>
                <w:lang w:val="en-US"/>
              </w:rPr>
            </w:pPr>
          </w:p>
        </w:tc>
        <w:tc>
          <w:tcPr>
            <w:tcW w:w="1359" w:type="dxa"/>
            <w:tcBorders>
              <w:top w:val="nil"/>
              <w:left w:val="nil"/>
              <w:bottom w:val="nil"/>
              <w:right w:val="nil"/>
            </w:tcBorders>
            <w:shd w:val="clear" w:color="auto" w:fill="auto"/>
            <w:noWrap/>
            <w:vAlign w:val="bottom"/>
          </w:tcPr>
          <w:p w14:paraId="085B15A0" w14:textId="7ED2C2B4" w:rsidR="00BF5851" w:rsidRPr="00724CA2" w:rsidRDefault="00BF5851" w:rsidP="00BF5851">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(0.008)</w:t>
            </w:r>
          </w:p>
        </w:tc>
        <w:tc>
          <w:tcPr>
            <w:tcW w:w="1359" w:type="dxa"/>
            <w:tcBorders>
              <w:top w:val="nil"/>
              <w:left w:val="nil"/>
              <w:bottom w:val="nil"/>
              <w:right w:val="nil"/>
            </w:tcBorders>
            <w:shd w:val="clear" w:color="auto" w:fill="auto"/>
            <w:noWrap/>
            <w:vAlign w:val="bottom"/>
          </w:tcPr>
          <w:p w14:paraId="29595831" w14:textId="768476BD" w:rsidR="00BF5851" w:rsidRPr="00724CA2" w:rsidRDefault="00BF5851" w:rsidP="00BF5851">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(0.008)</w:t>
            </w:r>
          </w:p>
        </w:tc>
        <w:tc>
          <w:tcPr>
            <w:tcW w:w="1359" w:type="dxa"/>
            <w:tcBorders>
              <w:top w:val="nil"/>
              <w:left w:val="nil"/>
              <w:bottom w:val="nil"/>
              <w:right w:val="nil"/>
            </w:tcBorders>
            <w:shd w:val="clear" w:color="auto" w:fill="auto"/>
            <w:noWrap/>
            <w:vAlign w:val="bottom"/>
          </w:tcPr>
          <w:p w14:paraId="63992B10" w14:textId="52CC1A88" w:rsidR="00BF5851" w:rsidRPr="00724CA2" w:rsidRDefault="00BF5851" w:rsidP="00BF5851">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(0.008)</w:t>
            </w:r>
          </w:p>
        </w:tc>
      </w:tr>
      <w:tr w:rsidR="00724CA2" w:rsidRPr="00724CA2" w14:paraId="3FF3EC01" w14:textId="77777777" w:rsidTr="00E8468B">
        <w:trPr>
          <w:trHeight w:val="273"/>
          <w:jc w:val="center"/>
        </w:trPr>
        <w:tc>
          <w:tcPr>
            <w:tcW w:w="4574" w:type="dxa"/>
            <w:noWrap/>
            <w:vAlign w:val="center"/>
            <w:hideMark/>
          </w:tcPr>
          <w:p w14:paraId="69470EB8" w14:textId="77777777" w:rsidR="00BF5851" w:rsidRPr="00724CA2" w:rsidRDefault="00BF5851" w:rsidP="00BF5851">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Duality</w:t>
            </w:r>
          </w:p>
        </w:tc>
        <w:tc>
          <w:tcPr>
            <w:tcW w:w="1359" w:type="dxa"/>
            <w:tcBorders>
              <w:top w:val="nil"/>
              <w:left w:val="nil"/>
              <w:bottom w:val="nil"/>
              <w:right w:val="nil"/>
            </w:tcBorders>
            <w:shd w:val="clear" w:color="auto" w:fill="auto"/>
            <w:noWrap/>
            <w:vAlign w:val="bottom"/>
          </w:tcPr>
          <w:p w14:paraId="660C9291" w14:textId="0028AFDA"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0.192</w:t>
            </w:r>
          </w:p>
        </w:tc>
        <w:tc>
          <w:tcPr>
            <w:tcW w:w="1359" w:type="dxa"/>
            <w:tcBorders>
              <w:top w:val="nil"/>
              <w:left w:val="nil"/>
              <w:bottom w:val="nil"/>
              <w:right w:val="nil"/>
            </w:tcBorders>
            <w:shd w:val="clear" w:color="auto" w:fill="auto"/>
            <w:noWrap/>
            <w:vAlign w:val="bottom"/>
          </w:tcPr>
          <w:p w14:paraId="0B5FA9D5" w14:textId="6EE2BA5D"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0.209</w:t>
            </w:r>
          </w:p>
        </w:tc>
        <w:tc>
          <w:tcPr>
            <w:tcW w:w="1359" w:type="dxa"/>
            <w:tcBorders>
              <w:top w:val="nil"/>
              <w:left w:val="nil"/>
              <w:bottom w:val="nil"/>
              <w:right w:val="nil"/>
            </w:tcBorders>
            <w:shd w:val="clear" w:color="auto" w:fill="auto"/>
            <w:noWrap/>
            <w:vAlign w:val="bottom"/>
          </w:tcPr>
          <w:p w14:paraId="70030C18" w14:textId="2CAED9F4"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0.177</w:t>
            </w:r>
          </w:p>
        </w:tc>
      </w:tr>
      <w:tr w:rsidR="00724CA2" w:rsidRPr="00724CA2" w14:paraId="76F1E99F" w14:textId="77777777" w:rsidTr="00E8468B">
        <w:trPr>
          <w:trHeight w:val="273"/>
          <w:jc w:val="center"/>
        </w:trPr>
        <w:tc>
          <w:tcPr>
            <w:tcW w:w="4574" w:type="dxa"/>
            <w:noWrap/>
            <w:vAlign w:val="center"/>
            <w:hideMark/>
          </w:tcPr>
          <w:p w14:paraId="0BB1C2CD" w14:textId="77777777" w:rsidR="00BF5851" w:rsidRPr="00724CA2" w:rsidRDefault="00BF5851" w:rsidP="00BF5851">
            <w:pPr>
              <w:jc w:val="both"/>
              <w:rPr>
                <w:rFonts w:ascii="Times New Roman" w:hAnsi="Times New Roman" w:cs="Times New Roman"/>
                <w:color w:val="000000" w:themeColor="text1"/>
                <w:lang w:val="en-US"/>
              </w:rPr>
            </w:pPr>
          </w:p>
        </w:tc>
        <w:tc>
          <w:tcPr>
            <w:tcW w:w="1359" w:type="dxa"/>
            <w:tcBorders>
              <w:top w:val="nil"/>
              <w:left w:val="nil"/>
              <w:bottom w:val="nil"/>
              <w:right w:val="nil"/>
            </w:tcBorders>
            <w:shd w:val="clear" w:color="auto" w:fill="auto"/>
            <w:noWrap/>
            <w:vAlign w:val="bottom"/>
          </w:tcPr>
          <w:p w14:paraId="3D8ADD2F" w14:textId="5FF3B567"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(0.141)</w:t>
            </w:r>
          </w:p>
        </w:tc>
        <w:tc>
          <w:tcPr>
            <w:tcW w:w="1359" w:type="dxa"/>
            <w:tcBorders>
              <w:top w:val="nil"/>
              <w:left w:val="nil"/>
              <w:bottom w:val="nil"/>
              <w:right w:val="nil"/>
            </w:tcBorders>
            <w:shd w:val="clear" w:color="auto" w:fill="auto"/>
            <w:noWrap/>
            <w:vAlign w:val="bottom"/>
          </w:tcPr>
          <w:p w14:paraId="13541C15" w14:textId="78665287"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(0.122)</w:t>
            </w:r>
          </w:p>
        </w:tc>
        <w:tc>
          <w:tcPr>
            <w:tcW w:w="1359" w:type="dxa"/>
            <w:tcBorders>
              <w:top w:val="nil"/>
              <w:left w:val="nil"/>
              <w:bottom w:val="nil"/>
              <w:right w:val="nil"/>
            </w:tcBorders>
            <w:shd w:val="clear" w:color="auto" w:fill="auto"/>
            <w:noWrap/>
            <w:vAlign w:val="bottom"/>
          </w:tcPr>
          <w:p w14:paraId="1CC61A76" w14:textId="26B3E916"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(0.137)</w:t>
            </w:r>
          </w:p>
        </w:tc>
      </w:tr>
      <w:tr w:rsidR="00724CA2" w:rsidRPr="00724CA2" w14:paraId="17090450" w14:textId="77777777" w:rsidTr="00E8468B">
        <w:trPr>
          <w:trHeight w:val="273"/>
          <w:jc w:val="center"/>
        </w:trPr>
        <w:tc>
          <w:tcPr>
            <w:tcW w:w="4574" w:type="dxa"/>
            <w:noWrap/>
            <w:vAlign w:val="center"/>
            <w:hideMark/>
          </w:tcPr>
          <w:p w14:paraId="399C60EA" w14:textId="77777777" w:rsidR="00BF5851" w:rsidRPr="00724CA2" w:rsidRDefault="00BF5851" w:rsidP="00BF5851">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Independence</w:t>
            </w:r>
          </w:p>
        </w:tc>
        <w:tc>
          <w:tcPr>
            <w:tcW w:w="1359" w:type="dxa"/>
            <w:tcBorders>
              <w:top w:val="nil"/>
              <w:left w:val="nil"/>
              <w:bottom w:val="nil"/>
              <w:right w:val="nil"/>
            </w:tcBorders>
            <w:shd w:val="clear" w:color="auto" w:fill="auto"/>
            <w:noWrap/>
            <w:vAlign w:val="bottom"/>
          </w:tcPr>
          <w:p w14:paraId="3F3EB711" w14:textId="5EB5EE41"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1.004</w:t>
            </w:r>
          </w:p>
        </w:tc>
        <w:tc>
          <w:tcPr>
            <w:tcW w:w="1359" w:type="dxa"/>
            <w:tcBorders>
              <w:top w:val="nil"/>
              <w:left w:val="nil"/>
              <w:bottom w:val="nil"/>
              <w:right w:val="nil"/>
            </w:tcBorders>
            <w:shd w:val="clear" w:color="auto" w:fill="auto"/>
            <w:noWrap/>
            <w:vAlign w:val="bottom"/>
          </w:tcPr>
          <w:p w14:paraId="6401DAA5" w14:textId="0D6D3FC1"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1.015</w:t>
            </w:r>
          </w:p>
        </w:tc>
        <w:tc>
          <w:tcPr>
            <w:tcW w:w="1359" w:type="dxa"/>
            <w:tcBorders>
              <w:top w:val="nil"/>
              <w:left w:val="nil"/>
              <w:bottom w:val="nil"/>
              <w:right w:val="nil"/>
            </w:tcBorders>
            <w:shd w:val="clear" w:color="auto" w:fill="auto"/>
            <w:noWrap/>
            <w:vAlign w:val="bottom"/>
          </w:tcPr>
          <w:p w14:paraId="362DD31E" w14:textId="5AF1C358"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0.972</w:t>
            </w:r>
          </w:p>
        </w:tc>
      </w:tr>
      <w:tr w:rsidR="00724CA2" w:rsidRPr="00724CA2" w14:paraId="5C537445" w14:textId="77777777" w:rsidTr="00E8468B">
        <w:trPr>
          <w:trHeight w:val="273"/>
          <w:jc w:val="center"/>
        </w:trPr>
        <w:tc>
          <w:tcPr>
            <w:tcW w:w="4574" w:type="dxa"/>
            <w:noWrap/>
            <w:vAlign w:val="center"/>
            <w:hideMark/>
          </w:tcPr>
          <w:p w14:paraId="4FF71F71" w14:textId="77777777" w:rsidR="00BF5851" w:rsidRPr="00724CA2" w:rsidRDefault="00BF5851" w:rsidP="00BF5851">
            <w:pPr>
              <w:jc w:val="both"/>
              <w:rPr>
                <w:rFonts w:ascii="Times New Roman" w:hAnsi="Times New Roman" w:cs="Times New Roman"/>
                <w:color w:val="000000" w:themeColor="text1"/>
                <w:lang w:val="en-US"/>
              </w:rPr>
            </w:pPr>
          </w:p>
        </w:tc>
        <w:tc>
          <w:tcPr>
            <w:tcW w:w="1359" w:type="dxa"/>
            <w:tcBorders>
              <w:top w:val="nil"/>
              <w:left w:val="nil"/>
              <w:bottom w:val="nil"/>
              <w:right w:val="nil"/>
            </w:tcBorders>
            <w:shd w:val="clear" w:color="auto" w:fill="auto"/>
            <w:noWrap/>
            <w:vAlign w:val="bottom"/>
          </w:tcPr>
          <w:p w14:paraId="567E1C99" w14:textId="34D3FEF2"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(1.119)</w:t>
            </w:r>
          </w:p>
        </w:tc>
        <w:tc>
          <w:tcPr>
            <w:tcW w:w="1359" w:type="dxa"/>
            <w:tcBorders>
              <w:top w:val="nil"/>
              <w:left w:val="nil"/>
              <w:bottom w:val="nil"/>
              <w:right w:val="nil"/>
            </w:tcBorders>
            <w:shd w:val="clear" w:color="auto" w:fill="auto"/>
            <w:noWrap/>
            <w:vAlign w:val="bottom"/>
          </w:tcPr>
          <w:p w14:paraId="3F1BFEA9" w14:textId="45F14D28"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(1.125)</w:t>
            </w:r>
          </w:p>
        </w:tc>
        <w:tc>
          <w:tcPr>
            <w:tcW w:w="1359" w:type="dxa"/>
            <w:tcBorders>
              <w:top w:val="nil"/>
              <w:left w:val="nil"/>
              <w:bottom w:val="nil"/>
              <w:right w:val="nil"/>
            </w:tcBorders>
            <w:shd w:val="clear" w:color="auto" w:fill="auto"/>
            <w:noWrap/>
            <w:vAlign w:val="bottom"/>
          </w:tcPr>
          <w:p w14:paraId="30057482" w14:textId="3E4F7255"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(1.108)</w:t>
            </w:r>
          </w:p>
        </w:tc>
      </w:tr>
      <w:tr w:rsidR="00724CA2" w:rsidRPr="00724CA2" w14:paraId="2488CBBC" w14:textId="77777777" w:rsidTr="00E8468B">
        <w:trPr>
          <w:trHeight w:val="273"/>
          <w:jc w:val="center"/>
        </w:trPr>
        <w:tc>
          <w:tcPr>
            <w:tcW w:w="4574" w:type="dxa"/>
            <w:noWrap/>
            <w:vAlign w:val="center"/>
            <w:hideMark/>
          </w:tcPr>
          <w:p w14:paraId="08A05B21" w14:textId="77777777" w:rsidR="00BF5851" w:rsidRPr="00724CA2" w:rsidRDefault="00BF5851" w:rsidP="00BF5851">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Board meeting</w:t>
            </w:r>
          </w:p>
        </w:tc>
        <w:tc>
          <w:tcPr>
            <w:tcW w:w="1359" w:type="dxa"/>
            <w:tcBorders>
              <w:top w:val="nil"/>
              <w:left w:val="nil"/>
              <w:bottom w:val="nil"/>
              <w:right w:val="nil"/>
            </w:tcBorders>
            <w:shd w:val="clear" w:color="auto" w:fill="auto"/>
            <w:noWrap/>
            <w:vAlign w:val="bottom"/>
          </w:tcPr>
          <w:p w14:paraId="0AD4AF39" w14:textId="62817629"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0.035***</w:t>
            </w:r>
          </w:p>
        </w:tc>
        <w:tc>
          <w:tcPr>
            <w:tcW w:w="1359" w:type="dxa"/>
            <w:tcBorders>
              <w:top w:val="nil"/>
              <w:left w:val="nil"/>
              <w:bottom w:val="nil"/>
              <w:right w:val="nil"/>
            </w:tcBorders>
            <w:shd w:val="clear" w:color="auto" w:fill="auto"/>
            <w:noWrap/>
            <w:vAlign w:val="bottom"/>
          </w:tcPr>
          <w:p w14:paraId="1C52D3F5" w14:textId="38E5C5B4"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0.035***</w:t>
            </w:r>
          </w:p>
        </w:tc>
        <w:tc>
          <w:tcPr>
            <w:tcW w:w="1359" w:type="dxa"/>
            <w:tcBorders>
              <w:top w:val="nil"/>
              <w:left w:val="nil"/>
              <w:bottom w:val="nil"/>
              <w:right w:val="nil"/>
            </w:tcBorders>
            <w:shd w:val="clear" w:color="auto" w:fill="auto"/>
            <w:noWrap/>
            <w:vAlign w:val="bottom"/>
          </w:tcPr>
          <w:p w14:paraId="309A24F6" w14:textId="2884C1F7"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0.036***</w:t>
            </w:r>
          </w:p>
        </w:tc>
      </w:tr>
      <w:tr w:rsidR="00724CA2" w:rsidRPr="00724CA2" w14:paraId="330CD591" w14:textId="77777777" w:rsidTr="00E8468B">
        <w:trPr>
          <w:trHeight w:val="273"/>
          <w:jc w:val="center"/>
        </w:trPr>
        <w:tc>
          <w:tcPr>
            <w:tcW w:w="4574" w:type="dxa"/>
            <w:noWrap/>
            <w:vAlign w:val="center"/>
            <w:hideMark/>
          </w:tcPr>
          <w:p w14:paraId="2EFCA106" w14:textId="77777777" w:rsidR="00BF5851" w:rsidRPr="00724CA2" w:rsidRDefault="00BF5851" w:rsidP="00BF5851">
            <w:pPr>
              <w:jc w:val="both"/>
              <w:rPr>
                <w:rFonts w:ascii="Times New Roman" w:hAnsi="Times New Roman" w:cs="Times New Roman"/>
                <w:color w:val="000000" w:themeColor="text1"/>
                <w:lang w:val="en-US"/>
              </w:rPr>
            </w:pPr>
          </w:p>
        </w:tc>
        <w:tc>
          <w:tcPr>
            <w:tcW w:w="1359" w:type="dxa"/>
            <w:tcBorders>
              <w:top w:val="nil"/>
              <w:left w:val="nil"/>
              <w:bottom w:val="nil"/>
              <w:right w:val="nil"/>
            </w:tcBorders>
            <w:shd w:val="clear" w:color="auto" w:fill="auto"/>
            <w:noWrap/>
            <w:vAlign w:val="bottom"/>
          </w:tcPr>
          <w:p w14:paraId="2CBA1FB9" w14:textId="327EFEF7"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(0.009)</w:t>
            </w:r>
          </w:p>
        </w:tc>
        <w:tc>
          <w:tcPr>
            <w:tcW w:w="1359" w:type="dxa"/>
            <w:tcBorders>
              <w:top w:val="nil"/>
              <w:left w:val="nil"/>
              <w:bottom w:val="nil"/>
              <w:right w:val="nil"/>
            </w:tcBorders>
            <w:shd w:val="clear" w:color="auto" w:fill="auto"/>
            <w:noWrap/>
            <w:vAlign w:val="bottom"/>
          </w:tcPr>
          <w:p w14:paraId="7B5FCD0D" w14:textId="4B1B974A"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(0.009)</w:t>
            </w:r>
          </w:p>
        </w:tc>
        <w:tc>
          <w:tcPr>
            <w:tcW w:w="1359" w:type="dxa"/>
            <w:tcBorders>
              <w:top w:val="nil"/>
              <w:left w:val="nil"/>
              <w:bottom w:val="nil"/>
              <w:right w:val="nil"/>
            </w:tcBorders>
            <w:shd w:val="clear" w:color="auto" w:fill="auto"/>
            <w:noWrap/>
            <w:vAlign w:val="bottom"/>
          </w:tcPr>
          <w:p w14:paraId="254A6B8D" w14:textId="0229182A"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(0.010)</w:t>
            </w:r>
          </w:p>
        </w:tc>
      </w:tr>
      <w:tr w:rsidR="00724CA2" w:rsidRPr="00724CA2" w14:paraId="5F4DE76E" w14:textId="77777777" w:rsidTr="00E8468B">
        <w:trPr>
          <w:trHeight w:val="273"/>
          <w:jc w:val="center"/>
        </w:trPr>
        <w:tc>
          <w:tcPr>
            <w:tcW w:w="4574" w:type="dxa"/>
            <w:noWrap/>
            <w:vAlign w:val="center"/>
            <w:hideMark/>
          </w:tcPr>
          <w:p w14:paraId="0E69F13F" w14:textId="77777777" w:rsidR="00BF5851" w:rsidRPr="00724CA2" w:rsidRDefault="00BF5851" w:rsidP="00BF5851">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Managerial ownership</w:t>
            </w:r>
          </w:p>
        </w:tc>
        <w:tc>
          <w:tcPr>
            <w:tcW w:w="1359" w:type="dxa"/>
            <w:tcBorders>
              <w:top w:val="nil"/>
              <w:left w:val="nil"/>
              <w:bottom w:val="nil"/>
              <w:right w:val="nil"/>
            </w:tcBorders>
            <w:shd w:val="clear" w:color="auto" w:fill="auto"/>
            <w:noWrap/>
            <w:vAlign w:val="bottom"/>
          </w:tcPr>
          <w:p w14:paraId="1158C200" w14:textId="355189DE"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-0.462***</w:t>
            </w:r>
          </w:p>
        </w:tc>
        <w:tc>
          <w:tcPr>
            <w:tcW w:w="1359" w:type="dxa"/>
            <w:tcBorders>
              <w:top w:val="nil"/>
              <w:left w:val="nil"/>
              <w:bottom w:val="nil"/>
              <w:right w:val="nil"/>
            </w:tcBorders>
            <w:shd w:val="clear" w:color="auto" w:fill="auto"/>
            <w:noWrap/>
            <w:vAlign w:val="bottom"/>
          </w:tcPr>
          <w:p w14:paraId="151731C0" w14:textId="16E8E1D4"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-0.345</w:t>
            </w:r>
          </w:p>
        </w:tc>
        <w:tc>
          <w:tcPr>
            <w:tcW w:w="1359" w:type="dxa"/>
            <w:tcBorders>
              <w:top w:val="nil"/>
              <w:left w:val="nil"/>
              <w:bottom w:val="nil"/>
              <w:right w:val="nil"/>
            </w:tcBorders>
            <w:shd w:val="clear" w:color="auto" w:fill="auto"/>
            <w:noWrap/>
            <w:vAlign w:val="bottom"/>
          </w:tcPr>
          <w:p w14:paraId="35DC4B9F" w14:textId="620C4667"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-0.532***</w:t>
            </w:r>
          </w:p>
        </w:tc>
      </w:tr>
      <w:tr w:rsidR="00724CA2" w:rsidRPr="00724CA2" w14:paraId="395D1A92" w14:textId="77777777" w:rsidTr="00E8468B">
        <w:trPr>
          <w:trHeight w:val="273"/>
          <w:jc w:val="center"/>
        </w:trPr>
        <w:tc>
          <w:tcPr>
            <w:tcW w:w="4574" w:type="dxa"/>
            <w:noWrap/>
            <w:vAlign w:val="center"/>
            <w:hideMark/>
          </w:tcPr>
          <w:p w14:paraId="4AB44A8A" w14:textId="77777777" w:rsidR="00BF5851" w:rsidRPr="00724CA2" w:rsidRDefault="00BF5851" w:rsidP="00BF5851">
            <w:pPr>
              <w:jc w:val="both"/>
              <w:rPr>
                <w:rFonts w:ascii="Times New Roman" w:hAnsi="Times New Roman" w:cs="Times New Roman"/>
                <w:color w:val="000000" w:themeColor="text1"/>
                <w:lang w:val="en-US"/>
              </w:rPr>
            </w:pPr>
          </w:p>
        </w:tc>
        <w:tc>
          <w:tcPr>
            <w:tcW w:w="1359" w:type="dxa"/>
            <w:tcBorders>
              <w:top w:val="nil"/>
              <w:left w:val="nil"/>
              <w:bottom w:val="nil"/>
              <w:right w:val="nil"/>
            </w:tcBorders>
            <w:shd w:val="clear" w:color="auto" w:fill="auto"/>
            <w:noWrap/>
            <w:vAlign w:val="bottom"/>
          </w:tcPr>
          <w:p w14:paraId="019C7956" w14:textId="70D3FEFC"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(0.123)</w:t>
            </w:r>
          </w:p>
        </w:tc>
        <w:tc>
          <w:tcPr>
            <w:tcW w:w="1359" w:type="dxa"/>
            <w:tcBorders>
              <w:top w:val="nil"/>
              <w:left w:val="nil"/>
              <w:bottom w:val="nil"/>
              <w:right w:val="nil"/>
            </w:tcBorders>
            <w:shd w:val="clear" w:color="auto" w:fill="auto"/>
            <w:noWrap/>
            <w:vAlign w:val="bottom"/>
          </w:tcPr>
          <w:p w14:paraId="6AE78C9D" w14:textId="1F03ADD4"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(0.216)</w:t>
            </w:r>
          </w:p>
        </w:tc>
        <w:tc>
          <w:tcPr>
            <w:tcW w:w="1359" w:type="dxa"/>
            <w:tcBorders>
              <w:top w:val="nil"/>
              <w:left w:val="nil"/>
              <w:bottom w:val="nil"/>
              <w:right w:val="nil"/>
            </w:tcBorders>
            <w:shd w:val="clear" w:color="auto" w:fill="auto"/>
            <w:noWrap/>
            <w:vAlign w:val="bottom"/>
          </w:tcPr>
          <w:p w14:paraId="500A61F7" w14:textId="3AF1DB12"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(0.127)</w:t>
            </w:r>
          </w:p>
        </w:tc>
      </w:tr>
      <w:tr w:rsidR="00724CA2" w:rsidRPr="00724CA2" w14:paraId="794CC63E" w14:textId="77777777" w:rsidTr="00E8468B">
        <w:trPr>
          <w:trHeight w:val="273"/>
          <w:jc w:val="center"/>
        </w:trPr>
        <w:tc>
          <w:tcPr>
            <w:tcW w:w="4574" w:type="dxa"/>
            <w:noWrap/>
            <w:vAlign w:val="center"/>
            <w:hideMark/>
          </w:tcPr>
          <w:p w14:paraId="43D124B6" w14:textId="77777777" w:rsidR="00BF5851" w:rsidRPr="00724CA2" w:rsidRDefault="00BF5851" w:rsidP="00BF5851">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Z Index</w:t>
            </w:r>
          </w:p>
        </w:tc>
        <w:tc>
          <w:tcPr>
            <w:tcW w:w="1359" w:type="dxa"/>
            <w:tcBorders>
              <w:top w:val="nil"/>
              <w:left w:val="nil"/>
              <w:bottom w:val="nil"/>
              <w:right w:val="nil"/>
            </w:tcBorders>
            <w:shd w:val="clear" w:color="auto" w:fill="auto"/>
            <w:noWrap/>
            <w:vAlign w:val="bottom"/>
          </w:tcPr>
          <w:p w14:paraId="497A3382" w14:textId="79CCAD87"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0.010***</w:t>
            </w:r>
          </w:p>
        </w:tc>
        <w:tc>
          <w:tcPr>
            <w:tcW w:w="1359" w:type="dxa"/>
            <w:tcBorders>
              <w:top w:val="nil"/>
              <w:left w:val="nil"/>
              <w:bottom w:val="nil"/>
              <w:right w:val="nil"/>
            </w:tcBorders>
            <w:shd w:val="clear" w:color="auto" w:fill="auto"/>
            <w:noWrap/>
            <w:vAlign w:val="bottom"/>
          </w:tcPr>
          <w:p w14:paraId="7016D073" w14:textId="355786A2"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0.009**</w:t>
            </w:r>
          </w:p>
        </w:tc>
        <w:tc>
          <w:tcPr>
            <w:tcW w:w="1359" w:type="dxa"/>
            <w:tcBorders>
              <w:top w:val="nil"/>
              <w:left w:val="nil"/>
              <w:bottom w:val="nil"/>
              <w:right w:val="nil"/>
            </w:tcBorders>
            <w:shd w:val="clear" w:color="auto" w:fill="auto"/>
            <w:noWrap/>
            <w:vAlign w:val="bottom"/>
          </w:tcPr>
          <w:p w14:paraId="3647BDE5" w14:textId="750442B8"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0.010***</w:t>
            </w:r>
          </w:p>
        </w:tc>
      </w:tr>
      <w:tr w:rsidR="00724CA2" w:rsidRPr="00724CA2" w14:paraId="37BAAA1B" w14:textId="77777777" w:rsidTr="00E8468B">
        <w:trPr>
          <w:trHeight w:val="273"/>
          <w:jc w:val="center"/>
        </w:trPr>
        <w:tc>
          <w:tcPr>
            <w:tcW w:w="4574" w:type="dxa"/>
            <w:noWrap/>
            <w:vAlign w:val="center"/>
            <w:hideMark/>
          </w:tcPr>
          <w:p w14:paraId="115E2061" w14:textId="77777777" w:rsidR="00BF5851" w:rsidRPr="00724CA2" w:rsidRDefault="00BF5851" w:rsidP="00BF5851">
            <w:pPr>
              <w:jc w:val="both"/>
              <w:rPr>
                <w:rFonts w:ascii="Times New Roman" w:hAnsi="Times New Roman" w:cs="Times New Roman"/>
                <w:color w:val="000000" w:themeColor="text1"/>
                <w:lang w:val="en-US"/>
              </w:rPr>
            </w:pPr>
          </w:p>
        </w:tc>
        <w:tc>
          <w:tcPr>
            <w:tcW w:w="1359" w:type="dxa"/>
            <w:tcBorders>
              <w:top w:val="nil"/>
              <w:left w:val="nil"/>
              <w:bottom w:val="nil"/>
              <w:right w:val="nil"/>
            </w:tcBorders>
            <w:shd w:val="clear" w:color="auto" w:fill="auto"/>
            <w:noWrap/>
            <w:vAlign w:val="bottom"/>
          </w:tcPr>
          <w:p w14:paraId="630CD36C" w14:textId="3FA4AEA5"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(0.003)</w:t>
            </w:r>
          </w:p>
        </w:tc>
        <w:tc>
          <w:tcPr>
            <w:tcW w:w="1359" w:type="dxa"/>
            <w:tcBorders>
              <w:top w:val="nil"/>
              <w:left w:val="nil"/>
              <w:bottom w:val="nil"/>
              <w:right w:val="nil"/>
            </w:tcBorders>
            <w:shd w:val="clear" w:color="auto" w:fill="auto"/>
            <w:noWrap/>
            <w:vAlign w:val="bottom"/>
          </w:tcPr>
          <w:p w14:paraId="7E17BA2F" w14:textId="68CAC1D2"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(0.003)</w:t>
            </w:r>
          </w:p>
        </w:tc>
        <w:tc>
          <w:tcPr>
            <w:tcW w:w="1359" w:type="dxa"/>
            <w:tcBorders>
              <w:top w:val="nil"/>
              <w:left w:val="nil"/>
              <w:bottom w:val="nil"/>
              <w:right w:val="nil"/>
            </w:tcBorders>
            <w:shd w:val="clear" w:color="auto" w:fill="auto"/>
            <w:noWrap/>
            <w:vAlign w:val="bottom"/>
          </w:tcPr>
          <w:p w14:paraId="6F4EA91D" w14:textId="07089F84"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(0.003)</w:t>
            </w:r>
          </w:p>
        </w:tc>
      </w:tr>
      <w:tr w:rsidR="00724CA2" w:rsidRPr="00724CA2" w14:paraId="7A02C6DB" w14:textId="77777777" w:rsidTr="00E8468B">
        <w:trPr>
          <w:trHeight w:val="273"/>
          <w:jc w:val="center"/>
        </w:trPr>
        <w:tc>
          <w:tcPr>
            <w:tcW w:w="4574" w:type="dxa"/>
            <w:noWrap/>
            <w:vAlign w:val="center"/>
            <w:hideMark/>
          </w:tcPr>
          <w:p w14:paraId="0F1CAF4B" w14:textId="77777777" w:rsidR="00BF5851" w:rsidRPr="00724CA2" w:rsidRDefault="00BF5851" w:rsidP="00BF5851">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Stock returns</w:t>
            </w:r>
          </w:p>
        </w:tc>
        <w:tc>
          <w:tcPr>
            <w:tcW w:w="1359" w:type="dxa"/>
            <w:tcBorders>
              <w:top w:val="nil"/>
              <w:left w:val="nil"/>
              <w:bottom w:val="nil"/>
              <w:right w:val="nil"/>
            </w:tcBorders>
            <w:shd w:val="clear" w:color="auto" w:fill="auto"/>
            <w:noWrap/>
            <w:vAlign w:val="bottom"/>
          </w:tcPr>
          <w:p w14:paraId="5A7D8FC9" w14:textId="4AF2438A"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0.475***</w:t>
            </w:r>
          </w:p>
        </w:tc>
        <w:tc>
          <w:tcPr>
            <w:tcW w:w="1359" w:type="dxa"/>
            <w:tcBorders>
              <w:top w:val="nil"/>
              <w:left w:val="nil"/>
              <w:bottom w:val="nil"/>
              <w:right w:val="nil"/>
            </w:tcBorders>
            <w:shd w:val="clear" w:color="auto" w:fill="auto"/>
            <w:noWrap/>
            <w:vAlign w:val="bottom"/>
          </w:tcPr>
          <w:p w14:paraId="1E01ED0F" w14:textId="2242BAAE"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0.472***</w:t>
            </w:r>
          </w:p>
        </w:tc>
        <w:tc>
          <w:tcPr>
            <w:tcW w:w="1359" w:type="dxa"/>
            <w:tcBorders>
              <w:top w:val="nil"/>
              <w:left w:val="nil"/>
              <w:bottom w:val="nil"/>
              <w:right w:val="nil"/>
            </w:tcBorders>
            <w:shd w:val="clear" w:color="auto" w:fill="auto"/>
            <w:noWrap/>
            <w:vAlign w:val="bottom"/>
          </w:tcPr>
          <w:p w14:paraId="4AF02686" w14:textId="2E08B38D"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0.471***</w:t>
            </w:r>
          </w:p>
        </w:tc>
      </w:tr>
      <w:tr w:rsidR="00724CA2" w:rsidRPr="00724CA2" w14:paraId="42DC3939" w14:textId="77777777" w:rsidTr="00E8468B">
        <w:trPr>
          <w:trHeight w:val="273"/>
          <w:jc w:val="center"/>
        </w:trPr>
        <w:tc>
          <w:tcPr>
            <w:tcW w:w="4574" w:type="dxa"/>
            <w:noWrap/>
            <w:vAlign w:val="center"/>
            <w:hideMark/>
          </w:tcPr>
          <w:p w14:paraId="5793BA24" w14:textId="77777777" w:rsidR="00BF5851" w:rsidRPr="00724CA2" w:rsidRDefault="00BF5851" w:rsidP="00BF5851">
            <w:pPr>
              <w:jc w:val="both"/>
              <w:rPr>
                <w:rFonts w:ascii="Times New Roman" w:hAnsi="Times New Roman" w:cs="Times New Roman"/>
                <w:color w:val="000000" w:themeColor="text1"/>
                <w:lang w:val="en-US"/>
              </w:rPr>
            </w:pPr>
          </w:p>
        </w:tc>
        <w:tc>
          <w:tcPr>
            <w:tcW w:w="1359" w:type="dxa"/>
            <w:tcBorders>
              <w:top w:val="nil"/>
              <w:left w:val="nil"/>
              <w:bottom w:val="nil"/>
              <w:right w:val="nil"/>
            </w:tcBorders>
            <w:shd w:val="clear" w:color="auto" w:fill="auto"/>
            <w:noWrap/>
            <w:vAlign w:val="bottom"/>
          </w:tcPr>
          <w:p w14:paraId="5958D736" w14:textId="20236BCC"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(0.034)</w:t>
            </w:r>
          </w:p>
        </w:tc>
        <w:tc>
          <w:tcPr>
            <w:tcW w:w="1359" w:type="dxa"/>
            <w:tcBorders>
              <w:top w:val="nil"/>
              <w:left w:val="nil"/>
              <w:bottom w:val="nil"/>
              <w:right w:val="nil"/>
            </w:tcBorders>
            <w:shd w:val="clear" w:color="auto" w:fill="auto"/>
            <w:noWrap/>
            <w:vAlign w:val="bottom"/>
          </w:tcPr>
          <w:p w14:paraId="40450E2E" w14:textId="1E688ED6"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(0.031)</w:t>
            </w:r>
          </w:p>
        </w:tc>
        <w:tc>
          <w:tcPr>
            <w:tcW w:w="1359" w:type="dxa"/>
            <w:tcBorders>
              <w:top w:val="nil"/>
              <w:left w:val="nil"/>
              <w:bottom w:val="nil"/>
              <w:right w:val="nil"/>
            </w:tcBorders>
            <w:shd w:val="clear" w:color="auto" w:fill="auto"/>
            <w:noWrap/>
            <w:vAlign w:val="bottom"/>
          </w:tcPr>
          <w:p w14:paraId="343DD334" w14:textId="25EE1DB4"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(0.034)</w:t>
            </w:r>
          </w:p>
        </w:tc>
      </w:tr>
      <w:tr w:rsidR="00724CA2" w:rsidRPr="00724CA2" w14:paraId="245AD73D" w14:textId="77777777" w:rsidTr="00E8468B">
        <w:trPr>
          <w:trHeight w:val="273"/>
          <w:jc w:val="center"/>
        </w:trPr>
        <w:tc>
          <w:tcPr>
            <w:tcW w:w="4574" w:type="dxa"/>
            <w:noWrap/>
            <w:vAlign w:val="center"/>
            <w:hideMark/>
          </w:tcPr>
          <w:p w14:paraId="158C168D" w14:textId="77777777" w:rsidR="00BF5851" w:rsidRPr="00724CA2" w:rsidRDefault="00BF5851" w:rsidP="00BF5851">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Tobin Q</w:t>
            </w:r>
          </w:p>
        </w:tc>
        <w:tc>
          <w:tcPr>
            <w:tcW w:w="1359" w:type="dxa"/>
            <w:tcBorders>
              <w:top w:val="nil"/>
              <w:left w:val="nil"/>
              <w:bottom w:val="nil"/>
              <w:right w:val="nil"/>
            </w:tcBorders>
            <w:shd w:val="clear" w:color="auto" w:fill="auto"/>
            <w:noWrap/>
            <w:vAlign w:val="bottom"/>
          </w:tcPr>
          <w:p w14:paraId="3A49E6B4" w14:textId="14660156"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-0.458***</w:t>
            </w:r>
          </w:p>
        </w:tc>
        <w:tc>
          <w:tcPr>
            <w:tcW w:w="1359" w:type="dxa"/>
            <w:tcBorders>
              <w:top w:val="nil"/>
              <w:left w:val="nil"/>
              <w:bottom w:val="nil"/>
              <w:right w:val="nil"/>
            </w:tcBorders>
            <w:shd w:val="clear" w:color="auto" w:fill="auto"/>
            <w:noWrap/>
            <w:vAlign w:val="bottom"/>
          </w:tcPr>
          <w:p w14:paraId="40246C2B" w14:textId="55B8FB68"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-0.454***</w:t>
            </w:r>
          </w:p>
        </w:tc>
        <w:tc>
          <w:tcPr>
            <w:tcW w:w="1359" w:type="dxa"/>
            <w:tcBorders>
              <w:top w:val="nil"/>
              <w:left w:val="nil"/>
              <w:bottom w:val="nil"/>
              <w:right w:val="nil"/>
            </w:tcBorders>
            <w:shd w:val="clear" w:color="auto" w:fill="auto"/>
            <w:noWrap/>
            <w:vAlign w:val="bottom"/>
          </w:tcPr>
          <w:p w14:paraId="50569339" w14:textId="51A7499F"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-0.458***</w:t>
            </w:r>
          </w:p>
        </w:tc>
      </w:tr>
      <w:tr w:rsidR="00724CA2" w:rsidRPr="00724CA2" w14:paraId="365DFB05" w14:textId="77777777" w:rsidTr="00E8468B">
        <w:trPr>
          <w:trHeight w:val="273"/>
          <w:jc w:val="center"/>
        </w:trPr>
        <w:tc>
          <w:tcPr>
            <w:tcW w:w="4574" w:type="dxa"/>
            <w:noWrap/>
            <w:vAlign w:val="center"/>
            <w:hideMark/>
          </w:tcPr>
          <w:p w14:paraId="4BFFF75B" w14:textId="77777777" w:rsidR="00BF5851" w:rsidRPr="00724CA2" w:rsidRDefault="00BF5851" w:rsidP="00BF5851">
            <w:pPr>
              <w:jc w:val="both"/>
              <w:rPr>
                <w:rFonts w:ascii="Times New Roman" w:hAnsi="Times New Roman" w:cs="Times New Roman"/>
                <w:color w:val="000000" w:themeColor="text1"/>
                <w:lang w:val="en-US"/>
              </w:rPr>
            </w:pPr>
          </w:p>
        </w:tc>
        <w:tc>
          <w:tcPr>
            <w:tcW w:w="1359" w:type="dxa"/>
            <w:tcBorders>
              <w:top w:val="nil"/>
              <w:left w:val="nil"/>
              <w:bottom w:val="nil"/>
              <w:right w:val="nil"/>
            </w:tcBorders>
            <w:shd w:val="clear" w:color="auto" w:fill="auto"/>
            <w:noWrap/>
            <w:vAlign w:val="bottom"/>
          </w:tcPr>
          <w:p w14:paraId="35C140BD" w14:textId="002AEF8C"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(0.042)</w:t>
            </w:r>
          </w:p>
        </w:tc>
        <w:tc>
          <w:tcPr>
            <w:tcW w:w="1359" w:type="dxa"/>
            <w:tcBorders>
              <w:top w:val="nil"/>
              <w:left w:val="nil"/>
              <w:bottom w:val="nil"/>
              <w:right w:val="nil"/>
            </w:tcBorders>
            <w:shd w:val="clear" w:color="auto" w:fill="auto"/>
            <w:noWrap/>
            <w:vAlign w:val="bottom"/>
          </w:tcPr>
          <w:p w14:paraId="51DD74F7" w14:textId="1D523AE6"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(0.044)</w:t>
            </w:r>
          </w:p>
        </w:tc>
        <w:tc>
          <w:tcPr>
            <w:tcW w:w="1359" w:type="dxa"/>
            <w:tcBorders>
              <w:top w:val="nil"/>
              <w:left w:val="nil"/>
              <w:bottom w:val="nil"/>
              <w:right w:val="nil"/>
            </w:tcBorders>
            <w:shd w:val="clear" w:color="auto" w:fill="auto"/>
            <w:noWrap/>
            <w:vAlign w:val="bottom"/>
          </w:tcPr>
          <w:p w14:paraId="37DD0D8F" w14:textId="7D584190"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(0.042)</w:t>
            </w:r>
          </w:p>
        </w:tc>
      </w:tr>
      <w:tr w:rsidR="00724CA2" w:rsidRPr="00724CA2" w14:paraId="4780E85E" w14:textId="77777777" w:rsidTr="00E8468B">
        <w:trPr>
          <w:trHeight w:val="273"/>
          <w:jc w:val="center"/>
        </w:trPr>
        <w:tc>
          <w:tcPr>
            <w:tcW w:w="4574" w:type="dxa"/>
            <w:noWrap/>
            <w:vAlign w:val="center"/>
            <w:hideMark/>
          </w:tcPr>
          <w:p w14:paraId="4E73C103" w14:textId="77777777" w:rsidR="00BF5851" w:rsidRPr="00724CA2" w:rsidRDefault="00BF5851" w:rsidP="00BF5851">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Firm age</w:t>
            </w:r>
          </w:p>
        </w:tc>
        <w:tc>
          <w:tcPr>
            <w:tcW w:w="1359" w:type="dxa"/>
            <w:tcBorders>
              <w:top w:val="nil"/>
              <w:left w:val="nil"/>
              <w:bottom w:val="nil"/>
              <w:right w:val="nil"/>
            </w:tcBorders>
            <w:shd w:val="clear" w:color="auto" w:fill="auto"/>
            <w:noWrap/>
            <w:vAlign w:val="bottom"/>
          </w:tcPr>
          <w:p w14:paraId="49C073E5" w14:textId="2B2118FE"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-0.020*</w:t>
            </w:r>
          </w:p>
        </w:tc>
        <w:tc>
          <w:tcPr>
            <w:tcW w:w="1359" w:type="dxa"/>
            <w:tcBorders>
              <w:top w:val="nil"/>
              <w:left w:val="nil"/>
              <w:bottom w:val="nil"/>
              <w:right w:val="nil"/>
            </w:tcBorders>
            <w:shd w:val="clear" w:color="auto" w:fill="auto"/>
            <w:noWrap/>
            <w:vAlign w:val="bottom"/>
          </w:tcPr>
          <w:p w14:paraId="772AEFEE" w14:textId="3DC0F290"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-0.021*</w:t>
            </w:r>
          </w:p>
        </w:tc>
        <w:tc>
          <w:tcPr>
            <w:tcW w:w="1359" w:type="dxa"/>
            <w:tcBorders>
              <w:top w:val="nil"/>
              <w:left w:val="nil"/>
              <w:bottom w:val="nil"/>
              <w:right w:val="nil"/>
            </w:tcBorders>
            <w:shd w:val="clear" w:color="auto" w:fill="auto"/>
            <w:noWrap/>
            <w:vAlign w:val="bottom"/>
          </w:tcPr>
          <w:p w14:paraId="45437233" w14:textId="0F8F47AA"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-0.018*</w:t>
            </w:r>
          </w:p>
        </w:tc>
      </w:tr>
      <w:tr w:rsidR="00724CA2" w:rsidRPr="00724CA2" w14:paraId="083C1C08" w14:textId="77777777" w:rsidTr="00E8468B">
        <w:trPr>
          <w:trHeight w:val="273"/>
          <w:jc w:val="center"/>
        </w:trPr>
        <w:tc>
          <w:tcPr>
            <w:tcW w:w="4574" w:type="dxa"/>
            <w:noWrap/>
            <w:vAlign w:val="center"/>
            <w:hideMark/>
          </w:tcPr>
          <w:p w14:paraId="375F2FD2" w14:textId="77777777" w:rsidR="00BF5851" w:rsidRPr="00724CA2" w:rsidRDefault="00BF5851" w:rsidP="00BF5851">
            <w:pPr>
              <w:jc w:val="both"/>
              <w:rPr>
                <w:rFonts w:ascii="Times New Roman" w:hAnsi="Times New Roman" w:cs="Times New Roman"/>
                <w:color w:val="000000" w:themeColor="text1"/>
                <w:lang w:val="en-US"/>
              </w:rPr>
            </w:pPr>
          </w:p>
        </w:tc>
        <w:tc>
          <w:tcPr>
            <w:tcW w:w="1359" w:type="dxa"/>
            <w:tcBorders>
              <w:top w:val="nil"/>
              <w:left w:val="nil"/>
              <w:bottom w:val="nil"/>
              <w:right w:val="nil"/>
            </w:tcBorders>
            <w:shd w:val="clear" w:color="auto" w:fill="auto"/>
            <w:noWrap/>
            <w:vAlign w:val="bottom"/>
          </w:tcPr>
          <w:p w14:paraId="59BA64AD" w14:textId="1986533D"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(0.010)</w:t>
            </w:r>
          </w:p>
        </w:tc>
        <w:tc>
          <w:tcPr>
            <w:tcW w:w="1359" w:type="dxa"/>
            <w:tcBorders>
              <w:top w:val="nil"/>
              <w:left w:val="nil"/>
              <w:bottom w:val="nil"/>
              <w:right w:val="nil"/>
            </w:tcBorders>
            <w:shd w:val="clear" w:color="auto" w:fill="auto"/>
            <w:noWrap/>
            <w:vAlign w:val="bottom"/>
          </w:tcPr>
          <w:p w14:paraId="5EB5356F" w14:textId="57207252"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(0.010)</w:t>
            </w:r>
          </w:p>
        </w:tc>
        <w:tc>
          <w:tcPr>
            <w:tcW w:w="1359" w:type="dxa"/>
            <w:tcBorders>
              <w:top w:val="nil"/>
              <w:left w:val="nil"/>
              <w:bottom w:val="nil"/>
              <w:right w:val="nil"/>
            </w:tcBorders>
            <w:shd w:val="clear" w:color="auto" w:fill="auto"/>
            <w:noWrap/>
            <w:vAlign w:val="bottom"/>
          </w:tcPr>
          <w:p w14:paraId="68CFD570" w14:textId="19080C11"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(0.010)</w:t>
            </w:r>
          </w:p>
        </w:tc>
      </w:tr>
      <w:tr w:rsidR="00724CA2" w:rsidRPr="00724CA2" w14:paraId="36E3D364" w14:textId="77777777" w:rsidTr="00E8468B">
        <w:trPr>
          <w:trHeight w:val="273"/>
          <w:jc w:val="center"/>
        </w:trPr>
        <w:tc>
          <w:tcPr>
            <w:tcW w:w="4574" w:type="dxa"/>
            <w:noWrap/>
            <w:vAlign w:val="center"/>
            <w:hideMark/>
          </w:tcPr>
          <w:p w14:paraId="050C196E" w14:textId="77777777" w:rsidR="00BF5851" w:rsidRPr="00724CA2" w:rsidRDefault="00BF5851" w:rsidP="00BF5851">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Leverage</w:t>
            </w:r>
          </w:p>
        </w:tc>
        <w:tc>
          <w:tcPr>
            <w:tcW w:w="1359" w:type="dxa"/>
            <w:tcBorders>
              <w:top w:val="nil"/>
              <w:left w:val="nil"/>
              <w:bottom w:val="nil"/>
              <w:right w:val="nil"/>
            </w:tcBorders>
            <w:shd w:val="clear" w:color="auto" w:fill="auto"/>
            <w:noWrap/>
            <w:vAlign w:val="bottom"/>
          </w:tcPr>
          <w:p w14:paraId="3C383F1E" w14:textId="43789653"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0.603***</w:t>
            </w:r>
          </w:p>
        </w:tc>
        <w:tc>
          <w:tcPr>
            <w:tcW w:w="1359" w:type="dxa"/>
            <w:tcBorders>
              <w:top w:val="nil"/>
              <w:left w:val="nil"/>
              <w:bottom w:val="nil"/>
              <w:right w:val="nil"/>
            </w:tcBorders>
            <w:shd w:val="clear" w:color="auto" w:fill="auto"/>
            <w:noWrap/>
            <w:vAlign w:val="bottom"/>
          </w:tcPr>
          <w:p w14:paraId="54DA378A" w14:textId="20397AB6"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0.589***</w:t>
            </w:r>
          </w:p>
        </w:tc>
        <w:tc>
          <w:tcPr>
            <w:tcW w:w="1359" w:type="dxa"/>
            <w:tcBorders>
              <w:top w:val="nil"/>
              <w:left w:val="nil"/>
              <w:bottom w:val="nil"/>
              <w:right w:val="nil"/>
            </w:tcBorders>
            <w:shd w:val="clear" w:color="auto" w:fill="auto"/>
            <w:noWrap/>
            <w:vAlign w:val="bottom"/>
          </w:tcPr>
          <w:p w14:paraId="52919A93" w14:textId="2EA8C027"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0.617***</w:t>
            </w:r>
          </w:p>
        </w:tc>
      </w:tr>
      <w:tr w:rsidR="00724CA2" w:rsidRPr="00724CA2" w14:paraId="6058934A" w14:textId="77777777" w:rsidTr="00E8468B">
        <w:trPr>
          <w:trHeight w:val="273"/>
          <w:jc w:val="center"/>
        </w:trPr>
        <w:tc>
          <w:tcPr>
            <w:tcW w:w="4574" w:type="dxa"/>
            <w:noWrap/>
            <w:vAlign w:val="center"/>
            <w:hideMark/>
          </w:tcPr>
          <w:p w14:paraId="5D3182EF" w14:textId="77777777" w:rsidR="00BF5851" w:rsidRPr="00724CA2" w:rsidRDefault="00BF5851" w:rsidP="00BF5851">
            <w:pPr>
              <w:jc w:val="both"/>
              <w:rPr>
                <w:rFonts w:ascii="Times New Roman" w:hAnsi="Times New Roman" w:cs="Times New Roman"/>
                <w:color w:val="000000" w:themeColor="text1"/>
                <w:lang w:val="en-US"/>
              </w:rPr>
            </w:pPr>
          </w:p>
        </w:tc>
        <w:tc>
          <w:tcPr>
            <w:tcW w:w="1359" w:type="dxa"/>
            <w:tcBorders>
              <w:top w:val="nil"/>
              <w:left w:val="nil"/>
              <w:bottom w:val="nil"/>
              <w:right w:val="nil"/>
            </w:tcBorders>
            <w:shd w:val="clear" w:color="auto" w:fill="auto"/>
            <w:noWrap/>
            <w:vAlign w:val="bottom"/>
          </w:tcPr>
          <w:p w14:paraId="4F790256" w14:textId="2DB97CF6"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(0.139)</w:t>
            </w:r>
          </w:p>
        </w:tc>
        <w:tc>
          <w:tcPr>
            <w:tcW w:w="1359" w:type="dxa"/>
            <w:tcBorders>
              <w:top w:val="nil"/>
              <w:left w:val="nil"/>
              <w:bottom w:val="nil"/>
              <w:right w:val="nil"/>
            </w:tcBorders>
            <w:shd w:val="clear" w:color="auto" w:fill="auto"/>
            <w:noWrap/>
            <w:vAlign w:val="bottom"/>
          </w:tcPr>
          <w:p w14:paraId="705B6C37" w14:textId="38E13566"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(0.124)</w:t>
            </w:r>
          </w:p>
        </w:tc>
        <w:tc>
          <w:tcPr>
            <w:tcW w:w="1359" w:type="dxa"/>
            <w:tcBorders>
              <w:top w:val="nil"/>
              <w:left w:val="nil"/>
              <w:bottom w:val="nil"/>
              <w:right w:val="nil"/>
            </w:tcBorders>
            <w:shd w:val="clear" w:color="auto" w:fill="auto"/>
            <w:noWrap/>
            <w:vAlign w:val="bottom"/>
          </w:tcPr>
          <w:p w14:paraId="7E53650D" w14:textId="1AB76ABC"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(0.147)</w:t>
            </w:r>
          </w:p>
        </w:tc>
      </w:tr>
      <w:tr w:rsidR="00724CA2" w:rsidRPr="00724CA2" w14:paraId="7DD6958D" w14:textId="77777777" w:rsidTr="00BF5851">
        <w:trPr>
          <w:trHeight w:val="273"/>
          <w:jc w:val="center"/>
        </w:trPr>
        <w:tc>
          <w:tcPr>
            <w:tcW w:w="4574" w:type="dxa"/>
            <w:noWrap/>
            <w:vAlign w:val="center"/>
          </w:tcPr>
          <w:p w14:paraId="4117698E" w14:textId="77777777" w:rsidR="00BF5851" w:rsidRPr="00724CA2" w:rsidRDefault="00BF5851" w:rsidP="00BF5851">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Year FE</w:t>
            </w:r>
          </w:p>
        </w:tc>
        <w:tc>
          <w:tcPr>
            <w:tcW w:w="1359" w:type="dxa"/>
            <w:noWrap/>
            <w:vAlign w:val="center"/>
          </w:tcPr>
          <w:p w14:paraId="3A39471A" w14:textId="77777777"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Yes</w:t>
            </w:r>
          </w:p>
        </w:tc>
        <w:tc>
          <w:tcPr>
            <w:tcW w:w="1359" w:type="dxa"/>
            <w:noWrap/>
            <w:vAlign w:val="center"/>
          </w:tcPr>
          <w:p w14:paraId="4269741B" w14:textId="77777777"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Yes</w:t>
            </w:r>
          </w:p>
        </w:tc>
        <w:tc>
          <w:tcPr>
            <w:tcW w:w="1359" w:type="dxa"/>
            <w:noWrap/>
            <w:vAlign w:val="center"/>
          </w:tcPr>
          <w:p w14:paraId="62980A78" w14:textId="77777777"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Yes</w:t>
            </w:r>
          </w:p>
        </w:tc>
      </w:tr>
      <w:tr w:rsidR="00724CA2" w:rsidRPr="00724CA2" w14:paraId="69AADAE5" w14:textId="77777777" w:rsidTr="00BF5851">
        <w:trPr>
          <w:trHeight w:val="273"/>
          <w:jc w:val="center"/>
        </w:trPr>
        <w:tc>
          <w:tcPr>
            <w:tcW w:w="4574" w:type="dxa"/>
            <w:noWrap/>
            <w:vAlign w:val="center"/>
          </w:tcPr>
          <w:p w14:paraId="2C343B02" w14:textId="77777777" w:rsidR="00BF5851" w:rsidRPr="00724CA2" w:rsidRDefault="00BF5851" w:rsidP="00BF5851">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Industry FE</w:t>
            </w:r>
          </w:p>
        </w:tc>
        <w:tc>
          <w:tcPr>
            <w:tcW w:w="1359" w:type="dxa"/>
            <w:noWrap/>
            <w:vAlign w:val="center"/>
          </w:tcPr>
          <w:p w14:paraId="6AC88E12" w14:textId="77777777"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Yes</w:t>
            </w:r>
          </w:p>
        </w:tc>
        <w:tc>
          <w:tcPr>
            <w:tcW w:w="1359" w:type="dxa"/>
            <w:noWrap/>
            <w:vAlign w:val="center"/>
          </w:tcPr>
          <w:p w14:paraId="2AFF3A48" w14:textId="77777777"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Yes</w:t>
            </w:r>
          </w:p>
        </w:tc>
        <w:tc>
          <w:tcPr>
            <w:tcW w:w="1359" w:type="dxa"/>
            <w:noWrap/>
            <w:vAlign w:val="center"/>
          </w:tcPr>
          <w:p w14:paraId="1C6BABCF" w14:textId="77777777"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Yes</w:t>
            </w:r>
          </w:p>
        </w:tc>
      </w:tr>
      <w:tr w:rsidR="00724CA2" w:rsidRPr="00724CA2" w14:paraId="54ABE924" w14:textId="77777777" w:rsidTr="00BF5851">
        <w:trPr>
          <w:trHeight w:val="273"/>
          <w:jc w:val="center"/>
        </w:trPr>
        <w:tc>
          <w:tcPr>
            <w:tcW w:w="4574" w:type="dxa"/>
            <w:tcBorders>
              <w:bottom w:val="nil"/>
            </w:tcBorders>
            <w:noWrap/>
            <w:vAlign w:val="center"/>
          </w:tcPr>
          <w:p w14:paraId="5A9C73F5" w14:textId="77777777" w:rsidR="00BF5851" w:rsidRPr="00724CA2" w:rsidRDefault="00BF5851" w:rsidP="00BF5851">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Observations</w:t>
            </w:r>
          </w:p>
        </w:tc>
        <w:tc>
          <w:tcPr>
            <w:tcW w:w="1359" w:type="dxa"/>
            <w:tcBorders>
              <w:top w:val="nil"/>
              <w:left w:val="nil"/>
              <w:bottom w:val="nil"/>
              <w:right w:val="nil"/>
            </w:tcBorders>
            <w:shd w:val="clear" w:color="auto" w:fill="auto"/>
            <w:noWrap/>
            <w:vAlign w:val="bottom"/>
          </w:tcPr>
          <w:p w14:paraId="3F196601" w14:textId="19917DC8"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6,560</w:t>
            </w:r>
          </w:p>
        </w:tc>
        <w:tc>
          <w:tcPr>
            <w:tcW w:w="1359" w:type="dxa"/>
            <w:tcBorders>
              <w:top w:val="nil"/>
              <w:left w:val="nil"/>
              <w:bottom w:val="nil"/>
              <w:right w:val="nil"/>
            </w:tcBorders>
            <w:shd w:val="clear" w:color="auto" w:fill="auto"/>
            <w:noWrap/>
            <w:vAlign w:val="bottom"/>
          </w:tcPr>
          <w:p w14:paraId="4C6B12B3" w14:textId="10143A37"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6,560</w:t>
            </w:r>
          </w:p>
        </w:tc>
        <w:tc>
          <w:tcPr>
            <w:tcW w:w="1359" w:type="dxa"/>
            <w:tcBorders>
              <w:top w:val="nil"/>
              <w:left w:val="nil"/>
              <w:bottom w:val="nil"/>
              <w:right w:val="nil"/>
            </w:tcBorders>
            <w:shd w:val="clear" w:color="auto" w:fill="auto"/>
            <w:noWrap/>
            <w:vAlign w:val="bottom"/>
          </w:tcPr>
          <w:p w14:paraId="42B92ACE" w14:textId="6255EF9F" w:rsidR="00BF5851" w:rsidRPr="00724CA2" w:rsidRDefault="00BF5851" w:rsidP="00BF5851">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6,560</w:t>
            </w:r>
          </w:p>
        </w:tc>
      </w:tr>
      <w:tr w:rsidR="00724CA2" w:rsidRPr="00724CA2" w14:paraId="2DC6EB0F" w14:textId="77777777" w:rsidTr="00BF5851">
        <w:trPr>
          <w:trHeight w:val="273"/>
          <w:jc w:val="center"/>
        </w:trPr>
        <w:tc>
          <w:tcPr>
            <w:tcW w:w="4574" w:type="dxa"/>
            <w:tcBorders>
              <w:top w:val="nil"/>
              <w:bottom w:val="single" w:sz="12" w:space="0" w:color="auto"/>
            </w:tcBorders>
            <w:noWrap/>
            <w:vAlign w:val="center"/>
          </w:tcPr>
          <w:p w14:paraId="621BEEC8" w14:textId="77777777" w:rsidR="00BF5851" w:rsidRPr="00724CA2" w:rsidRDefault="00BF5851" w:rsidP="00BF5851">
            <w:pPr>
              <w:jc w:val="both"/>
              <w:rPr>
                <w:rFonts w:ascii="Times New Roman" w:hAnsi="Times New Roman" w:cs="Times New Roman"/>
                <w:color w:val="000000" w:themeColor="text1"/>
              </w:rPr>
            </w:pPr>
            <w:r w:rsidRPr="00724CA2">
              <w:rPr>
                <w:rFonts w:ascii="Times New Roman" w:hAnsi="Times New Roman" w:cs="Times New Roman"/>
                <w:color w:val="000000" w:themeColor="text1"/>
                <w:lang w:val="en-US"/>
              </w:rPr>
              <w:t>Adjusted R-squared</w:t>
            </w:r>
          </w:p>
        </w:tc>
        <w:tc>
          <w:tcPr>
            <w:tcW w:w="1359" w:type="dxa"/>
            <w:tcBorders>
              <w:top w:val="nil"/>
              <w:left w:val="nil"/>
              <w:bottom w:val="single" w:sz="12" w:space="0" w:color="auto"/>
              <w:right w:val="nil"/>
            </w:tcBorders>
            <w:shd w:val="clear" w:color="auto" w:fill="auto"/>
            <w:noWrap/>
            <w:vAlign w:val="bottom"/>
          </w:tcPr>
          <w:p w14:paraId="64A44D4A" w14:textId="651B370F" w:rsidR="00BF5851" w:rsidRPr="00724CA2" w:rsidRDefault="00BF5851" w:rsidP="00BF5851">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0.200</w:t>
            </w:r>
          </w:p>
        </w:tc>
        <w:tc>
          <w:tcPr>
            <w:tcW w:w="1359" w:type="dxa"/>
            <w:tcBorders>
              <w:top w:val="nil"/>
              <w:left w:val="nil"/>
              <w:bottom w:val="single" w:sz="12" w:space="0" w:color="auto"/>
              <w:right w:val="nil"/>
            </w:tcBorders>
            <w:shd w:val="clear" w:color="auto" w:fill="auto"/>
            <w:noWrap/>
            <w:vAlign w:val="bottom"/>
          </w:tcPr>
          <w:p w14:paraId="0E35F989" w14:textId="3214D79B" w:rsidR="00BF5851" w:rsidRPr="00724CA2" w:rsidRDefault="00BF5851" w:rsidP="00BF5851">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0.200</w:t>
            </w:r>
          </w:p>
        </w:tc>
        <w:tc>
          <w:tcPr>
            <w:tcW w:w="1359" w:type="dxa"/>
            <w:tcBorders>
              <w:top w:val="nil"/>
              <w:left w:val="nil"/>
              <w:bottom w:val="single" w:sz="12" w:space="0" w:color="auto"/>
              <w:right w:val="nil"/>
            </w:tcBorders>
            <w:shd w:val="clear" w:color="auto" w:fill="auto"/>
            <w:noWrap/>
            <w:vAlign w:val="bottom"/>
          </w:tcPr>
          <w:p w14:paraId="47B2B497" w14:textId="6DDC31E4" w:rsidR="00BF5851" w:rsidRPr="00724CA2" w:rsidRDefault="00BF5851" w:rsidP="00BF5851">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0.211</w:t>
            </w:r>
          </w:p>
        </w:tc>
      </w:tr>
    </w:tbl>
    <w:p w14:paraId="43346EFF" w14:textId="542606C9" w:rsidR="00486C4A" w:rsidRPr="00724CA2" w:rsidRDefault="00486C4A" w:rsidP="00486C4A">
      <w:pPr>
        <w:jc w:val="both"/>
        <w:rPr>
          <w:rFonts w:ascii="Times New Roman" w:hAnsi="Times New Roman" w:cs="Times New Roman"/>
          <w:color w:val="000000" w:themeColor="text1"/>
          <w:szCs w:val="20"/>
        </w:rPr>
      </w:pPr>
      <w:r w:rsidRPr="00724CA2">
        <w:rPr>
          <w:rFonts w:ascii="Times New Roman" w:hAnsi="Times New Roman" w:cs="Times New Roman"/>
          <w:color w:val="000000" w:themeColor="text1"/>
          <w:szCs w:val="20"/>
        </w:rPr>
        <w:t>Year and industry fixed effects are included in all specifications. Robust standard errors, clustered at the industry level, are reported in parentheses. *, **, and *** represent significance at the 0.10, 0.05, and 0.01 levels, respectively. The definitions of the variables are summarized in Table 1.</w:t>
      </w:r>
    </w:p>
    <w:p w14:paraId="5526F1CA" w14:textId="77777777" w:rsidR="00DE6108" w:rsidRPr="00724CA2" w:rsidRDefault="00DE6108" w:rsidP="00DE6108">
      <w:pPr>
        <w:jc w:val="both"/>
        <w:rPr>
          <w:rFonts w:ascii="Times New Roman" w:hAnsi="Times New Roman" w:cs="Times New Roman"/>
          <w:color w:val="000000" w:themeColor="text1"/>
          <w:sz w:val="24"/>
          <w:szCs w:val="24"/>
        </w:rPr>
      </w:pPr>
    </w:p>
    <w:p w14:paraId="4B3F410E" w14:textId="3B827843" w:rsidR="00486C4A" w:rsidRPr="00724CA2" w:rsidRDefault="00486C4A">
      <w:pPr>
        <w:rPr>
          <w:rFonts w:ascii="Times New Roman" w:hAnsi="Times New Roman" w:cs="Times New Roman"/>
          <w:b/>
          <w:color w:val="000000" w:themeColor="text1"/>
          <w:sz w:val="24"/>
          <w:szCs w:val="24"/>
        </w:rPr>
      </w:pPr>
      <w:r w:rsidRPr="00724CA2">
        <w:rPr>
          <w:rFonts w:ascii="Times New Roman" w:hAnsi="Times New Roman" w:cs="Times New Roman"/>
          <w:b/>
          <w:color w:val="000000" w:themeColor="text1"/>
          <w:sz w:val="24"/>
          <w:szCs w:val="24"/>
        </w:rPr>
        <w:br w:type="page"/>
      </w:r>
    </w:p>
    <w:p w14:paraId="68BE2AFD" w14:textId="77777777" w:rsidR="00486C4A" w:rsidRPr="00724CA2" w:rsidRDefault="00486C4A" w:rsidP="00BF5851">
      <w:pPr>
        <w:spacing w:after="120" w:line="240" w:lineRule="auto"/>
        <w:jc w:val="both"/>
        <w:rPr>
          <w:rFonts w:ascii="Times New Roman" w:hAnsi="Times New Roman" w:cs="Times New Roman"/>
          <w:color w:val="000000" w:themeColor="text1"/>
        </w:rPr>
      </w:pPr>
      <w:r w:rsidRPr="00724CA2">
        <w:rPr>
          <w:rFonts w:ascii="Times New Roman" w:hAnsi="Times New Roman" w:cs="Times New Roman"/>
          <w:b/>
          <w:color w:val="000000" w:themeColor="text1"/>
        </w:rPr>
        <w:t>Table 4</w:t>
      </w:r>
      <w:r w:rsidRPr="00724CA2">
        <w:rPr>
          <w:rFonts w:ascii="Times New Roman" w:hAnsi="Times New Roman" w:cs="Times New Roman"/>
          <w:bCs/>
          <w:color w:val="000000" w:themeColor="text1"/>
        </w:rPr>
        <w:t>: Channels of mutual fund influence</w:t>
      </w:r>
    </w:p>
    <w:tbl>
      <w:tblPr>
        <w:tblStyle w:val="TableGrid"/>
        <w:tblW w:w="6461" w:type="dxa"/>
        <w:jc w:val="center"/>
        <w:tblBorders>
          <w:top w:val="single" w:sz="12" w:space="0" w:color="auto"/>
          <w:bottom w:val="single" w:sz="12" w:space="0" w:color="auto"/>
          <w:insideH w:val="none" w:sz="0" w:space="0" w:color="auto"/>
          <w:insideV w:val="none" w:sz="0" w:space="0" w:color="auto"/>
        </w:tblBorders>
        <w:tblLayout w:type="fixed"/>
        <w:tblLook w:val="04A0" w:firstRow="1" w:lastRow="0" w:firstColumn="1" w:lastColumn="0" w:noHBand="0" w:noVBand="1"/>
      </w:tblPr>
      <w:tblGrid>
        <w:gridCol w:w="2649"/>
        <w:gridCol w:w="2020"/>
        <w:gridCol w:w="1607"/>
        <w:gridCol w:w="185"/>
      </w:tblGrid>
      <w:tr w:rsidR="00724CA2" w:rsidRPr="00724CA2" w14:paraId="6232A2F8" w14:textId="77777777" w:rsidTr="007B3E16">
        <w:trPr>
          <w:trHeight w:val="234"/>
          <w:jc w:val="center"/>
        </w:trPr>
        <w:tc>
          <w:tcPr>
            <w:tcW w:w="2649" w:type="dxa"/>
            <w:tcBorders>
              <w:top w:val="single" w:sz="12" w:space="0" w:color="auto"/>
              <w:bottom w:val="single" w:sz="4" w:space="0" w:color="auto"/>
            </w:tcBorders>
            <w:noWrap/>
            <w:vAlign w:val="center"/>
          </w:tcPr>
          <w:p w14:paraId="62842152" w14:textId="77777777" w:rsidR="00486C4A" w:rsidRPr="00724CA2" w:rsidRDefault="00486C4A" w:rsidP="007B3E16">
            <w:pPr>
              <w:jc w:val="both"/>
              <w:rPr>
                <w:rFonts w:ascii="Times New Roman" w:hAnsi="Times New Roman" w:cs="Times New Roman"/>
                <w:color w:val="000000" w:themeColor="text1"/>
              </w:rPr>
            </w:pPr>
          </w:p>
        </w:tc>
        <w:tc>
          <w:tcPr>
            <w:tcW w:w="2020" w:type="dxa"/>
            <w:tcBorders>
              <w:top w:val="single" w:sz="12" w:space="0" w:color="auto"/>
              <w:bottom w:val="single" w:sz="4" w:space="0" w:color="auto"/>
            </w:tcBorders>
            <w:vAlign w:val="center"/>
          </w:tcPr>
          <w:p w14:paraId="01FF38D6" w14:textId="77777777" w:rsidR="00486C4A" w:rsidRPr="00724CA2" w:rsidRDefault="00486C4A" w:rsidP="007B3E16">
            <w:pPr>
              <w:jc w:val="both"/>
              <w:rPr>
                <w:rFonts w:ascii="Times New Roman" w:hAnsi="Times New Roman" w:cs="Times New Roman"/>
                <w:bCs/>
                <w:color w:val="000000" w:themeColor="text1"/>
                <w:szCs w:val="21"/>
              </w:rPr>
            </w:pPr>
            <w:r w:rsidRPr="00724CA2">
              <w:rPr>
                <w:rFonts w:ascii="Times New Roman" w:hAnsi="Times New Roman" w:cs="Times New Roman"/>
                <w:color w:val="000000" w:themeColor="text1"/>
                <w:szCs w:val="21"/>
              </w:rPr>
              <w:t>Model 1</w:t>
            </w:r>
          </w:p>
        </w:tc>
        <w:tc>
          <w:tcPr>
            <w:tcW w:w="1792" w:type="dxa"/>
            <w:gridSpan w:val="2"/>
            <w:tcBorders>
              <w:top w:val="single" w:sz="12" w:space="0" w:color="auto"/>
              <w:bottom w:val="single" w:sz="4" w:space="0" w:color="auto"/>
            </w:tcBorders>
            <w:vAlign w:val="center"/>
          </w:tcPr>
          <w:p w14:paraId="37340864" w14:textId="77777777" w:rsidR="00486C4A" w:rsidRPr="00724CA2" w:rsidRDefault="00486C4A" w:rsidP="007B3E16">
            <w:pPr>
              <w:jc w:val="both"/>
              <w:rPr>
                <w:rFonts w:ascii="Times New Roman" w:hAnsi="Times New Roman" w:cs="Times New Roman"/>
                <w:b/>
                <w:color w:val="000000" w:themeColor="text1"/>
                <w:szCs w:val="21"/>
              </w:rPr>
            </w:pPr>
            <w:r w:rsidRPr="00724CA2">
              <w:rPr>
                <w:rFonts w:ascii="Times New Roman" w:hAnsi="Times New Roman" w:cs="Times New Roman"/>
                <w:color w:val="000000" w:themeColor="text1"/>
                <w:szCs w:val="21"/>
              </w:rPr>
              <w:t>Model 2</w:t>
            </w:r>
          </w:p>
        </w:tc>
      </w:tr>
      <w:tr w:rsidR="00724CA2" w:rsidRPr="00724CA2" w14:paraId="2797A81C" w14:textId="77777777" w:rsidTr="007B3E16">
        <w:trPr>
          <w:trHeight w:val="234"/>
          <w:jc w:val="center"/>
        </w:trPr>
        <w:tc>
          <w:tcPr>
            <w:tcW w:w="2649" w:type="dxa"/>
            <w:tcBorders>
              <w:top w:val="single" w:sz="4" w:space="0" w:color="auto"/>
            </w:tcBorders>
            <w:noWrap/>
            <w:vAlign w:val="center"/>
            <w:hideMark/>
          </w:tcPr>
          <w:p w14:paraId="4BA2EF3E" w14:textId="77777777" w:rsidR="00486C4A" w:rsidRPr="00724CA2" w:rsidRDefault="00486C4A"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Variables</w:t>
            </w:r>
          </w:p>
        </w:tc>
        <w:tc>
          <w:tcPr>
            <w:tcW w:w="2020" w:type="dxa"/>
            <w:tcBorders>
              <w:top w:val="single" w:sz="4" w:space="0" w:color="auto"/>
            </w:tcBorders>
            <w:vAlign w:val="center"/>
          </w:tcPr>
          <w:p w14:paraId="44C0ED9F" w14:textId="77777777" w:rsidR="00486C4A" w:rsidRPr="00724CA2" w:rsidRDefault="00486C4A" w:rsidP="007B3E16">
            <w:pPr>
              <w:jc w:val="both"/>
              <w:rPr>
                <w:rFonts w:ascii="Times New Roman" w:hAnsi="Times New Roman" w:cs="Times New Roman"/>
                <w:bCs/>
                <w:color w:val="000000" w:themeColor="text1"/>
              </w:rPr>
            </w:pPr>
            <w:r w:rsidRPr="00724CA2">
              <w:rPr>
                <w:rFonts w:ascii="Times New Roman" w:hAnsi="Times New Roman" w:cs="Times New Roman"/>
                <w:bCs/>
                <w:color w:val="000000" w:themeColor="text1"/>
              </w:rPr>
              <w:t>Green Question</w:t>
            </w:r>
          </w:p>
        </w:tc>
        <w:tc>
          <w:tcPr>
            <w:tcW w:w="1792" w:type="dxa"/>
            <w:gridSpan w:val="2"/>
            <w:tcBorders>
              <w:top w:val="single" w:sz="4" w:space="0" w:color="auto"/>
            </w:tcBorders>
            <w:vAlign w:val="center"/>
          </w:tcPr>
          <w:p w14:paraId="3868CD45" w14:textId="77777777" w:rsidR="00486C4A" w:rsidRPr="00724CA2" w:rsidRDefault="00486C4A" w:rsidP="007B3E16">
            <w:pPr>
              <w:jc w:val="both"/>
              <w:rPr>
                <w:rFonts w:ascii="Times New Roman" w:hAnsi="Times New Roman" w:cs="Times New Roman"/>
                <w:bCs/>
                <w:color w:val="000000" w:themeColor="text1"/>
              </w:rPr>
            </w:pPr>
            <w:r w:rsidRPr="00724CA2">
              <w:rPr>
                <w:rFonts w:ascii="Times New Roman" w:hAnsi="Times New Roman" w:cs="Times New Roman"/>
                <w:bCs/>
                <w:color w:val="000000" w:themeColor="text1"/>
              </w:rPr>
              <w:t>Green Board</w:t>
            </w:r>
          </w:p>
        </w:tc>
      </w:tr>
      <w:tr w:rsidR="00724CA2" w:rsidRPr="00724CA2" w14:paraId="4A6E39E3" w14:textId="77777777" w:rsidTr="00705625">
        <w:trPr>
          <w:gridAfter w:val="1"/>
          <w:wAfter w:w="185" w:type="dxa"/>
          <w:trHeight w:val="234"/>
          <w:jc w:val="center"/>
        </w:trPr>
        <w:tc>
          <w:tcPr>
            <w:tcW w:w="2649" w:type="dxa"/>
            <w:noWrap/>
            <w:vAlign w:val="center"/>
            <w:hideMark/>
          </w:tcPr>
          <w:p w14:paraId="0018FE10" w14:textId="77777777" w:rsidR="00481197" w:rsidRPr="00724CA2" w:rsidRDefault="00481197" w:rsidP="00481197">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rPr>
              <w:t>Mutual fund</w:t>
            </w:r>
          </w:p>
        </w:tc>
        <w:tc>
          <w:tcPr>
            <w:tcW w:w="2020" w:type="dxa"/>
            <w:tcBorders>
              <w:top w:val="nil"/>
              <w:left w:val="nil"/>
              <w:bottom w:val="nil"/>
              <w:right w:val="nil"/>
            </w:tcBorders>
            <w:shd w:val="clear" w:color="auto" w:fill="auto"/>
            <w:vAlign w:val="bottom"/>
          </w:tcPr>
          <w:p w14:paraId="59D74EA7" w14:textId="39095EED"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3.664***</w:t>
            </w:r>
          </w:p>
        </w:tc>
        <w:tc>
          <w:tcPr>
            <w:tcW w:w="1607" w:type="dxa"/>
            <w:tcBorders>
              <w:top w:val="nil"/>
              <w:left w:val="nil"/>
              <w:bottom w:val="nil"/>
              <w:right w:val="nil"/>
            </w:tcBorders>
            <w:shd w:val="clear" w:color="auto" w:fill="auto"/>
            <w:vAlign w:val="bottom"/>
          </w:tcPr>
          <w:p w14:paraId="33F14844" w14:textId="7DF85ADE"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2.704***</w:t>
            </w:r>
          </w:p>
        </w:tc>
      </w:tr>
      <w:tr w:rsidR="00724CA2" w:rsidRPr="00724CA2" w14:paraId="63140857" w14:textId="77777777" w:rsidTr="00705625">
        <w:trPr>
          <w:gridAfter w:val="1"/>
          <w:wAfter w:w="185" w:type="dxa"/>
          <w:trHeight w:val="234"/>
          <w:jc w:val="center"/>
        </w:trPr>
        <w:tc>
          <w:tcPr>
            <w:tcW w:w="2649" w:type="dxa"/>
            <w:noWrap/>
            <w:vAlign w:val="center"/>
            <w:hideMark/>
          </w:tcPr>
          <w:p w14:paraId="01AF8380" w14:textId="77777777" w:rsidR="00481197" w:rsidRPr="00724CA2" w:rsidRDefault="00481197" w:rsidP="00481197">
            <w:pPr>
              <w:jc w:val="both"/>
              <w:rPr>
                <w:rFonts w:ascii="Times New Roman" w:hAnsi="Times New Roman" w:cs="Times New Roman"/>
                <w:color w:val="000000" w:themeColor="text1"/>
                <w:lang w:val="en-US"/>
              </w:rPr>
            </w:pPr>
          </w:p>
        </w:tc>
        <w:tc>
          <w:tcPr>
            <w:tcW w:w="2020" w:type="dxa"/>
            <w:tcBorders>
              <w:top w:val="nil"/>
              <w:left w:val="nil"/>
              <w:bottom w:val="nil"/>
              <w:right w:val="nil"/>
            </w:tcBorders>
            <w:shd w:val="clear" w:color="auto" w:fill="auto"/>
            <w:vAlign w:val="bottom"/>
          </w:tcPr>
          <w:p w14:paraId="4554644C" w14:textId="41FD9583"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(0.643)</w:t>
            </w:r>
          </w:p>
        </w:tc>
        <w:tc>
          <w:tcPr>
            <w:tcW w:w="1607" w:type="dxa"/>
            <w:tcBorders>
              <w:top w:val="nil"/>
              <w:left w:val="nil"/>
              <w:bottom w:val="nil"/>
              <w:right w:val="nil"/>
            </w:tcBorders>
            <w:shd w:val="clear" w:color="auto" w:fill="auto"/>
            <w:vAlign w:val="bottom"/>
          </w:tcPr>
          <w:p w14:paraId="51988430" w14:textId="784FF043"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(0.722)</w:t>
            </w:r>
          </w:p>
        </w:tc>
      </w:tr>
      <w:tr w:rsidR="00724CA2" w:rsidRPr="00724CA2" w14:paraId="65C3144F" w14:textId="77777777" w:rsidTr="00705625">
        <w:trPr>
          <w:gridAfter w:val="1"/>
          <w:wAfter w:w="185" w:type="dxa"/>
          <w:trHeight w:val="234"/>
          <w:jc w:val="center"/>
        </w:trPr>
        <w:tc>
          <w:tcPr>
            <w:tcW w:w="2649" w:type="dxa"/>
            <w:noWrap/>
            <w:vAlign w:val="center"/>
          </w:tcPr>
          <w:p w14:paraId="1290E8D2" w14:textId="77777777" w:rsidR="00481197" w:rsidRPr="00724CA2" w:rsidRDefault="00481197" w:rsidP="00481197">
            <w:pPr>
              <w:rPr>
                <w:rFonts w:ascii="Times New Roman" w:hAnsi="Times New Roman" w:cs="Times New Roman"/>
                <w:color w:val="000000" w:themeColor="text1"/>
              </w:rPr>
            </w:pPr>
            <w:r w:rsidRPr="00724CA2">
              <w:rPr>
                <w:rFonts w:ascii="Times New Roman" w:hAnsi="Times New Roman" w:cs="Times New Roman"/>
                <w:color w:val="000000" w:themeColor="text1"/>
              </w:rPr>
              <w:t>Mutual fund* Green Question</w:t>
            </w:r>
          </w:p>
        </w:tc>
        <w:tc>
          <w:tcPr>
            <w:tcW w:w="2020" w:type="dxa"/>
            <w:tcBorders>
              <w:top w:val="nil"/>
              <w:left w:val="nil"/>
              <w:bottom w:val="nil"/>
              <w:right w:val="nil"/>
            </w:tcBorders>
            <w:shd w:val="clear" w:color="auto" w:fill="auto"/>
            <w:vAlign w:val="bottom"/>
          </w:tcPr>
          <w:p w14:paraId="5C407364" w14:textId="67B6666A"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0.259***</w:t>
            </w:r>
          </w:p>
        </w:tc>
        <w:tc>
          <w:tcPr>
            <w:tcW w:w="1607" w:type="dxa"/>
            <w:tcBorders>
              <w:top w:val="nil"/>
              <w:left w:val="nil"/>
              <w:bottom w:val="nil"/>
              <w:right w:val="nil"/>
            </w:tcBorders>
            <w:shd w:val="clear" w:color="auto" w:fill="auto"/>
            <w:vAlign w:val="bottom"/>
          </w:tcPr>
          <w:p w14:paraId="2F979886" w14:textId="77777777" w:rsidR="00481197" w:rsidRPr="00724CA2" w:rsidRDefault="00481197" w:rsidP="00481197">
            <w:pPr>
              <w:jc w:val="both"/>
              <w:rPr>
                <w:rFonts w:ascii="Times New Roman" w:hAnsi="Times New Roman" w:cs="Times New Roman"/>
                <w:color w:val="000000" w:themeColor="text1"/>
              </w:rPr>
            </w:pPr>
          </w:p>
        </w:tc>
      </w:tr>
      <w:tr w:rsidR="00724CA2" w:rsidRPr="00724CA2" w14:paraId="7999D5B0" w14:textId="77777777" w:rsidTr="00705625">
        <w:trPr>
          <w:gridAfter w:val="1"/>
          <w:wAfter w:w="185" w:type="dxa"/>
          <w:trHeight w:val="234"/>
          <w:jc w:val="center"/>
        </w:trPr>
        <w:tc>
          <w:tcPr>
            <w:tcW w:w="2649" w:type="dxa"/>
            <w:noWrap/>
            <w:vAlign w:val="center"/>
          </w:tcPr>
          <w:p w14:paraId="07EF0D6B" w14:textId="77777777" w:rsidR="00481197" w:rsidRPr="00724CA2" w:rsidRDefault="00481197" w:rsidP="00481197">
            <w:pPr>
              <w:rPr>
                <w:rFonts w:ascii="Times New Roman" w:hAnsi="Times New Roman" w:cs="Times New Roman"/>
                <w:color w:val="000000" w:themeColor="text1"/>
              </w:rPr>
            </w:pPr>
          </w:p>
        </w:tc>
        <w:tc>
          <w:tcPr>
            <w:tcW w:w="2020" w:type="dxa"/>
            <w:tcBorders>
              <w:top w:val="nil"/>
              <w:left w:val="nil"/>
              <w:bottom w:val="nil"/>
              <w:right w:val="nil"/>
            </w:tcBorders>
            <w:shd w:val="clear" w:color="auto" w:fill="auto"/>
            <w:vAlign w:val="bottom"/>
          </w:tcPr>
          <w:p w14:paraId="78E278DE" w14:textId="6A4FA5FE"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(0.076)</w:t>
            </w:r>
          </w:p>
        </w:tc>
        <w:tc>
          <w:tcPr>
            <w:tcW w:w="1607" w:type="dxa"/>
            <w:tcBorders>
              <w:top w:val="nil"/>
              <w:left w:val="nil"/>
              <w:bottom w:val="nil"/>
              <w:right w:val="nil"/>
            </w:tcBorders>
            <w:shd w:val="clear" w:color="auto" w:fill="auto"/>
            <w:vAlign w:val="bottom"/>
          </w:tcPr>
          <w:p w14:paraId="2343C2ED" w14:textId="77777777" w:rsidR="00481197" w:rsidRPr="00724CA2" w:rsidRDefault="00481197" w:rsidP="00481197">
            <w:pPr>
              <w:jc w:val="both"/>
              <w:rPr>
                <w:rFonts w:ascii="Times New Roman" w:hAnsi="Times New Roman" w:cs="Times New Roman"/>
                <w:color w:val="000000" w:themeColor="text1"/>
              </w:rPr>
            </w:pPr>
          </w:p>
        </w:tc>
      </w:tr>
      <w:tr w:rsidR="00724CA2" w:rsidRPr="00724CA2" w14:paraId="7BF5EC90" w14:textId="77777777" w:rsidTr="00705625">
        <w:trPr>
          <w:gridAfter w:val="1"/>
          <w:wAfter w:w="185" w:type="dxa"/>
          <w:trHeight w:val="234"/>
          <w:jc w:val="center"/>
        </w:trPr>
        <w:tc>
          <w:tcPr>
            <w:tcW w:w="2649" w:type="dxa"/>
            <w:noWrap/>
            <w:vAlign w:val="center"/>
          </w:tcPr>
          <w:p w14:paraId="1DA7A7BE" w14:textId="77777777" w:rsidR="00481197" w:rsidRPr="00724CA2" w:rsidRDefault="00481197" w:rsidP="00481197">
            <w:pPr>
              <w:rPr>
                <w:rFonts w:ascii="Times New Roman" w:hAnsi="Times New Roman" w:cs="Times New Roman"/>
                <w:color w:val="000000" w:themeColor="text1"/>
              </w:rPr>
            </w:pPr>
            <w:r w:rsidRPr="00724CA2">
              <w:rPr>
                <w:rFonts w:ascii="Times New Roman" w:hAnsi="Times New Roman" w:cs="Times New Roman"/>
                <w:color w:val="000000" w:themeColor="text1"/>
              </w:rPr>
              <w:t>Mutual fund* Green board</w:t>
            </w:r>
          </w:p>
        </w:tc>
        <w:tc>
          <w:tcPr>
            <w:tcW w:w="2020" w:type="dxa"/>
            <w:tcBorders>
              <w:top w:val="nil"/>
              <w:left w:val="nil"/>
              <w:bottom w:val="nil"/>
              <w:right w:val="nil"/>
            </w:tcBorders>
            <w:shd w:val="clear" w:color="auto" w:fill="auto"/>
            <w:vAlign w:val="bottom"/>
          </w:tcPr>
          <w:p w14:paraId="43DADF97" w14:textId="77777777" w:rsidR="00481197" w:rsidRPr="00724CA2" w:rsidRDefault="00481197" w:rsidP="00481197">
            <w:pPr>
              <w:jc w:val="both"/>
              <w:rPr>
                <w:rFonts w:ascii="Times New Roman" w:hAnsi="Times New Roman" w:cs="Times New Roman"/>
                <w:color w:val="000000" w:themeColor="text1"/>
              </w:rPr>
            </w:pPr>
          </w:p>
        </w:tc>
        <w:tc>
          <w:tcPr>
            <w:tcW w:w="1607" w:type="dxa"/>
            <w:tcBorders>
              <w:top w:val="nil"/>
              <w:left w:val="nil"/>
              <w:bottom w:val="nil"/>
              <w:right w:val="nil"/>
            </w:tcBorders>
            <w:shd w:val="clear" w:color="auto" w:fill="auto"/>
            <w:vAlign w:val="bottom"/>
          </w:tcPr>
          <w:p w14:paraId="3EC08D34" w14:textId="6F6E6D9F"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0.715***</w:t>
            </w:r>
          </w:p>
        </w:tc>
      </w:tr>
      <w:tr w:rsidR="00724CA2" w:rsidRPr="00724CA2" w14:paraId="7D8B246C" w14:textId="77777777" w:rsidTr="00705625">
        <w:trPr>
          <w:gridAfter w:val="1"/>
          <w:wAfter w:w="185" w:type="dxa"/>
          <w:trHeight w:val="234"/>
          <w:jc w:val="center"/>
        </w:trPr>
        <w:tc>
          <w:tcPr>
            <w:tcW w:w="2649" w:type="dxa"/>
            <w:noWrap/>
            <w:vAlign w:val="center"/>
          </w:tcPr>
          <w:p w14:paraId="24814700" w14:textId="77777777" w:rsidR="00481197" w:rsidRPr="00724CA2" w:rsidRDefault="00481197" w:rsidP="00481197">
            <w:pPr>
              <w:jc w:val="both"/>
              <w:rPr>
                <w:rFonts w:ascii="Times New Roman" w:hAnsi="Times New Roman" w:cs="Times New Roman"/>
                <w:color w:val="000000" w:themeColor="text1"/>
              </w:rPr>
            </w:pPr>
          </w:p>
        </w:tc>
        <w:tc>
          <w:tcPr>
            <w:tcW w:w="2020" w:type="dxa"/>
            <w:tcBorders>
              <w:top w:val="nil"/>
              <w:left w:val="nil"/>
              <w:bottom w:val="nil"/>
              <w:right w:val="nil"/>
            </w:tcBorders>
            <w:shd w:val="clear" w:color="auto" w:fill="auto"/>
            <w:vAlign w:val="bottom"/>
          </w:tcPr>
          <w:p w14:paraId="0E8D9A0D" w14:textId="77777777" w:rsidR="00481197" w:rsidRPr="00724CA2" w:rsidRDefault="00481197" w:rsidP="00481197">
            <w:pPr>
              <w:jc w:val="both"/>
              <w:rPr>
                <w:rFonts w:ascii="Times New Roman" w:hAnsi="Times New Roman" w:cs="Times New Roman"/>
                <w:color w:val="000000" w:themeColor="text1"/>
              </w:rPr>
            </w:pPr>
          </w:p>
        </w:tc>
        <w:tc>
          <w:tcPr>
            <w:tcW w:w="1607" w:type="dxa"/>
            <w:tcBorders>
              <w:top w:val="nil"/>
              <w:left w:val="nil"/>
              <w:bottom w:val="nil"/>
              <w:right w:val="nil"/>
            </w:tcBorders>
            <w:shd w:val="clear" w:color="auto" w:fill="auto"/>
            <w:vAlign w:val="bottom"/>
          </w:tcPr>
          <w:p w14:paraId="695BB066" w14:textId="44D7BFA6"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(0.295)</w:t>
            </w:r>
          </w:p>
        </w:tc>
      </w:tr>
      <w:tr w:rsidR="00724CA2" w:rsidRPr="00724CA2" w14:paraId="724F53BE" w14:textId="77777777" w:rsidTr="00705625">
        <w:trPr>
          <w:gridAfter w:val="1"/>
          <w:wAfter w:w="185" w:type="dxa"/>
          <w:trHeight w:val="234"/>
          <w:jc w:val="center"/>
        </w:trPr>
        <w:tc>
          <w:tcPr>
            <w:tcW w:w="2649" w:type="dxa"/>
            <w:noWrap/>
            <w:vAlign w:val="center"/>
          </w:tcPr>
          <w:p w14:paraId="269B523D" w14:textId="34D736C6"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Green Question</w:t>
            </w:r>
          </w:p>
        </w:tc>
        <w:tc>
          <w:tcPr>
            <w:tcW w:w="2020" w:type="dxa"/>
            <w:tcBorders>
              <w:top w:val="nil"/>
              <w:left w:val="nil"/>
              <w:bottom w:val="nil"/>
              <w:right w:val="nil"/>
            </w:tcBorders>
            <w:shd w:val="clear" w:color="auto" w:fill="auto"/>
            <w:vAlign w:val="bottom"/>
          </w:tcPr>
          <w:p w14:paraId="2FAEBDCF" w14:textId="6826E1F9"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0.016*</w:t>
            </w:r>
          </w:p>
        </w:tc>
        <w:tc>
          <w:tcPr>
            <w:tcW w:w="1607" w:type="dxa"/>
            <w:tcBorders>
              <w:top w:val="nil"/>
              <w:left w:val="nil"/>
              <w:bottom w:val="nil"/>
              <w:right w:val="nil"/>
            </w:tcBorders>
            <w:shd w:val="clear" w:color="auto" w:fill="auto"/>
            <w:vAlign w:val="bottom"/>
          </w:tcPr>
          <w:p w14:paraId="5DB48B42" w14:textId="77777777" w:rsidR="00481197" w:rsidRPr="00724CA2" w:rsidRDefault="00481197" w:rsidP="00481197">
            <w:pPr>
              <w:jc w:val="both"/>
              <w:rPr>
                <w:rFonts w:ascii="Times New Roman" w:hAnsi="Times New Roman" w:cs="Times New Roman"/>
                <w:color w:val="000000" w:themeColor="text1"/>
              </w:rPr>
            </w:pPr>
          </w:p>
        </w:tc>
      </w:tr>
      <w:tr w:rsidR="00724CA2" w:rsidRPr="00724CA2" w14:paraId="48715C05" w14:textId="77777777" w:rsidTr="00705625">
        <w:trPr>
          <w:gridAfter w:val="1"/>
          <w:wAfter w:w="185" w:type="dxa"/>
          <w:trHeight w:val="234"/>
          <w:jc w:val="center"/>
        </w:trPr>
        <w:tc>
          <w:tcPr>
            <w:tcW w:w="2649" w:type="dxa"/>
            <w:noWrap/>
            <w:vAlign w:val="center"/>
          </w:tcPr>
          <w:p w14:paraId="5B5E7B3D" w14:textId="77777777" w:rsidR="00481197" w:rsidRPr="00724CA2" w:rsidRDefault="00481197" w:rsidP="00481197">
            <w:pPr>
              <w:jc w:val="both"/>
              <w:rPr>
                <w:rFonts w:ascii="Times New Roman" w:hAnsi="Times New Roman" w:cs="Times New Roman"/>
                <w:color w:val="000000" w:themeColor="text1"/>
              </w:rPr>
            </w:pPr>
          </w:p>
        </w:tc>
        <w:tc>
          <w:tcPr>
            <w:tcW w:w="2020" w:type="dxa"/>
            <w:tcBorders>
              <w:top w:val="nil"/>
              <w:left w:val="nil"/>
              <w:bottom w:val="nil"/>
              <w:right w:val="nil"/>
            </w:tcBorders>
            <w:shd w:val="clear" w:color="auto" w:fill="auto"/>
            <w:vAlign w:val="bottom"/>
          </w:tcPr>
          <w:p w14:paraId="52AAB7DD" w14:textId="4B5BBBD0"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(0.008)</w:t>
            </w:r>
          </w:p>
        </w:tc>
        <w:tc>
          <w:tcPr>
            <w:tcW w:w="1607" w:type="dxa"/>
            <w:tcBorders>
              <w:top w:val="nil"/>
              <w:left w:val="nil"/>
              <w:bottom w:val="nil"/>
              <w:right w:val="nil"/>
            </w:tcBorders>
            <w:shd w:val="clear" w:color="auto" w:fill="auto"/>
            <w:vAlign w:val="bottom"/>
          </w:tcPr>
          <w:p w14:paraId="7A5C77EB" w14:textId="77777777" w:rsidR="00481197" w:rsidRPr="00724CA2" w:rsidRDefault="00481197" w:rsidP="00481197">
            <w:pPr>
              <w:jc w:val="both"/>
              <w:rPr>
                <w:rFonts w:ascii="Times New Roman" w:hAnsi="Times New Roman" w:cs="Times New Roman"/>
                <w:color w:val="000000" w:themeColor="text1"/>
              </w:rPr>
            </w:pPr>
          </w:p>
        </w:tc>
      </w:tr>
      <w:tr w:rsidR="00724CA2" w:rsidRPr="00724CA2" w14:paraId="56D51EEB" w14:textId="77777777" w:rsidTr="00705625">
        <w:trPr>
          <w:gridAfter w:val="1"/>
          <w:wAfter w:w="185" w:type="dxa"/>
          <w:trHeight w:val="234"/>
          <w:jc w:val="center"/>
        </w:trPr>
        <w:tc>
          <w:tcPr>
            <w:tcW w:w="2649" w:type="dxa"/>
            <w:noWrap/>
            <w:vAlign w:val="center"/>
          </w:tcPr>
          <w:p w14:paraId="0967640D" w14:textId="42B3AF75"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Green board</w:t>
            </w:r>
          </w:p>
        </w:tc>
        <w:tc>
          <w:tcPr>
            <w:tcW w:w="2020" w:type="dxa"/>
            <w:tcBorders>
              <w:top w:val="nil"/>
              <w:left w:val="nil"/>
              <w:bottom w:val="nil"/>
              <w:right w:val="nil"/>
            </w:tcBorders>
            <w:shd w:val="clear" w:color="auto" w:fill="auto"/>
            <w:vAlign w:val="bottom"/>
          </w:tcPr>
          <w:p w14:paraId="5E75FEFE" w14:textId="77777777" w:rsidR="00481197" w:rsidRPr="00724CA2" w:rsidRDefault="00481197" w:rsidP="00481197">
            <w:pPr>
              <w:jc w:val="both"/>
              <w:rPr>
                <w:rFonts w:ascii="Times New Roman" w:hAnsi="Times New Roman" w:cs="Times New Roman"/>
                <w:color w:val="000000" w:themeColor="text1"/>
              </w:rPr>
            </w:pPr>
          </w:p>
        </w:tc>
        <w:tc>
          <w:tcPr>
            <w:tcW w:w="1607" w:type="dxa"/>
            <w:tcBorders>
              <w:top w:val="nil"/>
              <w:left w:val="nil"/>
              <w:bottom w:val="nil"/>
              <w:right w:val="nil"/>
            </w:tcBorders>
            <w:shd w:val="clear" w:color="auto" w:fill="auto"/>
            <w:vAlign w:val="bottom"/>
          </w:tcPr>
          <w:p w14:paraId="6FC43FEB" w14:textId="6A2C7943"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0.116***</w:t>
            </w:r>
          </w:p>
        </w:tc>
      </w:tr>
      <w:tr w:rsidR="00724CA2" w:rsidRPr="00724CA2" w14:paraId="6A4D79F0" w14:textId="77777777" w:rsidTr="00705625">
        <w:trPr>
          <w:gridAfter w:val="1"/>
          <w:wAfter w:w="185" w:type="dxa"/>
          <w:trHeight w:val="234"/>
          <w:jc w:val="center"/>
        </w:trPr>
        <w:tc>
          <w:tcPr>
            <w:tcW w:w="2649" w:type="dxa"/>
            <w:noWrap/>
            <w:vAlign w:val="center"/>
          </w:tcPr>
          <w:p w14:paraId="299D4151" w14:textId="77777777" w:rsidR="00481197" w:rsidRPr="00724CA2" w:rsidRDefault="00481197" w:rsidP="00481197">
            <w:pPr>
              <w:jc w:val="both"/>
              <w:rPr>
                <w:rFonts w:ascii="Times New Roman" w:hAnsi="Times New Roman" w:cs="Times New Roman"/>
                <w:color w:val="000000" w:themeColor="text1"/>
              </w:rPr>
            </w:pPr>
          </w:p>
        </w:tc>
        <w:tc>
          <w:tcPr>
            <w:tcW w:w="2020" w:type="dxa"/>
            <w:tcBorders>
              <w:top w:val="nil"/>
              <w:left w:val="nil"/>
              <w:bottom w:val="nil"/>
              <w:right w:val="nil"/>
            </w:tcBorders>
            <w:shd w:val="clear" w:color="auto" w:fill="auto"/>
            <w:vAlign w:val="bottom"/>
          </w:tcPr>
          <w:p w14:paraId="10DF8331" w14:textId="77777777" w:rsidR="00481197" w:rsidRPr="00724CA2" w:rsidRDefault="00481197" w:rsidP="00481197">
            <w:pPr>
              <w:jc w:val="both"/>
              <w:rPr>
                <w:rFonts w:ascii="Times New Roman" w:hAnsi="Times New Roman" w:cs="Times New Roman"/>
                <w:color w:val="000000" w:themeColor="text1"/>
              </w:rPr>
            </w:pPr>
          </w:p>
        </w:tc>
        <w:tc>
          <w:tcPr>
            <w:tcW w:w="1607" w:type="dxa"/>
            <w:tcBorders>
              <w:top w:val="nil"/>
              <w:left w:val="nil"/>
              <w:bottom w:val="nil"/>
              <w:right w:val="nil"/>
            </w:tcBorders>
            <w:shd w:val="clear" w:color="auto" w:fill="auto"/>
            <w:vAlign w:val="bottom"/>
          </w:tcPr>
          <w:p w14:paraId="69B89C35" w14:textId="55C699FB"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(0.034)</w:t>
            </w:r>
          </w:p>
        </w:tc>
      </w:tr>
      <w:tr w:rsidR="00724CA2" w:rsidRPr="00724CA2" w14:paraId="4CD066EF" w14:textId="77777777" w:rsidTr="00705625">
        <w:trPr>
          <w:gridAfter w:val="1"/>
          <w:wAfter w:w="185" w:type="dxa"/>
          <w:trHeight w:val="234"/>
          <w:jc w:val="center"/>
        </w:trPr>
        <w:tc>
          <w:tcPr>
            <w:tcW w:w="2649" w:type="dxa"/>
            <w:noWrap/>
            <w:vAlign w:val="center"/>
          </w:tcPr>
          <w:p w14:paraId="6E008C5F" w14:textId="08D8BF83" w:rsidR="00481197" w:rsidRPr="00724CA2" w:rsidRDefault="00481197" w:rsidP="00481197">
            <w:pPr>
              <w:jc w:val="both"/>
              <w:rPr>
                <w:rFonts w:ascii="Times New Roman" w:hAnsi="Times New Roman" w:cs="Times New Roman"/>
                <w:color w:val="000000" w:themeColor="text1"/>
                <w:lang w:val="en-US"/>
              </w:rPr>
            </w:pPr>
            <w:r w:rsidRPr="00724CA2">
              <w:rPr>
                <w:rFonts w:ascii="Times New Roman" w:hAnsi="Times New Roman" w:cs="Times New Roman" w:hint="eastAsia"/>
                <w:color w:val="000000" w:themeColor="text1"/>
                <w:lang w:val="en-US"/>
              </w:rPr>
              <w:t>S</w:t>
            </w:r>
            <w:r w:rsidRPr="00724CA2">
              <w:rPr>
                <w:rFonts w:ascii="Times New Roman" w:hAnsi="Times New Roman" w:cs="Times New Roman"/>
                <w:color w:val="000000" w:themeColor="text1"/>
                <w:lang w:val="en-US"/>
              </w:rPr>
              <w:t>ociety</w:t>
            </w:r>
          </w:p>
        </w:tc>
        <w:tc>
          <w:tcPr>
            <w:tcW w:w="2020" w:type="dxa"/>
            <w:tcBorders>
              <w:top w:val="nil"/>
              <w:left w:val="nil"/>
              <w:bottom w:val="nil"/>
              <w:right w:val="nil"/>
            </w:tcBorders>
            <w:shd w:val="clear" w:color="auto" w:fill="auto"/>
            <w:vAlign w:val="bottom"/>
          </w:tcPr>
          <w:p w14:paraId="2615F99F" w14:textId="3F0E0A3A"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0.014***</w:t>
            </w:r>
          </w:p>
        </w:tc>
        <w:tc>
          <w:tcPr>
            <w:tcW w:w="1607" w:type="dxa"/>
            <w:tcBorders>
              <w:top w:val="nil"/>
              <w:left w:val="nil"/>
              <w:bottom w:val="nil"/>
              <w:right w:val="nil"/>
            </w:tcBorders>
            <w:shd w:val="clear" w:color="auto" w:fill="auto"/>
            <w:vAlign w:val="bottom"/>
          </w:tcPr>
          <w:p w14:paraId="34160BD3" w14:textId="18AB16F5"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0.015***</w:t>
            </w:r>
          </w:p>
        </w:tc>
      </w:tr>
      <w:tr w:rsidR="00724CA2" w:rsidRPr="00724CA2" w14:paraId="7C7FA217" w14:textId="77777777" w:rsidTr="00705625">
        <w:trPr>
          <w:gridAfter w:val="1"/>
          <w:wAfter w:w="185" w:type="dxa"/>
          <w:trHeight w:val="234"/>
          <w:jc w:val="center"/>
        </w:trPr>
        <w:tc>
          <w:tcPr>
            <w:tcW w:w="2649" w:type="dxa"/>
            <w:noWrap/>
            <w:vAlign w:val="center"/>
          </w:tcPr>
          <w:p w14:paraId="7209AB06" w14:textId="77777777" w:rsidR="00481197" w:rsidRPr="00724CA2" w:rsidRDefault="00481197" w:rsidP="00481197">
            <w:pPr>
              <w:jc w:val="both"/>
              <w:rPr>
                <w:rFonts w:ascii="Times New Roman" w:hAnsi="Times New Roman" w:cs="Times New Roman"/>
                <w:color w:val="000000" w:themeColor="text1"/>
                <w:lang w:val="en-US"/>
              </w:rPr>
            </w:pPr>
          </w:p>
        </w:tc>
        <w:tc>
          <w:tcPr>
            <w:tcW w:w="2020" w:type="dxa"/>
            <w:tcBorders>
              <w:top w:val="nil"/>
              <w:left w:val="nil"/>
              <w:bottom w:val="nil"/>
              <w:right w:val="nil"/>
            </w:tcBorders>
            <w:shd w:val="clear" w:color="auto" w:fill="auto"/>
            <w:vAlign w:val="bottom"/>
          </w:tcPr>
          <w:p w14:paraId="77F2FAF7" w14:textId="769C7E35"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(0.005)</w:t>
            </w:r>
          </w:p>
        </w:tc>
        <w:tc>
          <w:tcPr>
            <w:tcW w:w="1607" w:type="dxa"/>
            <w:tcBorders>
              <w:top w:val="nil"/>
              <w:left w:val="nil"/>
              <w:bottom w:val="nil"/>
              <w:right w:val="nil"/>
            </w:tcBorders>
            <w:shd w:val="clear" w:color="auto" w:fill="auto"/>
            <w:vAlign w:val="bottom"/>
          </w:tcPr>
          <w:p w14:paraId="3F92C440" w14:textId="6CA2A2D9"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(0.005)</w:t>
            </w:r>
          </w:p>
        </w:tc>
      </w:tr>
      <w:tr w:rsidR="00724CA2" w:rsidRPr="00724CA2" w14:paraId="49C1847F" w14:textId="77777777" w:rsidTr="00705625">
        <w:trPr>
          <w:gridAfter w:val="1"/>
          <w:wAfter w:w="185" w:type="dxa"/>
          <w:trHeight w:val="234"/>
          <w:jc w:val="center"/>
        </w:trPr>
        <w:tc>
          <w:tcPr>
            <w:tcW w:w="2649" w:type="dxa"/>
            <w:noWrap/>
            <w:vAlign w:val="center"/>
          </w:tcPr>
          <w:p w14:paraId="477A3A33" w14:textId="7E37B3A4" w:rsidR="00481197" w:rsidRPr="00724CA2" w:rsidRDefault="00481197" w:rsidP="00481197">
            <w:pPr>
              <w:jc w:val="both"/>
              <w:rPr>
                <w:rFonts w:ascii="Times New Roman" w:hAnsi="Times New Roman" w:cs="Times New Roman"/>
                <w:color w:val="000000" w:themeColor="text1"/>
                <w:lang w:val="en-US"/>
              </w:rPr>
            </w:pPr>
            <w:r w:rsidRPr="00724CA2">
              <w:rPr>
                <w:rFonts w:ascii="Times New Roman" w:hAnsi="Times New Roman" w:cs="Times New Roman" w:hint="eastAsia"/>
                <w:color w:val="000000" w:themeColor="text1"/>
                <w:lang w:val="en-US"/>
              </w:rPr>
              <w:t>G</w:t>
            </w:r>
            <w:r w:rsidRPr="00724CA2">
              <w:rPr>
                <w:rFonts w:ascii="Times New Roman" w:hAnsi="Times New Roman" w:cs="Times New Roman"/>
                <w:color w:val="000000" w:themeColor="text1"/>
                <w:lang w:val="en-US"/>
              </w:rPr>
              <w:t>overnance</w:t>
            </w:r>
          </w:p>
        </w:tc>
        <w:tc>
          <w:tcPr>
            <w:tcW w:w="2020" w:type="dxa"/>
            <w:tcBorders>
              <w:top w:val="nil"/>
              <w:left w:val="nil"/>
              <w:bottom w:val="nil"/>
              <w:right w:val="nil"/>
            </w:tcBorders>
            <w:shd w:val="clear" w:color="auto" w:fill="auto"/>
            <w:vAlign w:val="bottom"/>
          </w:tcPr>
          <w:p w14:paraId="37179B75" w14:textId="364E58BE"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0.026***</w:t>
            </w:r>
          </w:p>
        </w:tc>
        <w:tc>
          <w:tcPr>
            <w:tcW w:w="1607" w:type="dxa"/>
            <w:tcBorders>
              <w:top w:val="nil"/>
              <w:left w:val="nil"/>
              <w:bottom w:val="nil"/>
              <w:right w:val="nil"/>
            </w:tcBorders>
            <w:shd w:val="clear" w:color="auto" w:fill="auto"/>
            <w:vAlign w:val="bottom"/>
          </w:tcPr>
          <w:p w14:paraId="1FB3A4AF" w14:textId="76AF38E0"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0.030***</w:t>
            </w:r>
          </w:p>
        </w:tc>
      </w:tr>
      <w:tr w:rsidR="00724CA2" w:rsidRPr="00724CA2" w14:paraId="4341986F" w14:textId="77777777" w:rsidTr="00705625">
        <w:trPr>
          <w:gridAfter w:val="1"/>
          <w:wAfter w:w="185" w:type="dxa"/>
          <w:trHeight w:val="234"/>
          <w:jc w:val="center"/>
        </w:trPr>
        <w:tc>
          <w:tcPr>
            <w:tcW w:w="2649" w:type="dxa"/>
            <w:noWrap/>
            <w:vAlign w:val="center"/>
          </w:tcPr>
          <w:p w14:paraId="2004DB73" w14:textId="77777777" w:rsidR="00481197" w:rsidRPr="00724CA2" w:rsidRDefault="00481197" w:rsidP="00481197">
            <w:pPr>
              <w:jc w:val="both"/>
              <w:rPr>
                <w:rFonts w:ascii="Times New Roman" w:hAnsi="Times New Roman" w:cs="Times New Roman"/>
                <w:color w:val="000000" w:themeColor="text1"/>
                <w:lang w:val="en-US"/>
              </w:rPr>
            </w:pPr>
          </w:p>
        </w:tc>
        <w:tc>
          <w:tcPr>
            <w:tcW w:w="2020" w:type="dxa"/>
            <w:tcBorders>
              <w:top w:val="nil"/>
              <w:left w:val="nil"/>
              <w:bottom w:val="nil"/>
              <w:right w:val="nil"/>
            </w:tcBorders>
            <w:shd w:val="clear" w:color="auto" w:fill="auto"/>
            <w:vAlign w:val="bottom"/>
          </w:tcPr>
          <w:p w14:paraId="7563800C" w14:textId="3B25F0FF"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(0.008)</w:t>
            </w:r>
          </w:p>
        </w:tc>
        <w:tc>
          <w:tcPr>
            <w:tcW w:w="1607" w:type="dxa"/>
            <w:tcBorders>
              <w:top w:val="nil"/>
              <w:left w:val="nil"/>
              <w:bottom w:val="nil"/>
              <w:right w:val="nil"/>
            </w:tcBorders>
            <w:shd w:val="clear" w:color="auto" w:fill="auto"/>
            <w:vAlign w:val="bottom"/>
          </w:tcPr>
          <w:p w14:paraId="0534522F" w14:textId="399B37C9"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(0.009)</w:t>
            </w:r>
          </w:p>
        </w:tc>
      </w:tr>
      <w:tr w:rsidR="00724CA2" w:rsidRPr="00724CA2" w14:paraId="699DBB26" w14:textId="77777777" w:rsidTr="00705625">
        <w:trPr>
          <w:gridAfter w:val="1"/>
          <w:wAfter w:w="185" w:type="dxa"/>
          <w:trHeight w:val="234"/>
          <w:jc w:val="center"/>
        </w:trPr>
        <w:tc>
          <w:tcPr>
            <w:tcW w:w="2649" w:type="dxa"/>
            <w:noWrap/>
            <w:vAlign w:val="center"/>
            <w:hideMark/>
          </w:tcPr>
          <w:p w14:paraId="5E014E99" w14:textId="77777777" w:rsidR="00481197" w:rsidRPr="00724CA2" w:rsidRDefault="00481197" w:rsidP="00481197">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Duality</w:t>
            </w:r>
          </w:p>
        </w:tc>
        <w:tc>
          <w:tcPr>
            <w:tcW w:w="2020" w:type="dxa"/>
            <w:tcBorders>
              <w:top w:val="nil"/>
              <w:left w:val="nil"/>
              <w:bottom w:val="nil"/>
              <w:right w:val="nil"/>
            </w:tcBorders>
            <w:shd w:val="clear" w:color="auto" w:fill="auto"/>
            <w:vAlign w:val="bottom"/>
          </w:tcPr>
          <w:p w14:paraId="73313E16" w14:textId="34724359"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0.187</w:t>
            </w:r>
          </w:p>
        </w:tc>
        <w:tc>
          <w:tcPr>
            <w:tcW w:w="1607" w:type="dxa"/>
            <w:tcBorders>
              <w:top w:val="nil"/>
              <w:left w:val="nil"/>
              <w:bottom w:val="nil"/>
              <w:right w:val="nil"/>
            </w:tcBorders>
            <w:shd w:val="clear" w:color="auto" w:fill="auto"/>
            <w:vAlign w:val="bottom"/>
          </w:tcPr>
          <w:p w14:paraId="4327D185" w14:textId="5A63717F"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0.249</w:t>
            </w:r>
          </w:p>
        </w:tc>
      </w:tr>
      <w:tr w:rsidR="00724CA2" w:rsidRPr="00724CA2" w14:paraId="593B99DF" w14:textId="77777777" w:rsidTr="00705625">
        <w:trPr>
          <w:gridAfter w:val="1"/>
          <w:wAfter w:w="185" w:type="dxa"/>
          <w:trHeight w:val="234"/>
          <w:jc w:val="center"/>
        </w:trPr>
        <w:tc>
          <w:tcPr>
            <w:tcW w:w="2649" w:type="dxa"/>
            <w:noWrap/>
            <w:vAlign w:val="center"/>
            <w:hideMark/>
          </w:tcPr>
          <w:p w14:paraId="632186DB" w14:textId="77777777" w:rsidR="00481197" w:rsidRPr="00724CA2" w:rsidRDefault="00481197" w:rsidP="00481197">
            <w:pPr>
              <w:jc w:val="both"/>
              <w:rPr>
                <w:rFonts w:ascii="Times New Roman" w:hAnsi="Times New Roman" w:cs="Times New Roman"/>
                <w:color w:val="000000" w:themeColor="text1"/>
                <w:lang w:val="en-US"/>
              </w:rPr>
            </w:pPr>
          </w:p>
        </w:tc>
        <w:tc>
          <w:tcPr>
            <w:tcW w:w="2020" w:type="dxa"/>
            <w:tcBorders>
              <w:top w:val="nil"/>
              <w:left w:val="nil"/>
              <w:bottom w:val="nil"/>
              <w:right w:val="nil"/>
            </w:tcBorders>
            <w:shd w:val="clear" w:color="auto" w:fill="auto"/>
            <w:vAlign w:val="bottom"/>
          </w:tcPr>
          <w:p w14:paraId="183F6889" w14:textId="625A623E"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(0.140)</w:t>
            </w:r>
          </w:p>
        </w:tc>
        <w:tc>
          <w:tcPr>
            <w:tcW w:w="1607" w:type="dxa"/>
            <w:tcBorders>
              <w:top w:val="nil"/>
              <w:left w:val="nil"/>
              <w:bottom w:val="nil"/>
              <w:right w:val="nil"/>
            </w:tcBorders>
            <w:shd w:val="clear" w:color="auto" w:fill="auto"/>
            <w:vAlign w:val="bottom"/>
          </w:tcPr>
          <w:p w14:paraId="539A159A" w14:textId="4D67209A"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(0.151)</w:t>
            </w:r>
          </w:p>
        </w:tc>
      </w:tr>
      <w:tr w:rsidR="00724CA2" w:rsidRPr="00724CA2" w14:paraId="5B034268" w14:textId="77777777" w:rsidTr="00705625">
        <w:trPr>
          <w:gridAfter w:val="1"/>
          <w:wAfter w:w="185" w:type="dxa"/>
          <w:trHeight w:val="234"/>
          <w:jc w:val="center"/>
        </w:trPr>
        <w:tc>
          <w:tcPr>
            <w:tcW w:w="2649" w:type="dxa"/>
            <w:noWrap/>
            <w:vAlign w:val="center"/>
            <w:hideMark/>
          </w:tcPr>
          <w:p w14:paraId="5E8AF38D" w14:textId="77777777" w:rsidR="00481197" w:rsidRPr="00724CA2" w:rsidRDefault="00481197" w:rsidP="00481197">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Independence</w:t>
            </w:r>
          </w:p>
        </w:tc>
        <w:tc>
          <w:tcPr>
            <w:tcW w:w="2020" w:type="dxa"/>
            <w:tcBorders>
              <w:top w:val="nil"/>
              <w:left w:val="nil"/>
              <w:bottom w:val="nil"/>
              <w:right w:val="nil"/>
            </w:tcBorders>
            <w:shd w:val="clear" w:color="auto" w:fill="auto"/>
            <w:vAlign w:val="bottom"/>
          </w:tcPr>
          <w:p w14:paraId="13AE4583" w14:textId="16B0362A"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0.993</w:t>
            </w:r>
          </w:p>
        </w:tc>
        <w:tc>
          <w:tcPr>
            <w:tcW w:w="1607" w:type="dxa"/>
            <w:tcBorders>
              <w:top w:val="nil"/>
              <w:left w:val="nil"/>
              <w:bottom w:val="nil"/>
              <w:right w:val="nil"/>
            </w:tcBorders>
            <w:shd w:val="clear" w:color="auto" w:fill="auto"/>
            <w:vAlign w:val="bottom"/>
          </w:tcPr>
          <w:p w14:paraId="1FAD6B8A" w14:textId="79655724"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0.721</w:t>
            </w:r>
          </w:p>
        </w:tc>
      </w:tr>
      <w:tr w:rsidR="00724CA2" w:rsidRPr="00724CA2" w14:paraId="5D8F02E9" w14:textId="77777777" w:rsidTr="00705625">
        <w:trPr>
          <w:gridAfter w:val="1"/>
          <w:wAfter w:w="185" w:type="dxa"/>
          <w:trHeight w:val="234"/>
          <w:jc w:val="center"/>
        </w:trPr>
        <w:tc>
          <w:tcPr>
            <w:tcW w:w="2649" w:type="dxa"/>
            <w:noWrap/>
            <w:vAlign w:val="center"/>
            <w:hideMark/>
          </w:tcPr>
          <w:p w14:paraId="27176F3E" w14:textId="77777777" w:rsidR="00481197" w:rsidRPr="00724CA2" w:rsidRDefault="00481197" w:rsidP="00481197">
            <w:pPr>
              <w:jc w:val="both"/>
              <w:rPr>
                <w:rFonts w:ascii="Times New Roman" w:hAnsi="Times New Roman" w:cs="Times New Roman"/>
                <w:color w:val="000000" w:themeColor="text1"/>
                <w:lang w:val="en-US"/>
              </w:rPr>
            </w:pPr>
          </w:p>
        </w:tc>
        <w:tc>
          <w:tcPr>
            <w:tcW w:w="2020" w:type="dxa"/>
            <w:tcBorders>
              <w:top w:val="nil"/>
              <w:left w:val="nil"/>
              <w:bottom w:val="nil"/>
              <w:right w:val="nil"/>
            </w:tcBorders>
            <w:shd w:val="clear" w:color="auto" w:fill="auto"/>
            <w:vAlign w:val="bottom"/>
          </w:tcPr>
          <w:p w14:paraId="491360BC" w14:textId="35405680"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(1.136)</w:t>
            </w:r>
          </w:p>
        </w:tc>
        <w:tc>
          <w:tcPr>
            <w:tcW w:w="1607" w:type="dxa"/>
            <w:tcBorders>
              <w:top w:val="nil"/>
              <w:left w:val="nil"/>
              <w:bottom w:val="nil"/>
              <w:right w:val="nil"/>
            </w:tcBorders>
            <w:shd w:val="clear" w:color="auto" w:fill="auto"/>
            <w:vAlign w:val="bottom"/>
          </w:tcPr>
          <w:p w14:paraId="0772E384" w14:textId="2D398872"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(0.942)</w:t>
            </w:r>
          </w:p>
        </w:tc>
      </w:tr>
      <w:tr w:rsidR="00724CA2" w:rsidRPr="00724CA2" w14:paraId="0C8B91AF" w14:textId="77777777" w:rsidTr="00705625">
        <w:trPr>
          <w:gridAfter w:val="1"/>
          <w:wAfter w:w="185" w:type="dxa"/>
          <w:trHeight w:val="234"/>
          <w:jc w:val="center"/>
        </w:trPr>
        <w:tc>
          <w:tcPr>
            <w:tcW w:w="2649" w:type="dxa"/>
            <w:noWrap/>
            <w:vAlign w:val="center"/>
            <w:hideMark/>
          </w:tcPr>
          <w:p w14:paraId="526F9B2E" w14:textId="77777777" w:rsidR="00481197" w:rsidRPr="00724CA2" w:rsidRDefault="00481197" w:rsidP="00481197">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Board meeting</w:t>
            </w:r>
          </w:p>
        </w:tc>
        <w:tc>
          <w:tcPr>
            <w:tcW w:w="2020" w:type="dxa"/>
            <w:tcBorders>
              <w:top w:val="nil"/>
              <w:left w:val="nil"/>
              <w:bottom w:val="nil"/>
              <w:right w:val="nil"/>
            </w:tcBorders>
            <w:shd w:val="clear" w:color="auto" w:fill="auto"/>
            <w:vAlign w:val="bottom"/>
          </w:tcPr>
          <w:p w14:paraId="1EA11B30" w14:textId="594F20D1"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0.034***</w:t>
            </w:r>
          </w:p>
        </w:tc>
        <w:tc>
          <w:tcPr>
            <w:tcW w:w="1607" w:type="dxa"/>
            <w:tcBorders>
              <w:top w:val="nil"/>
              <w:left w:val="nil"/>
              <w:bottom w:val="nil"/>
              <w:right w:val="nil"/>
            </w:tcBorders>
            <w:shd w:val="clear" w:color="auto" w:fill="auto"/>
            <w:vAlign w:val="bottom"/>
          </w:tcPr>
          <w:p w14:paraId="259CD45C" w14:textId="75F8661A"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0.028***</w:t>
            </w:r>
          </w:p>
        </w:tc>
      </w:tr>
      <w:tr w:rsidR="00724CA2" w:rsidRPr="00724CA2" w14:paraId="6B918720" w14:textId="77777777" w:rsidTr="00705625">
        <w:trPr>
          <w:gridAfter w:val="1"/>
          <w:wAfter w:w="185" w:type="dxa"/>
          <w:trHeight w:val="234"/>
          <w:jc w:val="center"/>
        </w:trPr>
        <w:tc>
          <w:tcPr>
            <w:tcW w:w="2649" w:type="dxa"/>
            <w:noWrap/>
            <w:vAlign w:val="center"/>
            <w:hideMark/>
          </w:tcPr>
          <w:p w14:paraId="6160AC41" w14:textId="77777777" w:rsidR="00481197" w:rsidRPr="00724CA2" w:rsidRDefault="00481197" w:rsidP="00481197">
            <w:pPr>
              <w:jc w:val="both"/>
              <w:rPr>
                <w:rFonts w:ascii="Times New Roman" w:hAnsi="Times New Roman" w:cs="Times New Roman"/>
                <w:color w:val="000000" w:themeColor="text1"/>
                <w:lang w:val="en-US"/>
              </w:rPr>
            </w:pPr>
          </w:p>
        </w:tc>
        <w:tc>
          <w:tcPr>
            <w:tcW w:w="2020" w:type="dxa"/>
            <w:tcBorders>
              <w:top w:val="nil"/>
              <w:left w:val="nil"/>
              <w:bottom w:val="nil"/>
              <w:right w:val="nil"/>
            </w:tcBorders>
            <w:shd w:val="clear" w:color="auto" w:fill="auto"/>
            <w:vAlign w:val="bottom"/>
          </w:tcPr>
          <w:p w14:paraId="54BD36F8" w14:textId="0B8987ED"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(0.009)</w:t>
            </w:r>
          </w:p>
        </w:tc>
        <w:tc>
          <w:tcPr>
            <w:tcW w:w="1607" w:type="dxa"/>
            <w:tcBorders>
              <w:top w:val="nil"/>
              <w:left w:val="nil"/>
              <w:bottom w:val="nil"/>
              <w:right w:val="nil"/>
            </w:tcBorders>
            <w:shd w:val="clear" w:color="auto" w:fill="auto"/>
            <w:vAlign w:val="bottom"/>
          </w:tcPr>
          <w:p w14:paraId="79F29D82" w14:textId="745CF43C"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(0.008)</w:t>
            </w:r>
          </w:p>
        </w:tc>
      </w:tr>
      <w:tr w:rsidR="00724CA2" w:rsidRPr="00724CA2" w14:paraId="735AB1E1" w14:textId="77777777" w:rsidTr="00705625">
        <w:trPr>
          <w:gridAfter w:val="1"/>
          <w:wAfter w:w="185" w:type="dxa"/>
          <w:trHeight w:val="234"/>
          <w:jc w:val="center"/>
        </w:trPr>
        <w:tc>
          <w:tcPr>
            <w:tcW w:w="2649" w:type="dxa"/>
            <w:noWrap/>
            <w:vAlign w:val="center"/>
            <w:hideMark/>
          </w:tcPr>
          <w:p w14:paraId="48F9BD0D" w14:textId="77777777" w:rsidR="00481197" w:rsidRPr="00724CA2" w:rsidRDefault="00481197" w:rsidP="00481197">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Managerial ownership</w:t>
            </w:r>
          </w:p>
        </w:tc>
        <w:tc>
          <w:tcPr>
            <w:tcW w:w="2020" w:type="dxa"/>
            <w:tcBorders>
              <w:top w:val="nil"/>
              <w:left w:val="nil"/>
              <w:bottom w:val="nil"/>
              <w:right w:val="nil"/>
            </w:tcBorders>
            <w:shd w:val="clear" w:color="auto" w:fill="auto"/>
            <w:vAlign w:val="bottom"/>
          </w:tcPr>
          <w:p w14:paraId="2FD68140" w14:textId="3E9B8EA6"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-0.602***</w:t>
            </w:r>
          </w:p>
        </w:tc>
        <w:tc>
          <w:tcPr>
            <w:tcW w:w="1607" w:type="dxa"/>
            <w:tcBorders>
              <w:top w:val="nil"/>
              <w:left w:val="nil"/>
              <w:bottom w:val="nil"/>
              <w:right w:val="nil"/>
            </w:tcBorders>
            <w:shd w:val="clear" w:color="auto" w:fill="auto"/>
            <w:vAlign w:val="bottom"/>
          </w:tcPr>
          <w:p w14:paraId="532952CF" w14:textId="003F30F1"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-0.298**</w:t>
            </w:r>
          </w:p>
        </w:tc>
      </w:tr>
      <w:tr w:rsidR="00724CA2" w:rsidRPr="00724CA2" w14:paraId="6BC17B59" w14:textId="77777777" w:rsidTr="00705625">
        <w:trPr>
          <w:gridAfter w:val="1"/>
          <w:wAfter w:w="185" w:type="dxa"/>
          <w:trHeight w:val="234"/>
          <w:jc w:val="center"/>
        </w:trPr>
        <w:tc>
          <w:tcPr>
            <w:tcW w:w="2649" w:type="dxa"/>
            <w:noWrap/>
            <w:vAlign w:val="center"/>
            <w:hideMark/>
          </w:tcPr>
          <w:p w14:paraId="7966E70B" w14:textId="77777777" w:rsidR="00481197" w:rsidRPr="00724CA2" w:rsidRDefault="00481197" w:rsidP="00481197">
            <w:pPr>
              <w:jc w:val="both"/>
              <w:rPr>
                <w:rFonts w:ascii="Times New Roman" w:hAnsi="Times New Roman" w:cs="Times New Roman"/>
                <w:color w:val="000000" w:themeColor="text1"/>
                <w:lang w:val="en-US"/>
              </w:rPr>
            </w:pPr>
          </w:p>
        </w:tc>
        <w:tc>
          <w:tcPr>
            <w:tcW w:w="2020" w:type="dxa"/>
            <w:tcBorders>
              <w:top w:val="nil"/>
              <w:left w:val="nil"/>
              <w:bottom w:val="nil"/>
              <w:right w:val="nil"/>
            </w:tcBorders>
            <w:shd w:val="clear" w:color="auto" w:fill="auto"/>
            <w:vAlign w:val="bottom"/>
          </w:tcPr>
          <w:p w14:paraId="7BBA76D2" w14:textId="6166CC07"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(0.144)</w:t>
            </w:r>
          </w:p>
        </w:tc>
        <w:tc>
          <w:tcPr>
            <w:tcW w:w="1607" w:type="dxa"/>
            <w:tcBorders>
              <w:top w:val="nil"/>
              <w:left w:val="nil"/>
              <w:bottom w:val="nil"/>
              <w:right w:val="nil"/>
            </w:tcBorders>
            <w:shd w:val="clear" w:color="auto" w:fill="auto"/>
            <w:vAlign w:val="bottom"/>
          </w:tcPr>
          <w:p w14:paraId="3B6D50CC" w14:textId="13806D9A"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(0.136)</w:t>
            </w:r>
          </w:p>
        </w:tc>
      </w:tr>
      <w:tr w:rsidR="00724CA2" w:rsidRPr="00724CA2" w14:paraId="59923DC9" w14:textId="77777777" w:rsidTr="00705625">
        <w:trPr>
          <w:gridAfter w:val="1"/>
          <w:wAfter w:w="185" w:type="dxa"/>
          <w:trHeight w:val="234"/>
          <w:jc w:val="center"/>
        </w:trPr>
        <w:tc>
          <w:tcPr>
            <w:tcW w:w="2649" w:type="dxa"/>
            <w:noWrap/>
            <w:vAlign w:val="center"/>
            <w:hideMark/>
          </w:tcPr>
          <w:p w14:paraId="78A5EBFB" w14:textId="77777777" w:rsidR="00481197" w:rsidRPr="00724CA2" w:rsidRDefault="00481197" w:rsidP="00481197">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Z Index</w:t>
            </w:r>
          </w:p>
        </w:tc>
        <w:tc>
          <w:tcPr>
            <w:tcW w:w="2020" w:type="dxa"/>
            <w:tcBorders>
              <w:top w:val="nil"/>
              <w:left w:val="nil"/>
              <w:bottom w:val="nil"/>
              <w:right w:val="nil"/>
            </w:tcBorders>
            <w:shd w:val="clear" w:color="auto" w:fill="auto"/>
            <w:vAlign w:val="bottom"/>
          </w:tcPr>
          <w:p w14:paraId="105AF6B2" w14:textId="3A090000"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0.010***</w:t>
            </w:r>
          </w:p>
        </w:tc>
        <w:tc>
          <w:tcPr>
            <w:tcW w:w="1607" w:type="dxa"/>
            <w:tcBorders>
              <w:top w:val="nil"/>
              <w:left w:val="nil"/>
              <w:bottom w:val="nil"/>
              <w:right w:val="nil"/>
            </w:tcBorders>
            <w:shd w:val="clear" w:color="auto" w:fill="auto"/>
            <w:vAlign w:val="bottom"/>
          </w:tcPr>
          <w:p w14:paraId="0CB6BD8B" w14:textId="0E7AAF22"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0.008**</w:t>
            </w:r>
          </w:p>
        </w:tc>
      </w:tr>
      <w:tr w:rsidR="00724CA2" w:rsidRPr="00724CA2" w14:paraId="73725514" w14:textId="77777777" w:rsidTr="00705625">
        <w:trPr>
          <w:gridAfter w:val="1"/>
          <w:wAfter w:w="185" w:type="dxa"/>
          <w:trHeight w:val="234"/>
          <w:jc w:val="center"/>
        </w:trPr>
        <w:tc>
          <w:tcPr>
            <w:tcW w:w="2649" w:type="dxa"/>
            <w:noWrap/>
            <w:vAlign w:val="center"/>
            <w:hideMark/>
          </w:tcPr>
          <w:p w14:paraId="5A591C03" w14:textId="77777777" w:rsidR="00481197" w:rsidRPr="00724CA2" w:rsidRDefault="00481197" w:rsidP="00481197">
            <w:pPr>
              <w:jc w:val="both"/>
              <w:rPr>
                <w:rFonts w:ascii="Times New Roman" w:hAnsi="Times New Roman" w:cs="Times New Roman"/>
                <w:color w:val="000000" w:themeColor="text1"/>
                <w:lang w:val="en-US"/>
              </w:rPr>
            </w:pPr>
          </w:p>
        </w:tc>
        <w:tc>
          <w:tcPr>
            <w:tcW w:w="2020" w:type="dxa"/>
            <w:tcBorders>
              <w:top w:val="nil"/>
              <w:left w:val="nil"/>
              <w:bottom w:val="nil"/>
              <w:right w:val="nil"/>
            </w:tcBorders>
            <w:shd w:val="clear" w:color="auto" w:fill="auto"/>
            <w:vAlign w:val="bottom"/>
          </w:tcPr>
          <w:p w14:paraId="279490AF" w14:textId="173D5D56"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(0.003)</w:t>
            </w:r>
          </w:p>
        </w:tc>
        <w:tc>
          <w:tcPr>
            <w:tcW w:w="1607" w:type="dxa"/>
            <w:tcBorders>
              <w:top w:val="nil"/>
              <w:left w:val="nil"/>
              <w:bottom w:val="nil"/>
              <w:right w:val="nil"/>
            </w:tcBorders>
            <w:shd w:val="clear" w:color="auto" w:fill="auto"/>
            <w:vAlign w:val="bottom"/>
          </w:tcPr>
          <w:p w14:paraId="097F4B24" w14:textId="329424BA"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(0.003)</w:t>
            </w:r>
          </w:p>
        </w:tc>
      </w:tr>
      <w:tr w:rsidR="00724CA2" w:rsidRPr="00724CA2" w14:paraId="7E329256" w14:textId="77777777" w:rsidTr="00705625">
        <w:trPr>
          <w:gridAfter w:val="1"/>
          <w:wAfter w:w="185" w:type="dxa"/>
          <w:trHeight w:val="234"/>
          <w:jc w:val="center"/>
        </w:trPr>
        <w:tc>
          <w:tcPr>
            <w:tcW w:w="2649" w:type="dxa"/>
            <w:noWrap/>
            <w:vAlign w:val="center"/>
            <w:hideMark/>
          </w:tcPr>
          <w:p w14:paraId="0436D888" w14:textId="77777777" w:rsidR="00481197" w:rsidRPr="00724CA2" w:rsidRDefault="00481197" w:rsidP="00481197">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Stock returns</w:t>
            </w:r>
          </w:p>
        </w:tc>
        <w:tc>
          <w:tcPr>
            <w:tcW w:w="2020" w:type="dxa"/>
            <w:tcBorders>
              <w:top w:val="nil"/>
              <w:left w:val="nil"/>
              <w:bottom w:val="nil"/>
              <w:right w:val="nil"/>
            </w:tcBorders>
            <w:shd w:val="clear" w:color="auto" w:fill="auto"/>
            <w:vAlign w:val="bottom"/>
          </w:tcPr>
          <w:p w14:paraId="471D7B0D" w14:textId="75C920BC"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0.462***</w:t>
            </w:r>
          </w:p>
        </w:tc>
        <w:tc>
          <w:tcPr>
            <w:tcW w:w="1607" w:type="dxa"/>
            <w:tcBorders>
              <w:top w:val="nil"/>
              <w:left w:val="nil"/>
              <w:bottom w:val="nil"/>
              <w:right w:val="nil"/>
            </w:tcBorders>
            <w:shd w:val="clear" w:color="auto" w:fill="auto"/>
            <w:vAlign w:val="bottom"/>
          </w:tcPr>
          <w:p w14:paraId="51066A8D" w14:textId="6CD0E020"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0.394***</w:t>
            </w:r>
          </w:p>
        </w:tc>
      </w:tr>
      <w:tr w:rsidR="00724CA2" w:rsidRPr="00724CA2" w14:paraId="58DC7935" w14:textId="77777777" w:rsidTr="00705625">
        <w:trPr>
          <w:gridAfter w:val="1"/>
          <w:wAfter w:w="185" w:type="dxa"/>
          <w:trHeight w:val="234"/>
          <w:jc w:val="center"/>
        </w:trPr>
        <w:tc>
          <w:tcPr>
            <w:tcW w:w="2649" w:type="dxa"/>
            <w:noWrap/>
            <w:vAlign w:val="center"/>
            <w:hideMark/>
          </w:tcPr>
          <w:p w14:paraId="7524FBC1" w14:textId="77777777" w:rsidR="00481197" w:rsidRPr="00724CA2" w:rsidRDefault="00481197" w:rsidP="00481197">
            <w:pPr>
              <w:jc w:val="both"/>
              <w:rPr>
                <w:rFonts w:ascii="Times New Roman" w:hAnsi="Times New Roman" w:cs="Times New Roman"/>
                <w:color w:val="000000" w:themeColor="text1"/>
                <w:lang w:val="en-US"/>
              </w:rPr>
            </w:pPr>
          </w:p>
        </w:tc>
        <w:tc>
          <w:tcPr>
            <w:tcW w:w="2020" w:type="dxa"/>
            <w:tcBorders>
              <w:top w:val="nil"/>
              <w:left w:val="nil"/>
              <w:bottom w:val="nil"/>
              <w:right w:val="nil"/>
            </w:tcBorders>
            <w:shd w:val="clear" w:color="auto" w:fill="auto"/>
            <w:vAlign w:val="bottom"/>
          </w:tcPr>
          <w:p w14:paraId="26DB0789" w14:textId="56A73DE8"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(0.042)</w:t>
            </w:r>
          </w:p>
        </w:tc>
        <w:tc>
          <w:tcPr>
            <w:tcW w:w="1607" w:type="dxa"/>
            <w:tcBorders>
              <w:top w:val="nil"/>
              <w:left w:val="nil"/>
              <w:bottom w:val="nil"/>
              <w:right w:val="nil"/>
            </w:tcBorders>
            <w:shd w:val="clear" w:color="auto" w:fill="auto"/>
            <w:vAlign w:val="bottom"/>
          </w:tcPr>
          <w:p w14:paraId="3BBCE651" w14:textId="137147AF"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(0.035)</w:t>
            </w:r>
          </w:p>
        </w:tc>
      </w:tr>
      <w:tr w:rsidR="00724CA2" w:rsidRPr="00724CA2" w14:paraId="157F9D4A" w14:textId="77777777" w:rsidTr="00705625">
        <w:trPr>
          <w:gridAfter w:val="1"/>
          <w:wAfter w:w="185" w:type="dxa"/>
          <w:trHeight w:val="234"/>
          <w:jc w:val="center"/>
        </w:trPr>
        <w:tc>
          <w:tcPr>
            <w:tcW w:w="2649" w:type="dxa"/>
            <w:noWrap/>
            <w:vAlign w:val="center"/>
            <w:hideMark/>
          </w:tcPr>
          <w:p w14:paraId="1D22C08C" w14:textId="77777777" w:rsidR="00481197" w:rsidRPr="00724CA2" w:rsidRDefault="00481197" w:rsidP="00481197">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Tobin Q</w:t>
            </w:r>
          </w:p>
        </w:tc>
        <w:tc>
          <w:tcPr>
            <w:tcW w:w="2020" w:type="dxa"/>
            <w:tcBorders>
              <w:top w:val="nil"/>
              <w:left w:val="nil"/>
              <w:bottom w:val="nil"/>
              <w:right w:val="nil"/>
            </w:tcBorders>
            <w:shd w:val="clear" w:color="auto" w:fill="auto"/>
            <w:vAlign w:val="bottom"/>
          </w:tcPr>
          <w:p w14:paraId="5941699D" w14:textId="1EC7F05F"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-0.457***</w:t>
            </w:r>
          </w:p>
        </w:tc>
        <w:tc>
          <w:tcPr>
            <w:tcW w:w="1607" w:type="dxa"/>
            <w:tcBorders>
              <w:top w:val="nil"/>
              <w:left w:val="nil"/>
              <w:bottom w:val="nil"/>
              <w:right w:val="nil"/>
            </w:tcBorders>
            <w:shd w:val="clear" w:color="auto" w:fill="auto"/>
            <w:vAlign w:val="bottom"/>
          </w:tcPr>
          <w:p w14:paraId="3D7D9310" w14:textId="4AA0FE95"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-0.385***</w:t>
            </w:r>
          </w:p>
        </w:tc>
      </w:tr>
      <w:tr w:rsidR="00724CA2" w:rsidRPr="00724CA2" w14:paraId="1D6F64EA" w14:textId="77777777" w:rsidTr="00705625">
        <w:trPr>
          <w:gridAfter w:val="1"/>
          <w:wAfter w:w="185" w:type="dxa"/>
          <w:trHeight w:val="234"/>
          <w:jc w:val="center"/>
        </w:trPr>
        <w:tc>
          <w:tcPr>
            <w:tcW w:w="2649" w:type="dxa"/>
            <w:noWrap/>
            <w:vAlign w:val="center"/>
            <w:hideMark/>
          </w:tcPr>
          <w:p w14:paraId="5BC1D681" w14:textId="77777777" w:rsidR="00481197" w:rsidRPr="00724CA2" w:rsidRDefault="00481197" w:rsidP="00481197">
            <w:pPr>
              <w:jc w:val="both"/>
              <w:rPr>
                <w:rFonts w:ascii="Times New Roman" w:hAnsi="Times New Roman" w:cs="Times New Roman"/>
                <w:color w:val="000000" w:themeColor="text1"/>
                <w:lang w:val="en-US"/>
              </w:rPr>
            </w:pPr>
          </w:p>
        </w:tc>
        <w:tc>
          <w:tcPr>
            <w:tcW w:w="2020" w:type="dxa"/>
            <w:tcBorders>
              <w:top w:val="nil"/>
              <w:left w:val="nil"/>
              <w:bottom w:val="nil"/>
              <w:right w:val="nil"/>
            </w:tcBorders>
            <w:shd w:val="clear" w:color="auto" w:fill="auto"/>
            <w:vAlign w:val="bottom"/>
          </w:tcPr>
          <w:p w14:paraId="364EFCAA" w14:textId="25894349"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(0.041)</w:t>
            </w:r>
          </w:p>
        </w:tc>
        <w:tc>
          <w:tcPr>
            <w:tcW w:w="1607" w:type="dxa"/>
            <w:tcBorders>
              <w:top w:val="nil"/>
              <w:left w:val="nil"/>
              <w:bottom w:val="nil"/>
              <w:right w:val="nil"/>
            </w:tcBorders>
            <w:shd w:val="clear" w:color="auto" w:fill="auto"/>
            <w:vAlign w:val="bottom"/>
          </w:tcPr>
          <w:p w14:paraId="0F3FCB85" w14:textId="439EFEA2"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(0.035)</w:t>
            </w:r>
          </w:p>
        </w:tc>
      </w:tr>
      <w:tr w:rsidR="00724CA2" w:rsidRPr="00724CA2" w14:paraId="6BA246B9" w14:textId="77777777" w:rsidTr="00705625">
        <w:trPr>
          <w:gridAfter w:val="1"/>
          <w:wAfter w:w="185" w:type="dxa"/>
          <w:trHeight w:val="234"/>
          <w:jc w:val="center"/>
        </w:trPr>
        <w:tc>
          <w:tcPr>
            <w:tcW w:w="2649" w:type="dxa"/>
            <w:noWrap/>
            <w:vAlign w:val="center"/>
            <w:hideMark/>
          </w:tcPr>
          <w:p w14:paraId="557F364E" w14:textId="77777777" w:rsidR="00481197" w:rsidRPr="00724CA2" w:rsidRDefault="00481197" w:rsidP="00481197">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Firm age</w:t>
            </w:r>
          </w:p>
        </w:tc>
        <w:tc>
          <w:tcPr>
            <w:tcW w:w="2020" w:type="dxa"/>
            <w:tcBorders>
              <w:top w:val="nil"/>
              <w:left w:val="nil"/>
              <w:bottom w:val="nil"/>
              <w:right w:val="nil"/>
            </w:tcBorders>
            <w:shd w:val="clear" w:color="auto" w:fill="auto"/>
            <w:vAlign w:val="bottom"/>
          </w:tcPr>
          <w:p w14:paraId="0C532B40" w14:textId="75BF65F8"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-0.016</w:t>
            </w:r>
          </w:p>
        </w:tc>
        <w:tc>
          <w:tcPr>
            <w:tcW w:w="1607" w:type="dxa"/>
            <w:tcBorders>
              <w:top w:val="nil"/>
              <w:left w:val="nil"/>
              <w:bottom w:val="nil"/>
              <w:right w:val="nil"/>
            </w:tcBorders>
            <w:shd w:val="clear" w:color="auto" w:fill="auto"/>
            <w:vAlign w:val="bottom"/>
          </w:tcPr>
          <w:p w14:paraId="6DAEF2B7" w14:textId="0A538523"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-0.019**</w:t>
            </w:r>
          </w:p>
        </w:tc>
      </w:tr>
      <w:tr w:rsidR="00724CA2" w:rsidRPr="00724CA2" w14:paraId="57295545" w14:textId="77777777" w:rsidTr="00705625">
        <w:trPr>
          <w:gridAfter w:val="1"/>
          <w:wAfter w:w="185" w:type="dxa"/>
          <w:trHeight w:val="234"/>
          <w:jc w:val="center"/>
        </w:trPr>
        <w:tc>
          <w:tcPr>
            <w:tcW w:w="2649" w:type="dxa"/>
            <w:noWrap/>
            <w:vAlign w:val="center"/>
            <w:hideMark/>
          </w:tcPr>
          <w:p w14:paraId="4B8004F1" w14:textId="77777777" w:rsidR="00481197" w:rsidRPr="00724CA2" w:rsidRDefault="00481197" w:rsidP="00481197">
            <w:pPr>
              <w:jc w:val="both"/>
              <w:rPr>
                <w:rFonts w:ascii="Times New Roman" w:hAnsi="Times New Roman" w:cs="Times New Roman"/>
                <w:color w:val="000000" w:themeColor="text1"/>
                <w:lang w:val="en-US"/>
              </w:rPr>
            </w:pPr>
          </w:p>
        </w:tc>
        <w:tc>
          <w:tcPr>
            <w:tcW w:w="2020" w:type="dxa"/>
            <w:tcBorders>
              <w:top w:val="nil"/>
              <w:left w:val="nil"/>
              <w:bottom w:val="nil"/>
              <w:right w:val="nil"/>
            </w:tcBorders>
            <w:shd w:val="clear" w:color="auto" w:fill="auto"/>
            <w:vAlign w:val="bottom"/>
          </w:tcPr>
          <w:p w14:paraId="094A7463" w14:textId="19386CC3"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(0.011)</w:t>
            </w:r>
          </w:p>
        </w:tc>
        <w:tc>
          <w:tcPr>
            <w:tcW w:w="1607" w:type="dxa"/>
            <w:tcBorders>
              <w:top w:val="nil"/>
              <w:left w:val="nil"/>
              <w:bottom w:val="nil"/>
              <w:right w:val="nil"/>
            </w:tcBorders>
            <w:shd w:val="clear" w:color="auto" w:fill="auto"/>
            <w:vAlign w:val="bottom"/>
          </w:tcPr>
          <w:p w14:paraId="085F9D7C" w14:textId="3C81104B"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(0.009)</w:t>
            </w:r>
          </w:p>
        </w:tc>
      </w:tr>
      <w:tr w:rsidR="00724CA2" w:rsidRPr="00724CA2" w14:paraId="3806D78C" w14:textId="77777777" w:rsidTr="00705625">
        <w:trPr>
          <w:gridAfter w:val="1"/>
          <w:wAfter w:w="185" w:type="dxa"/>
          <w:trHeight w:val="234"/>
          <w:jc w:val="center"/>
        </w:trPr>
        <w:tc>
          <w:tcPr>
            <w:tcW w:w="2649" w:type="dxa"/>
            <w:noWrap/>
            <w:vAlign w:val="center"/>
            <w:hideMark/>
          </w:tcPr>
          <w:p w14:paraId="67B90CE2" w14:textId="77777777" w:rsidR="00481197" w:rsidRPr="00724CA2" w:rsidRDefault="00481197" w:rsidP="00481197">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Leverage</w:t>
            </w:r>
          </w:p>
        </w:tc>
        <w:tc>
          <w:tcPr>
            <w:tcW w:w="2020" w:type="dxa"/>
            <w:tcBorders>
              <w:top w:val="nil"/>
              <w:left w:val="nil"/>
              <w:bottom w:val="nil"/>
              <w:right w:val="nil"/>
            </w:tcBorders>
            <w:shd w:val="clear" w:color="auto" w:fill="auto"/>
            <w:vAlign w:val="bottom"/>
          </w:tcPr>
          <w:p w14:paraId="41302B9E" w14:textId="42685142"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0.613***</w:t>
            </w:r>
          </w:p>
        </w:tc>
        <w:tc>
          <w:tcPr>
            <w:tcW w:w="1607" w:type="dxa"/>
            <w:tcBorders>
              <w:top w:val="nil"/>
              <w:left w:val="nil"/>
              <w:bottom w:val="nil"/>
              <w:right w:val="nil"/>
            </w:tcBorders>
            <w:shd w:val="clear" w:color="auto" w:fill="auto"/>
            <w:vAlign w:val="bottom"/>
          </w:tcPr>
          <w:p w14:paraId="70062D5A" w14:textId="6693A3BB"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1.564***</w:t>
            </w:r>
          </w:p>
        </w:tc>
      </w:tr>
      <w:tr w:rsidR="00724CA2" w:rsidRPr="00724CA2" w14:paraId="72D74BDD" w14:textId="77777777" w:rsidTr="00705625">
        <w:trPr>
          <w:gridAfter w:val="1"/>
          <w:wAfter w:w="185" w:type="dxa"/>
          <w:trHeight w:val="234"/>
          <w:jc w:val="center"/>
        </w:trPr>
        <w:tc>
          <w:tcPr>
            <w:tcW w:w="2649" w:type="dxa"/>
            <w:noWrap/>
            <w:vAlign w:val="center"/>
            <w:hideMark/>
          </w:tcPr>
          <w:p w14:paraId="7987E774" w14:textId="77777777" w:rsidR="00481197" w:rsidRPr="00724CA2" w:rsidRDefault="00481197" w:rsidP="00481197">
            <w:pPr>
              <w:jc w:val="both"/>
              <w:rPr>
                <w:rFonts w:ascii="Times New Roman" w:hAnsi="Times New Roman" w:cs="Times New Roman"/>
                <w:color w:val="000000" w:themeColor="text1"/>
                <w:lang w:val="en-US"/>
              </w:rPr>
            </w:pPr>
          </w:p>
        </w:tc>
        <w:tc>
          <w:tcPr>
            <w:tcW w:w="2020" w:type="dxa"/>
            <w:tcBorders>
              <w:top w:val="nil"/>
              <w:left w:val="nil"/>
              <w:bottom w:val="nil"/>
              <w:right w:val="nil"/>
            </w:tcBorders>
            <w:shd w:val="clear" w:color="auto" w:fill="auto"/>
            <w:vAlign w:val="bottom"/>
          </w:tcPr>
          <w:p w14:paraId="6DC745EC" w14:textId="30795A70"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(0.137)</w:t>
            </w:r>
          </w:p>
        </w:tc>
        <w:tc>
          <w:tcPr>
            <w:tcW w:w="1607" w:type="dxa"/>
            <w:tcBorders>
              <w:top w:val="nil"/>
              <w:left w:val="nil"/>
              <w:bottom w:val="nil"/>
              <w:right w:val="nil"/>
            </w:tcBorders>
            <w:shd w:val="clear" w:color="auto" w:fill="auto"/>
            <w:vAlign w:val="bottom"/>
          </w:tcPr>
          <w:p w14:paraId="10D26772" w14:textId="27CA2F4B"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(0.203)</w:t>
            </w:r>
          </w:p>
        </w:tc>
      </w:tr>
      <w:tr w:rsidR="00724CA2" w:rsidRPr="00724CA2" w14:paraId="6C0071B2" w14:textId="77777777" w:rsidTr="007B3E16">
        <w:trPr>
          <w:gridAfter w:val="1"/>
          <w:wAfter w:w="185" w:type="dxa"/>
          <w:trHeight w:val="234"/>
          <w:jc w:val="center"/>
        </w:trPr>
        <w:tc>
          <w:tcPr>
            <w:tcW w:w="2649" w:type="dxa"/>
            <w:noWrap/>
            <w:vAlign w:val="center"/>
          </w:tcPr>
          <w:p w14:paraId="48865A1E" w14:textId="77777777" w:rsidR="00481197" w:rsidRPr="00724CA2" w:rsidRDefault="00481197" w:rsidP="00481197">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Year FE</w:t>
            </w:r>
          </w:p>
        </w:tc>
        <w:tc>
          <w:tcPr>
            <w:tcW w:w="2020" w:type="dxa"/>
            <w:vAlign w:val="center"/>
          </w:tcPr>
          <w:p w14:paraId="653BFC0D" w14:textId="77777777"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Yes</w:t>
            </w:r>
          </w:p>
        </w:tc>
        <w:tc>
          <w:tcPr>
            <w:tcW w:w="1607" w:type="dxa"/>
            <w:vAlign w:val="center"/>
          </w:tcPr>
          <w:p w14:paraId="49415FAE" w14:textId="77777777"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lang w:val="en-US"/>
              </w:rPr>
              <w:t>Yes</w:t>
            </w:r>
          </w:p>
        </w:tc>
      </w:tr>
      <w:tr w:rsidR="00724CA2" w:rsidRPr="00724CA2" w14:paraId="4BB7866E" w14:textId="77777777" w:rsidTr="007B3E16">
        <w:trPr>
          <w:gridAfter w:val="1"/>
          <w:wAfter w:w="185" w:type="dxa"/>
          <w:trHeight w:val="234"/>
          <w:jc w:val="center"/>
        </w:trPr>
        <w:tc>
          <w:tcPr>
            <w:tcW w:w="2649" w:type="dxa"/>
            <w:noWrap/>
            <w:vAlign w:val="center"/>
          </w:tcPr>
          <w:p w14:paraId="6816B18C" w14:textId="77777777" w:rsidR="00481197" w:rsidRPr="00724CA2" w:rsidRDefault="00481197" w:rsidP="00481197">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Industry FE</w:t>
            </w:r>
          </w:p>
        </w:tc>
        <w:tc>
          <w:tcPr>
            <w:tcW w:w="2020" w:type="dxa"/>
            <w:vAlign w:val="center"/>
          </w:tcPr>
          <w:p w14:paraId="49A639AD" w14:textId="77777777"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Yes</w:t>
            </w:r>
          </w:p>
        </w:tc>
        <w:tc>
          <w:tcPr>
            <w:tcW w:w="1607" w:type="dxa"/>
            <w:vAlign w:val="center"/>
          </w:tcPr>
          <w:p w14:paraId="08FF7852" w14:textId="77777777"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lang w:val="en-US"/>
              </w:rPr>
              <w:t>Yes</w:t>
            </w:r>
          </w:p>
        </w:tc>
      </w:tr>
      <w:tr w:rsidR="00724CA2" w:rsidRPr="00724CA2" w14:paraId="585CF427" w14:textId="77777777" w:rsidTr="00481197">
        <w:trPr>
          <w:gridAfter w:val="1"/>
          <w:wAfter w:w="185" w:type="dxa"/>
          <w:trHeight w:val="234"/>
          <w:jc w:val="center"/>
        </w:trPr>
        <w:tc>
          <w:tcPr>
            <w:tcW w:w="2649" w:type="dxa"/>
            <w:tcBorders>
              <w:bottom w:val="nil"/>
            </w:tcBorders>
            <w:noWrap/>
            <w:vAlign w:val="center"/>
          </w:tcPr>
          <w:p w14:paraId="5AACFCFB" w14:textId="77777777" w:rsidR="00481197" w:rsidRPr="00724CA2" w:rsidRDefault="00481197" w:rsidP="00481197">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Observations</w:t>
            </w:r>
          </w:p>
        </w:tc>
        <w:tc>
          <w:tcPr>
            <w:tcW w:w="2020" w:type="dxa"/>
            <w:tcBorders>
              <w:top w:val="nil"/>
              <w:left w:val="nil"/>
              <w:bottom w:val="nil"/>
              <w:right w:val="nil"/>
            </w:tcBorders>
            <w:shd w:val="clear" w:color="auto" w:fill="auto"/>
            <w:vAlign w:val="bottom"/>
          </w:tcPr>
          <w:p w14:paraId="39720CEA" w14:textId="6CC42084"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6,560</w:t>
            </w:r>
          </w:p>
        </w:tc>
        <w:tc>
          <w:tcPr>
            <w:tcW w:w="1607" w:type="dxa"/>
            <w:tcBorders>
              <w:top w:val="nil"/>
              <w:left w:val="nil"/>
              <w:bottom w:val="nil"/>
              <w:right w:val="nil"/>
            </w:tcBorders>
            <w:shd w:val="clear" w:color="auto" w:fill="auto"/>
            <w:vAlign w:val="bottom"/>
          </w:tcPr>
          <w:p w14:paraId="67663DC7" w14:textId="647F6154"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6,560</w:t>
            </w:r>
          </w:p>
        </w:tc>
      </w:tr>
      <w:tr w:rsidR="00724CA2" w:rsidRPr="00724CA2" w14:paraId="4A01FA50" w14:textId="77777777" w:rsidTr="00481197">
        <w:trPr>
          <w:gridAfter w:val="1"/>
          <w:wAfter w:w="185" w:type="dxa"/>
          <w:trHeight w:val="234"/>
          <w:jc w:val="center"/>
        </w:trPr>
        <w:tc>
          <w:tcPr>
            <w:tcW w:w="2649" w:type="dxa"/>
            <w:tcBorders>
              <w:top w:val="nil"/>
              <w:bottom w:val="single" w:sz="12" w:space="0" w:color="auto"/>
            </w:tcBorders>
            <w:noWrap/>
            <w:vAlign w:val="center"/>
          </w:tcPr>
          <w:p w14:paraId="65B6F224" w14:textId="48ECADFF" w:rsidR="00481197" w:rsidRPr="00724CA2" w:rsidRDefault="00481197" w:rsidP="00481197">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sz w:val="21"/>
                <w:szCs w:val="21"/>
                <w:lang w:val="en-US"/>
              </w:rPr>
              <w:t>Adjusted R-squared</w:t>
            </w:r>
          </w:p>
        </w:tc>
        <w:tc>
          <w:tcPr>
            <w:tcW w:w="2020" w:type="dxa"/>
            <w:tcBorders>
              <w:top w:val="nil"/>
              <w:left w:val="nil"/>
              <w:bottom w:val="single" w:sz="12" w:space="0" w:color="auto"/>
              <w:right w:val="nil"/>
            </w:tcBorders>
            <w:shd w:val="clear" w:color="auto" w:fill="auto"/>
            <w:vAlign w:val="bottom"/>
          </w:tcPr>
          <w:p w14:paraId="367433EF" w14:textId="0F8F0015"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0.180</w:t>
            </w:r>
          </w:p>
        </w:tc>
        <w:tc>
          <w:tcPr>
            <w:tcW w:w="1607" w:type="dxa"/>
            <w:tcBorders>
              <w:top w:val="nil"/>
              <w:left w:val="nil"/>
              <w:bottom w:val="single" w:sz="12" w:space="0" w:color="auto"/>
              <w:right w:val="nil"/>
            </w:tcBorders>
            <w:shd w:val="clear" w:color="auto" w:fill="auto"/>
            <w:vAlign w:val="bottom"/>
          </w:tcPr>
          <w:p w14:paraId="22F91E09" w14:textId="14B44DF5" w:rsidR="00481197" w:rsidRPr="00724CA2" w:rsidRDefault="00481197" w:rsidP="00481197">
            <w:pPr>
              <w:jc w:val="both"/>
              <w:rPr>
                <w:rFonts w:ascii="Times New Roman" w:hAnsi="Times New Roman" w:cs="Times New Roman"/>
                <w:color w:val="000000" w:themeColor="text1"/>
              </w:rPr>
            </w:pPr>
            <w:r w:rsidRPr="00724CA2">
              <w:rPr>
                <w:rFonts w:ascii="Times New Roman" w:hAnsi="Times New Roman" w:cs="Times New Roman"/>
                <w:color w:val="000000" w:themeColor="text1"/>
              </w:rPr>
              <w:t>0.186</w:t>
            </w:r>
          </w:p>
        </w:tc>
      </w:tr>
    </w:tbl>
    <w:p w14:paraId="010F557D" w14:textId="74876053" w:rsidR="00486C4A" w:rsidRPr="00724CA2" w:rsidRDefault="00486C4A" w:rsidP="00486C4A">
      <w:pPr>
        <w:jc w:val="both"/>
        <w:rPr>
          <w:rFonts w:ascii="Times New Roman" w:hAnsi="Times New Roman" w:cs="Times New Roman"/>
          <w:color w:val="000000" w:themeColor="text1"/>
          <w:szCs w:val="20"/>
        </w:rPr>
      </w:pPr>
      <w:r w:rsidRPr="00724CA2">
        <w:rPr>
          <w:rFonts w:ascii="Times New Roman" w:hAnsi="Times New Roman" w:cs="Times New Roman"/>
          <w:color w:val="000000" w:themeColor="text1"/>
        </w:rPr>
        <w:t xml:space="preserve">‘Green question’ is identified by checking whether the investor queries on annual general meetings include the following keywords, i.e., green, environmental protection, energy, energy saving, emission reduction, and ecology. ‘Green board’ is </w:t>
      </w:r>
      <w:r w:rsidR="00726B89" w:rsidRPr="00724CA2">
        <w:rPr>
          <w:rFonts w:ascii="Times New Roman" w:hAnsi="Times New Roman" w:cs="Times New Roman"/>
          <w:color w:val="000000" w:themeColor="text1"/>
        </w:rPr>
        <w:t xml:space="preserve">recorded </w:t>
      </w:r>
      <w:r w:rsidRPr="00724CA2">
        <w:rPr>
          <w:rFonts w:ascii="Times New Roman" w:hAnsi="Times New Roman" w:cs="Times New Roman"/>
          <w:color w:val="000000" w:themeColor="text1"/>
        </w:rPr>
        <w:t xml:space="preserve">by </w:t>
      </w:r>
      <w:r w:rsidR="003E7D7E" w:rsidRPr="00724CA2">
        <w:rPr>
          <w:rFonts w:ascii="Times New Roman" w:hAnsi="Times New Roman" w:cs="Times New Roman"/>
          <w:color w:val="000000" w:themeColor="text1"/>
        </w:rPr>
        <w:t>verifying</w:t>
      </w:r>
      <w:r w:rsidRPr="00724CA2">
        <w:rPr>
          <w:rFonts w:ascii="Times New Roman" w:hAnsi="Times New Roman" w:cs="Times New Roman"/>
          <w:color w:val="000000" w:themeColor="text1"/>
        </w:rPr>
        <w:t xml:space="preserve"> the number of board members who have the ‘green’ working experience or </w:t>
      </w:r>
      <w:r w:rsidR="001D3168" w:rsidRPr="00724CA2">
        <w:rPr>
          <w:rFonts w:ascii="Times New Roman" w:hAnsi="Times New Roman" w:cs="Times New Roman"/>
          <w:color w:val="000000" w:themeColor="text1"/>
        </w:rPr>
        <w:t>an</w:t>
      </w:r>
      <w:r w:rsidRPr="00724CA2">
        <w:rPr>
          <w:rFonts w:ascii="Times New Roman" w:hAnsi="Times New Roman" w:cs="Times New Roman"/>
          <w:color w:val="000000" w:themeColor="text1"/>
        </w:rPr>
        <w:t xml:space="preserve"> </w:t>
      </w:r>
      <w:r w:rsidR="001D3168" w:rsidRPr="00724CA2">
        <w:rPr>
          <w:rFonts w:ascii="Times New Roman" w:hAnsi="Times New Roman" w:cs="Times New Roman"/>
          <w:color w:val="000000" w:themeColor="text1"/>
        </w:rPr>
        <w:t xml:space="preserve">environmentally orientated </w:t>
      </w:r>
      <w:r w:rsidRPr="00724CA2">
        <w:rPr>
          <w:rFonts w:ascii="Times New Roman" w:hAnsi="Times New Roman" w:cs="Times New Roman"/>
          <w:color w:val="000000" w:themeColor="text1"/>
        </w:rPr>
        <w:t xml:space="preserve">academic degree. Green working experience or academic degree is </w:t>
      </w:r>
      <w:r w:rsidR="00726B89" w:rsidRPr="00724CA2">
        <w:rPr>
          <w:rFonts w:ascii="Times New Roman" w:hAnsi="Times New Roman" w:cs="Times New Roman"/>
          <w:color w:val="000000" w:themeColor="text1"/>
        </w:rPr>
        <w:t>documented</w:t>
      </w:r>
      <w:r w:rsidRPr="00724CA2">
        <w:rPr>
          <w:rFonts w:ascii="Times New Roman" w:hAnsi="Times New Roman" w:cs="Times New Roman"/>
          <w:color w:val="000000" w:themeColor="text1"/>
        </w:rPr>
        <w:t xml:space="preserve"> through </w:t>
      </w:r>
      <w:r w:rsidR="00433655" w:rsidRPr="00724CA2">
        <w:rPr>
          <w:rFonts w:ascii="Times New Roman" w:hAnsi="Times New Roman" w:cs="Times New Roman"/>
          <w:color w:val="000000" w:themeColor="text1"/>
        </w:rPr>
        <w:t xml:space="preserve">identifying </w:t>
      </w:r>
      <w:r w:rsidRPr="00724CA2">
        <w:rPr>
          <w:rFonts w:ascii="Times New Roman" w:hAnsi="Times New Roman" w:cs="Times New Roman"/>
          <w:color w:val="000000" w:themeColor="text1"/>
        </w:rPr>
        <w:t xml:space="preserve">the following keywords </w:t>
      </w:r>
      <w:r w:rsidR="00073BAE" w:rsidRPr="00724CA2">
        <w:rPr>
          <w:rFonts w:ascii="Times New Roman" w:hAnsi="Times New Roman" w:cs="Times New Roman"/>
          <w:color w:val="000000" w:themeColor="text1"/>
        </w:rPr>
        <w:t xml:space="preserve">within </w:t>
      </w:r>
      <w:r w:rsidRPr="00724CA2">
        <w:rPr>
          <w:rFonts w:ascii="Times New Roman" w:hAnsi="Times New Roman" w:cs="Times New Roman"/>
          <w:color w:val="000000" w:themeColor="text1"/>
        </w:rPr>
        <w:t>the board members’ background</w:t>
      </w:r>
      <w:r w:rsidR="006A4004" w:rsidRPr="00724CA2">
        <w:rPr>
          <w:rFonts w:ascii="Times New Roman" w:hAnsi="Times New Roman" w:cs="Times New Roman"/>
          <w:color w:val="000000" w:themeColor="text1"/>
        </w:rPr>
        <w:t xml:space="preserve">: </w:t>
      </w:r>
      <w:r w:rsidRPr="00724CA2">
        <w:rPr>
          <w:rFonts w:ascii="Times New Roman" w:hAnsi="Times New Roman" w:cs="Times New Roman"/>
          <w:color w:val="000000" w:themeColor="text1"/>
        </w:rPr>
        <w:t>environment, ecology, energy, energy saving, green, sustainability, pollution reduction, and biological</w:t>
      </w:r>
      <w:r w:rsidRPr="00724CA2">
        <w:rPr>
          <w:rFonts w:ascii="Times New Roman" w:hAnsi="Times New Roman" w:cs="Times New Roman"/>
          <w:color w:val="000000" w:themeColor="text1"/>
          <w:szCs w:val="20"/>
        </w:rPr>
        <w:t xml:space="preserve">. Year and industry fixed effects are included in all specifications. Robust standard errors, clustered at the industry level, are reported in parentheses. *, **, and *** represent significance at the 0.10, 0.05, and 0.01 levels, respectively. The </w:t>
      </w:r>
      <w:r w:rsidR="006A4004" w:rsidRPr="00724CA2">
        <w:rPr>
          <w:rFonts w:ascii="Times New Roman" w:hAnsi="Times New Roman" w:cs="Times New Roman"/>
          <w:color w:val="000000" w:themeColor="text1"/>
          <w:szCs w:val="20"/>
        </w:rPr>
        <w:t xml:space="preserve">variable </w:t>
      </w:r>
      <w:r w:rsidRPr="00724CA2">
        <w:rPr>
          <w:rFonts w:ascii="Times New Roman" w:hAnsi="Times New Roman" w:cs="Times New Roman"/>
          <w:color w:val="000000" w:themeColor="text1"/>
          <w:szCs w:val="20"/>
        </w:rPr>
        <w:t>definitions are summarized in Table 1.</w:t>
      </w:r>
    </w:p>
    <w:p w14:paraId="444F3D4E" w14:textId="6F2F0408" w:rsidR="00486C4A" w:rsidRPr="00724CA2" w:rsidRDefault="00486C4A">
      <w:pPr>
        <w:rPr>
          <w:rFonts w:ascii="Times New Roman" w:hAnsi="Times New Roman" w:cs="Times New Roman"/>
          <w:b/>
          <w:color w:val="000000" w:themeColor="text1"/>
          <w:sz w:val="24"/>
          <w:szCs w:val="24"/>
        </w:rPr>
      </w:pPr>
      <w:r w:rsidRPr="00724CA2">
        <w:rPr>
          <w:rFonts w:ascii="Times New Roman" w:hAnsi="Times New Roman" w:cs="Times New Roman"/>
          <w:b/>
          <w:color w:val="000000" w:themeColor="text1"/>
          <w:sz w:val="24"/>
          <w:szCs w:val="24"/>
        </w:rPr>
        <w:br w:type="page"/>
      </w:r>
    </w:p>
    <w:p w14:paraId="086D51B7" w14:textId="364D4302" w:rsidR="00486C4A" w:rsidRPr="00724CA2" w:rsidRDefault="00486C4A" w:rsidP="001149D6">
      <w:pPr>
        <w:spacing w:after="0" w:line="240" w:lineRule="auto"/>
        <w:rPr>
          <w:rFonts w:ascii="Times New Roman" w:hAnsi="Times New Roman" w:cs="Times New Roman"/>
          <w:bCs/>
          <w:color w:val="000000" w:themeColor="text1"/>
        </w:rPr>
      </w:pPr>
      <w:r w:rsidRPr="00724CA2">
        <w:rPr>
          <w:rFonts w:ascii="Times New Roman" w:hAnsi="Times New Roman" w:cs="Times New Roman"/>
          <w:b/>
          <w:color w:val="000000" w:themeColor="text1"/>
        </w:rPr>
        <w:t xml:space="preserve">Table 5 </w:t>
      </w:r>
      <w:r w:rsidRPr="00724CA2">
        <w:rPr>
          <w:rFonts w:ascii="Times New Roman" w:hAnsi="Times New Roman" w:cs="Times New Roman"/>
          <w:bCs/>
          <w:color w:val="000000" w:themeColor="text1"/>
        </w:rPr>
        <w:t>Endogeneity: Two-stage least squares method (2-SLS)</w:t>
      </w:r>
    </w:p>
    <w:tbl>
      <w:tblPr>
        <w:tblStyle w:val="TableGrid"/>
        <w:tblW w:w="9270" w:type="dxa"/>
        <w:jc w:val="center"/>
        <w:tblBorders>
          <w:top w:val="single" w:sz="12" w:space="0" w:color="auto"/>
          <w:bottom w:val="single" w:sz="12" w:space="0" w:color="auto"/>
          <w:insideH w:val="none" w:sz="0" w:space="0" w:color="auto"/>
          <w:insideV w:val="none" w:sz="0" w:space="0" w:color="auto"/>
        </w:tblBorders>
        <w:tblLayout w:type="fixed"/>
        <w:tblLook w:val="04A0" w:firstRow="1" w:lastRow="0" w:firstColumn="1" w:lastColumn="0" w:noHBand="0" w:noVBand="1"/>
      </w:tblPr>
      <w:tblGrid>
        <w:gridCol w:w="2901"/>
        <w:gridCol w:w="1273"/>
        <w:gridCol w:w="1274"/>
        <w:gridCol w:w="1274"/>
        <w:gridCol w:w="1274"/>
        <w:gridCol w:w="1274"/>
      </w:tblGrid>
      <w:tr w:rsidR="00724CA2" w:rsidRPr="00724CA2" w14:paraId="07C19D28" w14:textId="77777777" w:rsidTr="00E36E35">
        <w:trPr>
          <w:trHeight w:val="256"/>
          <w:jc w:val="center"/>
        </w:trPr>
        <w:tc>
          <w:tcPr>
            <w:tcW w:w="2901" w:type="dxa"/>
            <w:tcBorders>
              <w:top w:val="single" w:sz="12" w:space="0" w:color="auto"/>
              <w:bottom w:val="single" w:sz="4" w:space="0" w:color="auto"/>
            </w:tcBorders>
            <w:noWrap/>
            <w:vAlign w:val="center"/>
          </w:tcPr>
          <w:p w14:paraId="64E47DF8" w14:textId="77777777" w:rsidR="00486C4A" w:rsidRPr="00724CA2" w:rsidRDefault="00486C4A" w:rsidP="007B3E16">
            <w:pPr>
              <w:jc w:val="both"/>
              <w:rPr>
                <w:rFonts w:ascii="Times New Roman" w:hAnsi="Times New Roman" w:cs="Times New Roman"/>
                <w:color w:val="000000" w:themeColor="text1"/>
                <w:szCs w:val="21"/>
              </w:rPr>
            </w:pPr>
            <w:r w:rsidRPr="00724CA2">
              <w:rPr>
                <w:rFonts w:ascii="Times New Roman" w:hAnsi="Times New Roman" w:cs="Times New Roman"/>
                <w:color w:val="000000" w:themeColor="text1"/>
                <w:sz w:val="21"/>
                <w:szCs w:val="21"/>
                <w:lang w:val="en-US"/>
              </w:rPr>
              <w:t>Variables</w:t>
            </w:r>
          </w:p>
        </w:tc>
        <w:tc>
          <w:tcPr>
            <w:tcW w:w="1273" w:type="dxa"/>
            <w:tcBorders>
              <w:top w:val="single" w:sz="12" w:space="0" w:color="auto"/>
              <w:bottom w:val="single" w:sz="4" w:space="0" w:color="auto"/>
            </w:tcBorders>
            <w:noWrap/>
            <w:vAlign w:val="center"/>
          </w:tcPr>
          <w:p w14:paraId="2CC17E8B" w14:textId="77777777" w:rsidR="00486C4A" w:rsidRPr="00724CA2" w:rsidRDefault="00486C4A" w:rsidP="007B3E16">
            <w:pPr>
              <w:jc w:val="both"/>
              <w:rPr>
                <w:rFonts w:ascii="Times New Roman" w:hAnsi="Times New Roman" w:cs="Times New Roman"/>
                <w:color w:val="000000" w:themeColor="text1"/>
              </w:rPr>
            </w:pPr>
            <w:r w:rsidRPr="00724CA2">
              <w:rPr>
                <w:rFonts w:ascii="Times New Roman" w:hAnsi="Times New Roman" w:cs="Times New Roman"/>
                <w:color w:val="000000" w:themeColor="text1"/>
                <w:lang w:val="en-US"/>
              </w:rPr>
              <w:t>Model 1</w:t>
            </w:r>
          </w:p>
        </w:tc>
        <w:tc>
          <w:tcPr>
            <w:tcW w:w="1274" w:type="dxa"/>
            <w:tcBorders>
              <w:top w:val="single" w:sz="12" w:space="0" w:color="auto"/>
              <w:bottom w:val="single" w:sz="4" w:space="0" w:color="auto"/>
            </w:tcBorders>
            <w:noWrap/>
            <w:vAlign w:val="center"/>
          </w:tcPr>
          <w:p w14:paraId="1620601B" w14:textId="77777777" w:rsidR="00486C4A" w:rsidRPr="00724CA2" w:rsidRDefault="00486C4A" w:rsidP="007B3E16">
            <w:pPr>
              <w:jc w:val="both"/>
              <w:rPr>
                <w:rFonts w:ascii="Times New Roman" w:hAnsi="Times New Roman" w:cs="Times New Roman"/>
                <w:color w:val="000000" w:themeColor="text1"/>
              </w:rPr>
            </w:pPr>
            <w:r w:rsidRPr="00724CA2">
              <w:rPr>
                <w:rFonts w:ascii="Times New Roman" w:hAnsi="Times New Roman" w:cs="Times New Roman"/>
                <w:color w:val="000000" w:themeColor="text1"/>
                <w:lang w:val="en-US"/>
              </w:rPr>
              <w:t>Model 2</w:t>
            </w:r>
          </w:p>
        </w:tc>
        <w:tc>
          <w:tcPr>
            <w:tcW w:w="1274" w:type="dxa"/>
            <w:tcBorders>
              <w:top w:val="single" w:sz="12" w:space="0" w:color="auto"/>
              <w:bottom w:val="single" w:sz="4" w:space="0" w:color="auto"/>
            </w:tcBorders>
            <w:noWrap/>
            <w:vAlign w:val="center"/>
          </w:tcPr>
          <w:p w14:paraId="7313BBD4" w14:textId="77777777" w:rsidR="00486C4A" w:rsidRPr="00724CA2" w:rsidRDefault="00486C4A" w:rsidP="007B3E16">
            <w:pPr>
              <w:jc w:val="both"/>
              <w:rPr>
                <w:rFonts w:ascii="Times New Roman" w:hAnsi="Times New Roman" w:cs="Times New Roman"/>
                <w:color w:val="000000" w:themeColor="text1"/>
              </w:rPr>
            </w:pPr>
            <w:r w:rsidRPr="00724CA2">
              <w:rPr>
                <w:rFonts w:ascii="Times New Roman" w:hAnsi="Times New Roman" w:cs="Times New Roman"/>
                <w:color w:val="000000" w:themeColor="text1"/>
                <w:lang w:val="en-US"/>
              </w:rPr>
              <w:t>Model 3</w:t>
            </w:r>
          </w:p>
        </w:tc>
        <w:tc>
          <w:tcPr>
            <w:tcW w:w="1274" w:type="dxa"/>
            <w:tcBorders>
              <w:top w:val="single" w:sz="12" w:space="0" w:color="auto"/>
              <w:bottom w:val="single" w:sz="4" w:space="0" w:color="auto"/>
            </w:tcBorders>
            <w:noWrap/>
            <w:vAlign w:val="center"/>
          </w:tcPr>
          <w:p w14:paraId="5719B3EB" w14:textId="77777777" w:rsidR="00486C4A" w:rsidRPr="00724CA2" w:rsidRDefault="00486C4A" w:rsidP="007B3E16">
            <w:pPr>
              <w:jc w:val="both"/>
              <w:rPr>
                <w:rFonts w:ascii="Times New Roman" w:hAnsi="Times New Roman" w:cs="Times New Roman"/>
                <w:color w:val="000000" w:themeColor="text1"/>
              </w:rPr>
            </w:pPr>
            <w:r w:rsidRPr="00724CA2">
              <w:rPr>
                <w:rFonts w:ascii="Times New Roman" w:hAnsi="Times New Roman" w:cs="Times New Roman"/>
                <w:color w:val="000000" w:themeColor="text1"/>
                <w:lang w:val="en-US"/>
              </w:rPr>
              <w:t>Model 4</w:t>
            </w:r>
          </w:p>
        </w:tc>
        <w:tc>
          <w:tcPr>
            <w:tcW w:w="1274" w:type="dxa"/>
            <w:tcBorders>
              <w:top w:val="single" w:sz="12" w:space="0" w:color="auto"/>
              <w:bottom w:val="single" w:sz="4" w:space="0" w:color="auto"/>
            </w:tcBorders>
            <w:vAlign w:val="center"/>
          </w:tcPr>
          <w:p w14:paraId="10181A9C" w14:textId="77777777" w:rsidR="00486C4A" w:rsidRPr="00724CA2" w:rsidRDefault="00486C4A" w:rsidP="007B3E16">
            <w:pPr>
              <w:jc w:val="both"/>
              <w:rPr>
                <w:rFonts w:ascii="Times New Roman" w:hAnsi="Times New Roman" w:cs="Times New Roman"/>
                <w:color w:val="000000" w:themeColor="text1"/>
              </w:rPr>
            </w:pPr>
            <w:r w:rsidRPr="00724CA2">
              <w:rPr>
                <w:rFonts w:ascii="Times New Roman" w:hAnsi="Times New Roman" w:cs="Times New Roman"/>
                <w:color w:val="000000" w:themeColor="text1"/>
              </w:rPr>
              <w:t>Model 5</w:t>
            </w:r>
          </w:p>
        </w:tc>
      </w:tr>
      <w:tr w:rsidR="00724CA2" w:rsidRPr="00724CA2" w14:paraId="3E8F1BB3" w14:textId="77777777" w:rsidTr="00C15CE3">
        <w:trPr>
          <w:trHeight w:val="256"/>
          <w:jc w:val="center"/>
        </w:trPr>
        <w:tc>
          <w:tcPr>
            <w:tcW w:w="2901" w:type="dxa"/>
            <w:tcBorders>
              <w:top w:val="single" w:sz="4" w:space="0" w:color="auto"/>
            </w:tcBorders>
            <w:noWrap/>
            <w:vAlign w:val="center"/>
            <w:hideMark/>
          </w:tcPr>
          <w:p w14:paraId="29B6A9C6" w14:textId="7777777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Mutual fund</w:t>
            </w:r>
          </w:p>
        </w:tc>
        <w:tc>
          <w:tcPr>
            <w:tcW w:w="1273" w:type="dxa"/>
            <w:tcBorders>
              <w:top w:val="nil"/>
              <w:left w:val="nil"/>
              <w:bottom w:val="nil"/>
              <w:right w:val="nil"/>
            </w:tcBorders>
            <w:shd w:val="clear" w:color="auto" w:fill="auto"/>
            <w:noWrap/>
            <w:vAlign w:val="bottom"/>
          </w:tcPr>
          <w:p w14:paraId="5F9BEB24" w14:textId="5BBA3680"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4.213***</w:t>
            </w:r>
          </w:p>
        </w:tc>
        <w:tc>
          <w:tcPr>
            <w:tcW w:w="1274" w:type="dxa"/>
            <w:tcBorders>
              <w:top w:val="nil"/>
              <w:left w:val="nil"/>
              <w:bottom w:val="nil"/>
              <w:right w:val="nil"/>
            </w:tcBorders>
            <w:shd w:val="clear" w:color="auto" w:fill="auto"/>
            <w:noWrap/>
            <w:vAlign w:val="bottom"/>
          </w:tcPr>
          <w:p w14:paraId="7B98B897" w14:textId="0396FFE6"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4.236***</w:t>
            </w:r>
          </w:p>
        </w:tc>
        <w:tc>
          <w:tcPr>
            <w:tcW w:w="1274" w:type="dxa"/>
            <w:tcBorders>
              <w:top w:val="nil"/>
              <w:left w:val="nil"/>
              <w:bottom w:val="nil"/>
              <w:right w:val="nil"/>
            </w:tcBorders>
            <w:shd w:val="clear" w:color="auto" w:fill="auto"/>
            <w:noWrap/>
            <w:vAlign w:val="bottom"/>
          </w:tcPr>
          <w:p w14:paraId="2CEE6401" w14:textId="062AB430"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4.273***</w:t>
            </w:r>
          </w:p>
        </w:tc>
        <w:tc>
          <w:tcPr>
            <w:tcW w:w="1274" w:type="dxa"/>
            <w:tcBorders>
              <w:top w:val="nil"/>
              <w:left w:val="nil"/>
              <w:bottom w:val="nil"/>
              <w:right w:val="nil"/>
            </w:tcBorders>
            <w:shd w:val="clear" w:color="auto" w:fill="auto"/>
            <w:noWrap/>
            <w:vAlign w:val="bottom"/>
          </w:tcPr>
          <w:p w14:paraId="507F4A9C" w14:textId="1128799D"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2.618*</w:t>
            </w:r>
          </w:p>
        </w:tc>
        <w:tc>
          <w:tcPr>
            <w:tcW w:w="1274" w:type="dxa"/>
            <w:tcBorders>
              <w:top w:val="nil"/>
              <w:left w:val="nil"/>
              <w:bottom w:val="nil"/>
              <w:right w:val="nil"/>
            </w:tcBorders>
            <w:shd w:val="clear" w:color="auto" w:fill="auto"/>
            <w:vAlign w:val="bottom"/>
          </w:tcPr>
          <w:p w14:paraId="3E5E311E" w14:textId="77E7D2EF"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2.604*</w:t>
            </w:r>
          </w:p>
        </w:tc>
      </w:tr>
      <w:tr w:rsidR="00724CA2" w:rsidRPr="00724CA2" w14:paraId="019F1538" w14:textId="77777777" w:rsidTr="00C15CE3">
        <w:trPr>
          <w:trHeight w:val="256"/>
          <w:jc w:val="center"/>
        </w:trPr>
        <w:tc>
          <w:tcPr>
            <w:tcW w:w="2901" w:type="dxa"/>
            <w:noWrap/>
            <w:vAlign w:val="center"/>
            <w:hideMark/>
          </w:tcPr>
          <w:p w14:paraId="132666AA"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3" w:type="dxa"/>
            <w:tcBorders>
              <w:top w:val="nil"/>
              <w:left w:val="nil"/>
              <w:bottom w:val="nil"/>
              <w:right w:val="nil"/>
            </w:tcBorders>
            <w:shd w:val="clear" w:color="auto" w:fill="auto"/>
            <w:noWrap/>
            <w:vAlign w:val="bottom"/>
          </w:tcPr>
          <w:p w14:paraId="433D49EB" w14:textId="3114CD5D"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(1.248)</w:t>
            </w:r>
          </w:p>
        </w:tc>
        <w:tc>
          <w:tcPr>
            <w:tcW w:w="1274" w:type="dxa"/>
            <w:tcBorders>
              <w:top w:val="nil"/>
              <w:left w:val="nil"/>
              <w:bottom w:val="nil"/>
              <w:right w:val="nil"/>
            </w:tcBorders>
            <w:shd w:val="clear" w:color="auto" w:fill="auto"/>
            <w:noWrap/>
            <w:vAlign w:val="bottom"/>
          </w:tcPr>
          <w:p w14:paraId="2149A51F" w14:textId="444CF25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(1.251)</w:t>
            </w:r>
          </w:p>
        </w:tc>
        <w:tc>
          <w:tcPr>
            <w:tcW w:w="1274" w:type="dxa"/>
            <w:tcBorders>
              <w:top w:val="nil"/>
              <w:left w:val="nil"/>
              <w:bottom w:val="nil"/>
              <w:right w:val="nil"/>
            </w:tcBorders>
            <w:shd w:val="clear" w:color="auto" w:fill="auto"/>
            <w:noWrap/>
            <w:vAlign w:val="bottom"/>
          </w:tcPr>
          <w:p w14:paraId="21506D8E" w14:textId="4AA4250E"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(1.225)</w:t>
            </w:r>
          </w:p>
        </w:tc>
        <w:tc>
          <w:tcPr>
            <w:tcW w:w="1274" w:type="dxa"/>
            <w:tcBorders>
              <w:top w:val="nil"/>
              <w:left w:val="nil"/>
              <w:bottom w:val="nil"/>
              <w:right w:val="nil"/>
            </w:tcBorders>
            <w:shd w:val="clear" w:color="auto" w:fill="auto"/>
            <w:noWrap/>
            <w:vAlign w:val="bottom"/>
          </w:tcPr>
          <w:p w14:paraId="2587AB84" w14:textId="0FD2C935"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(1.403)</w:t>
            </w:r>
          </w:p>
        </w:tc>
        <w:tc>
          <w:tcPr>
            <w:tcW w:w="1274" w:type="dxa"/>
            <w:tcBorders>
              <w:top w:val="nil"/>
              <w:left w:val="nil"/>
              <w:bottom w:val="nil"/>
              <w:right w:val="nil"/>
            </w:tcBorders>
            <w:shd w:val="clear" w:color="auto" w:fill="auto"/>
            <w:vAlign w:val="bottom"/>
          </w:tcPr>
          <w:p w14:paraId="60CBB301" w14:textId="06777EFE"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(1.331)</w:t>
            </w:r>
          </w:p>
        </w:tc>
      </w:tr>
      <w:tr w:rsidR="00724CA2" w:rsidRPr="00724CA2" w14:paraId="47C8D8BF" w14:textId="77777777" w:rsidTr="00C15CE3">
        <w:trPr>
          <w:trHeight w:val="256"/>
          <w:jc w:val="center"/>
        </w:trPr>
        <w:tc>
          <w:tcPr>
            <w:tcW w:w="2901" w:type="dxa"/>
            <w:noWrap/>
            <w:vAlign w:val="center"/>
            <w:hideMark/>
          </w:tcPr>
          <w:p w14:paraId="4EFDAF61" w14:textId="7777777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Mutual fund*SOEs</w:t>
            </w:r>
          </w:p>
        </w:tc>
        <w:tc>
          <w:tcPr>
            <w:tcW w:w="1273" w:type="dxa"/>
            <w:tcBorders>
              <w:top w:val="nil"/>
              <w:left w:val="nil"/>
              <w:bottom w:val="nil"/>
              <w:right w:val="nil"/>
            </w:tcBorders>
            <w:shd w:val="clear" w:color="auto" w:fill="auto"/>
            <w:noWrap/>
            <w:vAlign w:val="bottom"/>
          </w:tcPr>
          <w:p w14:paraId="753DF241"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4" w:type="dxa"/>
            <w:tcBorders>
              <w:top w:val="nil"/>
              <w:left w:val="nil"/>
              <w:bottom w:val="nil"/>
              <w:right w:val="nil"/>
            </w:tcBorders>
            <w:shd w:val="clear" w:color="auto" w:fill="auto"/>
            <w:noWrap/>
            <w:vAlign w:val="bottom"/>
          </w:tcPr>
          <w:p w14:paraId="6483A0FF"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4" w:type="dxa"/>
            <w:tcBorders>
              <w:top w:val="nil"/>
              <w:left w:val="nil"/>
              <w:bottom w:val="nil"/>
              <w:right w:val="nil"/>
            </w:tcBorders>
            <w:shd w:val="clear" w:color="auto" w:fill="auto"/>
            <w:noWrap/>
            <w:vAlign w:val="bottom"/>
          </w:tcPr>
          <w:p w14:paraId="28C43A5E"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4" w:type="dxa"/>
            <w:tcBorders>
              <w:top w:val="nil"/>
              <w:left w:val="nil"/>
              <w:bottom w:val="nil"/>
              <w:right w:val="nil"/>
            </w:tcBorders>
            <w:shd w:val="clear" w:color="auto" w:fill="auto"/>
            <w:noWrap/>
            <w:vAlign w:val="bottom"/>
          </w:tcPr>
          <w:p w14:paraId="0AFFF8ED" w14:textId="55A062AF"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3.361***</w:t>
            </w:r>
          </w:p>
        </w:tc>
        <w:tc>
          <w:tcPr>
            <w:tcW w:w="1274" w:type="dxa"/>
            <w:tcBorders>
              <w:top w:val="nil"/>
              <w:left w:val="nil"/>
              <w:bottom w:val="nil"/>
              <w:right w:val="nil"/>
            </w:tcBorders>
            <w:shd w:val="clear" w:color="auto" w:fill="auto"/>
            <w:vAlign w:val="bottom"/>
          </w:tcPr>
          <w:p w14:paraId="18FD483C" w14:textId="77777777" w:rsidR="00F376E6" w:rsidRPr="00724CA2" w:rsidRDefault="00F376E6" w:rsidP="00F376E6">
            <w:pPr>
              <w:jc w:val="both"/>
              <w:rPr>
                <w:rFonts w:ascii="Times New Roman" w:hAnsi="Times New Roman" w:cs="Times New Roman"/>
                <w:color w:val="000000" w:themeColor="text1"/>
                <w:sz w:val="20"/>
                <w:szCs w:val="20"/>
              </w:rPr>
            </w:pPr>
          </w:p>
        </w:tc>
      </w:tr>
      <w:tr w:rsidR="00724CA2" w:rsidRPr="00724CA2" w14:paraId="02DD4886" w14:textId="77777777" w:rsidTr="00C15CE3">
        <w:trPr>
          <w:trHeight w:val="256"/>
          <w:jc w:val="center"/>
        </w:trPr>
        <w:tc>
          <w:tcPr>
            <w:tcW w:w="2901" w:type="dxa"/>
            <w:noWrap/>
            <w:vAlign w:val="center"/>
            <w:hideMark/>
          </w:tcPr>
          <w:p w14:paraId="7F300501"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3" w:type="dxa"/>
            <w:tcBorders>
              <w:top w:val="nil"/>
              <w:left w:val="nil"/>
              <w:bottom w:val="nil"/>
              <w:right w:val="nil"/>
            </w:tcBorders>
            <w:shd w:val="clear" w:color="auto" w:fill="auto"/>
            <w:noWrap/>
            <w:vAlign w:val="bottom"/>
          </w:tcPr>
          <w:p w14:paraId="703CED99"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4" w:type="dxa"/>
            <w:tcBorders>
              <w:top w:val="nil"/>
              <w:left w:val="nil"/>
              <w:bottom w:val="nil"/>
              <w:right w:val="nil"/>
            </w:tcBorders>
            <w:shd w:val="clear" w:color="auto" w:fill="auto"/>
            <w:noWrap/>
            <w:vAlign w:val="bottom"/>
          </w:tcPr>
          <w:p w14:paraId="6C73F8B2"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4" w:type="dxa"/>
            <w:tcBorders>
              <w:top w:val="nil"/>
              <w:left w:val="nil"/>
              <w:bottom w:val="nil"/>
              <w:right w:val="nil"/>
            </w:tcBorders>
            <w:shd w:val="clear" w:color="auto" w:fill="auto"/>
            <w:noWrap/>
            <w:vAlign w:val="bottom"/>
          </w:tcPr>
          <w:p w14:paraId="3818B715"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4" w:type="dxa"/>
            <w:tcBorders>
              <w:top w:val="nil"/>
              <w:left w:val="nil"/>
              <w:bottom w:val="nil"/>
              <w:right w:val="nil"/>
            </w:tcBorders>
            <w:shd w:val="clear" w:color="auto" w:fill="auto"/>
            <w:noWrap/>
            <w:vAlign w:val="bottom"/>
          </w:tcPr>
          <w:p w14:paraId="27346231" w14:textId="09EB44B4"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(0.676)</w:t>
            </w:r>
          </w:p>
        </w:tc>
        <w:tc>
          <w:tcPr>
            <w:tcW w:w="1274" w:type="dxa"/>
            <w:tcBorders>
              <w:top w:val="nil"/>
              <w:left w:val="nil"/>
              <w:bottom w:val="nil"/>
              <w:right w:val="nil"/>
            </w:tcBorders>
            <w:shd w:val="clear" w:color="auto" w:fill="auto"/>
            <w:vAlign w:val="bottom"/>
          </w:tcPr>
          <w:p w14:paraId="1FA7C92B" w14:textId="77777777" w:rsidR="00F376E6" w:rsidRPr="00724CA2" w:rsidRDefault="00F376E6" w:rsidP="00F376E6">
            <w:pPr>
              <w:jc w:val="both"/>
              <w:rPr>
                <w:rFonts w:ascii="Times New Roman" w:hAnsi="Times New Roman" w:cs="Times New Roman"/>
                <w:color w:val="000000" w:themeColor="text1"/>
                <w:sz w:val="20"/>
                <w:szCs w:val="20"/>
              </w:rPr>
            </w:pPr>
          </w:p>
        </w:tc>
      </w:tr>
      <w:tr w:rsidR="00724CA2" w:rsidRPr="00724CA2" w14:paraId="6150DDAB" w14:textId="77777777" w:rsidTr="00C15CE3">
        <w:trPr>
          <w:trHeight w:val="256"/>
          <w:jc w:val="center"/>
        </w:trPr>
        <w:tc>
          <w:tcPr>
            <w:tcW w:w="2901" w:type="dxa"/>
            <w:vMerge w:val="restart"/>
            <w:noWrap/>
            <w:vAlign w:val="center"/>
            <w:hideMark/>
          </w:tcPr>
          <w:p w14:paraId="7E33DE3E" w14:textId="77777777" w:rsidR="00F376E6" w:rsidRPr="00724CA2" w:rsidRDefault="00F376E6" w:rsidP="00F376E6">
            <w:pPr>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Mutual fund* Legal environment</w:t>
            </w:r>
          </w:p>
        </w:tc>
        <w:tc>
          <w:tcPr>
            <w:tcW w:w="1273" w:type="dxa"/>
            <w:tcBorders>
              <w:top w:val="nil"/>
              <w:left w:val="nil"/>
              <w:bottom w:val="nil"/>
              <w:right w:val="nil"/>
            </w:tcBorders>
            <w:shd w:val="clear" w:color="auto" w:fill="auto"/>
            <w:noWrap/>
            <w:vAlign w:val="bottom"/>
          </w:tcPr>
          <w:p w14:paraId="26E1FF1E"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4" w:type="dxa"/>
            <w:tcBorders>
              <w:top w:val="nil"/>
              <w:left w:val="nil"/>
              <w:bottom w:val="nil"/>
              <w:right w:val="nil"/>
            </w:tcBorders>
            <w:shd w:val="clear" w:color="auto" w:fill="auto"/>
            <w:noWrap/>
            <w:vAlign w:val="bottom"/>
          </w:tcPr>
          <w:p w14:paraId="4704DF6A"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4" w:type="dxa"/>
            <w:tcBorders>
              <w:top w:val="nil"/>
              <w:left w:val="nil"/>
              <w:bottom w:val="nil"/>
              <w:right w:val="nil"/>
            </w:tcBorders>
            <w:shd w:val="clear" w:color="auto" w:fill="auto"/>
            <w:noWrap/>
            <w:vAlign w:val="bottom"/>
          </w:tcPr>
          <w:p w14:paraId="20FBC438"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4" w:type="dxa"/>
            <w:tcBorders>
              <w:top w:val="nil"/>
              <w:left w:val="nil"/>
              <w:bottom w:val="nil"/>
              <w:right w:val="nil"/>
            </w:tcBorders>
            <w:shd w:val="clear" w:color="auto" w:fill="auto"/>
            <w:noWrap/>
            <w:vAlign w:val="bottom"/>
          </w:tcPr>
          <w:p w14:paraId="75A36298"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4" w:type="dxa"/>
            <w:tcBorders>
              <w:top w:val="nil"/>
              <w:left w:val="nil"/>
              <w:bottom w:val="nil"/>
              <w:right w:val="nil"/>
            </w:tcBorders>
            <w:shd w:val="clear" w:color="auto" w:fill="auto"/>
            <w:vAlign w:val="bottom"/>
          </w:tcPr>
          <w:p w14:paraId="180A61A6" w14:textId="15257E24"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0.521*</w:t>
            </w:r>
          </w:p>
        </w:tc>
      </w:tr>
      <w:tr w:rsidR="00724CA2" w:rsidRPr="00724CA2" w14:paraId="27280BF5" w14:textId="77777777" w:rsidTr="00C15CE3">
        <w:trPr>
          <w:trHeight w:val="256"/>
          <w:jc w:val="center"/>
        </w:trPr>
        <w:tc>
          <w:tcPr>
            <w:tcW w:w="2901" w:type="dxa"/>
            <w:vMerge/>
            <w:noWrap/>
            <w:vAlign w:val="center"/>
            <w:hideMark/>
          </w:tcPr>
          <w:p w14:paraId="7654C415"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3" w:type="dxa"/>
            <w:tcBorders>
              <w:top w:val="nil"/>
              <w:left w:val="nil"/>
              <w:bottom w:val="nil"/>
              <w:right w:val="nil"/>
            </w:tcBorders>
            <w:shd w:val="clear" w:color="auto" w:fill="auto"/>
            <w:noWrap/>
            <w:vAlign w:val="bottom"/>
          </w:tcPr>
          <w:p w14:paraId="2CF3471A"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4" w:type="dxa"/>
            <w:tcBorders>
              <w:top w:val="nil"/>
              <w:left w:val="nil"/>
              <w:bottom w:val="nil"/>
              <w:right w:val="nil"/>
            </w:tcBorders>
            <w:shd w:val="clear" w:color="auto" w:fill="auto"/>
            <w:noWrap/>
            <w:vAlign w:val="bottom"/>
          </w:tcPr>
          <w:p w14:paraId="0BFB7276"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4" w:type="dxa"/>
            <w:tcBorders>
              <w:top w:val="nil"/>
              <w:left w:val="nil"/>
              <w:bottom w:val="nil"/>
              <w:right w:val="nil"/>
            </w:tcBorders>
            <w:shd w:val="clear" w:color="auto" w:fill="auto"/>
            <w:noWrap/>
            <w:vAlign w:val="bottom"/>
          </w:tcPr>
          <w:p w14:paraId="4862CD51"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4" w:type="dxa"/>
            <w:tcBorders>
              <w:top w:val="nil"/>
              <w:left w:val="nil"/>
              <w:bottom w:val="nil"/>
              <w:right w:val="nil"/>
            </w:tcBorders>
            <w:shd w:val="clear" w:color="auto" w:fill="auto"/>
            <w:noWrap/>
            <w:vAlign w:val="bottom"/>
          </w:tcPr>
          <w:p w14:paraId="116B7BF6"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4" w:type="dxa"/>
            <w:tcBorders>
              <w:top w:val="nil"/>
              <w:left w:val="nil"/>
              <w:bottom w:val="nil"/>
              <w:right w:val="nil"/>
            </w:tcBorders>
            <w:shd w:val="clear" w:color="auto" w:fill="auto"/>
            <w:vAlign w:val="bottom"/>
          </w:tcPr>
          <w:p w14:paraId="637F568B" w14:textId="6A2825DA"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(0.250)</w:t>
            </w:r>
          </w:p>
        </w:tc>
      </w:tr>
      <w:tr w:rsidR="00724CA2" w:rsidRPr="00724CA2" w14:paraId="621C8DF1" w14:textId="77777777" w:rsidTr="00C15CE3">
        <w:trPr>
          <w:trHeight w:val="256"/>
          <w:jc w:val="center"/>
        </w:trPr>
        <w:tc>
          <w:tcPr>
            <w:tcW w:w="2901" w:type="dxa"/>
            <w:noWrap/>
            <w:vAlign w:val="center"/>
          </w:tcPr>
          <w:p w14:paraId="411B6D19" w14:textId="0EBE5FB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hint="eastAsia"/>
                <w:color w:val="000000" w:themeColor="text1"/>
                <w:sz w:val="20"/>
                <w:szCs w:val="20"/>
                <w:lang w:val="en-US"/>
              </w:rPr>
              <w:t>S</w:t>
            </w:r>
            <w:r w:rsidRPr="00724CA2">
              <w:rPr>
                <w:rFonts w:ascii="Times New Roman" w:hAnsi="Times New Roman" w:cs="Times New Roman"/>
                <w:color w:val="000000" w:themeColor="text1"/>
                <w:sz w:val="20"/>
                <w:szCs w:val="20"/>
                <w:lang w:val="en-US"/>
              </w:rPr>
              <w:t>ociety</w:t>
            </w:r>
          </w:p>
        </w:tc>
        <w:tc>
          <w:tcPr>
            <w:tcW w:w="1273" w:type="dxa"/>
            <w:tcBorders>
              <w:top w:val="nil"/>
              <w:left w:val="nil"/>
              <w:bottom w:val="nil"/>
              <w:right w:val="nil"/>
            </w:tcBorders>
            <w:shd w:val="clear" w:color="auto" w:fill="auto"/>
            <w:noWrap/>
            <w:vAlign w:val="bottom"/>
          </w:tcPr>
          <w:p w14:paraId="54352E40" w14:textId="214107F2"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0.014**</w:t>
            </w:r>
          </w:p>
        </w:tc>
        <w:tc>
          <w:tcPr>
            <w:tcW w:w="1274" w:type="dxa"/>
            <w:tcBorders>
              <w:top w:val="nil"/>
              <w:left w:val="nil"/>
              <w:bottom w:val="nil"/>
              <w:right w:val="nil"/>
            </w:tcBorders>
            <w:shd w:val="clear" w:color="auto" w:fill="auto"/>
            <w:noWrap/>
            <w:vAlign w:val="bottom"/>
          </w:tcPr>
          <w:p w14:paraId="173C22BF" w14:textId="56DA8A08"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0.014**</w:t>
            </w:r>
          </w:p>
        </w:tc>
        <w:tc>
          <w:tcPr>
            <w:tcW w:w="1274" w:type="dxa"/>
            <w:tcBorders>
              <w:top w:val="nil"/>
              <w:left w:val="nil"/>
              <w:bottom w:val="nil"/>
              <w:right w:val="nil"/>
            </w:tcBorders>
            <w:shd w:val="clear" w:color="auto" w:fill="auto"/>
            <w:noWrap/>
            <w:vAlign w:val="bottom"/>
          </w:tcPr>
          <w:p w14:paraId="790DB686" w14:textId="18EE3AD0"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0.014**</w:t>
            </w:r>
          </w:p>
        </w:tc>
        <w:tc>
          <w:tcPr>
            <w:tcW w:w="1274" w:type="dxa"/>
            <w:tcBorders>
              <w:top w:val="nil"/>
              <w:left w:val="nil"/>
              <w:bottom w:val="nil"/>
              <w:right w:val="nil"/>
            </w:tcBorders>
            <w:shd w:val="clear" w:color="auto" w:fill="auto"/>
            <w:noWrap/>
            <w:vAlign w:val="bottom"/>
          </w:tcPr>
          <w:p w14:paraId="1E203B47" w14:textId="0652F23E"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0.014**</w:t>
            </w:r>
          </w:p>
        </w:tc>
        <w:tc>
          <w:tcPr>
            <w:tcW w:w="1274" w:type="dxa"/>
            <w:tcBorders>
              <w:top w:val="nil"/>
              <w:left w:val="nil"/>
              <w:bottom w:val="nil"/>
              <w:right w:val="nil"/>
            </w:tcBorders>
            <w:shd w:val="clear" w:color="auto" w:fill="auto"/>
            <w:vAlign w:val="bottom"/>
          </w:tcPr>
          <w:p w14:paraId="558ECB5D" w14:textId="3723DC3C"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0.014**</w:t>
            </w:r>
          </w:p>
        </w:tc>
      </w:tr>
      <w:tr w:rsidR="00724CA2" w:rsidRPr="00724CA2" w14:paraId="75CC97F0" w14:textId="77777777" w:rsidTr="00C15CE3">
        <w:trPr>
          <w:trHeight w:val="256"/>
          <w:jc w:val="center"/>
        </w:trPr>
        <w:tc>
          <w:tcPr>
            <w:tcW w:w="2901" w:type="dxa"/>
            <w:noWrap/>
            <w:vAlign w:val="center"/>
          </w:tcPr>
          <w:p w14:paraId="7C7E4A9D"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3" w:type="dxa"/>
            <w:tcBorders>
              <w:top w:val="nil"/>
              <w:left w:val="nil"/>
              <w:bottom w:val="nil"/>
              <w:right w:val="nil"/>
            </w:tcBorders>
            <w:shd w:val="clear" w:color="auto" w:fill="auto"/>
            <w:noWrap/>
            <w:vAlign w:val="bottom"/>
          </w:tcPr>
          <w:p w14:paraId="140150BD" w14:textId="75C4CDF9"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(0.005)</w:t>
            </w:r>
          </w:p>
        </w:tc>
        <w:tc>
          <w:tcPr>
            <w:tcW w:w="1274" w:type="dxa"/>
            <w:tcBorders>
              <w:top w:val="nil"/>
              <w:left w:val="nil"/>
              <w:bottom w:val="nil"/>
              <w:right w:val="nil"/>
            </w:tcBorders>
            <w:shd w:val="clear" w:color="auto" w:fill="auto"/>
            <w:noWrap/>
            <w:vAlign w:val="bottom"/>
          </w:tcPr>
          <w:p w14:paraId="11832520" w14:textId="1A1EC40B"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(0.005)</w:t>
            </w:r>
          </w:p>
        </w:tc>
        <w:tc>
          <w:tcPr>
            <w:tcW w:w="1274" w:type="dxa"/>
            <w:tcBorders>
              <w:top w:val="nil"/>
              <w:left w:val="nil"/>
              <w:bottom w:val="nil"/>
              <w:right w:val="nil"/>
            </w:tcBorders>
            <w:shd w:val="clear" w:color="auto" w:fill="auto"/>
            <w:noWrap/>
            <w:vAlign w:val="bottom"/>
          </w:tcPr>
          <w:p w14:paraId="6F33F485" w14:textId="295393C4"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(0.005)</w:t>
            </w:r>
          </w:p>
        </w:tc>
        <w:tc>
          <w:tcPr>
            <w:tcW w:w="1274" w:type="dxa"/>
            <w:tcBorders>
              <w:top w:val="nil"/>
              <w:left w:val="nil"/>
              <w:bottom w:val="nil"/>
              <w:right w:val="nil"/>
            </w:tcBorders>
            <w:shd w:val="clear" w:color="auto" w:fill="auto"/>
            <w:noWrap/>
            <w:vAlign w:val="bottom"/>
          </w:tcPr>
          <w:p w14:paraId="37387F7D" w14:textId="0658A1C5"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(0.006)</w:t>
            </w:r>
          </w:p>
        </w:tc>
        <w:tc>
          <w:tcPr>
            <w:tcW w:w="1274" w:type="dxa"/>
            <w:tcBorders>
              <w:top w:val="nil"/>
              <w:left w:val="nil"/>
              <w:bottom w:val="nil"/>
              <w:right w:val="nil"/>
            </w:tcBorders>
            <w:shd w:val="clear" w:color="auto" w:fill="auto"/>
            <w:vAlign w:val="bottom"/>
          </w:tcPr>
          <w:p w14:paraId="0D7FAAEA" w14:textId="1142B4B2"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(0.005)</w:t>
            </w:r>
          </w:p>
        </w:tc>
      </w:tr>
      <w:tr w:rsidR="00724CA2" w:rsidRPr="00724CA2" w14:paraId="5B7AC00C" w14:textId="77777777" w:rsidTr="00C15CE3">
        <w:trPr>
          <w:trHeight w:val="256"/>
          <w:jc w:val="center"/>
        </w:trPr>
        <w:tc>
          <w:tcPr>
            <w:tcW w:w="2901" w:type="dxa"/>
            <w:noWrap/>
            <w:vAlign w:val="center"/>
          </w:tcPr>
          <w:p w14:paraId="44EDD696" w14:textId="386A9D56"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hint="eastAsia"/>
                <w:color w:val="000000" w:themeColor="text1"/>
                <w:sz w:val="20"/>
                <w:szCs w:val="20"/>
                <w:lang w:val="en-US"/>
              </w:rPr>
              <w:t>G</w:t>
            </w:r>
            <w:r w:rsidRPr="00724CA2">
              <w:rPr>
                <w:rFonts w:ascii="Times New Roman" w:hAnsi="Times New Roman" w:cs="Times New Roman"/>
                <w:color w:val="000000" w:themeColor="text1"/>
                <w:sz w:val="20"/>
                <w:szCs w:val="20"/>
                <w:lang w:val="en-US"/>
              </w:rPr>
              <w:t>overnance</w:t>
            </w:r>
          </w:p>
        </w:tc>
        <w:tc>
          <w:tcPr>
            <w:tcW w:w="1273" w:type="dxa"/>
            <w:tcBorders>
              <w:top w:val="nil"/>
              <w:left w:val="nil"/>
              <w:bottom w:val="nil"/>
              <w:right w:val="nil"/>
            </w:tcBorders>
            <w:shd w:val="clear" w:color="auto" w:fill="auto"/>
            <w:noWrap/>
            <w:vAlign w:val="bottom"/>
          </w:tcPr>
          <w:p w14:paraId="734E10D4" w14:textId="471AD7FF"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0.031***</w:t>
            </w:r>
          </w:p>
        </w:tc>
        <w:tc>
          <w:tcPr>
            <w:tcW w:w="1274" w:type="dxa"/>
            <w:tcBorders>
              <w:top w:val="nil"/>
              <w:left w:val="nil"/>
              <w:bottom w:val="nil"/>
              <w:right w:val="nil"/>
            </w:tcBorders>
            <w:shd w:val="clear" w:color="auto" w:fill="auto"/>
            <w:noWrap/>
            <w:vAlign w:val="bottom"/>
          </w:tcPr>
          <w:p w14:paraId="14E89B24" w14:textId="6BDD287A"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0.031***</w:t>
            </w:r>
          </w:p>
        </w:tc>
        <w:tc>
          <w:tcPr>
            <w:tcW w:w="1274" w:type="dxa"/>
            <w:tcBorders>
              <w:top w:val="nil"/>
              <w:left w:val="nil"/>
              <w:bottom w:val="nil"/>
              <w:right w:val="nil"/>
            </w:tcBorders>
            <w:shd w:val="clear" w:color="auto" w:fill="auto"/>
            <w:noWrap/>
            <w:vAlign w:val="bottom"/>
          </w:tcPr>
          <w:p w14:paraId="3A946CF3" w14:textId="1E66BE2B"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0.031***</w:t>
            </w:r>
          </w:p>
        </w:tc>
        <w:tc>
          <w:tcPr>
            <w:tcW w:w="1274" w:type="dxa"/>
            <w:tcBorders>
              <w:top w:val="nil"/>
              <w:left w:val="nil"/>
              <w:bottom w:val="nil"/>
              <w:right w:val="nil"/>
            </w:tcBorders>
            <w:shd w:val="clear" w:color="auto" w:fill="auto"/>
            <w:noWrap/>
            <w:vAlign w:val="bottom"/>
          </w:tcPr>
          <w:p w14:paraId="6B247AF2" w14:textId="669A362F"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0.030***</w:t>
            </w:r>
          </w:p>
        </w:tc>
        <w:tc>
          <w:tcPr>
            <w:tcW w:w="1274" w:type="dxa"/>
            <w:tcBorders>
              <w:top w:val="nil"/>
              <w:left w:val="nil"/>
              <w:bottom w:val="nil"/>
              <w:right w:val="nil"/>
            </w:tcBorders>
            <w:shd w:val="clear" w:color="auto" w:fill="auto"/>
            <w:vAlign w:val="bottom"/>
          </w:tcPr>
          <w:p w14:paraId="718D797E" w14:textId="451D9C9D"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0.031***</w:t>
            </w:r>
          </w:p>
        </w:tc>
      </w:tr>
      <w:tr w:rsidR="00724CA2" w:rsidRPr="00724CA2" w14:paraId="693FD761" w14:textId="77777777" w:rsidTr="00C15CE3">
        <w:trPr>
          <w:trHeight w:val="256"/>
          <w:jc w:val="center"/>
        </w:trPr>
        <w:tc>
          <w:tcPr>
            <w:tcW w:w="2901" w:type="dxa"/>
            <w:noWrap/>
            <w:vAlign w:val="center"/>
          </w:tcPr>
          <w:p w14:paraId="0F266E25"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3" w:type="dxa"/>
            <w:tcBorders>
              <w:top w:val="nil"/>
              <w:left w:val="nil"/>
              <w:bottom w:val="nil"/>
              <w:right w:val="nil"/>
            </w:tcBorders>
            <w:shd w:val="clear" w:color="auto" w:fill="auto"/>
            <w:noWrap/>
            <w:vAlign w:val="bottom"/>
          </w:tcPr>
          <w:p w14:paraId="505C367D" w14:textId="1C0E1053"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(0.009)</w:t>
            </w:r>
          </w:p>
        </w:tc>
        <w:tc>
          <w:tcPr>
            <w:tcW w:w="1274" w:type="dxa"/>
            <w:tcBorders>
              <w:top w:val="nil"/>
              <w:left w:val="nil"/>
              <w:bottom w:val="nil"/>
              <w:right w:val="nil"/>
            </w:tcBorders>
            <w:shd w:val="clear" w:color="auto" w:fill="auto"/>
            <w:noWrap/>
            <w:vAlign w:val="bottom"/>
          </w:tcPr>
          <w:p w14:paraId="7CA34A53" w14:textId="6294F919"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(0.009)</w:t>
            </w:r>
          </w:p>
        </w:tc>
        <w:tc>
          <w:tcPr>
            <w:tcW w:w="1274" w:type="dxa"/>
            <w:tcBorders>
              <w:top w:val="nil"/>
              <w:left w:val="nil"/>
              <w:bottom w:val="nil"/>
              <w:right w:val="nil"/>
            </w:tcBorders>
            <w:shd w:val="clear" w:color="auto" w:fill="auto"/>
            <w:noWrap/>
            <w:vAlign w:val="bottom"/>
          </w:tcPr>
          <w:p w14:paraId="1F674818" w14:textId="08250FB9"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(0.009)</w:t>
            </w:r>
          </w:p>
        </w:tc>
        <w:tc>
          <w:tcPr>
            <w:tcW w:w="1274" w:type="dxa"/>
            <w:tcBorders>
              <w:top w:val="nil"/>
              <w:left w:val="nil"/>
              <w:bottom w:val="nil"/>
              <w:right w:val="nil"/>
            </w:tcBorders>
            <w:shd w:val="clear" w:color="auto" w:fill="auto"/>
            <w:noWrap/>
            <w:vAlign w:val="bottom"/>
          </w:tcPr>
          <w:p w14:paraId="58457099" w14:textId="10D8E54E"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(0.009)</w:t>
            </w:r>
          </w:p>
        </w:tc>
        <w:tc>
          <w:tcPr>
            <w:tcW w:w="1274" w:type="dxa"/>
            <w:tcBorders>
              <w:top w:val="nil"/>
              <w:left w:val="nil"/>
              <w:bottom w:val="nil"/>
              <w:right w:val="nil"/>
            </w:tcBorders>
            <w:shd w:val="clear" w:color="auto" w:fill="auto"/>
            <w:vAlign w:val="bottom"/>
          </w:tcPr>
          <w:p w14:paraId="7AFD7A0A" w14:textId="6BE1A48B"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(0.009)</w:t>
            </w:r>
          </w:p>
        </w:tc>
      </w:tr>
      <w:tr w:rsidR="00724CA2" w:rsidRPr="00724CA2" w14:paraId="0EFC2803" w14:textId="77777777" w:rsidTr="00C15CE3">
        <w:trPr>
          <w:trHeight w:val="256"/>
          <w:jc w:val="center"/>
        </w:trPr>
        <w:tc>
          <w:tcPr>
            <w:tcW w:w="2901" w:type="dxa"/>
            <w:noWrap/>
            <w:vAlign w:val="center"/>
            <w:hideMark/>
          </w:tcPr>
          <w:p w14:paraId="465F7A57" w14:textId="7777777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Duality</w:t>
            </w:r>
          </w:p>
        </w:tc>
        <w:tc>
          <w:tcPr>
            <w:tcW w:w="1273" w:type="dxa"/>
            <w:tcBorders>
              <w:top w:val="nil"/>
              <w:left w:val="nil"/>
              <w:bottom w:val="nil"/>
              <w:right w:val="nil"/>
            </w:tcBorders>
            <w:shd w:val="clear" w:color="auto" w:fill="auto"/>
            <w:noWrap/>
            <w:vAlign w:val="bottom"/>
          </w:tcPr>
          <w:p w14:paraId="57E52842" w14:textId="21C2D13A"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0.250</w:t>
            </w:r>
          </w:p>
        </w:tc>
        <w:tc>
          <w:tcPr>
            <w:tcW w:w="1274" w:type="dxa"/>
            <w:tcBorders>
              <w:top w:val="nil"/>
              <w:left w:val="nil"/>
              <w:bottom w:val="nil"/>
              <w:right w:val="nil"/>
            </w:tcBorders>
            <w:shd w:val="clear" w:color="auto" w:fill="auto"/>
            <w:noWrap/>
            <w:vAlign w:val="bottom"/>
          </w:tcPr>
          <w:p w14:paraId="0D463EDA" w14:textId="684F27FF"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0.250</w:t>
            </w:r>
          </w:p>
        </w:tc>
        <w:tc>
          <w:tcPr>
            <w:tcW w:w="1274" w:type="dxa"/>
            <w:tcBorders>
              <w:top w:val="nil"/>
              <w:left w:val="nil"/>
              <w:bottom w:val="nil"/>
              <w:right w:val="nil"/>
            </w:tcBorders>
            <w:shd w:val="clear" w:color="auto" w:fill="auto"/>
            <w:noWrap/>
            <w:vAlign w:val="bottom"/>
          </w:tcPr>
          <w:p w14:paraId="5AE5E0A0" w14:textId="04D930FF"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0.250</w:t>
            </w:r>
          </w:p>
        </w:tc>
        <w:tc>
          <w:tcPr>
            <w:tcW w:w="1274" w:type="dxa"/>
            <w:tcBorders>
              <w:top w:val="nil"/>
              <w:left w:val="nil"/>
              <w:bottom w:val="nil"/>
              <w:right w:val="nil"/>
            </w:tcBorders>
            <w:shd w:val="clear" w:color="auto" w:fill="auto"/>
            <w:noWrap/>
            <w:vAlign w:val="bottom"/>
          </w:tcPr>
          <w:p w14:paraId="3FE73324" w14:textId="04FD5CC9"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0.264*</w:t>
            </w:r>
          </w:p>
        </w:tc>
        <w:tc>
          <w:tcPr>
            <w:tcW w:w="1274" w:type="dxa"/>
            <w:tcBorders>
              <w:top w:val="nil"/>
              <w:left w:val="nil"/>
              <w:bottom w:val="nil"/>
              <w:right w:val="nil"/>
            </w:tcBorders>
            <w:shd w:val="clear" w:color="auto" w:fill="auto"/>
            <w:vAlign w:val="bottom"/>
          </w:tcPr>
          <w:p w14:paraId="23A1BDD4" w14:textId="7009C770"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0.235</w:t>
            </w:r>
          </w:p>
        </w:tc>
      </w:tr>
      <w:tr w:rsidR="00724CA2" w:rsidRPr="00724CA2" w14:paraId="5248930D" w14:textId="77777777" w:rsidTr="00C15CE3">
        <w:trPr>
          <w:trHeight w:val="256"/>
          <w:jc w:val="center"/>
        </w:trPr>
        <w:tc>
          <w:tcPr>
            <w:tcW w:w="2901" w:type="dxa"/>
            <w:noWrap/>
            <w:vAlign w:val="center"/>
            <w:hideMark/>
          </w:tcPr>
          <w:p w14:paraId="7A97C531"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3" w:type="dxa"/>
            <w:tcBorders>
              <w:top w:val="nil"/>
              <w:left w:val="nil"/>
              <w:bottom w:val="nil"/>
              <w:right w:val="nil"/>
            </w:tcBorders>
            <w:shd w:val="clear" w:color="auto" w:fill="auto"/>
            <w:noWrap/>
            <w:vAlign w:val="bottom"/>
          </w:tcPr>
          <w:p w14:paraId="2B74DB4B" w14:textId="05693045"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(0.162)</w:t>
            </w:r>
          </w:p>
        </w:tc>
        <w:tc>
          <w:tcPr>
            <w:tcW w:w="1274" w:type="dxa"/>
            <w:tcBorders>
              <w:top w:val="nil"/>
              <w:left w:val="nil"/>
              <w:bottom w:val="nil"/>
              <w:right w:val="nil"/>
            </w:tcBorders>
            <w:shd w:val="clear" w:color="auto" w:fill="auto"/>
            <w:noWrap/>
            <w:vAlign w:val="bottom"/>
          </w:tcPr>
          <w:p w14:paraId="3D0D94B4" w14:textId="18617CE2"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(0.162)</w:t>
            </w:r>
          </w:p>
        </w:tc>
        <w:tc>
          <w:tcPr>
            <w:tcW w:w="1274" w:type="dxa"/>
            <w:tcBorders>
              <w:top w:val="nil"/>
              <w:left w:val="nil"/>
              <w:bottom w:val="nil"/>
              <w:right w:val="nil"/>
            </w:tcBorders>
            <w:shd w:val="clear" w:color="auto" w:fill="auto"/>
            <w:noWrap/>
            <w:vAlign w:val="bottom"/>
          </w:tcPr>
          <w:p w14:paraId="4D0E89AB" w14:textId="0784531A"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(0.162)</w:t>
            </w:r>
          </w:p>
        </w:tc>
        <w:tc>
          <w:tcPr>
            <w:tcW w:w="1274" w:type="dxa"/>
            <w:tcBorders>
              <w:top w:val="nil"/>
              <w:left w:val="nil"/>
              <w:bottom w:val="nil"/>
              <w:right w:val="nil"/>
            </w:tcBorders>
            <w:shd w:val="clear" w:color="auto" w:fill="auto"/>
            <w:noWrap/>
            <w:vAlign w:val="bottom"/>
          </w:tcPr>
          <w:p w14:paraId="41C43B83" w14:textId="6D7A80D1"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(0.148)</w:t>
            </w:r>
          </w:p>
        </w:tc>
        <w:tc>
          <w:tcPr>
            <w:tcW w:w="1274" w:type="dxa"/>
            <w:tcBorders>
              <w:top w:val="nil"/>
              <w:left w:val="nil"/>
              <w:bottom w:val="nil"/>
              <w:right w:val="nil"/>
            </w:tcBorders>
            <w:shd w:val="clear" w:color="auto" w:fill="auto"/>
            <w:vAlign w:val="bottom"/>
          </w:tcPr>
          <w:p w14:paraId="202BFAFE" w14:textId="7079B699"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(0.165)</w:t>
            </w:r>
          </w:p>
        </w:tc>
      </w:tr>
      <w:tr w:rsidR="00724CA2" w:rsidRPr="00724CA2" w14:paraId="11E664ED" w14:textId="77777777" w:rsidTr="00C15CE3">
        <w:trPr>
          <w:trHeight w:val="256"/>
          <w:jc w:val="center"/>
        </w:trPr>
        <w:tc>
          <w:tcPr>
            <w:tcW w:w="2901" w:type="dxa"/>
            <w:noWrap/>
            <w:vAlign w:val="center"/>
            <w:hideMark/>
          </w:tcPr>
          <w:p w14:paraId="453E3D14" w14:textId="7777777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Independence</w:t>
            </w:r>
          </w:p>
        </w:tc>
        <w:tc>
          <w:tcPr>
            <w:tcW w:w="1273" w:type="dxa"/>
            <w:tcBorders>
              <w:top w:val="nil"/>
              <w:left w:val="nil"/>
              <w:bottom w:val="nil"/>
              <w:right w:val="nil"/>
            </w:tcBorders>
            <w:shd w:val="clear" w:color="auto" w:fill="auto"/>
            <w:noWrap/>
            <w:vAlign w:val="bottom"/>
          </w:tcPr>
          <w:p w14:paraId="7FB9FC8E" w14:textId="41FD8836"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0.897</w:t>
            </w:r>
          </w:p>
        </w:tc>
        <w:tc>
          <w:tcPr>
            <w:tcW w:w="1274" w:type="dxa"/>
            <w:tcBorders>
              <w:top w:val="nil"/>
              <w:left w:val="nil"/>
              <w:bottom w:val="nil"/>
              <w:right w:val="nil"/>
            </w:tcBorders>
            <w:shd w:val="clear" w:color="auto" w:fill="auto"/>
            <w:noWrap/>
            <w:vAlign w:val="bottom"/>
          </w:tcPr>
          <w:p w14:paraId="1D1AE10E" w14:textId="030BCE46"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0.897</w:t>
            </w:r>
          </w:p>
        </w:tc>
        <w:tc>
          <w:tcPr>
            <w:tcW w:w="1274" w:type="dxa"/>
            <w:tcBorders>
              <w:top w:val="nil"/>
              <w:left w:val="nil"/>
              <w:bottom w:val="nil"/>
              <w:right w:val="nil"/>
            </w:tcBorders>
            <w:shd w:val="clear" w:color="auto" w:fill="auto"/>
            <w:noWrap/>
            <w:vAlign w:val="bottom"/>
          </w:tcPr>
          <w:p w14:paraId="2B38872A" w14:textId="3272944F"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0.897</w:t>
            </w:r>
          </w:p>
        </w:tc>
        <w:tc>
          <w:tcPr>
            <w:tcW w:w="1274" w:type="dxa"/>
            <w:tcBorders>
              <w:top w:val="nil"/>
              <w:left w:val="nil"/>
              <w:bottom w:val="nil"/>
              <w:right w:val="nil"/>
            </w:tcBorders>
            <w:shd w:val="clear" w:color="auto" w:fill="auto"/>
            <w:noWrap/>
            <w:vAlign w:val="bottom"/>
          </w:tcPr>
          <w:p w14:paraId="32A62F20" w14:textId="3A17FEF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0.896</w:t>
            </w:r>
          </w:p>
        </w:tc>
        <w:tc>
          <w:tcPr>
            <w:tcW w:w="1274" w:type="dxa"/>
            <w:tcBorders>
              <w:top w:val="nil"/>
              <w:left w:val="nil"/>
              <w:bottom w:val="nil"/>
              <w:right w:val="nil"/>
            </w:tcBorders>
            <w:shd w:val="clear" w:color="auto" w:fill="auto"/>
            <w:vAlign w:val="bottom"/>
          </w:tcPr>
          <w:p w14:paraId="2C6AA270" w14:textId="35CF87B7"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0.825</w:t>
            </w:r>
          </w:p>
        </w:tc>
      </w:tr>
      <w:tr w:rsidR="00724CA2" w:rsidRPr="00724CA2" w14:paraId="787C46B3" w14:textId="77777777" w:rsidTr="00C15CE3">
        <w:trPr>
          <w:trHeight w:val="256"/>
          <w:jc w:val="center"/>
        </w:trPr>
        <w:tc>
          <w:tcPr>
            <w:tcW w:w="2901" w:type="dxa"/>
            <w:noWrap/>
            <w:vAlign w:val="center"/>
            <w:hideMark/>
          </w:tcPr>
          <w:p w14:paraId="4EBAA174"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3" w:type="dxa"/>
            <w:tcBorders>
              <w:top w:val="nil"/>
              <w:left w:val="nil"/>
              <w:bottom w:val="nil"/>
              <w:right w:val="nil"/>
            </w:tcBorders>
            <w:shd w:val="clear" w:color="auto" w:fill="auto"/>
            <w:noWrap/>
            <w:vAlign w:val="bottom"/>
          </w:tcPr>
          <w:p w14:paraId="68D0B24F" w14:textId="22364E69"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(1.022)</w:t>
            </w:r>
          </w:p>
        </w:tc>
        <w:tc>
          <w:tcPr>
            <w:tcW w:w="1274" w:type="dxa"/>
            <w:tcBorders>
              <w:top w:val="nil"/>
              <w:left w:val="nil"/>
              <w:bottom w:val="nil"/>
              <w:right w:val="nil"/>
            </w:tcBorders>
            <w:shd w:val="clear" w:color="auto" w:fill="auto"/>
            <w:noWrap/>
            <w:vAlign w:val="bottom"/>
          </w:tcPr>
          <w:p w14:paraId="2955725E" w14:textId="588478E0"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(1.021)</w:t>
            </w:r>
          </w:p>
        </w:tc>
        <w:tc>
          <w:tcPr>
            <w:tcW w:w="1274" w:type="dxa"/>
            <w:tcBorders>
              <w:top w:val="nil"/>
              <w:left w:val="nil"/>
              <w:bottom w:val="nil"/>
              <w:right w:val="nil"/>
            </w:tcBorders>
            <w:shd w:val="clear" w:color="auto" w:fill="auto"/>
            <w:noWrap/>
            <w:vAlign w:val="bottom"/>
          </w:tcPr>
          <w:p w14:paraId="4E1148AE" w14:textId="32997039"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(1.022)</w:t>
            </w:r>
          </w:p>
        </w:tc>
        <w:tc>
          <w:tcPr>
            <w:tcW w:w="1274" w:type="dxa"/>
            <w:tcBorders>
              <w:top w:val="nil"/>
              <w:left w:val="nil"/>
              <w:bottom w:val="nil"/>
              <w:right w:val="nil"/>
            </w:tcBorders>
            <w:shd w:val="clear" w:color="auto" w:fill="auto"/>
            <w:noWrap/>
            <w:vAlign w:val="bottom"/>
          </w:tcPr>
          <w:p w14:paraId="081E0E76" w14:textId="308C14AC"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(1.019)</w:t>
            </w:r>
          </w:p>
        </w:tc>
        <w:tc>
          <w:tcPr>
            <w:tcW w:w="1274" w:type="dxa"/>
            <w:tcBorders>
              <w:top w:val="nil"/>
              <w:left w:val="nil"/>
              <w:bottom w:val="nil"/>
              <w:right w:val="nil"/>
            </w:tcBorders>
            <w:shd w:val="clear" w:color="auto" w:fill="auto"/>
            <w:vAlign w:val="bottom"/>
          </w:tcPr>
          <w:p w14:paraId="041D70C7" w14:textId="2553FBD9"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(1.027)</w:t>
            </w:r>
          </w:p>
        </w:tc>
      </w:tr>
      <w:tr w:rsidR="00724CA2" w:rsidRPr="00724CA2" w14:paraId="4AA7AA98" w14:textId="77777777" w:rsidTr="00C15CE3">
        <w:trPr>
          <w:trHeight w:val="256"/>
          <w:jc w:val="center"/>
        </w:trPr>
        <w:tc>
          <w:tcPr>
            <w:tcW w:w="2901" w:type="dxa"/>
            <w:noWrap/>
            <w:vAlign w:val="center"/>
            <w:hideMark/>
          </w:tcPr>
          <w:p w14:paraId="52B13B03" w14:textId="7777777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Board meeting</w:t>
            </w:r>
          </w:p>
        </w:tc>
        <w:tc>
          <w:tcPr>
            <w:tcW w:w="1273" w:type="dxa"/>
            <w:tcBorders>
              <w:top w:val="nil"/>
              <w:left w:val="nil"/>
              <w:bottom w:val="nil"/>
              <w:right w:val="nil"/>
            </w:tcBorders>
            <w:shd w:val="clear" w:color="auto" w:fill="auto"/>
            <w:noWrap/>
            <w:vAlign w:val="bottom"/>
          </w:tcPr>
          <w:p w14:paraId="7431B0D6" w14:textId="485C6D9C"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0.031***</w:t>
            </w:r>
          </w:p>
        </w:tc>
        <w:tc>
          <w:tcPr>
            <w:tcW w:w="1274" w:type="dxa"/>
            <w:tcBorders>
              <w:top w:val="nil"/>
              <w:left w:val="nil"/>
              <w:bottom w:val="nil"/>
              <w:right w:val="nil"/>
            </w:tcBorders>
            <w:shd w:val="clear" w:color="auto" w:fill="auto"/>
            <w:noWrap/>
            <w:vAlign w:val="bottom"/>
          </w:tcPr>
          <w:p w14:paraId="3159FE46" w14:textId="35C2735A"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0.031***</w:t>
            </w:r>
          </w:p>
        </w:tc>
        <w:tc>
          <w:tcPr>
            <w:tcW w:w="1274" w:type="dxa"/>
            <w:tcBorders>
              <w:top w:val="nil"/>
              <w:left w:val="nil"/>
              <w:bottom w:val="nil"/>
              <w:right w:val="nil"/>
            </w:tcBorders>
            <w:shd w:val="clear" w:color="auto" w:fill="auto"/>
            <w:noWrap/>
            <w:vAlign w:val="bottom"/>
          </w:tcPr>
          <w:p w14:paraId="647C9912" w14:textId="6D0CEDD2"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0.031***</w:t>
            </w:r>
          </w:p>
        </w:tc>
        <w:tc>
          <w:tcPr>
            <w:tcW w:w="1274" w:type="dxa"/>
            <w:tcBorders>
              <w:top w:val="nil"/>
              <w:left w:val="nil"/>
              <w:bottom w:val="nil"/>
              <w:right w:val="nil"/>
            </w:tcBorders>
            <w:shd w:val="clear" w:color="auto" w:fill="auto"/>
            <w:noWrap/>
            <w:vAlign w:val="bottom"/>
          </w:tcPr>
          <w:p w14:paraId="1B0938FC" w14:textId="0E060541"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0.032***</w:t>
            </w:r>
          </w:p>
        </w:tc>
        <w:tc>
          <w:tcPr>
            <w:tcW w:w="1274" w:type="dxa"/>
            <w:tcBorders>
              <w:top w:val="nil"/>
              <w:left w:val="nil"/>
              <w:bottom w:val="nil"/>
              <w:right w:val="nil"/>
            </w:tcBorders>
            <w:shd w:val="clear" w:color="auto" w:fill="auto"/>
            <w:vAlign w:val="bottom"/>
          </w:tcPr>
          <w:p w14:paraId="4BDBCF2C" w14:textId="748DF35D"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0.032***</w:t>
            </w:r>
          </w:p>
        </w:tc>
      </w:tr>
      <w:tr w:rsidR="00724CA2" w:rsidRPr="00724CA2" w14:paraId="031C4B8A" w14:textId="77777777" w:rsidTr="00C15CE3">
        <w:trPr>
          <w:trHeight w:val="256"/>
          <w:jc w:val="center"/>
        </w:trPr>
        <w:tc>
          <w:tcPr>
            <w:tcW w:w="2901" w:type="dxa"/>
            <w:noWrap/>
            <w:vAlign w:val="center"/>
            <w:hideMark/>
          </w:tcPr>
          <w:p w14:paraId="1D485A5E"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3" w:type="dxa"/>
            <w:tcBorders>
              <w:top w:val="nil"/>
              <w:left w:val="nil"/>
              <w:bottom w:val="nil"/>
              <w:right w:val="nil"/>
            </w:tcBorders>
            <w:shd w:val="clear" w:color="auto" w:fill="auto"/>
            <w:noWrap/>
            <w:vAlign w:val="bottom"/>
          </w:tcPr>
          <w:p w14:paraId="7BBF971F" w14:textId="0EA9CC99"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(0.008)</w:t>
            </w:r>
          </w:p>
        </w:tc>
        <w:tc>
          <w:tcPr>
            <w:tcW w:w="1274" w:type="dxa"/>
            <w:tcBorders>
              <w:top w:val="nil"/>
              <w:left w:val="nil"/>
              <w:bottom w:val="nil"/>
              <w:right w:val="nil"/>
            </w:tcBorders>
            <w:shd w:val="clear" w:color="auto" w:fill="auto"/>
            <w:noWrap/>
            <w:vAlign w:val="bottom"/>
          </w:tcPr>
          <w:p w14:paraId="00156B57" w14:textId="528EE8BC"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(0.008)</w:t>
            </w:r>
          </w:p>
        </w:tc>
        <w:tc>
          <w:tcPr>
            <w:tcW w:w="1274" w:type="dxa"/>
            <w:tcBorders>
              <w:top w:val="nil"/>
              <w:left w:val="nil"/>
              <w:bottom w:val="nil"/>
              <w:right w:val="nil"/>
            </w:tcBorders>
            <w:shd w:val="clear" w:color="auto" w:fill="auto"/>
            <w:noWrap/>
            <w:vAlign w:val="bottom"/>
          </w:tcPr>
          <w:p w14:paraId="50C38B72" w14:textId="7C143DFA"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(0.008)</w:t>
            </w:r>
          </w:p>
        </w:tc>
        <w:tc>
          <w:tcPr>
            <w:tcW w:w="1274" w:type="dxa"/>
            <w:tcBorders>
              <w:top w:val="nil"/>
              <w:left w:val="nil"/>
              <w:bottom w:val="nil"/>
              <w:right w:val="nil"/>
            </w:tcBorders>
            <w:shd w:val="clear" w:color="auto" w:fill="auto"/>
            <w:noWrap/>
            <w:vAlign w:val="bottom"/>
          </w:tcPr>
          <w:p w14:paraId="78C98002" w14:textId="5A02779D"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(0.008)</w:t>
            </w:r>
          </w:p>
        </w:tc>
        <w:tc>
          <w:tcPr>
            <w:tcW w:w="1274" w:type="dxa"/>
            <w:tcBorders>
              <w:top w:val="nil"/>
              <w:left w:val="nil"/>
              <w:bottom w:val="nil"/>
              <w:right w:val="nil"/>
            </w:tcBorders>
            <w:shd w:val="clear" w:color="auto" w:fill="auto"/>
            <w:vAlign w:val="bottom"/>
          </w:tcPr>
          <w:p w14:paraId="6540D445" w14:textId="249AD01C"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(0.009)</w:t>
            </w:r>
          </w:p>
        </w:tc>
      </w:tr>
      <w:tr w:rsidR="00724CA2" w:rsidRPr="00724CA2" w14:paraId="6AF461A5" w14:textId="77777777" w:rsidTr="00C15CE3">
        <w:trPr>
          <w:trHeight w:val="256"/>
          <w:jc w:val="center"/>
        </w:trPr>
        <w:tc>
          <w:tcPr>
            <w:tcW w:w="2901" w:type="dxa"/>
            <w:noWrap/>
            <w:vAlign w:val="center"/>
            <w:hideMark/>
          </w:tcPr>
          <w:p w14:paraId="6F8A92E5" w14:textId="7777777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Managerial ownership</w:t>
            </w:r>
          </w:p>
        </w:tc>
        <w:tc>
          <w:tcPr>
            <w:tcW w:w="1273" w:type="dxa"/>
            <w:tcBorders>
              <w:top w:val="nil"/>
              <w:left w:val="nil"/>
              <w:bottom w:val="nil"/>
              <w:right w:val="nil"/>
            </w:tcBorders>
            <w:shd w:val="clear" w:color="auto" w:fill="auto"/>
            <w:noWrap/>
            <w:vAlign w:val="bottom"/>
          </w:tcPr>
          <w:p w14:paraId="32324A04" w14:textId="2D8EFA05"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-0.197</w:t>
            </w:r>
          </w:p>
        </w:tc>
        <w:tc>
          <w:tcPr>
            <w:tcW w:w="1274" w:type="dxa"/>
            <w:tcBorders>
              <w:top w:val="nil"/>
              <w:left w:val="nil"/>
              <w:bottom w:val="nil"/>
              <w:right w:val="nil"/>
            </w:tcBorders>
            <w:shd w:val="clear" w:color="auto" w:fill="auto"/>
            <w:noWrap/>
            <w:vAlign w:val="bottom"/>
          </w:tcPr>
          <w:p w14:paraId="4E4E385F" w14:textId="4959AEFA"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-0.197</w:t>
            </w:r>
          </w:p>
        </w:tc>
        <w:tc>
          <w:tcPr>
            <w:tcW w:w="1274" w:type="dxa"/>
            <w:tcBorders>
              <w:top w:val="nil"/>
              <w:left w:val="nil"/>
              <w:bottom w:val="nil"/>
              <w:right w:val="nil"/>
            </w:tcBorders>
            <w:shd w:val="clear" w:color="auto" w:fill="auto"/>
            <w:noWrap/>
            <w:vAlign w:val="bottom"/>
          </w:tcPr>
          <w:p w14:paraId="29D561D7" w14:textId="12B138A1"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-0.197</w:t>
            </w:r>
          </w:p>
        </w:tc>
        <w:tc>
          <w:tcPr>
            <w:tcW w:w="1274" w:type="dxa"/>
            <w:tcBorders>
              <w:top w:val="nil"/>
              <w:left w:val="nil"/>
              <w:bottom w:val="nil"/>
              <w:right w:val="nil"/>
            </w:tcBorders>
            <w:shd w:val="clear" w:color="auto" w:fill="auto"/>
            <w:noWrap/>
            <w:vAlign w:val="bottom"/>
          </w:tcPr>
          <w:p w14:paraId="7A1739F6" w14:textId="3DDF6C2F"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-0.034</w:t>
            </w:r>
          </w:p>
        </w:tc>
        <w:tc>
          <w:tcPr>
            <w:tcW w:w="1274" w:type="dxa"/>
            <w:tcBorders>
              <w:top w:val="nil"/>
              <w:left w:val="nil"/>
              <w:bottom w:val="nil"/>
              <w:right w:val="nil"/>
            </w:tcBorders>
            <w:shd w:val="clear" w:color="auto" w:fill="auto"/>
            <w:vAlign w:val="bottom"/>
          </w:tcPr>
          <w:p w14:paraId="68178FCC" w14:textId="7DFF7E7B"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-0.304</w:t>
            </w:r>
          </w:p>
        </w:tc>
      </w:tr>
      <w:tr w:rsidR="00724CA2" w:rsidRPr="00724CA2" w14:paraId="7B103545" w14:textId="77777777" w:rsidTr="00C15CE3">
        <w:trPr>
          <w:trHeight w:val="256"/>
          <w:jc w:val="center"/>
        </w:trPr>
        <w:tc>
          <w:tcPr>
            <w:tcW w:w="2901" w:type="dxa"/>
            <w:noWrap/>
            <w:vAlign w:val="center"/>
            <w:hideMark/>
          </w:tcPr>
          <w:p w14:paraId="3C52DD4B"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3" w:type="dxa"/>
            <w:tcBorders>
              <w:top w:val="nil"/>
              <w:left w:val="nil"/>
              <w:bottom w:val="nil"/>
              <w:right w:val="nil"/>
            </w:tcBorders>
            <w:shd w:val="clear" w:color="auto" w:fill="auto"/>
            <w:noWrap/>
            <w:vAlign w:val="bottom"/>
          </w:tcPr>
          <w:p w14:paraId="520064E1" w14:textId="300954BA"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(0.177)</w:t>
            </w:r>
          </w:p>
        </w:tc>
        <w:tc>
          <w:tcPr>
            <w:tcW w:w="1274" w:type="dxa"/>
            <w:tcBorders>
              <w:top w:val="nil"/>
              <w:left w:val="nil"/>
              <w:bottom w:val="nil"/>
              <w:right w:val="nil"/>
            </w:tcBorders>
            <w:shd w:val="clear" w:color="auto" w:fill="auto"/>
            <w:noWrap/>
            <w:vAlign w:val="bottom"/>
          </w:tcPr>
          <w:p w14:paraId="742AF562" w14:textId="492AE889"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(0.177)</w:t>
            </w:r>
          </w:p>
        </w:tc>
        <w:tc>
          <w:tcPr>
            <w:tcW w:w="1274" w:type="dxa"/>
            <w:tcBorders>
              <w:top w:val="nil"/>
              <w:left w:val="nil"/>
              <w:bottom w:val="nil"/>
              <w:right w:val="nil"/>
            </w:tcBorders>
            <w:shd w:val="clear" w:color="auto" w:fill="auto"/>
            <w:noWrap/>
            <w:vAlign w:val="bottom"/>
          </w:tcPr>
          <w:p w14:paraId="2F14B527" w14:textId="20F36ABF"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(0.177)</w:t>
            </w:r>
          </w:p>
        </w:tc>
        <w:tc>
          <w:tcPr>
            <w:tcW w:w="1274" w:type="dxa"/>
            <w:tcBorders>
              <w:top w:val="nil"/>
              <w:left w:val="nil"/>
              <w:bottom w:val="nil"/>
              <w:right w:val="nil"/>
            </w:tcBorders>
            <w:shd w:val="clear" w:color="auto" w:fill="auto"/>
            <w:noWrap/>
            <w:vAlign w:val="bottom"/>
          </w:tcPr>
          <w:p w14:paraId="48765915" w14:textId="46526D3B"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(0.333)</w:t>
            </w:r>
          </w:p>
        </w:tc>
        <w:tc>
          <w:tcPr>
            <w:tcW w:w="1274" w:type="dxa"/>
            <w:tcBorders>
              <w:top w:val="nil"/>
              <w:left w:val="nil"/>
              <w:bottom w:val="nil"/>
              <w:right w:val="nil"/>
            </w:tcBorders>
            <w:shd w:val="clear" w:color="auto" w:fill="auto"/>
            <w:vAlign w:val="bottom"/>
          </w:tcPr>
          <w:p w14:paraId="7F445224" w14:textId="10BF5677"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(0.195)</w:t>
            </w:r>
          </w:p>
        </w:tc>
      </w:tr>
      <w:tr w:rsidR="00724CA2" w:rsidRPr="00724CA2" w14:paraId="553C5338" w14:textId="77777777" w:rsidTr="00C15CE3">
        <w:trPr>
          <w:trHeight w:val="256"/>
          <w:jc w:val="center"/>
        </w:trPr>
        <w:tc>
          <w:tcPr>
            <w:tcW w:w="2901" w:type="dxa"/>
            <w:noWrap/>
            <w:vAlign w:val="center"/>
            <w:hideMark/>
          </w:tcPr>
          <w:p w14:paraId="37D8A48F" w14:textId="7777777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Z Index</w:t>
            </w:r>
          </w:p>
        </w:tc>
        <w:tc>
          <w:tcPr>
            <w:tcW w:w="1273" w:type="dxa"/>
            <w:tcBorders>
              <w:top w:val="nil"/>
              <w:left w:val="nil"/>
              <w:bottom w:val="nil"/>
              <w:right w:val="nil"/>
            </w:tcBorders>
            <w:shd w:val="clear" w:color="auto" w:fill="auto"/>
            <w:noWrap/>
            <w:vAlign w:val="bottom"/>
          </w:tcPr>
          <w:p w14:paraId="0D2DCB9B" w14:textId="0F58E8BE"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0.006*</w:t>
            </w:r>
          </w:p>
        </w:tc>
        <w:tc>
          <w:tcPr>
            <w:tcW w:w="1274" w:type="dxa"/>
            <w:tcBorders>
              <w:top w:val="nil"/>
              <w:left w:val="nil"/>
              <w:bottom w:val="nil"/>
              <w:right w:val="nil"/>
            </w:tcBorders>
            <w:shd w:val="clear" w:color="auto" w:fill="auto"/>
            <w:noWrap/>
            <w:vAlign w:val="bottom"/>
          </w:tcPr>
          <w:p w14:paraId="30E8C1FE" w14:textId="5C1AF689"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0.006*</w:t>
            </w:r>
          </w:p>
        </w:tc>
        <w:tc>
          <w:tcPr>
            <w:tcW w:w="1274" w:type="dxa"/>
            <w:tcBorders>
              <w:top w:val="nil"/>
              <w:left w:val="nil"/>
              <w:bottom w:val="nil"/>
              <w:right w:val="nil"/>
            </w:tcBorders>
            <w:shd w:val="clear" w:color="auto" w:fill="auto"/>
            <w:noWrap/>
            <w:vAlign w:val="bottom"/>
          </w:tcPr>
          <w:p w14:paraId="6C66E817" w14:textId="2ED8054F"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0.006*</w:t>
            </w:r>
          </w:p>
        </w:tc>
        <w:tc>
          <w:tcPr>
            <w:tcW w:w="1274" w:type="dxa"/>
            <w:tcBorders>
              <w:top w:val="nil"/>
              <w:left w:val="nil"/>
              <w:bottom w:val="nil"/>
              <w:right w:val="nil"/>
            </w:tcBorders>
            <w:shd w:val="clear" w:color="auto" w:fill="auto"/>
            <w:noWrap/>
            <w:vAlign w:val="bottom"/>
          </w:tcPr>
          <w:p w14:paraId="42E2AAC0" w14:textId="199DB2CB"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0.006*</w:t>
            </w:r>
          </w:p>
        </w:tc>
        <w:tc>
          <w:tcPr>
            <w:tcW w:w="1274" w:type="dxa"/>
            <w:tcBorders>
              <w:top w:val="nil"/>
              <w:left w:val="nil"/>
              <w:bottom w:val="nil"/>
              <w:right w:val="nil"/>
            </w:tcBorders>
            <w:shd w:val="clear" w:color="auto" w:fill="auto"/>
            <w:vAlign w:val="bottom"/>
          </w:tcPr>
          <w:p w14:paraId="0CBD4CEA" w14:textId="390450D3"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0.007*</w:t>
            </w:r>
          </w:p>
        </w:tc>
      </w:tr>
      <w:tr w:rsidR="00724CA2" w:rsidRPr="00724CA2" w14:paraId="31201C64" w14:textId="77777777" w:rsidTr="00C15CE3">
        <w:trPr>
          <w:trHeight w:val="256"/>
          <w:jc w:val="center"/>
        </w:trPr>
        <w:tc>
          <w:tcPr>
            <w:tcW w:w="2901" w:type="dxa"/>
            <w:noWrap/>
            <w:vAlign w:val="center"/>
            <w:hideMark/>
          </w:tcPr>
          <w:p w14:paraId="06517D9D"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3" w:type="dxa"/>
            <w:tcBorders>
              <w:top w:val="nil"/>
              <w:left w:val="nil"/>
              <w:bottom w:val="nil"/>
              <w:right w:val="nil"/>
            </w:tcBorders>
            <w:shd w:val="clear" w:color="auto" w:fill="auto"/>
            <w:noWrap/>
            <w:vAlign w:val="bottom"/>
          </w:tcPr>
          <w:p w14:paraId="7F4CA395" w14:textId="38E8CBAB"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(0.003)</w:t>
            </w:r>
          </w:p>
        </w:tc>
        <w:tc>
          <w:tcPr>
            <w:tcW w:w="1274" w:type="dxa"/>
            <w:tcBorders>
              <w:top w:val="nil"/>
              <w:left w:val="nil"/>
              <w:bottom w:val="nil"/>
              <w:right w:val="nil"/>
            </w:tcBorders>
            <w:shd w:val="clear" w:color="auto" w:fill="auto"/>
            <w:noWrap/>
            <w:vAlign w:val="bottom"/>
          </w:tcPr>
          <w:p w14:paraId="3A2C8A22" w14:textId="2F1B8ECD"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(0.003)</w:t>
            </w:r>
          </w:p>
        </w:tc>
        <w:tc>
          <w:tcPr>
            <w:tcW w:w="1274" w:type="dxa"/>
            <w:tcBorders>
              <w:top w:val="nil"/>
              <w:left w:val="nil"/>
              <w:bottom w:val="nil"/>
              <w:right w:val="nil"/>
            </w:tcBorders>
            <w:shd w:val="clear" w:color="auto" w:fill="auto"/>
            <w:noWrap/>
            <w:vAlign w:val="bottom"/>
          </w:tcPr>
          <w:p w14:paraId="59BC0FB2" w14:textId="34CFBC3D"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(0.003)</w:t>
            </w:r>
          </w:p>
        </w:tc>
        <w:tc>
          <w:tcPr>
            <w:tcW w:w="1274" w:type="dxa"/>
            <w:tcBorders>
              <w:top w:val="nil"/>
              <w:left w:val="nil"/>
              <w:bottom w:val="nil"/>
              <w:right w:val="nil"/>
            </w:tcBorders>
            <w:shd w:val="clear" w:color="auto" w:fill="auto"/>
            <w:noWrap/>
            <w:vAlign w:val="bottom"/>
          </w:tcPr>
          <w:p w14:paraId="1EB2F53C" w14:textId="4F73AA5C"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(0.003)</w:t>
            </w:r>
          </w:p>
        </w:tc>
        <w:tc>
          <w:tcPr>
            <w:tcW w:w="1274" w:type="dxa"/>
            <w:tcBorders>
              <w:top w:val="nil"/>
              <w:left w:val="nil"/>
              <w:bottom w:val="nil"/>
              <w:right w:val="nil"/>
            </w:tcBorders>
            <w:shd w:val="clear" w:color="auto" w:fill="auto"/>
            <w:vAlign w:val="bottom"/>
          </w:tcPr>
          <w:p w14:paraId="5276C2E8" w14:textId="05BE3C34"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(0.003)</w:t>
            </w:r>
          </w:p>
        </w:tc>
      </w:tr>
      <w:tr w:rsidR="00724CA2" w:rsidRPr="00724CA2" w14:paraId="06013992" w14:textId="77777777" w:rsidTr="00C15CE3">
        <w:trPr>
          <w:trHeight w:val="256"/>
          <w:jc w:val="center"/>
        </w:trPr>
        <w:tc>
          <w:tcPr>
            <w:tcW w:w="2901" w:type="dxa"/>
            <w:noWrap/>
            <w:vAlign w:val="center"/>
            <w:hideMark/>
          </w:tcPr>
          <w:p w14:paraId="37EE0790" w14:textId="7777777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Stock returns</w:t>
            </w:r>
          </w:p>
        </w:tc>
        <w:tc>
          <w:tcPr>
            <w:tcW w:w="1273" w:type="dxa"/>
            <w:tcBorders>
              <w:top w:val="nil"/>
              <w:left w:val="nil"/>
              <w:bottom w:val="nil"/>
              <w:right w:val="nil"/>
            </w:tcBorders>
            <w:shd w:val="clear" w:color="auto" w:fill="auto"/>
            <w:noWrap/>
            <w:vAlign w:val="bottom"/>
          </w:tcPr>
          <w:p w14:paraId="41A4F3FB" w14:textId="350C4845"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0.389***</w:t>
            </w:r>
          </w:p>
        </w:tc>
        <w:tc>
          <w:tcPr>
            <w:tcW w:w="1274" w:type="dxa"/>
            <w:tcBorders>
              <w:top w:val="nil"/>
              <w:left w:val="nil"/>
              <w:bottom w:val="nil"/>
              <w:right w:val="nil"/>
            </w:tcBorders>
            <w:shd w:val="clear" w:color="auto" w:fill="auto"/>
            <w:noWrap/>
            <w:vAlign w:val="bottom"/>
          </w:tcPr>
          <w:p w14:paraId="7030C7C3" w14:textId="51D3A19C"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0.389***</w:t>
            </w:r>
          </w:p>
        </w:tc>
        <w:tc>
          <w:tcPr>
            <w:tcW w:w="1274" w:type="dxa"/>
            <w:tcBorders>
              <w:top w:val="nil"/>
              <w:left w:val="nil"/>
              <w:bottom w:val="nil"/>
              <w:right w:val="nil"/>
            </w:tcBorders>
            <w:shd w:val="clear" w:color="auto" w:fill="auto"/>
            <w:noWrap/>
            <w:vAlign w:val="bottom"/>
          </w:tcPr>
          <w:p w14:paraId="1A6C6D0B" w14:textId="75BD994F"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0.390***</w:t>
            </w:r>
          </w:p>
        </w:tc>
        <w:tc>
          <w:tcPr>
            <w:tcW w:w="1274" w:type="dxa"/>
            <w:tcBorders>
              <w:top w:val="nil"/>
              <w:left w:val="nil"/>
              <w:bottom w:val="nil"/>
              <w:right w:val="nil"/>
            </w:tcBorders>
            <w:shd w:val="clear" w:color="auto" w:fill="auto"/>
            <w:noWrap/>
            <w:vAlign w:val="bottom"/>
          </w:tcPr>
          <w:p w14:paraId="4C9FF35F" w14:textId="3369EA15"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0.388***</w:t>
            </w:r>
          </w:p>
        </w:tc>
        <w:tc>
          <w:tcPr>
            <w:tcW w:w="1274" w:type="dxa"/>
            <w:tcBorders>
              <w:top w:val="nil"/>
              <w:left w:val="nil"/>
              <w:bottom w:val="nil"/>
              <w:right w:val="nil"/>
            </w:tcBorders>
            <w:shd w:val="clear" w:color="auto" w:fill="auto"/>
            <w:vAlign w:val="bottom"/>
          </w:tcPr>
          <w:p w14:paraId="2F485C14" w14:textId="755FCE03"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0.392***</w:t>
            </w:r>
          </w:p>
        </w:tc>
      </w:tr>
      <w:tr w:rsidR="00724CA2" w:rsidRPr="00724CA2" w14:paraId="7C10FED4" w14:textId="77777777" w:rsidTr="00C15CE3">
        <w:trPr>
          <w:trHeight w:val="256"/>
          <w:jc w:val="center"/>
        </w:trPr>
        <w:tc>
          <w:tcPr>
            <w:tcW w:w="2901" w:type="dxa"/>
            <w:noWrap/>
            <w:vAlign w:val="center"/>
            <w:hideMark/>
          </w:tcPr>
          <w:p w14:paraId="780A4265"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3" w:type="dxa"/>
            <w:tcBorders>
              <w:top w:val="nil"/>
              <w:left w:val="nil"/>
              <w:bottom w:val="nil"/>
              <w:right w:val="nil"/>
            </w:tcBorders>
            <w:shd w:val="clear" w:color="auto" w:fill="auto"/>
            <w:noWrap/>
            <w:vAlign w:val="bottom"/>
          </w:tcPr>
          <w:p w14:paraId="3CA20AE9" w14:textId="03F3F89B"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(0.032)</w:t>
            </w:r>
          </w:p>
        </w:tc>
        <w:tc>
          <w:tcPr>
            <w:tcW w:w="1274" w:type="dxa"/>
            <w:tcBorders>
              <w:top w:val="nil"/>
              <w:left w:val="nil"/>
              <w:bottom w:val="nil"/>
              <w:right w:val="nil"/>
            </w:tcBorders>
            <w:shd w:val="clear" w:color="auto" w:fill="auto"/>
            <w:noWrap/>
            <w:vAlign w:val="bottom"/>
          </w:tcPr>
          <w:p w14:paraId="2F896DFA" w14:textId="0E986FD9"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(0.032)</w:t>
            </w:r>
          </w:p>
        </w:tc>
        <w:tc>
          <w:tcPr>
            <w:tcW w:w="1274" w:type="dxa"/>
            <w:tcBorders>
              <w:top w:val="nil"/>
              <w:left w:val="nil"/>
              <w:bottom w:val="nil"/>
              <w:right w:val="nil"/>
            </w:tcBorders>
            <w:shd w:val="clear" w:color="auto" w:fill="auto"/>
            <w:noWrap/>
            <w:vAlign w:val="bottom"/>
          </w:tcPr>
          <w:p w14:paraId="464CE7C9" w14:textId="02699C83"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(0.032)</w:t>
            </w:r>
          </w:p>
        </w:tc>
        <w:tc>
          <w:tcPr>
            <w:tcW w:w="1274" w:type="dxa"/>
            <w:tcBorders>
              <w:top w:val="nil"/>
              <w:left w:val="nil"/>
              <w:bottom w:val="nil"/>
              <w:right w:val="nil"/>
            </w:tcBorders>
            <w:shd w:val="clear" w:color="auto" w:fill="auto"/>
            <w:noWrap/>
            <w:vAlign w:val="bottom"/>
          </w:tcPr>
          <w:p w14:paraId="0F64ED4E" w14:textId="034FFD2F"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(0.031)</w:t>
            </w:r>
          </w:p>
        </w:tc>
        <w:tc>
          <w:tcPr>
            <w:tcW w:w="1274" w:type="dxa"/>
            <w:tcBorders>
              <w:top w:val="nil"/>
              <w:left w:val="nil"/>
              <w:bottom w:val="nil"/>
              <w:right w:val="nil"/>
            </w:tcBorders>
            <w:shd w:val="clear" w:color="auto" w:fill="auto"/>
            <w:vAlign w:val="bottom"/>
          </w:tcPr>
          <w:p w14:paraId="2DF0704D" w14:textId="47585D95"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(0.033)</w:t>
            </w:r>
          </w:p>
        </w:tc>
      </w:tr>
      <w:tr w:rsidR="00724CA2" w:rsidRPr="00724CA2" w14:paraId="7C1B60CF" w14:textId="77777777" w:rsidTr="00C15CE3">
        <w:trPr>
          <w:trHeight w:val="256"/>
          <w:jc w:val="center"/>
        </w:trPr>
        <w:tc>
          <w:tcPr>
            <w:tcW w:w="2901" w:type="dxa"/>
            <w:noWrap/>
            <w:vAlign w:val="center"/>
            <w:hideMark/>
          </w:tcPr>
          <w:p w14:paraId="330D0872" w14:textId="7777777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Tobin Q</w:t>
            </w:r>
          </w:p>
        </w:tc>
        <w:tc>
          <w:tcPr>
            <w:tcW w:w="1273" w:type="dxa"/>
            <w:tcBorders>
              <w:top w:val="nil"/>
              <w:left w:val="nil"/>
              <w:bottom w:val="nil"/>
              <w:right w:val="nil"/>
            </w:tcBorders>
            <w:shd w:val="clear" w:color="auto" w:fill="auto"/>
            <w:noWrap/>
            <w:vAlign w:val="bottom"/>
          </w:tcPr>
          <w:p w14:paraId="1609D9F4" w14:textId="53275FF9"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-0.404***</w:t>
            </w:r>
          </w:p>
        </w:tc>
        <w:tc>
          <w:tcPr>
            <w:tcW w:w="1274" w:type="dxa"/>
            <w:tcBorders>
              <w:top w:val="nil"/>
              <w:left w:val="nil"/>
              <w:bottom w:val="nil"/>
              <w:right w:val="nil"/>
            </w:tcBorders>
            <w:shd w:val="clear" w:color="auto" w:fill="auto"/>
            <w:noWrap/>
            <w:vAlign w:val="bottom"/>
          </w:tcPr>
          <w:p w14:paraId="12FB25A2" w14:textId="2B6EC4B6"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-0.404***</w:t>
            </w:r>
          </w:p>
        </w:tc>
        <w:tc>
          <w:tcPr>
            <w:tcW w:w="1274" w:type="dxa"/>
            <w:tcBorders>
              <w:top w:val="nil"/>
              <w:left w:val="nil"/>
              <w:bottom w:val="nil"/>
              <w:right w:val="nil"/>
            </w:tcBorders>
            <w:shd w:val="clear" w:color="auto" w:fill="auto"/>
            <w:noWrap/>
            <w:vAlign w:val="bottom"/>
          </w:tcPr>
          <w:p w14:paraId="47DF6FF9" w14:textId="0A442D18"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-0.404***</w:t>
            </w:r>
          </w:p>
        </w:tc>
        <w:tc>
          <w:tcPr>
            <w:tcW w:w="1274" w:type="dxa"/>
            <w:tcBorders>
              <w:top w:val="nil"/>
              <w:left w:val="nil"/>
              <w:bottom w:val="nil"/>
              <w:right w:val="nil"/>
            </w:tcBorders>
            <w:shd w:val="clear" w:color="auto" w:fill="auto"/>
            <w:noWrap/>
            <w:vAlign w:val="bottom"/>
          </w:tcPr>
          <w:p w14:paraId="61D77F2B" w14:textId="521C8B71"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-0.401***</w:t>
            </w:r>
          </w:p>
        </w:tc>
        <w:tc>
          <w:tcPr>
            <w:tcW w:w="1274" w:type="dxa"/>
            <w:tcBorders>
              <w:top w:val="nil"/>
              <w:left w:val="nil"/>
              <w:bottom w:val="nil"/>
              <w:right w:val="nil"/>
            </w:tcBorders>
            <w:shd w:val="clear" w:color="auto" w:fill="auto"/>
            <w:vAlign w:val="bottom"/>
          </w:tcPr>
          <w:p w14:paraId="23367B0D" w14:textId="1F8DD4F4"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-0.402***</w:t>
            </w:r>
          </w:p>
        </w:tc>
      </w:tr>
      <w:tr w:rsidR="00724CA2" w:rsidRPr="00724CA2" w14:paraId="76E29D51" w14:textId="77777777" w:rsidTr="00C15CE3">
        <w:trPr>
          <w:trHeight w:val="256"/>
          <w:jc w:val="center"/>
        </w:trPr>
        <w:tc>
          <w:tcPr>
            <w:tcW w:w="2901" w:type="dxa"/>
            <w:noWrap/>
            <w:vAlign w:val="center"/>
            <w:hideMark/>
          </w:tcPr>
          <w:p w14:paraId="415DE327"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3" w:type="dxa"/>
            <w:tcBorders>
              <w:top w:val="nil"/>
              <w:left w:val="nil"/>
              <w:bottom w:val="nil"/>
              <w:right w:val="nil"/>
            </w:tcBorders>
            <w:shd w:val="clear" w:color="auto" w:fill="auto"/>
            <w:noWrap/>
            <w:vAlign w:val="bottom"/>
          </w:tcPr>
          <w:p w14:paraId="49E0360B" w14:textId="74DA2DF6"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(0.038)</w:t>
            </w:r>
          </w:p>
        </w:tc>
        <w:tc>
          <w:tcPr>
            <w:tcW w:w="1274" w:type="dxa"/>
            <w:tcBorders>
              <w:top w:val="nil"/>
              <w:left w:val="nil"/>
              <w:bottom w:val="nil"/>
              <w:right w:val="nil"/>
            </w:tcBorders>
            <w:shd w:val="clear" w:color="auto" w:fill="auto"/>
            <w:noWrap/>
            <w:vAlign w:val="bottom"/>
          </w:tcPr>
          <w:p w14:paraId="39862CE5" w14:textId="499CC4E3"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(0.038)</w:t>
            </w:r>
          </w:p>
        </w:tc>
        <w:tc>
          <w:tcPr>
            <w:tcW w:w="1274" w:type="dxa"/>
            <w:tcBorders>
              <w:top w:val="nil"/>
              <w:left w:val="nil"/>
              <w:bottom w:val="nil"/>
              <w:right w:val="nil"/>
            </w:tcBorders>
            <w:shd w:val="clear" w:color="auto" w:fill="auto"/>
            <w:noWrap/>
            <w:vAlign w:val="bottom"/>
          </w:tcPr>
          <w:p w14:paraId="6B75326B" w14:textId="368678DE"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(0.038)</w:t>
            </w:r>
          </w:p>
        </w:tc>
        <w:tc>
          <w:tcPr>
            <w:tcW w:w="1274" w:type="dxa"/>
            <w:tcBorders>
              <w:top w:val="nil"/>
              <w:left w:val="nil"/>
              <w:bottom w:val="nil"/>
              <w:right w:val="nil"/>
            </w:tcBorders>
            <w:shd w:val="clear" w:color="auto" w:fill="auto"/>
            <w:noWrap/>
            <w:vAlign w:val="bottom"/>
          </w:tcPr>
          <w:p w14:paraId="0A1C1BED" w14:textId="7204E521"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(0.040)</w:t>
            </w:r>
          </w:p>
        </w:tc>
        <w:tc>
          <w:tcPr>
            <w:tcW w:w="1274" w:type="dxa"/>
            <w:tcBorders>
              <w:top w:val="nil"/>
              <w:left w:val="nil"/>
              <w:bottom w:val="nil"/>
              <w:right w:val="nil"/>
            </w:tcBorders>
            <w:shd w:val="clear" w:color="auto" w:fill="auto"/>
            <w:vAlign w:val="bottom"/>
          </w:tcPr>
          <w:p w14:paraId="7367F9AF" w14:textId="18B2DD72"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(0.038)</w:t>
            </w:r>
          </w:p>
        </w:tc>
      </w:tr>
      <w:tr w:rsidR="00724CA2" w:rsidRPr="00724CA2" w14:paraId="3676DE53" w14:textId="77777777" w:rsidTr="00C15CE3">
        <w:trPr>
          <w:trHeight w:val="256"/>
          <w:jc w:val="center"/>
        </w:trPr>
        <w:tc>
          <w:tcPr>
            <w:tcW w:w="2901" w:type="dxa"/>
            <w:noWrap/>
            <w:vAlign w:val="center"/>
            <w:hideMark/>
          </w:tcPr>
          <w:p w14:paraId="6EBA183F" w14:textId="7777777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Firm age</w:t>
            </w:r>
          </w:p>
        </w:tc>
        <w:tc>
          <w:tcPr>
            <w:tcW w:w="1273" w:type="dxa"/>
            <w:tcBorders>
              <w:top w:val="nil"/>
              <w:left w:val="nil"/>
              <w:bottom w:val="nil"/>
              <w:right w:val="nil"/>
            </w:tcBorders>
            <w:shd w:val="clear" w:color="auto" w:fill="auto"/>
            <w:noWrap/>
            <w:vAlign w:val="bottom"/>
          </w:tcPr>
          <w:p w14:paraId="74411169" w14:textId="38B02251"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-0.025**</w:t>
            </w:r>
          </w:p>
        </w:tc>
        <w:tc>
          <w:tcPr>
            <w:tcW w:w="1274" w:type="dxa"/>
            <w:tcBorders>
              <w:top w:val="nil"/>
              <w:left w:val="nil"/>
              <w:bottom w:val="nil"/>
              <w:right w:val="nil"/>
            </w:tcBorders>
            <w:shd w:val="clear" w:color="auto" w:fill="auto"/>
            <w:noWrap/>
            <w:vAlign w:val="bottom"/>
          </w:tcPr>
          <w:p w14:paraId="7F45D1F7" w14:textId="0EE4A27F"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-0.025**</w:t>
            </w:r>
          </w:p>
        </w:tc>
        <w:tc>
          <w:tcPr>
            <w:tcW w:w="1274" w:type="dxa"/>
            <w:tcBorders>
              <w:top w:val="nil"/>
              <w:left w:val="nil"/>
              <w:bottom w:val="nil"/>
              <w:right w:val="nil"/>
            </w:tcBorders>
            <w:shd w:val="clear" w:color="auto" w:fill="auto"/>
            <w:noWrap/>
            <w:vAlign w:val="bottom"/>
          </w:tcPr>
          <w:p w14:paraId="3494F56E" w14:textId="057F25BD"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-0.025**</w:t>
            </w:r>
          </w:p>
        </w:tc>
        <w:tc>
          <w:tcPr>
            <w:tcW w:w="1274" w:type="dxa"/>
            <w:tcBorders>
              <w:top w:val="nil"/>
              <w:left w:val="nil"/>
              <w:bottom w:val="nil"/>
              <w:right w:val="nil"/>
            </w:tcBorders>
            <w:shd w:val="clear" w:color="auto" w:fill="auto"/>
            <w:noWrap/>
            <w:vAlign w:val="bottom"/>
          </w:tcPr>
          <w:p w14:paraId="51984AD0" w14:textId="59E58CAE"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-0.025**</w:t>
            </w:r>
          </w:p>
        </w:tc>
        <w:tc>
          <w:tcPr>
            <w:tcW w:w="1274" w:type="dxa"/>
            <w:tcBorders>
              <w:top w:val="nil"/>
              <w:left w:val="nil"/>
              <w:bottom w:val="nil"/>
              <w:right w:val="nil"/>
            </w:tcBorders>
            <w:shd w:val="clear" w:color="auto" w:fill="auto"/>
            <w:vAlign w:val="bottom"/>
          </w:tcPr>
          <w:p w14:paraId="5A7ADCD6" w14:textId="4153C542"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-0.023**</w:t>
            </w:r>
          </w:p>
        </w:tc>
      </w:tr>
      <w:tr w:rsidR="00724CA2" w:rsidRPr="00724CA2" w14:paraId="0939A2B6" w14:textId="77777777" w:rsidTr="00C15CE3">
        <w:trPr>
          <w:trHeight w:val="256"/>
          <w:jc w:val="center"/>
        </w:trPr>
        <w:tc>
          <w:tcPr>
            <w:tcW w:w="2901" w:type="dxa"/>
            <w:noWrap/>
            <w:vAlign w:val="center"/>
            <w:hideMark/>
          </w:tcPr>
          <w:p w14:paraId="093BF52A"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3" w:type="dxa"/>
            <w:tcBorders>
              <w:top w:val="nil"/>
              <w:left w:val="nil"/>
              <w:bottom w:val="nil"/>
              <w:right w:val="nil"/>
            </w:tcBorders>
            <w:shd w:val="clear" w:color="auto" w:fill="auto"/>
            <w:noWrap/>
            <w:vAlign w:val="bottom"/>
          </w:tcPr>
          <w:p w14:paraId="5C390C05" w14:textId="6E1E575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(0.008)</w:t>
            </w:r>
          </w:p>
        </w:tc>
        <w:tc>
          <w:tcPr>
            <w:tcW w:w="1274" w:type="dxa"/>
            <w:tcBorders>
              <w:top w:val="nil"/>
              <w:left w:val="nil"/>
              <w:bottom w:val="nil"/>
              <w:right w:val="nil"/>
            </w:tcBorders>
            <w:shd w:val="clear" w:color="auto" w:fill="auto"/>
            <w:noWrap/>
            <w:vAlign w:val="bottom"/>
          </w:tcPr>
          <w:p w14:paraId="138F0BC3" w14:textId="1443FF20"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(0.008)</w:t>
            </w:r>
          </w:p>
        </w:tc>
        <w:tc>
          <w:tcPr>
            <w:tcW w:w="1274" w:type="dxa"/>
            <w:tcBorders>
              <w:top w:val="nil"/>
              <w:left w:val="nil"/>
              <w:bottom w:val="nil"/>
              <w:right w:val="nil"/>
            </w:tcBorders>
            <w:shd w:val="clear" w:color="auto" w:fill="auto"/>
            <w:noWrap/>
            <w:vAlign w:val="bottom"/>
          </w:tcPr>
          <w:p w14:paraId="71C2F98D" w14:textId="6681B5E6"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(0.008)</w:t>
            </w:r>
          </w:p>
        </w:tc>
        <w:tc>
          <w:tcPr>
            <w:tcW w:w="1274" w:type="dxa"/>
            <w:tcBorders>
              <w:top w:val="nil"/>
              <w:left w:val="nil"/>
              <w:bottom w:val="nil"/>
              <w:right w:val="nil"/>
            </w:tcBorders>
            <w:shd w:val="clear" w:color="auto" w:fill="auto"/>
            <w:noWrap/>
            <w:vAlign w:val="bottom"/>
          </w:tcPr>
          <w:p w14:paraId="5FEC7B86" w14:textId="50539E9B"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(0.009)</w:t>
            </w:r>
          </w:p>
        </w:tc>
        <w:tc>
          <w:tcPr>
            <w:tcW w:w="1274" w:type="dxa"/>
            <w:tcBorders>
              <w:top w:val="nil"/>
              <w:left w:val="nil"/>
              <w:bottom w:val="nil"/>
              <w:right w:val="nil"/>
            </w:tcBorders>
            <w:shd w:val="clear" w:color="auto" w:fill="auto"/>
            <w:vAlign w:val="bottom"/>
          </w:tcPr>
          <w:p w14:paraId="0E4BB3B3" w14:textId="019DF38A"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(0.008)</w:t>
            </w:r>
          </w:p>
        </w:tc>
      </w:tr>
      <w:tr w:rsidR="00724CA2" w:rsidRPr="00724CA2" w14:paraId="36ABEF7A" w14:textId="77777777" w:rsidTr="00C15CE3">
        <w:trPr>
          <w:trHeight w:val="256"/>
          <w:jc w:val="center"/>
        </w:trPr>
        <w:tc>
          <w:tcPr>
            <w:tcW w:w="2901" w:type="dxa"/>
            <w:noWrap/>
            <w:vAlign w:val="center"/>
            <w:hideMark/>
          </w:tcPr>
          <w:p w14:paraId="0323DAF1" w14:textId="7777777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Leverage</w:t>
            </w:r>
          </w:p>
        </w:tc>
        <w:tc>
          <w:tcPr>
            <w:tcW w:w="1273" w:type="dxa"/>
            <w:tcBorders>
              <w:top w:val="nil"/>
              <w:left w:val="nil"/>
              <w:bottom w:val="nil"/>
              <w:right w:val="nil"/>
            </w:tcBorders>
            <w:shd w:val="clear" w:color="auto" w:fill="auto"/>
            <w:noWrap/>
            <w:vAlign w:val="bottom"/>
          </w:tcPr>
          <w:p w14:paraId="1192F338" w14:textId="1B400163"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1.535***</w:t>
            </w:r>
          </w:p>
        </w:tc>
        <w:tc>
          <w:tcPr>
            <w:tcW w:w="1274" w:type="dxa"/>
            <w:tcBorders>
              <w:top w:val="nil"/>
              <w:left w:val="nil"/>
              <w:bottom w:val="nil"/>
              <w:right w:val="nil"/>
            </w:tcBorders>
            <w:shd w:val="clear" w:color="auto" w:fill="auto"/>
            <w:noWrap/>
            <w:vAlign w:val="bottom"/>
          </w:tcPr>
          <w:p w14:paraId="4D897081" w14:textId="72A419ED"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1.535***</w:t>
            </w:r>
          </w:p>
        </w:tc>
        <w:tc>
          <w:tcPr>
            <w:tcW w:w="1274" w:type="dxa"/>
            <w:tcBorders>
              <w:top w:val="nil"/>
              <w:left w:val="nil"/>
              <w:bottom w:val="nil"/>
              <w:right w:val="nil"/>
            </w:tcBorders>
            <w:shd w:val="clear" w:color="auto" w:fill="auto"/>
            <w:noWrap/>
            <w:vAlign w:val="bottom"/>
          </w:tcPr>
          <w:p w14:paraId="2CADE872" w14:textId="7F313111"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1.535***</w:t>
            </w:r>
          </w:p>
        </w:tc>
        <w:tc>
          <w:tcPr>
            <w:tcW w:w="1274" w:type="dxa"/>
            <w:tcBorders>
              <w:top w:val="nil"/>
              <w:left w:val="nil"/>
              <w:bottom w:val="nil"/>
              <w:right w:val="nil"/>
            </w:tcBorders>
            <w:shd w:val="clear" w:color="auto" w:fill="auto"/>
            <w:noWrap/>
            <w:vAlign w:val="bottom"/>
          </w:tcPr>
          <w:p w14:paraId="26BB2041" w14:textId="7CCB8A9B"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1.506***</w:t>
            </w:r>
          </w:p>
        </w:tc>
        <w:tc>
          <w:tcPr>
            <w:tcW w:w="1274" w:type="dxa"/>
            <w:tcBorders>
              <w:top w:val="nil"/>
              <w:left w:val="nil"/>
              <w:bottom w:val="nil"/>
              <w:right w:val="nil"/>
            </w:tcBorders>
            <w:shd w:val="clear" w:color="auto" w:fill="auto"/>
            <w:vAlign w:val="bottom"/>
          </w:tcPr>
          <w:p w14:paraId="73D111FC" w14:textId="0C329AF6"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1.541***</w:t>
            </w:r>
          </w:p>
        </w:tc>
      </w:tr>
      <w:tr w:rsidR="00724CA2" w:rsidRPr="00724CA2" w14:paraId="0CB9C062" w14:textId="77777777" w:rsidTr="00C15CE3">
        <w:trPr>
          <w:trHeight w:val="256"/>
          <w:jc w:val="center"/>
        </w:trPr>
        <w:tc>
          <w:tcPr>
            <w:tcW w:w="2901" w:type="dxa"/>
            <w:noWrap/>
            <w:vAlign w:val="center"/>
            <w:hideMark/>
          </w:tcPr>
          <w:p w14:paraId="7D0EE9C4" w14:textId="77777777" w:rsidR="00F376E6" w:rsidRPr="00724CA2" w:rsidRDefault="00F376E6" w:rsidP="00F376E6">
            <w:pPr>
              <w:jc w:val="both"/>
              <w:rPr>
                <w:rFonts w:ascii="Times New Roman" w:hAnsi="Times New Roman" w:cs="Times New Roman"/>
                <w:color w:val="000000" w:themeColor="text1"/>
                <w:sz w:val="20"/>
                <w:szCs w:val="20"/>
                <w:lang w:val="en-US"/>
              </w:rPr>
            </w:pPr>
          </w:p>
        </w:tc>
        <w:tc>
          <w:tcPr>
            <w:tcW w:w="1273" w:type="dxa"/>
            <w:tcBorders>
              <w:top w:val="nil"/>
              <w:left w:val="nil"/>
              <w:bottom w:val="nil"/>
              <w:right w:val="nil"/>
            </w:tcBorders>
            <w:shd w:val="clear" w:color="auto" w:fill="auto"/>
            <w:noWrap/>
            <w:vAlign w:val="bottom"/>
          </w:tcPr>
          <w:p w14:paraId="402B0B39" w14:textId="2E517AC1"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(0.243)</w:t>
            </w:r>
          </w:p>
        </w:tc>
        <w:tc>
          <w:tcPr>
            <w:tcW w:w="1274" w:type="dxa"/>
            <w:tcBorders>
              <w:top w:val="nil"/>
              <w:left w:val="nil"/>
              <w:bottom w:val="nil"/>
              <w:right w:val="nil"/>
            </w:tcBorders>
            <w:shd w:val="clear" w:color="auto" w:fill="auto"/>
            <w:noWrap/>
            <w:vAlign w:val="bottom"/>
          </w:tcPr>
          <w:p w14:paraId="4E5A6FD5" w14:textId="3314D1F3"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(0.243)</w:t>
            </w:r>
          </w:p>
        </w:tc>
        <w:tc>
          <w:tcPr>
            <w:tcW w:w="1274" w:type="dxa"/>
            <w:tcBorders>
              <w:top w:val="nil"/>
              <w:left w:val="nil"/>
              <w:bottom w:val="nil"/>
              <w:right w:val="nil"/>
            </w:tcBorders>
            <w:shd w:val="clear" w:color="auto" w:fill="auto"/>
            <w:noWrap/>
            <w:vAlign w:val="bottom"/>
          </w:tcPr>
          <w:p w14:paraId="7E812E51" w14:textId="3307D0D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(0.243)</w:t>
            </w:r>
          </w:p>
        </w:tc>
        <w:tc>
          <w:tcPr>
            <w:tcW w:w="1274" w:type="dxa"/>
            <w:tcBorders>
              <w:top w:val="nil"/>
              <w:left w:val="nil"/>
              <w:bottom w:val="nil"/>
              <w:right w:val="nil"/>
            </w:tcBorders>
            <w:shd w:val="clear" w:color="auto" w:fill="auto"/>
            <w:noWrap/>
            <w:vAlign w:val="bottom"/>
          </w:tcPr>
          <w:p w14:paraId="3CDAE7DD" w14:textId="30BFF2FA"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(0.234)</w:t>
            </w:r>
          </w:p>
        </w:tc>
        <w:tc>
          <w:tcPr>
            <w:tcW w:w="1274" w:type="dxa"/>
            <w:tcBorders>
              <w:top w:val="nil"/>
              <w:left w:val="nil"/>
              <w:bottom w:val="nil"/>
              <w:right w:val="nil"/>
            </w:tcBorders>
            <w:shd w:val="clear" w:color="auto" w:fill="auto"/>
            <w:vAlign w:val="bottom"/>
          </w:tcPr>
          <w:p w14:paraId="34FDEEAA" w14:textId="7AB584B7"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(0.242)</w:t>
            </w:r>
          </w:p>
        </w:tc>
      </w:tr>
      <w:tr w:rsidR="00724CA2" w:rsidRPr="00724CA2" w14:paraId="775EB848" w14:textId="77777777" w:rsidTr="00E36E35">
        <w:trPr>
          <w:trHeight w:val="256"/>
          <w:jc w:val="center"/>
        </w:trPr>
        <w:tc>
          <w:tcPr>
            <w:tcW w:w="2901" w:type="dxa"/>
            <w:noWrap/>
            <w:vAlign w:val="center"/>
          </w:tcPr>
          <w:p w14:paraId="4D163429" w14:textId="5D835B3A"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Year FE and Industry FE</w:t>
            </w:r>
          </w:p>
        </w:tc>
        <w:tc>
          <w:tcPr>
            <w:tcW w:w="1273" w:type="dxa"/>
            <w:noWrap/>
            <w:vAlign w:val="center"/>
          </w:tcPr>
          <w:p w14:paraId="67DBEA73" w14:textId="7777777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Yes</w:t>
            </w:r>
          </w:p>
        </w:tc>
        <w:tc>
          <w:tcPr>
            <w:tcW w:w="1274" w:type="dxa"/>
            <w:noWrap/>
            <w:vAlign w:val="center"/>
          </w:tcPr>
          <w:p w14:paraId="7ABE2AA5" w14:textId="7777777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Yes</w:t>
            </w:r>
          </w:p>
        </w:tc>
        <w:tc>
          <w:tcPr>
            <w:tcW w:w="1274" w:type="dxa"/>
            <w:noWrap/>
            <w:vAlign w:val="center"/>
          </w:tcPr>
          <w:p w14:paraId="6C76F938" w14:textId="7777777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Yes</w:t>
            </w:r>
          </w:p>
        </w:tc>
        <w:tc>
          <w:tcPr>
            <w:tcW w:w="1274" w:type="dxa"/>
            <w:noWrap/>
            <w:vAlign w:val="center"/>
          </w:tcPr>
          <w:p w14:paraId="2B43CE29" w14:textId="7777777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Yes</w:t>
            </w:r>
          </w:p>
        </w:tc>
        <w:tc>
          <w:tcPr>
            <w:tcW w:w="1274" w:type="dxa"/>
            <w:vAlign w:val="center"/>
          </w:tcPr>
          <w:p w14:paraId="6348B543" w14:textId="77777777"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lang w:val="en-US"/>
              </w:rPr>
              <w:t>Yes</w:t>
            </w:r>
          </w:p>
        </w:tc>
      </w:tr>
      <w:tr w:rsidR="00724CA2" w:rsidRPr="00724CA2" w14:paraId="51196898" w14:textId="77777777" w:rsidTr="00E36E35">
        <w:trPr>
          <w:trHeight w:val="256"/>
          <w:jc w:val="center"/>
        </w:trPr>
        <w:tc>
          <w:tcPr>
            <w:tcW w:w="2901" w:type="dxa"/>
            <w:noWrap/>
            <w:vAlign w:val="center"/>
          </w:tcPr>
          <w:p w14:paraId="0562DA62" w14:textId="0D4345B0" w:rsidR="00F376E6" w:rsidRPr="00724CA2" w:rsidRDefault="00F376E6" w:rsidP="00F376E6">
            <w:pPr>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Sargan statistic test (p-value) (overidentification test of all instruments)</w:t>
            </w:r>
          </w:p>
        </w:tc>
        <w:tc>
          <w:tcPr>
            <w:tcW w:w="1273" w:type="dxa"/>
            <w:noWrap/>
            <w:vAlign w:val="center"/>
          </w:tcPr>
          <w:p w14:paraId="3C608F4F" w14:textId="25E68749"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Exactly identified</w:t>
            </w:r>
          </w:p>
        </w:tc>
        <w:tc>
          <w:tcPr>
            <w:tcW w:w="1274" w:type="dxa"/>
            <w:noWrap/>
            <w:vAlign w:val="center"/>
          </w:tcPr>
          <w:p w14:paraId="5F669BE5" w14:textId="478B34A6"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0.154</w:t>
            </w:r>
          </w:p>
        </w:tc>
        <w:tc>
          <w:tcPr>
            <w:tcW w:w="1274" w:type="dxa"/>
            <w:noWrap/>
            <w:vAlign w:val="center"/>
          </w:tcPr>
          <w:p w14:paraId="7E7783FE" w14:textId="1B6559E0"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0.156</w:t>
            </w:r>
          </w:p>
        </w:tc>
        <w:tc>
          <w:tcPr>
            <w:tcW w:w="1274" w:type="dxa"/>
            <w:noWrap/>
            <w:vAlign w:val="center"/>
          </w:tcPr>
          <w:p w14:paraId="4A0FA561" w14:textId="326BCD5E"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0.182</w:t>
            </w:r>
          </w:p>
        </w:tc>
        <w:tc>
          <w:tcPr>
            <w:tcW w:w="1274" w:type="dxa"/>
            <w:vAlign w:val="center"/>
          </w:tcPr>
          <w:p w14:paraId="554848B0" w14:textId="7B7611D8"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0.194</w:t>
            </w:r>
          </w:p>
        </w:tc>
      </w:tr>
      <w:tr w:rsidR="00724CA2" w:rsidRPr="00724CA2" w14:paraId="1B58D8F0" w14:textId="77777777" w:rsidTr="00E36E35">
        <w:trPr>
          <w:trHeight w:val="256"/>
          <w:jc w:val="center"/>
        </w:trPr>
        <w:tc>
          <w:tcPr>
            <w:tcW w:w="2901" w:type="dxa"/>
            <w:noWrap/>
            <w:vAlign w:val="center"/>
          </w:tcPr>
          <w:p w14:paraId="707FEA1A" w14:textId="6452E64E" w:rsidR="00F376E6" w:rsidRPr="00724CA2" w:rsidRDefault="00F376E6" w:rsidP="00F376E6">
            <w:pPr>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Cragg-Donald (CD) Wald F-statistic</w:t>
            </w:r>
          </w:p>
        </w:tc>
        <w:tc>
          <w:tcPr>
            <w:tcW w:w="1273" w:type="dxa"/>
            <w:noWrap/>
            <w:vAlign w:val="center"/>
          </w:tcPr>
          <w:p w14:paraId="7644EE03" w14:textId="29AB92F4"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546.499</w:t>
            </w:r>
          </w:p>
        </w:tc>
        <w:tc>
          <w:tcPr>
            <w:tcW w:w="1274" w:type="dxa"/>
            <w:noWrap/>
            <w:vAlign w:val="center"/>
          </w:tcPr>
          <w:p w14:paraId="4D6BF1FC" w14:textId="3963CB66"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240.049</w:t>
            </w:r>
          </w:p>
        </w:tc>
        <w:tc>
          <w:tcPr>
            <w:tcW w:w="1274" w:type="dxa"/>
            <w:noWrap/>
            <w:vAlign w:val="center"/>
          </w:tcPr>
          <w:p w14:paraId="412F24FE" w14:textId="49DA554A"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184.468</w:t>
            </w:r>
          </w:p>
        </w:tc>
        <w:tc>
          <w:tcPr>
            <w:tcW w:w="1274" w:type="dxa"/>
            <w:noWrap/>
            <w:vAlign w:val="center"/>
          </w:tcPr>
          <w:p w14:paraId="48AAF2F3" w14:textId="3CCC89E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50.781</w:t>
            </w:r>
          </w:p>
        </w:tc>
        <w:tc>
          <w:tcPr>
            <w:tcW w:w="1274" w:type="dxa"/>
            <w:vAlign w:val="center"/>
          </w:tcPr>
          <w:p w14:paraId="6137237A" w14:textId="20B4674F"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74.614</w:t>
            </w:r>
          </w:p>
        </w:tc>
      </w:tr>
      <w:tr w:rsidR="00724CA2" w:rsidRPr="00724CA2" w14:paraId="432CCB1D" w14:textId="77777777" w:rsidTr="00E36E35">
        <w:trPr>
          <w:trHeight w:val="256"/>
          <w:jc w:val="center"/>
        </w:trPr>
        <w:tc>
          <w:tcPr>
            <w:tcW w:w="2901" w:type="dxa"/>
            <w:noWrap/>
            <w:vAlign w:val="center"/>
          </w:tcPr>
          <w:p w14:paraId="4ADAEE34" w14:textId="5B5A2776" w:rsidR="00F376E6" w:rsidRPr="00724CA2" w:rsidRDefault="00F376E6" w:rsidP="00F376E6">
            <w:pPr>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Stock and Yogo (2005) ID test for critical values: 10% maximal IV</w:t>
            </w:r>
          </w:p>
        </w:tc>
        <w:tc>
          <w:tcPr>
            <w:tcW w:w="1273" w:type="dxa"/>
            <w:noWrap/>
            <w:vAlign w:val="center"/>
          </w:tcPr>
          <w:p w14:paraId="4BF11530" w14:textId="55F9189A"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19.93</w:t>
            </w:r>
          </w:p>
        </w:tc>
        <w:tc>
          <w:tcPr>
            <w:tcW w:w="1274" w:type="dxa"/>
            <w:noWrap/>
            <w:vAlign w:val="center"/>
          </w:tcPr>
          <w:p w14:paraId="7AC6AA2D" w14:textId="70AD3E98"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18.37</w:t>
            </w:r>
          </w:p>
        </w:tc>
        <w:tc>
          <w:tcPr>
            <w:tcW w:w="1274" w:type="dxa"/>
            <w:noWrap/>
            <w:vAlign w:val="center"/>
          </w:tcPr>
          <w:p w14:paraId="327B7516" w14:textId="1DAE52BB"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11.12</w:t>
            </w:r>
          </w:p>
        </w:tc>
        <w:tc>
          <w:tcPr>
            <w:tcW w:w="1274" w:type="dxa"/>
            <w:noWrap/>
            <w:vAlign w:val="center"/>
          </w:tcPr>
          <w:p w14:paraId="4547A6D5" w14:textId="78B377BC"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9.92</w:t>
            </w:r>
          </w:p>
        </w:tc>
        <w:tc>
          <w:tcPr>
            <w:tcW w:w="1274" w:type="dxa"/>
            <w:vAlign w:val="center"/>
          </w:tcPr>
          <w:p w14:paraId="68D80B0C" w14:textId="27A143DE"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9.92</w:t>
            </w:r>
          </w:p>
        </w:tc>
      </w:tr>
      <w:tr w:rsidR="00724CA2" w:rsidRPr="00724CA2" w14:paraId="5BB06E8D" w14:textId="77777777" w:rsidTr="00F376E6">
        <w:trPr>
          <w:trHeight w:val="256"/>
          <w:jc w:val="center"/>
        </w:trPr>
        <w:tc>
          <w:tcPr>
            <w:tcW w:w="2901" w:type="dxa"/>
            <w:tcBorders>
              <w:bottom w:val="nil"/>
            </w:tcBorders>
            <w:noWrap/>
            <w:vAlign w:val="center"/>
          </w:tcPr>
          <w:p w14:paraId="07D0A669" w14:textId="77777777"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Observations</w:t>
            </w:r>
          </w:p>
        </w:tc>
        <w:tc>
          <w:tcPr>
            <w:tcW w:w="1273" w:type="dxa"/>
            <w:tcBorders>
              <w:top w:val="nil"/>
              <w:left w:val="nil"/>
              <w:bottom w:val="nil"/>
              <w:right w:val="nil"/>
            </w:tcBorders>
            <w:shd w:val="clear" w:color="auto" w:fill="auto"/>
            <w:noWrap/>
            <w:vAlign w:val="bottom"/>
          </w:tcPr>
          <w:p w14:paraId="6A8CAE2F" w14:textId="79979DF1"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4,980</w:t>
            </w:r>
          </w:p>
        </w:tc>
        <w:tc>
          <w:tcPr>
            <w:tcW w:w="1274" w:type="dxa"/>
            <w:tcBorders>
              <w:top w:val="nil"/>
              <w:left w:val="nil"/>
              <w:bottom w:val="nil"/>
              <w:right w:val="nil"/>
            </w:tcBorders>
            <w:shd w:val="clear" w:color="auto" w:fill="auto"/>
            <w:noWrap/>
            <w:vAlign w:val="bottom"/>
          </w:tcPr>
          <w:p w14:paraId="32032913" w14:textId="4F6255F2"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4,980</w:t>
            </w:r>
          </w:p>
        </w:tc>
        <w:tc>
          <w:tcPr>
            <w:tcW w:w="1274" w:type="dxa"/>
            <w:tcBorders>
              <w:top w:val="nil"/>
              <w:left w:val="nil"/>
              <w:bottom w:val="nil"/>
              <w:right w:val="nil"/>
            </w:tcBorders>
            <w:shd w:val="clear" w:color="auto" w:fill="auto"/>
            <w:noWrap/>
            <w:vAlign w:val="bottom"/>
          </w:tcPr>
          <w:p w14:paraId="3E4B9C3D" w14:textId="216CBF72"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4,980</w:t>
            </w:r>
          </w:p>
        </w:tc>
        <w:tc>
          <w:tcPr>
            <w:tcW w:w="1274" w:type="dxa"/>
            <w:tcBorders>
              <w:top w:val="nil"/>
              <w:left w:val="nil"/>
              <w:bottom w:val="nil"/>
              <w:right w:val="nil"/>
            </w:tcBorders>
            <w:shd w:val="clear" w:color="auto" w:fill="auto"/>
            <w:noWrap/>
            <w:vAlign w:val="bottom"/>
          </w:tcPr>
          <w:p w14:paraId="75B59DEF" w14:textId="6DB30658" w:rsidR="00F376E6" w:rsidRPr="00724CA2" w:rsidRDefault="00F376E6" w:rsidP="00F376E6">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4,980</w:t>
            </w:r>
          </w:p>
        </w:tc>
        <w:tc>
          <w:tcPr>
            <w:tcW w:w="1274" w:type="dxa"/>
            <w:tcBorders>
              <w:top w:val="nil"/>
              <w:left w:val="nil"/>
              <w:bottom w:val="nil"/>
              <w:right w:val="nil"/>
            </w:tcBorders>
            <w:shd w:val="clear" w:color="auto" w:fill="auto"/>
            <w:vAlign w:val="bottom"/>
          </w:tcPr>
          <w:p w14:paraId="5378C87E" w14:textId="1CC5FA65"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4,980</w:t>
            </w:r>
          </w:p>
        </w:tc>
      </w:tr>
      <w:tr w:rsidR="00724CA2" w:rsidRPr="00724CA2" w14:paraId="10966B10" w14:textId="77777777" w:rsidTr="00F376E6">
        <w:trPr>
          <w:trHeight w:val="256"/>
          <w:jc w:val="center"/>
        </w:trPr>
        <w:tc>
          <w:tcPr>
            <w:tcW w:w="2901" w:type="dxa"/>
            <w:tcBorders>
              <w:top w:val="nil"/>
              <w:bottom w:val="single" w:sz="12" w:space="0" w:color="auto"/>
            </w:tcBorders>
            <w:noWrap/>
            <w:vAlign w:val="center"/>
          </w:tcPr>
          <w:p w14:paraId="1A8DFCD4" w14:textId="77777777"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lang w:val="en-US"/>
              </w:rPr>
              <w:t>Adjusted R-squared</w:t>
            </w:r>
          </w:p>
        </w:tc>
        <w:tc>
          <w:tcPr>
            <w:tcW w:w="1273" w:type="dxa"/>
            <w:tcBorders>
              <w:top w:val="nil"/>
              <w:left w:val="nil"/>
              <w:bottom w:val="single" w:sz="12" w:space="0" w:color="auto"/>
              <w:right w:val="nil"/>
            </w:tcBorders>
            <w:shd w:val="clear" w:color="auto" w:fill="auto"/>
            <w:noWrap/>
            <w:vAlign w:val="bottom"/>
          </w:tcPr>
          <w:p w14:paraId="5429102E" w14:textId="5C6A71A1"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0.197</w:t>
            </w:r>
          </w:p>
        </w:tc>
        <w:tc>
          <w:tcPr>
            <w:tcW w:w="1274" w:type="dxa"/>
            <w:tcBorders>
              <w:top w:val="nil"/>
              <w:left w:val="nil"/>
              <w:bottom w:val="single" w:sz="12" w:space="0" w:color="auto"/>
              <w:right w:val="nil"/>
            </w:tcBorders>
            <w:shd w:val="clear" w:color="auto" w:fill="auto"/>
            <w:noWrap/>
            <w:vAlign w:val="bottom"/>
          </w:tcPr>
          <w:p w14:paraId="465E9345" w14:textId="6A19A25F" w:rsidR="00F376E6" w:rsidRPr="00724CA2" w:rsidRDefault="00F376E6"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0.199</w:t>
            </w:r>
          </w:p>
        </w:tc>
        <w:tc>
          <w:tcPr>
            <w:tcW w:w="1274" w:type="dxa"/>
            <w:tcBorders>
              <w:top w:val="nil"/>
              <w:left w:val="nil"/>
              <w:bottom w:val="single" w:sz="12" w:space="0" w:color="auto"/>
              <w:right w:val="nil"/>
            </w:tcBorders>
            <w:shd w:val="clear" w:color="auto" w:fill="auto"/>
            <w:noWrap/>
            <w:vAlign w:val="bottom"/>
          </w:tcPr>
          <w:p w14:paraId="3544A0BF" w14:textId="671E791B" w:rsidR="00F376E6" w:rsidRPr="00724CA2" w:rsidRDefault="008A6435"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w:t>
            </w:r>
            <w:r w:rsidR="00F376E6" w:rsidRPr="00724CA2">
              <w:rPr>
                <w:rFonts w:ascii="Times New Roman" w:hAnsi="Times New Roman" w:cs="Times New Roman"/>
                <w:color w:val="000000" w:themeColor="text1"/>
                <w:sz w:val="20"/>
                <w:szCs w:val="20"/>
              </w:rPr>
              <w:t>.996</w:t>
            </w:r>
          </w:p>
        </w:tc>
        <w:tc>
          <w:tcPr>
            <w:tcW w:w="1274" w:type="dxa"/>
            <w:tcBorders>
              <w:top w:val="nil"/>
              <w:left w:val="nil"/>
              <w:bottom w:val="single" w:sz="12" w:space="0" w:color="auto"/>
              <w:right w:val="nil"/>
            </w:tcBorders>
            <w:shd w:val="clear" w:color="auto" w:fill="auto"/>
            <w:noWrap/>
            <w:vAlign w:val="bottom"/>
          </w:tcPr>
          <w:p w14:paraId="24D7A1B2" w14:textId="301E5D41" w:rsidR="00F376E6" w:rsidRPr="00724CA2" w:rsidRDefault="008A6435"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w:t>
            </w:r>
            <w:r w:rsidR="00F376E6" w:rsidRPr="00724CA2">
              <w:rPr>
                <w:rFonts w:ascii="Times New Roman" w:hAnsi="Times New Roman" w:cs="Times New Roman"/>
                <w:color w:val="000000" w:themeColor="text1"/>
                <w:sz w:val="20"/>
                <w:szCs w:val="20"/>
              </w:rPr>
              <w:t>.996</w:t>
            </w:r>
          </w:p>
        </w:tc>
        <w:tc>
          <w:tcPr>
            <w:tcW w:w="1274" w:type="dxa"/>
            <w:tcBorders>
              <w:top w:val="nil"/>
              <w:left w:val="nil"/>
              <w:bottom w:val="single" w:sz="12" w:space="0" w:color="auto"/>
              <w:right w:val="nil"/>
            </w:tcBorders>
            <w:shd w:val="clear" w:color="auto" w:fill="auto"/>
            <w:vAlign w:val="bottom"/>
          </w:tcPr>
          <w:p w14:paraId="7F62E920" w14:textId="5ECD7B62" w:rsidR="00F376E6" w:rsidRPr="00724CA2" w:rsidRDefault="008A6435" w:rsidP="00F376E6">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w:t>
            </w:r>
            <w:r w:rsidR="00F376E6" w:rsidRPr="00724CA2">
              <w:rPr>
                <w:rFonts w:ascii="Times New Roman" w:hAnsi="Times New Roman" w:cs="Times New Roman"/>
                <w:color w:val="000000" w:themeColor="text1"/>
                <w:sz w:val="20"/>
                <w:szCs w:val="20"/>
              </w:rPr>
              <w:t>.996</w:t>
            </w:r>
          </w:p>
        </w:tc>
      </w:tr>
    </w:tbl>
    <w:p w14:paraId="14438D7E" w14:textId="2BC15A31" w:rsidR="00714BA9" w:rsidRPr="00724CA2" w:rsidRDefault="00486C4A" w:rsidP="00E36E35">
      <w:pPr>
        <w:jc w:val="both"/>
        <w:rPr>
          <w:rFonts w:ascii="Times New Roman" w:hAnsi="Times New Roman" w:cs="Times New Roman"/>
          <w:color w:val="000000" w:themeColor="text1"/>
          <w:sz w:val="21"/>
          <w:szCs w:val="18"/>
        </w:rPr>
      </w:pPr>
      <w:r w:rsidRPr="00724CA2">
        <w:rPr>
          <w:rFonts w:ascii="Times New Roman" w:hAnsi="Times New Roman" w:cs="Times New Roman"/>
          <w:color w:val="000000" w:themeColor="text1"/>
          <w:sz w:val="21"/>
          <w:szCs w:val="18"/>
        </w:rPr>
        <w:t xml:space="preserve">Table 5 reports the instrumental variable (IV) regression results. Variable ‘SOEs’ is controlled in Model 4, and variable ‘legal environment’ is controlled in Model 5. The endogenous variable is the mutual fund. The instrumental variables include lagged mutual fund, CSI 300 membership, and industry median levels of the mutual fund. Lagged mutual fund is defined as the proportion of shares held by mutual funds at the time t-2. CSI 300 membership is defined as a dummy variable that equals one if a firm’s stock is included in the CSI 300 index and zero otherwise. Industry median levels of mutual funds refer to the proportion of shares held by mutual funds in the firm's 2-digit </w:t>
      </w:r>
      <w:r w:rsidR="008B3842" w:rsidRPr="00724CA2">
        <w:rPr>
          <w:rFonts w:ascii="Times New Roman" w:hAnsi="Times New Roman" w:cs="Times New Roman"/>
          <w:color w:val="000000" w:themeColor="text1"/>
          <w:sz w:val="21"/>
          <w:szCs w:val="18"/>
        </w:rPr>
        <w:t>China Securities Regulatory Commission (</w:t>
      </w:r>
      <w:r w:rsidRPr="00724CA2">
        <w:rPr>
          <w:rFonts w:ascii="Times New Roman" w:hAnsi="Times New Roman" w:cs="Times New Roman"/>
          <w:color w:val="000000" w:themeColor="text1"/>
          <w:sz w:val="21"/>
          <w:szCs w:val="18"/>
        </w:rPr>
        <w:t>CSRC</w:t>
      </w:r>
      <w:r w:rsidR="008B3842" w:rsidRPr="00724CA2">
        <w:rPr>
          <w:rFonts w:ascii="Times New Roman" w:hAnsi="Times New Roman" w:cs="Times New Roman"/>
          <w:color w:val="000000" w:themeColor="text1"/>
          <w:sz w:val="21"/>
          <w:szCs w:val="18"/>
        </w:rPr>
        <w:t>)</w:t>
      </w:r>
      <w:r w:rsidRPr="00724CA2">
        <w:rPr>
          <w:rFonts w:ascii="Times New Roman" w:hAnsi="Times New Roman" w:cs="Times New Roman"/>
          <w:color w:val="000000" w:themeColor="text1"/>
          <w:sz w:val="21"/>
          <w:szCs w:val="18"/>
        </w:rPr>
        <w:t xml:space="preserve"> coded industry per year. Model 1 includes the instrument variable of lagged mutual funds. Model 2 includes instrument variables of lagged mutual fund and CSI 300 membership. Models 3-5 include instrument variables of lagged mutual fund, CSI 300 membership, and the industry median level of mutual funds. Year and industry fixed effects are included in all specifications. Robust standard errors, clustered at the industry level, are reported in parentheses. *, **, and *** represent significance at the 0.10, 0.05, and 0.01 levels, respectively. The definitions of the variables are summarized in Table 1.</w:t>
      </w:r>
    </w:p>
    <w:p w14:paraId="46119CF7" w14:textId="02ACB1D7" w:rsidR="00486C4A" w:rsidRPr="00724CA2" w:rsidRDefault="00486C4A" w:rsidP="00F4299A">
      <w:pPr>
        <w:spacing w:after="0"/>
        <w:jc w:val="both"/>
        <w:rPr>
          <w:rFonts w:ascii="Times New Roman" w:hAnsi="Times New Roman" w:cs="Times New Roman"/>
          <w:color w:val="000000" w:themeColor="text1"/>
        </w:rPr>
      </w:pPr>
      <w:r w:rsidRPr="00724CA2">
        <w:rPr>
          <w:rFonts w:ascii="Times New Roman" w:hAnsi="Times New Roman" w:cs="Times New Roman"/>
          <w:b/>
          <w:color w:val="000000" w:themeColor="text1"/>
        </w:rPr>
        <w:t>Table 6</w:t>
      </w:r>
      <w:r w:rsidRPr="00724CA2">
        <w:rPr>
          <w:rFonts w:ascii="Times New Roman" w:hAnsi="Times New Roman" w:cs="Times New Roman"/>
          <w:bCs/>
          <w:color w:val="000000" w:themeColor="text1"/>
        </w:rPr>
        <w:t>: Endogeneity: Two-stage least squares method (continued)</w:t>
      </w:r>
    </w:p>
    <w:tbl>
      <w:tblPr>
        <w:tblStyle w:val="TableGrid"/>
        <w:tblW w:w="7599" w:type="dxa"/>
        <w:jc w:val="center"/>
        <w:tblBorders>
          <w:top w:val="single" w:sz="12" w:space="0" w:color="auto"/>
          <w:bottom w:val="single" w:sz="12" w:space="0" w:color="auto"/>
          <w:insideH w:val="none" w:sz="0" w:space="0" w:color="auto"/>
          <w:insideV w:val="none" w:sz="0" w:space="0" w:color="auto"/>
        </w:tblBorders>
        <w:tblLayout w:type="fixed"/>
        <w:tblLook w:val="04A0" w:firstRow="1" w:lastRow="0" w:firstColumn="1" w:lastColumn="0" w:noHBand="0" w:noVBand="1"/>
      </w:tblPr>
      <w:tblGrid>
        <w:gridCol w:w="3218"/>
        <w:gridCol w:w="2321"/>
        <w:gridCol w:w="1846"/>
        <w:gridCol w:w="214"/>
      </w:tblGrid>
      <w:tr w:rsidR="00724CA2" w:rsidRPr="00724CA2" w14:paraId="52C4B765" w14:textId="77777777" w:rsidTr="00EF73BE">
        <w:trPr>
          <w:trHeight w:val="256"/>
          <w:jc w:val="center"/>
        </w:trPr>
        <w:tc>
          <w:tcPr>
            <w:tcW w:w="3218" w:type="dxa"/>
            <w:tcBorders>
              <w:top w:val="single" w:sz="12" w:space="0" w:color="auto"/>
              <w:bottom w:val="single" w:sz="4" w:space="0" w:color="auto"/>
            </w:tcBorders>
            <w:noWrap/>
            <w:vAlign w:val="center"/>
          </w:tcPr>
          <w:p w14:paraId="2CBF8813" w14:textId="77777777" w:rsidR="00486C4A" w:rsidRPr="00724CA2" w:rsidRDefault="00486C4A" w:rsidP="007B3E16">
            <w:pPr>
              <w:jc w:val="both"/>
              <w:rPr>
                <w:rFonts w:ascii="Times New Roman" w:hAnsi="Times New Roman" w:cs="Times New Roman"/>
                <w:color w:val="000000" w:themeColor="text1"/>
                <w:lang w:val="en-US"/>
              </w:rPr>
            </w:pPr>
          </w:p>
        </w:tc>
        <w:tc>
          <w:tcPr>
            <w:tcW w:w="2321" w:type="dxa"/>
            <w:tcBorders>
              <w:top w:val="single" w:sz="12" w:space="0" w:color="auto"/>
              <w:bottom w:val="single" w:sz="4" w:space="0" w:color="auto"/>
            </w:tcBorders>
            <w:vAlign w:val="center"/>
          </w:tcPr>
          <w:p w14:paraId="4AD3FA4C" w14:textId="77777777" w:rsidR="00486C4A" w:rsidRPr="00724CA2" w:rsidRDefault="00486C4A" w:rsidP="007B3E16">
            <w:pPr>
              <w:jc w:val="both"/>
              <w:rPr>
                <w:rFonts w:ascii="Times New Roman" w:hAnsi="Times New Roman" w:cs="Times New Roman"/>
                <w:bCs/>
                <w:color w:val="000000" w:themeColor="text1"/>
                <w:szCs w:val="21"/>
              </w:rPr>
            </w:pPr>
            <w:r w:rsidRPr="00724CA2">
              <w:rPr>
                <w:rFonts w:ascii="Times New Roman" w:hAnsi="Times New Roman" w:cs="Times New Roman"/>
                <w:color w:val="000000" w:themeColor="text1"/>
                <w:szCs w:val="21"/>
              </w:rPr>
              <w:t>Model 1</w:t>
            </w:r>
          </w:p>
        </w:tc>
        <w:tc>
          <w:tcPr>
            <w:tcW w:w="2060" w:type="dxa"/>
            <w:gridSpan w:val="2"/>
            <w:tcBorders>
              <w:top w:val="single" w:sz="12" w:space="0" w:color="auto"/>
              <w:bottom w:val="single" w:sz="4" w:space="0" w:color="auto"/>
            </w:tcBorders>
            <w:vAlign w:val="center"/>
          </w:tcPr>
          <w:p w14:paraId="413614B2" w14:textId="77777777" w:rsidR="00486C4A" w:rsidRPr="00724CA2" w:rsidRDefault="00486C4A" w:rsidP="007B3E16">
            <w:pPr>
              <w:jc w:val="both"/>
              <w:rPr>
                <w:rFonts w:ascii="Times New Roman" w:hAnsi="Times New Roman" w:cs="Times New Roman"/>
                <w:b/>
                <w:color w:val="000000" w:themeColor="text1"/>
                <w:szCs w:val="21"/>
              </w:rPr>
            </w:pPr>
            <w:r w:rsidRPr="00724CA2">
              <w:rPr>
                <w:rFonts w:ascii="Times New Roman" w:hAnsi="Times New Roman" w:cs="Times New Roman"/>
                <w:color w:val="000000" w:themeColor="text1"/>
                <w:szCs w:val="21"/>
              </w:rPr>
              <w:t>Model 2</w:t>
            </w:r>
          </w:p>
        </w:tc>
      </w:tr>
      <w:tr w:rsidR="00724CA2" w:rsidRPr="00724CA2" w14:paraId="6EE101EB" w14:textId="77777777" w:rsidTr="00EF73BE">
        <w:trPr>
          <w:trHeight w:val="256"/>
          <w:jc w:val="center"/>
        </w:trPr>
        <w:tc>
          <w:tcPr>
            <w:tcW w:w="3218" w:type="dxa"/>
            <w:tcBorders>
              <w:top w:val="single" w:sz="4" w:space="0" w:color="auto"/>
            </w:tcBorders>
            <w:noWrap/>
            <w:vAlign w:val="center"/>
            <w:hideMark/>
          </w:tcPr>
          <w:p w14:paraId="5FBC8983" w14:textId="77777777" w:rsidR="00486C4A" w:rsidRPr="00724CA2" w:rsidRDefault="00486C4A" w:rsidP="007B3E1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Variables</w:t>
            </w:r>
          </w:p>
        </w:tc>
        <w:tc>
          <w:tcPr>
            <w:tcW w:w="2321" w:type="dxa"/>
            <w:tcBorders>
              <w:top w:val="single" w:sz="4" w:space="0" w:color="auto"/>
            </w:tcBorders>
            <w:vAlign w:val="center"/>
          </w:tcPr>
          <w:p w14:paraId="5EF44F0A" w14:textId="77777777" w:rsidR="00486C4A" w:rsidRPr="00724CA2" w:rsidRDefault="00486C4A" w:rsidP="007B3E16">
            <w:pPr>
              <w:jc w:val="both"/>
              <w:rPr>
                <w:rFonts w:ascii="Times New Roman" w:hAnsi="Times New Roman" w:cs="Times New Roman"/>
                <w:bCs/>
                <w:color w:val="000000" w:themeColor="text1"/>
                <w:sz w:val="21"/>
                <w:szCs w:val="21"/>
              </w:rPr>
            </w:pPr>
            <w:r w:rsidRPr="00724CA2">
              <w:rPr>
                <w:rFonts w:ascii="Times New Roman" w:hAnsi="Times New Roman" w:cs="Times New Roman"/>
                <w:bCs/>
                <w:color w:val="000000" w:themeColor="text1"/>
                <w:sz w:val="21"/>
                <w:szCs w:val="21"/>
              </w:rPr>
              <w:t>Green Question</w:t>
            </w:r>
          </w:p>
        </w:tc>
        <w:tc>
          <w:tcPr>
            <w:tcW w:w="2060" w:type="dxa"/>
            <w:gridSpan w:val="2"/>
            <w:tcBorders>
              <w:top w:val="single" w:sz="4" w:space="0" w:color="auto"/>
            </w:tcBorders>
            <w:vAlign w:val="center"/>
          </w:tcPr>
          <w:p w14:paraId="5D89146A" w14:textId="77777777" w:rsidR="00486C4A" w:rsidRPr="00724CA2" w:rsidRDefault="00486C4A" w:rsidP="007B3E16">
            <w:pPr>
              <w:jc w:val="both"/>
              <w:rPr>
                <w:rFonts w:ascii="Times New Roman" w:hAnsi="Times New Roman" w:cs="Times New Roman"/>
                <w:bCs/>
                <w:color w:val="000000" w:themeColor="text1"/>
                <w:sz w:val="21"/>
                <w:szCs w:val="21"/>
              </w:rPr>
            </w:pPr>
            <w:r w:rsidRPr="00724CA2">
              <w:rPr>
                <w:rFonts w:ascii="Times New Roman" w:hAnsi="Times New Roman" w:cs="Times New Roman"/>
                <w:bCs/>
                <w:color w:val="000000" w:themeColor="text1"/>
                <w:sz w:val="21"/>
                <w:szCs w:val="21"/>
              </w:rPr>
              <w:t>Green Board</w:t>
            </w:r>
          </w:p>
        </w:tc>
      </w:tr>
      <w:tr w:rsidR="00724CA2" w:rsidRPr="00724CA2" w14:paraId="36417B00" w14:textId="77777777" w:rsidTr="0075762D">
        <w:trPr>
          <w:gridAfter w:val="1"/>
          <w:wAfter w:w="214" w:type="dxa"/>
          <w:trHeight w:val="256"/>
          <w:jc w:val="center"/>
        </w:trPr>
        <w:tc>
          <w:tcPr>
            <w:tcW w:w="3218" w:type="dxa"/>
            <w:noWrap/>
            <w:vAlign w:val="center"/>
            <w:hideMark/>
          </w:tcPr>
          <w:p w14:paraId="4913854A" w14:textId="77777777"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Mutual fund</w:t>
            </w:r>
          </w:p>
        </w:tc>
        <w:tc>
          <w:tcPr>
            <w:tcW w:w="2321" w:type="dxa"/>
            <w:tcBorders>
              <w:top w:val="nil"/>
              <w:left w:val="nil"/>
              <w:bottom w:val="nil"/>
              <w:right w:val="nil"/>
            </w:tcBorders>
            <w:shd w:val="clear" w:color="auto" w:fill="auto"/>
            <w:vAlign w:val="bottom"/>
          </w:tcPr>
          <w:p w14:paraId="0CED3789" w14:textId="13CB9819"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2.680**</w:t>
            </w:r>
          </w:p>
        </w:tc>
        <w:tc>
          <w:tcPr>
            <w:tcW w:w="1846" w:type="dxa"/>
            <w:tcBorders>
              <w:top w:val="nil"/>
              <w:left w:val="nil"/>
              <w:bottom w:val="nil"/>
              <w:right w:val="nil"/>
            </w:tcBorders>
            <w:shd w:val="clear" w:color="auto" w:fill="auto"/>
            <w:vAlign w:val="bottom"/>
          </w:tcPr>
          <w:p w14:paraId="03783979" w14:textId="271393D7"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6.441*</w:t>
            </w:r>
          </w:p>
        </w:tc>
      </w:tr>
      <w:tr w:rsidR="00724CA2" w:rsidRPr="00724CA2" w14:paraId="627BAE4E" w14:textId="77777777" w:rsidTr="0075762D">
        <w:trPr>
          <w:gridAfter w:val="1"/>
          <w:wAfter w:w="214" w:type="dxa"/>
          <w:trHeight w:val="256"/>
          <w:jc w:val="center"/>
        </w:trPr>
        <w:tc>
          <w:tcPr>
            <w:tcW w:w="3218" w:type="dxa"/>
            <w:noWrap/>
            <w:vAlign w:val="center"/>
            <w:hideMark/>
          </w:tcPr>
          <w:p w14:paraId="091870A4" w14:textId="77777777" w:rsidR="000B0AC2" w:rsidRPr="00724CA2" w:rsidRDefault="000B0AC2" w:rsidP="000B0AC2">
            <w:pPr>
              <w:jc w:val="both"/>
              <w:rPr>
                <w:rFonts w:ascii="Times New Roman" w:hAnsi="Times New Roman" w:cs="Times New Roman"/>
                <w:color w:val="000000" w:themeColor="text1"/>
                <w:sz w:val="21"/>
                <w:szCs w:val="21"/>
                <w:lang w:val="en-US"/>
              </w:rPr>
            </w:pPr>
          </w:p>
        </w:tc>
        <w:tc>
          <w:tcPr>
            <w:tcW w:w="2321" w:type="dxa"/>
            <w:tcBorders>
              <w:top w:val="nil"/>
              <w:left w:val="nil"/>
              <w:bottom w:val="nil"/>
              <w:right w:val="nil"/>
            </w:tcBorders>
            <w:shd w:val="clear" w:color="auto" w:fill="auto"/>
            <w:vAlign w:val="bottom"/>
          </w:tcPr>
          <w:p w14:paraId="09A5FB8E" w14:textId="79C2302B"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(1.203)</w:t>
            </w:r>
          </w:p>
        </w:tc>
        <w:tc>
          <w:tcPr>
            <w:tcW w:w="1846" w:type="dxa"/>
            <w:tcBorders>
              <w:top w:val="nil"/>
              <w:left w:val="nil"/>
              <w:bottom w:val="nil"/>
              <w:right w:val="nil"/>
            </w:tcBorders>
            <w:shd w:val="clear" w:color="auto" w:fill="auto"/>
            <w:vAlign w:val="bottom"/>
          </w:tcPr>
          <w:p w14:paraId="3FB01E00" w14:textId="1BB36459"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(3.377)</w:t>
            </w:r>
          </w:p>
        </w:tc>
      </w:tr>
      <w:tr w:rsidR="00724CA2" w:rsidRPr="00724CA2" w14:paraId="50E691E1" w14:textId="77777777" w:rsidTr="0075762D">
        <w:trPr>
          <w:gridAfter w:val="1"/>
          <w:wAfter w:w="214" w:type="dxa"/>
          <w:trHeight w:val="256"/>
          <w:jc w:val="center"/>
        </w:trPr>
        <w:tc>
          <w:tcPr>
            <w:tcW w:w="3218" w:type="dxa"/>
            <w:noWrap/>
            <w:vAlign w:val="center"/>
          </w:tcPr>
          <w:p w14:paraId="3DDACB0A" w14:textId="77777777" w:rsidR="000B0AC2" w:rsidRPr="00724CA2" w:rsidRDefault="000B0AC2" w:rsidP="000B0AC2">
            <w:pPr>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Mutual fund* Green Question</w:t>
            </w:r>
          </w:p>
        </w:tc>
        <w:tc>
          <w:tcPr>
            <w:tcW w:w="2321" w:type="dxa"/>
            <w:tcBorders>
              <w:top w:val="nil"/>
              <w:left w:val="nil"/>
              <w:bottom w:val="nil"/>
              <w:right w:val="nil"/>
            </w:tcBorders>
            <w:shd w:val="clear" w:color="auto" w:fill="auto"/>
            <w:vAlign w:val="bottom"/>
          </w:tcPr>
          <w:p w14:paraId="0DAC1D45" w14:textId="2161D4CF"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4.478**</w:t>
            </w:r>
          </w:p>
        </w:tc>
        <w:tc>
          <w:tcPr>
            <w:tcW w:w="1846" w:type="dxa"/>
            <w:tcBorders>
              <w:top w:val="nil"/>
              <w:left w:val="nil"/>
              <w:bottom w:val="nil"/>
              <w:right w:val="nil"/>
            </w:tcBorders>
            <w:shd w:val="clear" w:color="auto" w:fill="auto"/>
            <w:vAlign w:val="bottom"/>
          </w:tcPr>
          <w:p w14:paraId="1EEBA35B" w14:textId="77777777" w:rsidR="000B0AC2" w:rsidRPr="00724CA2" w:rsidRDefault="000B0AC2" w:rsidP="000B0AC2">
            <w:pPr>
              <w:jc w:val="both"/>
              <w:rPr>
                <w:rFonts w:ascii="Times New Roman" w:hAnsi="Times New Roman" w:cs="Times New Roman"/>
                <w:color w:val="000000" w:themeColor="text1"/>
                <w:sz w:val="21"/>
                <w:szCs w:val="21"/>
              </w:rPr>
            </w:pPr>
          </w:p>
        </w:tc>
      </w:tr>
      <w:tr w:rsidR="00724CA2" w:rsidRPr="00724CA2" w14:paraId="3D90C5F3" w14:textId="77777777" w:rsidTr="0075762D">
        <w:trPr>
          <w:gridAfter w:val="1"/>
          <w:wAfter w:w="214" w:type="dxa"/>
          <w:trHeight w:val="256"/>
          <w:jc w:val="center"/>
        </w:trPr>
        <w:tc>
          <w:tcPr>
            <w:tcW w:w="3218" w:type="dxa"/>
            <w:noWrap/>
            <w:vAlign w:val="center"/>
          </w:tcPr>
          <w:p w14:paraId="38774AF1" w14:textId="77777777" w:rsidR="000B0AC2" w:rsidRPr="00724CA2" w:rsidRDefault="000B0AC2" w:rsidP="000B0AC2">
            <w:pPr>
              <w:jc w:val="both"/>
              <w:rPr>
                <w:rFonts w:ascii="Times New Roman" w:hAnsi="Times New Roman" w:cs="Times New Roman"/>
                <w:color w:val="000000" w:themeColor="text1"/>
                <w:sz w:val="21"/>
                <w:szCs w:val="21"/>
              </w:rPr>
            </w:pPr>
          </w:p>
        </w:tc>
        <w:tc>
          <w:tcPr>
            <w:tcW w:w="2321" w:type="dxa"/>
            <w:tcBorders>
              <w:top w:val="nil"/>
              <w:left w:val="nil"/>
              <w:bottom w:val="nil"/>
              <w:right w:val="nil"/>
            </w:tcBorders>
            <w:shd w:val="clear" w:color="auto" w:fill="auto"/>
            <w:vAlign w:val="bottom"/>
          </w:tcPr>
          <w:p w14:paraId="5382D019" w14:textId="13EB1C2B"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(1.750)</w:t>
            </w:r>
          </w:p>
        </w:tc>
        <w:tc>
          <w:tcPr>
            <w:tcW w:w="1846" w:type="dxa"/>
            <w:tcBorders>
              <w:top w:val="nil"/>
              <w:left w:val="nil"/>
              <w:bottom w:val="nil"/>
              <w:right w:val="nil"/>
            </w:tcBorders>
            <w:shd w:val="clear" w:color="auto" w:fill="auto"/>
            <w:vAlign w:val="bottom"/>
          </w:tcPr>
          <w:p w14:paraId="5C763309" w14:textId="77777777" w:rsidR="000B0AC2" w:rsidRPr="00724CA2" w:rsidRDefault="000B0AC2" w:rsidP="000B0AC2">
            <w:pPr>
              <w:jc w:val="both"/>
              <w:rPr>
                <w:rFonts w:ascii="Times New Roman" w:hAnsi="Times New Roman" w:cs="Times New Roman"/>
                <w:color w:val="000000" w:themeColor="text1"/>
                <w:sz w:val="21"/>
                <w:szCs w:val="21"/>
              </w:rPr>
            </w:pPr>
          </w:p>
        </w:tc>
      </w:tr>
      <w:tr w:rsidR="00724CA2" w:rsidRPr="00724CA2" w14:paraId="27254FCE" w14:textId="77777777" w:rsidTr="0075762D">
        <w:trPr>
          <w:gridAfter w:val="1"/>
          <w:wAfter w:w="214" w:type="dxa"/>
          <w:trHeight w:val="256"/>
          <w:jc w:val="center"/>
        </w:trPr>
        <w:tc>
          <w:tcPr>
            <w:tcW w:w="3218" w:type="dxa"/>
            <w:noWrap/>
            <w:vAlign w:val="center"/>
          </w:tcPr>
          <w:p w14:paraId="7606C168" w14:textId="77777777"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Mutual fund* Green board</w:t>
            </w:r>
          </w:p>
        </w:tc>
        <w:tc>
          <w:tcPr>
            <w:tcW w:w="2321" w:type="dxa"/>
            <w:tcBorders>
              <w:top w:val="nil"/>
              <w:left w:val="nil"/>
              <w:bottom w:val="nil"/>
              <w:right w:val="nil"/>
            </w:tcBorders>
            <w:shd w:val="clear" w:color="auto" w:fill="auto"/>
            <w:vAlign w:val="bottom"/>
          </w:tcPr>
          <w:p w14:paraId="7C36B394" w14:textId="77777777" w:rsidR="000B0AC2" w:rsidRPr="00724CA2" w:rsidRDefault="000B0AC2" w:rsidP="000B0AC2">
            <w:pPr>
              <w:jc w:val="both"/>
              <w:rPr>
                <w:rFonts w:ascii="Times New Roman" w:hAnsi="Times New Roman" w:cs="Times New Roman"/>
                <w:color w:val="000000" w:themeColor="text1"/>
                <w:sz w:val="21"/>
                <w:szCs w:val="21"/>
              </w:rPr>
            </w:pPr>
          </w:p>
        </w:tc>
        <w:tc>
          <w:tcPr>
            <w:tcW w:w="1846" w:type="dxa"/>
            <w:tcBorders>
              <w:top w:val="nil"/>
              <w:left w:val="nil"/>
              <w:bottom w:val="nil"/>
              <w:right w:val="nil"/>
            </w:tcBorders>
            <w:shd w:val="clear" w:color="auto" w:fill="auto"/>
            <w:vAlign w:val="bottom"/>
          </w:tcPr>
          <w:p w14:paraId="59943E42" w14:textId="6426D97C"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4.689***</w:t>
            </w:r>
          </w:p>
        </w:tc>
      </w:tr>
      <w:tr w:rsidR="00724CA2" w:rsidRPr="00724CA2" w14:paraId="33305E5E" w14:textId="77777777" w:rsidTr="0075762D">
        <w:trPr>
          <w:gridAfter w:val="1"/>
          <w:wAfter w:w="214" w:type="dxa"/>
          <w:trHeight w:val="256"/>
          <w:jc w:val="center"/>
        </w:trPr>
        <w:tc>
          <w:tcPr>
            <w:tcW w:w="3218" w:type="dxa"/>
            <w:noWrap/>
            <w:vAlign w:val="center"/>
          </w:tcPr>
          <w:p w14:paraId="5D7365E7" w14:textId="77777777" w:rsidR="000B0AC2" w:rsidRPr="00724CA2" w:rsidRDefault="000B0AC2" w:rsidP="000B0AC2">
            <w:pPr>
              <w:jc w:val="both"/>
              <w:rPr>
                <w:rFonts w:ascii="Times New Roman" w:hAnsi="Times New Roman" w:cs="Times New Roman"/>
                <w:color w:val="000000" w:themeColor="text1"/>
                <w:sz w:val="21"/>
                <w:szCs w:val="21"/>
              </w:rPr>
            </w:pPr>
          </w:p>
        </w:tc>
        <w:tc>
          <w:tcPr>
            <w:tcW w:w="2321" w:type="dxa"/>
            <w:tcBorders>
              <w:top w:val="nil"/>
              <w:left w:val="nil"/>
              <w:bottom w:val="nil"/>
              <w:right w:val="nil"/>
            </w:tcBorders>
            <w:shd w:val="clear" w:color="auto" w:fill="auto"/>
            <w:vAlign w:val="bottom"/>
          </w:tcPr>
          <w:p w14:paraId="2F19477B" w14:textId="77777777" w:rsidR="000B0AC2" w:rsidRPr="00724CA2" w:rsidRDefault="000B0AC2" w:rsidP="000B0AC2">
            <w:pPr>
              <w:jc w:val="both"/>
              <w:rPr>
                <w:rFonts w:ascii="Times New Roman" w:hAnsi="Times New Roman" w:cs="Times New Roman"/>
                <w:color w:val="000000" w:themeColor="text1"/>
                <w:sz w:val="21"/>
                <w:szCs w:val="21"/>
              </w:rPr>
            </w:pPr>
          </w:p>
        </w:tc>
        <w:tc>
          <w:tcPr>
            <w:tcW w:w="1846" w:type="dxa"/>
            <w:tcBorders>
              <w:top w:val="nil"/>
              <w:left w:val="nil"/>
              <w:bottom w:val="nil"/>
              <w:right w:val="nil"/>
            </w:tcBorders>
            <w:shd w:val="clear" w:color="auto" w:fill="auto"/>
            <w:vAlign w:val="bottom"/>
          </w:tcPr>
          <w:p w14:paraId="77D7F71F" w14:textId="5A2FAFC7"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(1.594)</w:t>
            </w:r>
          </w:p>
        </w:tc>
      </w:tr>
      <w:tr w:rsidR="00724CA2" w:rsidRPr="00724CA2" w14:paraId="2419842F" w14:textId="77777777" w:rsidTr="0075762D">
        <w:trPr>
          <w:gridAfter w:val="1"/>
          <w:wAfter w:w="214" w:type="dxa"/>
          <w:trHeight w:val="256"/>
          <w:jc w:val="center"/>
        </w:trPr>
        <w:tc>
          <w:tcPr>
            <w:tcW w:w="3218" w:type="dxa"/>
            <w:noWrap/>
            <w:vAlign w:val="center"/>
          </w:tcPr>
          <w:p w14:paraId="00046083" w14:textId="7198F601"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Society</w:t>
            </w:r>
          </w:p>
        </w:tc>
        <w:tc>
          <w:tcPr>
            <w:tcW w:w="2321" w:type="dxa"/>
            <w:tcBorders>
              <w:top w:val="nil"/>
              <w:left w:val="nil"/>
              <w:bottom w:val="nil"/>
              <w:right w:val="nil"/>
            </w:tcBorders>
            <w:shd w:val="clear" w:color="auto" w:fill="auto"/>
            <w:vAlign w:val="bottom"/>
          </w:tcPr>
          <w:p w14:paraId="42F721CF" w14:textId="72775648"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0.019***</w:t>
            </w:r>
          </w:p>
        </w:tc>
        <w:tc>
          <w:tcPr>
            <w:tcW w:w="1846" w:type="dxa"/>
            <w:tcBorders>
              <w:top w:val="nil"/>
              <w:left w:val="nil"/>
              <w:bottom w:val="nil"/>
              <w:right w:val="nil"/>
            </w:tcBorders>
            <w:shd w:val="clear" w:color="auto" w:fill="auto"/>
            <w:vAlign w:val="bottom"/>
          </w:tcPr>
          <w:p w14:paraId="1DD8E017" w14:textId="6736050F"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0.019***</w:t>
            </w:r>
          </w:p>
        </w:tc>
      </w:tr>
      <w:tr w:rsidR="00724CA2" w:rsidRPr="00724CA2" w14:paraId="6950D97A" w14:textId="77777777" w:rsidTr="0075762D">
        <w:trPr>
          <w:gridAfter w:val="1"/>
          <w:wAfter w:w="214" w:type="dxa"/>
          <w:trHeight w:val="256"/>
          <w:jc w:val="center"/>
        </w:trPr>
        <w:tc>
          <w:tcPr>
            <w:tcW w:w="3218" w:type="dxa"/>
            <w:noWrap/>
            <w:vAlign w:val="center"/>
          </w:tcPr>
          <w:p w14:paraId="01F0D0E6" w14:textId="77777777" w:rsidR="000B0AC2" w:rsidRPr="00724CA2" w:rsidRDefault="000B0AC2" w:rsidP="000B0AC2">
            <w:pPr>
              <w:jc w:val="both"/>
              <w:rPr>
                <w:rFonts w:ascii="Times New Roman" w:hAnsi="Times New Roman" w:cs="Times New Roman"/>
                <w:color w:val="000000" w:themeColor="text1"/>
                <w:sz w:val="21"/>
                <w:szCs w:val="21"/>
                <w:lang w:val="en-US"/>
              </w:rPr>
            </w:pPr>
          </w:p>
        </w:tc>
        <w:tc>
          <w:tcPr>
            <w:tcW w:w="2321" w:type="dxa"/>
            <w:tcBorders>
              <w:top w:val="nil"/>
              <w:left w:val="nil"/>
              <w:bottom w:val="nil"/>
              <w:right w:val="nil"/>
            </w:tcBorders>
            <w:shd w:val="clear" w:color="auto" w:fill="auto"/>
            <w:vAlign w:val="bottom"/>
          </w:tcPr>
          <w:p w14:paraId="0E8AC885" w14:textId="1E6D08DD"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(0.004)</w:t>
            </w:r>
          </w:p>
        </w:tc>
        <w:tc>
          <w:tcPr>
            <w:tcW w:w="1846" w:type="dxa"/>
            <w:tcBorders>
              <w:top w:val="nil"/>
              <w:left w:val="nil"/>
              <w:bottom w:val="nil"/>
              <w:right w:val="nil"/>
            </w:tcBorders>
            <w:shd w:val="clear" w:color="auto" w:fill="auto"/>
            <w:vAlign w:val="bottom"/>
          </w:tcPr>
          <w:p w14:paraId="7D3B5C4C" w14:textId="57F9B5CA"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(0.004)</w:t>
            </w:r>
          </w:p>
        </w:tc>
      </w:tr>
      <w:tr w:rsidR="00724CA2" w:rsidRPr="00724CA2" w14:paraId="57F72E1C" w14:textId="77777777" w:rsidTr="0075762D">
        <w:trPr>
          <w:gridAfter w:val="1"/>
          <w:wAfter w:w="214" w:type="dxa"/>
          <w:trHeight w:val="256"/>
          <w:jc w:val="center"/>
        </w:trPr>
        <w:tc>
          <w:tcPr>
            <w:tcW w:w="3218" w:type="dxa"/>
            <w:noWrap/>
            <w:vAlign w:val="center"/>
          </w:tcPr>
          <w:p w14:paraId="5DB3FF8D" w14:textId="1422767B"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Governance</w:t>
            </w:r>
          </w:p>
        </w:tc>
        <w:tc>
          <w:tcPr>
            <w:tcW w:w="2321" w:type="dxa"/>
            <w:tcBorders>
              <w:top w:val="nil"/>
              <w:left w:val="nil"/>
              <w:bottom w:val="nil"/>
              <w:right w:val="nil"/>
            </w:tcBorders>
            <w:shd w:val="clear" w:color="auto" w:fill="auto"/>
            <w:vAlign w:val="bottom"/>
          </w:tcPr>
          <w:p w14:paraId="5D5FA315" w14:textId="21BFE65E"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0.034***</w:t>
            </w:r>
          </w:p>
        </w:tc>
        <w:tc>
          <w:tcPr>
            <w:tcW w:w="1846" w:type="dxa"/>
            <w:tcBorders>
              <w:top w:val="nil"/>
              <w:left w:val="nil"/>
              <w:bottom w:val="nil"/>
              <w:right w:val="nil"/>
            </w:tcBorders>
            <w:shd w:val="clear" w:color="auto" w:fill="auto"/>
            <w:vAlign w:val="bottom"/>
          </w:tcPr>
          <w:p w14:paraId="390034D2" w14:textId="59F571C6"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0.034***</w:t>
            </w:r>
          </w:p>
        </w:tc>
      </w:tr>
      <w:tr w:rsidR="00724CA2" w:rsidRPr="00724CA2" w14:paraId="0F54C229" w14:textId="77777777" w:rsidTr="0075762D">
        <w:trPr>
          <w:gridAfter w:val="1"/>
          <w:wAfter w:w="214" w:type="dxa"/>
          <w:trHeight w:val="256"/>
          <w:jc w:val="center"/>
        </w:trPr>
        <w:tc>
          <w:tcPr>
            <w:tcW w:w="3218" w:type="dxa"/>
            <w:noWrap/>
            <w:vAlign w:val="center"/>
          </w:tcPr>
          <w:p w14:paraId="40B0CF80" w14:textId="77777777" w:rsidR="000B0AC2" w:rsidRPr="00724CA2" w:rsidRDefault="000B0AC2" w:rsidP="000B0AC2">
            <w:pPr>
              <w:jc w:val="both"/>
              <w:rPr>
                <w:rFonts w:ascii="Times New Roman" w:hAnsi="Times New Roman" w:cs="Times New Roman"/>
                <w:color w:val="000000" w:themeColor="text1"/>
                <w:sz w:val="21"/>
                <w:szCs w:val="21"/>
                <w:lang w:val="en-US"/>
              </w:rPr>
            </w:pPr>
          </w:p>
        </w:tc>
        <w:tc>
          <w:tcPr>
            <w:tcW w:w="2321" w:type="dxa"/>
            <w:tcBorders>
              <w:top w:val="nil"/>
              <w:left w:val="nil"/>
              <w:bottom w:val="nil"/>
              <w:right w:val="nil"/>
            </w:tcBorders>
            <w:shd w:val="clear" w:color="auto" w:fill="auto"/>
            <w:vAlign w:val="bottom"/>
          </w:tcPr>
          <w:p w14:paraId="5A15277B" w14:textId="381A99AA"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(0.010)</w:t>
            </w:r>
          </w:p>
        </w:tc>
        <w:tc>
          <w:tcPr>
            <w:tcW w:w="1846" w:type="dxa"/>
            <w:tcBorders>
              <w:top w:val="nil"/>
              <w:left w:val="nil"/>
              <w:bottom w:val="nil"/>
              <w:right w:val="nil"/>
            </w:tcBorders>
            <w:shd w:val="clear" w:color="auto" w:fill="auto"/>
            <w:vAlign w:val="bottom"/>
          </w:tcPr>
          <w:p w14:paraId="78988C8C" w14:textId="6F85D556"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(0.010)</w:t>
            </w:r>
          </w:p>
        </w:tc>
      </w:tr>
      <w:tr w:rsidR="00724CA2" w:rsidRPr="00724CA2" w14:paraId="1DB7B2CC" w14:textId="77777777" w:rsidTr="0075762D">
        <w:trPr>
          <w:gridAfter w:val="1"/>
          <w:wAfter w:w="214" w:type="dxa"/>
          <w:trHeight w:val="256"/>
          <w:jc w:val="center"/>
        </w:trPr>
        <w:tc>
          <w:tcPr>
            <w:tcW w:w="3218" w:type="dxa"/>
            <w:noWrap/>
            <w:vAlign w:val="center"/>
            <w:hideMark/>
          </w:tcPr>
          <w:p w14:paraId="61A10A99" w14:textId="77777777"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Duality</w:t>
            </w:r>
          </w:p>
        </w:tc>
        <w:tc>
          <w:tcPr>
            <w:tcW w:w="2321" w:type="dxa"/>
            <w:tcBorders>
              <w:top w:val="nil"/>
              <w:left w:val="nil"/>
              <w:bottom w:val="nil"/>
              <w:right w:val="nil"/>
            </w:tcBorders>
            <w:shd w:val="clear" w:color="auto" w:fill="auto"/>
            <w:vAlign w:val="bottom"/>
          </w:tcPr>
          <w:p w14:paraId="7A20703C" w14:textId="1527D42E"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0.664</w:t>
            </w:r>
          </w:p>
        </w:tc>
        <w:tc>
          <w:tcPr>
            <w:tcW w:w="1846" w:type="dxa"/>
            <w:tcBorders>
              <w:top w:val="nil"/>
              <w:left w:val="nil"/>
              <w:bottom w:val="nil"/>
              <w:right w:val="nil"/>
            </w:tcBorders>
            <w:shd w:val="clear" w:color="auto" w:fill="auto"/>
            <w:vAlign w:val="bottom"/>
          </w:tcPr>
          <w:p w14:paraId="497EBA23" w14:textId="0BADD68A"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0.362*</w:t>
            </w:r>
          </w:p>
        </w:tc>
      </w:tr>
      <w:tr w:rsidR="00724CA2" w:rsidRPr="00724CA2" w14:paraId="0AC23938" w14:textId="77777777" w:rsidTr="0075762D">
        <w:trPr>
          <w:gridAfter w:val="1"/>
          <w:wAfter w:w="214" w:type="dxa"/>
          <w:trHeight w:val="256"/>
          <w:jc w:val="center"/>
        </w:trPr>
        <w:tc>
          <w:tcPr>
            <w:tcW w:w="3218" w:type="dxa"/>
            <w:noWrap/>
            <w:vAlign w:val="center"/>
            <w:hideMark/>
          </w:tcPr>
          <w:p w14:paraId="2B530D09" w14:textId="77777777" w:rsidR="000B0AC2" w:rsidRPr="00724CA2" w:rsidRDefault="000B0AC2" w:rsidP="000B0AC2">
            <w:pPr>
              <w:jc w:val="both"/>
              <w:rPr>
                <w:rFonts w:ascii="Times New Roman" w:hAnsi="Times New Roman" w:cs="Times New Roman"/>
                <w:color w:val="000000" w:themeColor="text1"/>
                <w:sz w:val="21"/>
                <w:szCs w:val="21"/>
                <w:lang w:val="en-US"/>
              </w:rPr>
            </w:pPr>
          </w:p>
        </w:tc>
        <w:tc>
          <w:tcPr>
            <w:tcW w:w="2321" w:type="dxa"/>
            <w:tcBorders>
              <w:top w:val="nil"/>
              <w:left w:val="nil"/>
              <w:bottom w:val="nil"/>
              <w:right w:val="nil"/>
            </w:tcBorders>
            <w:shd w:val="clear" w:color="auto" w:fill="auto"/>
            <w:vAlign w:val="bottom"/>
          </w:tcPr>
          <w:p w14:paraId="2C27CC57" w14:textId="1A784F11"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(0.492)</w:t>
            </w:r>
          </w:p>
        </w:tc>
        <w:tc>
          <w:tcPr>
            <w:tcW w:w="1846" w:type="dxa"/>
            <w:tcBorders>
              <w:top w:val="nil"/>
              <w:left w:val="nil"/>
              <w:bottom w:val="nil"/>
              <w:right w:val="nil"/>
            </w:tcBorders>
            <w:shd w:val="clear" w:color="auto" w:fill="auto"/>
            <w:vAlign w:val="bottom"/>
          </w:tcPr>
          <w:p w14:paraId="0DD6F6AE" w14:textId="3FEC75AB"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(0.175)</w:t>
            </w:r>
          </w:p>
        </w:tc>
      </w:tr>
      <w:tr w:rsidR="00724CA2" w:rsidRPr="00724CA2" w14:paraId="0BBD95A5" w14:textId="77777777" w:rsidTr="0075762D">
        <w:trPr>
          <w:gridAfter w:val="1"/>
          <w:wAfter w:w="214" w:type="dxa"/>
          <w:trHeight w:val="256"/>
          <w:jc w:val="center"/>
        </w:trPr>
        <w:tc>
          <w:tcPr>
            <w:tcW w:w="3218" w:type="dxa"/>
            <w:noWrap/>
            <w:vAlign w:val="center"/>
            <w:hideMark/>
          </w:tcPr>
          <w:p w14:paraId="5819E22C" w14:textId="77777777"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Independence</w:t>
            </w:r>
          </w:p>
        </w:tc>
        <w:tc>
          <w:tcPr>
            <w:tcW w:w="2321" w:type="dxa"/>
            <w:tcBorders>
              <w:top w:val="nil"/>
              <w:left w:val="nil"/>
              <w:bottom w:val="nil"/>
              <w:right w:val="nil"/>
            </w:tcBorders>
            <w:shd w:val="clear" w:color="auto" w:fill="auto"/>
            <w:vAlign w:val="bottom"/>
          </w:tcPr>
          <w:p w14:paraId="7406A11A" w14:textId="391124BC"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0.267</w:t>
            </w:r>
          </w:p>
        </w:tc>
        <w:tc>
          <w:tcPr>
            <w:tcW w:w="1846" w:type="dxa"/>
            <w:tcBorders>
              <w:top w:val="nil"/>
              <w:left w:val="nil"/>
              <w:bottom w:val="nil"/>
              <w:right w:val="nil"/>
            </w:tcBorders>
            <w:shd w:val="clear" w:color="auto" w:fill="auto"/>
            <w:vAlign w:val="bottom"/>
          </w:tcPr>
          <w:p w14:paraId="3D5F4A99" w14:textId="5FD59A2E"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0.947</w:t>
            </w:r>
          </w:p>
        </w:tc>
      </w:tr>
      <w:tr w:rsidR="00724CA2" w:rsidRPr="00724CA2" w14:paraId="32F81175" w14:textId="77777777" w:rsidTr="0075762D">
        <w:trPr>
          <w:gridAfter w:val="1"/>
          <w:wAfter w:w="214" w:type="dxa"/>
          <w:trHeight w:val="256"/>
          <w:jc w:val="center"/>
        </w:trPr>
        <w:tc>
          <w:tcPr>
            <w:tcW w:w="3218" w:type="dxa"/>
            <w:noWrap/>
            <w:vAlign w:val="center"/>
            <w:hideMark/>
          </w:tcPr>
          <w:p w14:paraId="0322880D" w14:textId="77777777" w:rsidR="000B0AC2" w:rsidRPr="00724CA2" w:rsidRDefault="000B0AC2" w:rsidP="000B0AC2">
            <w:pPr>
              <w:jc w:val="both"/>
              <w:rPr>
                <w:rFonts w:ascii="Times New Roman" w:hAnsi="Times New Roman" w:cs="Times New Roman"/>
                <w:color w:val="000000" w:themeColor="text1"/>
                <w:sz w:val="21"/>
                <w:szCs w:val="21"/>
                <w:lang w:val="en-US"/>
              </w:rPr>
            </w:pPr>
          </w:p>
        </w:tc>
        <w:tc>
          <w:tcPr>
            <w:tcW w:w="2321" w:type="dxa"/>
            <w:tcBorders>
              <w:top w:val="nil"/>
              <w:left w:val="nil"/>
              <w:bottom w:val="nil"/>
              <w:right w:val="nil"/>
            </w:tcBorders>
            <w:shd w:val="clear" w:color="auto" w:fill="auto"/>
            <w:vAlign w:val="bottom"/>
          </w:tcPr>
          <w:p w14:paraId="5ECA1B89" w14:textId="3B3F70FA"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(0.318)</w:t>
            </w:r>
          </w:p>
        </w:tc>
        <w:tc>
          <w:tcPr>
            <w:tcW w:w="1846" w:type="dxa"/>
            <w:tcBorders>
              <w:top w:val="nil"/>
              <w:left w:val="nil"/>
              <w:bottom w:val="nil"/>
              <w:right w:val="nil"/>
            </w:tcBorders>
            <w:shd w:val="clear" w:color="auto" w:fill="auto"/>
            <w:vAlign w:val="bottom"/>
          </w:tcPr>
          <w:p w14:paraId="0A8F352F" w14:textId="5C0EC49F"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(1.161)</w:t>
            </w:r>
          </w:p>
        </w:tc>
      </w:tr>
      <w:tr w:rsidR="00724CA2" w:rsidRPr="00724CA2" w14:paraId="24E6BD01" w14:textId="77777777" w:rsidTr="0075762D">
        <w:trPr>
          <w:gridAfter w:val="1"/>
          <w:wAfter w:w="214" w:type="dxa"/>
          <w:trHeight w:val="256"/>
          <w:jc w:val="center"/>
        </w:trPr>
        <w:tc>
          <w:tcPr>
            <w:tcW w:w="3218" w:type="dxa"/>
            <w:noWrap/>
            <w:vAlign w:val="center"/>
            <w:hideMark/>
          </w:tcPr>
          <w:p w14:paraId="71C296FC" w14:textId="77777777"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Board meeting</w:t>
            </w:r>
          </w:p>
        </w:tc>
        <w:tc>
          <w:tcPr>
            <w:tcW w:w="2321" w:type="dxa"/>
            <w:tcBorders>
              <w:top w:val="nil"/>
              <w:left w:val="nil"/>
              <w:bottom w:val="nil"/>
              <w:right w:val="nil"/>
            </w:tcBorders>
            <w:shd w:val="clear" w:color="auto" w:fill="auto"/>
            <w:vAlign w:val="bottom"/>
          </w:tcPr>
          <w:p w14:paraId="51272773" w14:textId="5495D56D"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0.011**</w:t>
            </w:r>
          </w:p>
        </w:tc>
        <w:tc>
          <w:tcPr>
            <w:tcW w:w="1846" w:type="dxa"/>
            <w:tcBorders>
              <w:top w:val="nil"/>
              <w:left w:val="nil"/>
              <w:bottom w:val="nil"/>
              <w:right w:val="nil"/>
            </w:tcBorders>
            <w:shd w:val="clear" w:color="auto" w:fill="auto"/>
            <w:vAlign w:val="bottom"/>
          </w:tcPr>
          <w:p w14:paraId="662141D0" w14:textId="3CC4E84A"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0.021</w:t>
            </w:r>
          </w:p>
        </w:tc>
      </w:tr>
      <w:tr w:rsidR="00724CA2" w:rsidRPr="00724CA2" w14:paraId="6560FDC7" w14:textId="77777777" w:rsidTr="0075762D">
        <w:trPr>
          <w:gridAfter w:val="1"/>
          <w:wAfter w:w="214" w:type="dxa"/>
          <w:trHeight w:val="256"/>
          <w:jc w:val="center"/>
        </w:trPr>
        <w:tc>
          <w:tcPr>
            <w:tcW w:w="3218" w:type="dxa"/>
            <w:noWrap/>
            <w:vAlign w:val="center"/>
            <w:hideMark/>
          </w:tcPr>
          <w:p w14:paraId="42ED8D2E" w14:textId="77777777" w:rsidR="000B0AC2" w:rsidRPr="00724CA2" w:rsidRDefault="000B0AC2" w:rsidP="000B0AC2">
            <w:pPr>
              <w:jc w:val="both"/>
              <w:rPr>
                <w:rFonts w:ascii="Times New Roman" w:hAnsi="Times New Roman" w:cs="Times New Roman"/>
                <w:color w:val="000000" w:themeColor="text1"/>
                <w:sz w:val="21"/>
                <w:szCs w:val="21"/>
                <w:lang w:val="en-US"/>
              </w:rPr>
            </w:pPr>
          </w:p>
        </w:tc>
        <w:tc>
          <w:tcPr>
            <w:tcW w:w="2321" w:type="dxa"/>
            <w:tcBorders>
              <w:top w:val="nil"/>
              <w:left w:val="nil"/>
              <w:bottom w:val="nil"/>
              <w:right w:val="nil"/>
            </w:tcBorders>
            <w:shd w:val="clear" w:color="auto" w:fill="auto"/>
            <w:vAlign w:val="bottom"/>
          </w:tcPr>
          <w:p w14:paraId="2E4DF1EF" w14:textId="2FE99109"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(0.005)</w:t>
            </w:r>
          </w:p>
        </w:tc>
        <w:tc>
          <w:tcPr>
            <w:tcW w:w="1846" w:type="dxa"/>
            <w:tcBorders>
              <w:top w:val="nil"/>
              <w:left w:val="nil"/>
              <w:bottom w:val="nil"/>
              <w:right w:val="nil"/>
            </w:tcBorders>
            <w:shd w:val="clear" w:color="auto" w:fill="auto"/>
            <w:vAlign w:val="bottom"/>
          </w:tcPr>
          <w:p w14:paraId="7F471797" w14:textId="436D1B32"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(0.013)</w:t>
            </w:r>
          </w:p>
        </w:tc>
      </w:tr>
      <w:tr w:rsidR="00724CA2" w:rsidRPr="00724CA2" w14:paraId="7A5819D5" w14:textId="77777777" w:rsidTr="0075762D">
        <w:trPr>
          <w:gridAfter w:val="1"/>
          <w:wAfter w:w="214" w:type="dxa"/>
          <w:trHeight w:val="256"/>
          <w:jc w:val="center"/>
        </w:trPr>
        <w:tc>
          <w:tcPr>
            <w:tcW w:w="3218" w:type="dxa"/>
            <w:noWrap/>
            <w:vAlign w:val="center"/>
            <w:hideMark/>
          </w:tcPr>
          <w:p w14:paraId="54F4BA4C" w14:textId="77777777"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Managerial ownership</w:t>
            </w:r>
          </w:p>
        </w:tc>
        <w:tc>
          <w:tcPr>
            <w:tcW w:w="2321" w:type="dxa"/>
            <w:tcBorders>
              <w:top w:val="nil"/>
              <w:left w:val="nil"/>
              <w:bottom w:val="nil"/>
              <w:right w:val="nil"/>
            </w:tcBorders>
            <w:shd w:val="clear" w:color="auto" w:fill="auto"/>
            <w:vAlign w:val="bottom"/>
          </w:tcPr>
          <w:p w14:paraId="4B9BCAE1" w14:textId="18E6655E"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-0.452***</w:t>
            </w:r>
          </w:p>
        </w:tc>
        <w:tc>
          <w:tcPr>
            <w:tcW w:w="1846" w:type="dxa"/>
            <w:tcBorders>
              <w:top w:val="nil"/>
              <w:left w:val="nil"/>
              <w:bottom w:val="nil"/>
              <w:right w:val="nil"/>
            </w:tcBorders>
            <w:shd w:val="clear" w:color="auto" w:fill="auto"/>
            <w:vAlign w:val="bottom"/>
          </w:tcPr>
          <w:p w14:paraId="32C2E857" w14:textId="6DB922F8"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-0.490</w:t>
            </w:r>
          </w:p>
        </w:tc>
      </w:tr>
      <w:tr w:rsidR="00724CA2" w:rsidRPr="00724CA2" w14:paraId="2BAB5AF2" w14:textId="77777777" w:rsidTr="0075762D">
        <w:trPr>
          <w:gridAfter w:val="1"/>
          <w:wAfter w:w="214" w:type="dxa"/>
          <w:trHeight w:val="256"/>
          <w:jc w:val="center"/>
        </w:trPr>
        <w:tc>
          <w:tcPr>
            <w:tcW w:w="3218" w:type="dxa"/>
            <w:noWrap/>
            <w:vAlign w:val="center"/>
            <w:hideMark/>
          </w:tcPr>
          <w:p w14:paraId="20E4047B" w14:textId="77777777" w:rsidR="000B0AC2" w:rsidRPr="00724CA2" w:rsidRDefault="000B0AC2" w:rsidP="000B0AC2">
            <w:pPr>
              <w:jc w:val="both"/>
              <w:rPr>
                <w:rFonts w:ascii="Times New Roman" w:hAnsi="Times New Roman" w:cs="Times New Roman"/>
                <w:color w:val="000000" w:themeColor="text1"/>
                <w:sz w:val="21"/>
                <w:szCs w:val="21"/>
                <w:lang w:val="en-US"/>
              </w:rPr>
            </w:pPr>
          </w:p>
        </w:tc>
        <w:tc>
          <w:tcPr>
            <w:tcW w:w="2321" w:type="dxa"/>
            <w:tcBorders>
              <w:top w:val="nil"/>
              <w:left w:val="nil"/>
              <w:bottom w:val="nil"/>
              <w:right w:val="nil"/>
            </w:tcBorders>
            <w:shd w:val="clear" w:color="auto" w:fill="auto"/>
            <w:vAlign w:val="bottom"/>
          </w:tcPr>
          <w:p w14:paraId="668C9F26" w14:textId="1CE718B1"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(0.108)</w:t>
            </w:r>
          </w:p>
        </w:tc>
        <w:tc>
          <w:tcPr>
            <w:tcW w:w="1846" w:type="dxa"/>
            <w:tcBorders>
              <w:top w:val="nil"/>
              <w:left w:val="nil"/>
              <w:bottom w:val="nil"/>
              <w:right w:val="nil"/>
            </w:tcBorders>
            <w:shd w:val="clear" w:color="auto" w:fill="auto"/>
            <w:vAlign w:val="bottom"/>
          </w:tcPr>
          <w:p w14:paraId="3BC2650C" w14:textId="03D8D0A3"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(0.357)</w:t>
            </w:r>
          </w:p>
        </w:tc>
      </w:tr>
      <w:tr w:rsidR="00724CA2" w:rsidRPr="00724CA2" w14:paraId="4A9614C9" w14:textId="77777777" w:rsidTr="0075762D">
        <w:trPr>
          <w:gridAfter w:val="1"/>
          <w:wAfter w:w="214" w:type="dxa"/>
          <w:trHeight w:val="256"/>
          <w:jc w:val="center"/>
        </w:trPr>
        <w:tc>
          <w:tcPr>
            <w:tcW w:w="3218" w:type="dxa"/>
            <w:noWrap/>
            <w:vAlign w:val="center"/>
            <w:hideMark/>
          </w:tcPr>
          <w:p w14:paraId="67CCCABB" w14:textId="77777777"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Z Index</w:t>
            </w:r>
          </w:p>
        </w:tc>
        <w:tc>
          <w:tcPr>
            <w:tcW w:w="2321" w:type="dxa"/>
            <w:tcBorders>
              <w:top w:val="nil"/>
              <w:left w:val="nil"/>
              <w:bottom w:val="nil"/>
              <w:right w:val="nil"/>
            </w:tcBorders>
            <w:shd w:val="clear" w:color="auto" w:fill="auto"/>
            <w:vAlign w:val="bottom"/>
          </w:tcPr>
          <w:p w14:paraId="368A5973" w14:textId="41F2BF2E"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0.003</w:t>
            </w:r>
          </w:p>
        </w:tc>
        <w:tc>
          <w:tcPr>
            <w:tcW w:w="1846" w:type="dxa"/>
            <w:tcBorders>
              <w:top w:val="nil"/>
              <w:left w:val="nil"/>
              <w:bottom w:val="nil"/>
              <w:right w:val="nil"/>
            </w:tcBorders>
            <w:shd w:val="clear" w:color="auto" w:fill="auto"/>
            <w:vAlign w:val="bottom"/>
          </w:tcPr>
          <w:p w14:paraId="749671BB" w14:textId="5D4B44D8"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0.003</w:t>
            </w:r>
          </w:p>
        </w:tc>
      </w:tr>
      <w:tr w:rsidR="00724CA2" w:rsidRPr="00724CA2" w14:paraId="398BD598" w14:textId="77777777" w:rsidTr="0075762D">
        <w:trPr>
          <w:gridAfter w:val="1"/>
          <w:wAfter w:w="214" w:type="dxa"/>
          <w:trHeight w:val="256"/>
          <w:jc w:val="center"/>
        </w:trPr>
        <w:tc>
          <w:tcPr>
            <w:tcW w:w="3218" w:type="dxa"/>
            <w:noWrap/>
            <w:vAlign w:val="center"/>
            <w:hideMark/>
          </w:tcPr>
          <w:p w14:paraId="7AA8349D" w14:textId="77777777" w:rsidR="000B0AC2" w:rsidRPr="00724CA2" w:rsidRDefault="000B0AC2" w:rsidP="000B0AC2">
            <w:pPr>
              <w:jc w:val="both"/>
              <w:rPr>
                <w:rFonts w:ascii="Times New Roman" w:hAnsi="Times New Roman" w:cs="Times New Roman"/>
                <w:color w:val="000000" w:themeColor="text1"/>
                <w:sz w:val="21"/>
                <w:szCs w:val="21"/>
                <w:lang w:val="en-US"/>
              </w:rPr>
            </w:pPr>
          </w:p>
        </w:tc>
        <w:tc>
          <w:tcPr>
            <w:tcW w:w="2321" w:type="dxa"/>
            <w:tcBorders>
              <w:top w:val="nil"/>
              <w:left w:val="nil"/>
              <w:bottom w:val="nil"/>
              <w:right w:val="nil"/>
            </w:tcBorders>
            <w:shd w:val="clear" w:color="auto" w:fill="auto"/>
            <w:vAlign w:val="bottom"/>
          </w:tcPr>
          <w:p w14:paraId="21F763D2" w14:textId="40614A82"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(0.002)</w:t>
            </w:r>
          </w:p>
        </w:tc>
        <w:tc>
          <w:tcPr>
            <w:tcW w:w="1846" w:type="dxa"/>
            <w:tcBorders>
              <w:top w:val="nil"/>
              <w:left w:val="nil"/>
              <w:bottom w:val="nil"/>
              <w:right w:val="nil"/>
            </w:tcBorders>
            <w:shd w:val="clear" w:color="auto" w:fill="auto"/>
            <w:vAlign w:val="bottom"/>
          </w:tcPr>
          <w:p w14:paraId="2ABD41A3" w14:textId="559739B2"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(0.005)</w:t>
            </w:r>
          </w:p>
        </w:tc>
      </w:tr>
      <w:tr w:rsidR="00724CA2" w:rsidRPr="00724CA2" w14:paraId="3DC8C1E9" w14:textId="77777777" w:rsidTr="0075762D">
        <w:trPr>
          <w:gridAfter w:val="1"/>
          <w:wAfter w:w="214" w:type="dxa"/>
          <w:trHeight w:val="256"/>
          <w:jc w:val="center"/>
        </w:trPr>
        <w:tc>
          <w:tcPr>
            <w:tcW w:w="3218" w:type="dxa"/>
            <w:noWrap/>
            <w:vAlign w:val="center"/>
            <w:hideMark/>
          </w:tcPr>
          <w:p w14:paraId="448DF7B8" w14:textId="77777777"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Stock returns</w:t>
            </w:r>
          </w:p>
        </w:tc>
        <w:tc>
          <w:tcPr>
            <w:tcW w:w="2321" w:type="dxa"/>
            <w:tcBorders>
              <w:top w:val="nil"/>
              <w:left w:val="nil"/>
              <w:bottom w:val="nil"/>
              <w:right w:val="nil"/>
            </w:tcBorders>
            <w:shd w:val="clear" w:color="auto" w:fill="auto"/>
            <w:vAlign w:val="bottom"/>
          </w:tcPr>
          <w:p w14:paraId="15651CF9" w14:textId="37C3036E"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0.417**</w:t>
            </w:r>
          </w:p>
        </w:tc>
        <w:tc>
          <w:tcPr>
            <w:tcW w:w="1846" w:type="dxa"/>
            <w:tcBorders>
              <w:top w:val="nil"/>
              <w:left w:val="nil"/>
              <w:bottom w:val="nil"/>
              <w:right w:val="nil"/>
            </w:tcBorders>
            <w:shd w:val="clear" w:color="auto" w:fill="auto"/>
            <w:vAlign w:val="bottom"/>
          </w:tcPr>
          <w:p w14:paraId="631528BD" w14:textId="4D7B0982"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0.375***</w:t>
            </w:r>
          </w:p>
        </w:tc>
      </w:tr>
      <w:tr w:rsidR="00724CA2" w:rsidRPr="00724CA2" w14:paraId="4445C240" w14:textId="77777777" w:rsidTr="0075762D">
        <w:trPr>
          <w:gridAfter w:val="1"/>
          <w:wAfter w:w="214" w:type="dxa"/>
          <w:trHeight w:val="256"/>
          <w:jc w:val="center"/>
        </w:trPr>
        <w:tc>
          <w:tcPr>
            <w:tcW w:w="3218" w:type="dxa"/>
            <w:noWrap/>
            <w:vAlign w:val="center"/>
            <w:hideMark/>
          </w:tcPr>
          <w:p w14:paraId="59C3ED05" w14:textId="77777777" w:rsidR="000B0AC2" w:rsidRPr="00724CA2" w:rsidRDefault="000B0AC2" w:rsidP="000B0AC2">
            <w:pPr>
              <w:jc w:val="both"/>
              <w:rPr>
                <w:rFonts w:ascii="Times New Roman" w:hAnsi="Times New Roman" w:cs="Times New Roman"/>
                <w:color w:val="000000" w:themeColor="text1"/>
                <w:sz w:val="21"/>
                <w:szCs w:val="21"/>
                <w:lang w:val="en-US"/>
              </w:rPr>
            </w:pPr>
          </w:p>
        </w:tc>
        <w:tc>
          <w:tcPr>
            <w:tcW w:w="2321" w:type="dxa"/>
            <w:tcBorders>
              <w:top w:val="nil"/>
              <w:left w:val="nil"/>
              <w:bottom w:val="nil"/>
              <w:right w:val="nil"/>
            </w:tcBorders>
            <w:shd w:val="clear" w:color="auto" w:fill="auto"/>
            <w:vAlign w:val="bottom"/>
          </w:tcPr>
          <w:p w14:paraId="4C68CFCD" w14:textId="23695E56"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(0.182)</w:t>
            </w:r>
          </w:p>
        </w:tc>
        <w:tc>
          <w:tcPr>
            <w:tcW w:w="1846" w:type="dxa"/>
            <w:tcBorders>
              <w:top w:val="nil"/>
              <w:left w:val="nil"/>
              <w:bottom w:val="nil"/>
              <w:right w:val="nil"/>
            </w:tcBorders>
            <w:shd w:val="clear" w:color="auto" w:fill="auto"/>
            <w:vAlign w:val="bottom"/>
          </w:tcPr>
          <w:p w14:paraId="6BF8D665" w14:textId="79F56F38"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(0.076)</w:t>
            </w:r>
          </w:p>
        </w:tc>
      </w:tr>
      <w:tr w:rsidR="00724CA2" w:rsidRPr="00724CA2" w14:paraId="719D9723" w14:textId="77777777" w:rsidTr="0075762D">
        <w:trPr>
          <w:gridAfter w:val="1"/>
          <w:wAfter w:w="214" w:type="dxa"/>
          <w:trHeight w:val="256"/>
          <w:jc w:val="center"/>
        </w:trPr>
        <w:tc>
          <w:tcPr>
            <w:tcW w:w="3218" w:type="dxa"/>
            <w:noWrap/>
            <w:vAlign w:val="center"/>
            <w:hideMark/>
          </w:tcPr>
          <w:p w14:paraId="4339D7E8" w14:textId="77777777"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Tobin Q</w:t>
            </w:r>
          </w:p>
        </w:tc>
        <w:tc>
          <w:tcPr>
            <w:tcW w:w="2321" w:type="dxa"/>
            <w:tcBorders>
              <w:top w:val="nil"/>
              <w:left w:val="nil"/>
              <w:bottom w:val="nil"/>
              <w:right w:val="nil"/>
            </w:tcBorders>
            <w:shd w:val="clear" w:color="auto" w:fill="auto"/>
            <w:vAlign w:val="bottom"/>
          </w:tcPr>
          <w:p w14:paraId="1D1CC423" w14:textId="63E7CD4B"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-0.862***</w:t>
            </w:r>
          </w:p>
        </w:tc>
        <w:tc>
          <w:tcPr>
            <w:tcW w:w="1846" w:type="dxa"/>
            <w:tcBorders>
              <w:top w:val="nil"/>
              <w:left w:val="nil"/>
              <w:bottom w:val="nil"/>
              <w:right w:val="nil"/>
            </w:tcBorders>
            <w:shd w:val="clear" w:color="auto" w:fill="auto"/>
            <w:vAlign w:val="bottom"/>
          </w:tcPr>
          <w:p w14:paraId="739D38EB" w14:textId="11BAD24E"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-0.428***</w:t>
            </w:r>
          </w:p>
        </w:tc>
      </w:tr>
      <w:tr w:rsidR="00724CA2" w:rsidRPr="00724CA2" w14:paraId="56560CDE" w14:textId="77777777" w:rsidTr="0075762D">
        <w:trPr>
          <w:gridAfter w:val="1"/>
          <w:wAfter w:w="214" w:type="dxa"/>
          <w:trHeight w:val="256"/>
          <w:jc w:val="center"/>
        </w:trPr>
        <w:tc>
          <w:tcPr>
            <w:tcW w:w="3218" w:type="dxa"/>
            <w:noWrap/>
            <w:vAlign w:val="center"/>
            <w:hideMark/>
          </w:tcPr>
          <w:p w14:paraId="45BC1F03" w14:textId="77777777" w:rsidR="000B0AC2" w:rsidRPr="00724CA2" w:rsidRDefault="000B0AC2" w:rsidP="000B0AC2">
            <w:pPr>
              <w:jc w:val="both"/>
              <w:rPr>
                <w:rFonts w:ascii="Times New Roman" w:hAnsi="Times New Roman" w:cs="Times New Roman"/>
                <w:color w:val="000000" w:themeColor="text1"/>
                <w:sz w:val="21"/>
                <w:szCs w:val="21"/>
                <w:lang w:val="en-US"/>
              </w:rPr>
            </w:pPr>
          </w:p>
        </w:tc>
        <w:tc>
          <w:tcPr>
            <w:tcW w:w="2321" w:type="dxa"/>
            <w:tcBorders>
              <w:top w:val="nil"/>
              <w:left w:val="nil"/>
              <w:bottom w:val="nil"/>
              <w:right w:val="nil"/>
            </w:tcBorders>
            <w:shd w:val="clear" w:color="auto" w:fill="auto"/>
            <w:vAlign w:val="bottom"/>
          </w:tcPr>
          <w:p w14:paraId="5CFE9552" w14:textId="1C5E091A"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(0.174)</w:t>
            </w:r>
          </w:p>
        </w:tc>
        <w:tc>
          <w:tcPr>
            <w:tcW w:w="1846" w:type="dxa"/>
            <w:tcBorders>
              <w:top w:val="nil"/>
              <w:left w:val="nil"/>
              <w:bottom w:val="nil"/>
              <w:right w:val="nil"/>
            </w:tcBorders>
            <w:shd w:val="clear" w:color="auto" w:fill="auto"/>
            <w:vAlign w:val="bottom"/>
          </w:tcPr>
          <w:p w14:paraId="2DB365D3" w14:textId="531E776D"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(0.042)</w:t>
            </w:r>
          </w:p>
        </w:tc>
      </w:tr>
      <w:tr w:rsidR="00724CA2" w:rsidRPr="00724CA2" w14:paraId="221C819C" w14:textId="77777777" w:rsidTr="0075762D">
        <w:trPr>
          <w:gridAfter w:val="1"/>
          <w:wAfter w:w="214" w:type="dxa"/>
          <w:trHeight w:val="256"/>
          <w:jc w:val="center"/>
        </w:trPr>
        <w:tc>
          <w:tcPr>
            <w:tcW w:w="3218" w:type="dxa"/>
            <w:noWrap/>
            <w:vAlign w:val="center"/>
            <w:hideMark/>
          </w:tcPr>
          <w:p w14:paraId="3E3889D9" w14:textId="77777777"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Firm age</w:t>
            </w:r>
          </w:p>
        </w:tc>
        <w:tc>
          <w:tcPr>
            <w:tcW w:w="2321" w:type="dxa"/>
            <w:tcBorders>
              <w:top w:val="nil"/>
              <w:left w:val="nil"/>
              <w:bottom w:val="nil"/>
              <w:right w:val="nil"/>
            </w:tcBorders>
            <w:shd w:val="clear" w:color="auto" w:fill="auto"/>
            <w:vAlign w:val="bottom"/>
          </w:tcPr>
          <w:p w14:paraId="1A0D2493" w14:textId="56E4D4EA"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-0.039*</w:t>
            </w:r>
          </w:p>
        </w:tc>
        <w:tc>
          <w:tcPr>
            <w:tcW w:w="1846" w:type="dxa"/>
            <w:tcBorders>
              <w:top w:val="nil"/>
              <w:left w:val="nil"/>
              <w:bottom w:val="nil"/>
              <w:right w:val="nil"/>
            </w:tcBorders>
            <w:shd w:val="clear" w:color="auto" w:fill="auto"/>
            <w:vAlign w:val="bottom"/>
          </w:tcPr>
          <w:p w14:paraId="0540CD9C" w14:textId="6FCA5DA1"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-0.020</w:t>
            </w:r>
          </w:p>
        </w:tc>
      </w:tr>
      <w:tr w:rsidR="00724CA2" w:rsidRPr="00724CA2" w14:paraId="416C45E5" w14:textId="77777777" w:rsidTr="0075762D">
        <w:trPr>
          <w:gridAfter w:val="1"/>
          <w:wAfter w:w="214" w:type="dxa"/>
          <w:trHeight w:val="256"/>
          <w:jc w:val="center"/>
        </w:trPr>
        <w:tc>
          <w:tcPr>
            <w:tcW w:w="3218" w:type="dxa"/>
            <w:noWrap/>
            <w:vAlign w:val="center"/>
            <w:hideMark/>
          </w:tcPr>
          <w:p w14:paraId="3AA51065" w14:textId="77777777" w:rsidR="000B0AC2" w:rsidRPr="00724CA2" w:rsidRDefault="000B0AC2" w:rsidP="000B0AC2">
            <w:pPr>
              <w:jc w:val="both"/>
              <w:rPr>
                <w:rFonts w:ascii="Times New Roman" w:hAnsi="Times New Roman" w:cs="Times New Roman"/>
                <w:color w:val="000000" w:themeColor="text1"/>
                <w:sz w:val="21"/>
                <w:szCs w:val="21"/>
                <w:lang w:val="en-US"/>
              </w:rPr>
            </w:pPr>
          </w:p>
        </w:tc>
        <w:tc>
          <w:tcPr>
            <w:tcW w:w="2321" w:type="dxa"/>
            <w:tcBorders>
              <w:top w:val="nil"/>
              <w:left w:val="nil"/>
              <w:bottom w:val="nil"/>
              <w:right w:val="nil"/>
            </w:tcBorders>
            <w:shd w:val="clear" w:color="auto" w:fill="auto"/>
            <w:vAlign w:val="bottom"/>
          </w:tcPr>
          <w:p w14:paraId="6972BA8C" w14:textId="07D67529"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(0.015)</w:t>
            </w:r>
          </w:p>
        </w:tc>
        <w:tc>
          <w:tcPr>
            <w:tcW w:w="1846" w:type="dxa"/>
            <w:tcBorders>
              <w:top w:val="nil"/>
              <w:left w:val="nil"/>
              <w:bottom w:val="nil"/>
              <w:right w:val="nil"/>
            </w:tcBorders>
            <w:shd w:val="clear" w:color="auto" w:fill="auto"/>
            <w:vAlign w:val="bottom"/>
          </w:tcPr>
          <w:p w14:paraId="716B6E1D" w14:textId="04367E25"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(0.012)</w:t>
            </w:r>
          </w:p>
        </w:tc>
      </w:tr>
      <w:tr w:rsidR="00724CA2" w:rsidRPr="00724CA2" w14:paraId="00B7ACAA" w14:textId="77777777" w:rsidTr="0075762D">
        <w:trPr>
          <w:gridAfter w:val="1"/>
          <w:wAfter w:w="214" w:type="dxa"/>
          <w:trHeight w:val="256"/>
          <w:jc w:val="center"/>
        </w:trPr>
        <w:tc>
          <w:tcPr>
            <w:tcW w:w="3218" w:type="dxa"/>
            <w:noWrap/>
            <w:vAlign w:val="center"/>
            <w:hideMark/>
          </w:tcPr>
          <w:p w14:paraId="71C249AA" w14:textId="77777777"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Leverage</w:t>
            </w:r>
          </w:p>
        </w:tc>
        <w:tc>
          <w:tcPr>
            <w:tcW w:w="2321" w:type="dxa"/>
            <w:tcBorders>
              <w:top w:val="nil"/>
              <w:left w:val="nil"/>
              <w:bottom w:val="nil"/>
              <w:right w:val="nil"/>
            </w:tcBorders>
            <w:shd w:val="clear" w:color="auto" w:fill="auto"/>
            <w:vAlign w:val="bottom"/>
          </w:tcPr>
          <w:p w14:paraId="4590F90A" w14:textId="30AB6A5D"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1.592</w:t>
            </w:r>
          </w:p>
        </w:tc>
        <w:tc>
          <w:tcPr>
            <w:tcW w:w="1846" w:type="dxa"/>
            <w:tcBorders>
              <w:top w:val="nil"/>
              <w:left w:val="nil"/>
              <w:bottom w:val="nil"/>
              <w:right w:val="nil"/>
            </w:tcBorders>
            <w:shd w:val="clear" w:color="auto" w:fill="auto"/>
            <w:vAlign w:val="bottom"/>
          </w:tcPr>
          <w:p w14:paraId="65AEDF41" w14:textId="47DBA74E"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1.424***</w:t>
            </w:r>
          </w:p>
        </w:tc>
      </w:tr>
      <w:tr w:rsidR="00724CA2" w:rsidRPr="00724CA2" w14:paraId="4A43BE37" w14:textId="77777777" w:rsidTr="0075762D">
        <w:trPr>
          <w:gridAfter w:val="1"/>
          <w:wAfter w:w="214" w:type="dxa"/>
          <w:trHeight w:val="256"/>
          <w:jc w:val="center"/>
        </w:trPr>
        <w:tc>
          <w:tcPr>
            <w:tcW w:w="3218" w:type="dxa"/>
            <w:noWrap/>
            <w:vAlign w:val="center"/>
            <w:hideMark/>
          </w:tcPr>
          <w:p w14:paraId="2167A663" w14:textId="77777777" w:rsidR="000B0AC2" w:rsidRPr="00724CA2" w:rsidRDefault="000B0AC2" w:rsidP="000B0AC2">
            <w:pPr>
              <w:jc w:val="both"/>
              <w:rPr>
                <w:rFonts w:ascii="Times New Roman" w:hAnsi="Times New Roman" w:cs="Times New Roman"/>
                <w:color w:val="000000" w:themeColor="text1"/>
                <w:sz w:val="21"/>
                <w:szCs w:val="21"/>
                <w:lang w:val="en-US"/>
              </w:rPr>
            </w:pPr>
          </w:p>
        </w:tc>
        <w:tc>
          <w:tcPr>
            <w:tcW w:w="2321" w:type="dxa"/>
            <w:tcBorders>
              <w:top w:val="nil"/>
              <w:left w:val="nil"/>
              <w:bottom w:val="nil"/>
              <w:right w:val="nil"/>
            </w:tcBorders>
            <w:shd w:val="clear" w:color="auto" w:fill="auto"/>
            <w:vAlign w:val="bottom"/>
          </w:tcPr>
          <w:p w14:paraId="2066F963" w14:textId="46BC2B33"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(1.212)</w:t>
            </w:r>
          </w:p>
        </w:tc>
        <w:tc>
          <w:tcPr>
            <w:tcW w:w="1846" w:type="dxa"/>
            <w:tcBorders>
              <w:top w:val="nil"/>
              <w:left w:val="nil"/>
              <w:bottom w:val="nil"/>
              <w:right w:val="nil"/>
            </w:tcBorders>
            <w:shd w:val="clear" w:color="auto" w:fill="auto"/>
            <w:vAlign w:val="bottom"/>
          </w:tcPr>
          <w:p w14:paraId="297A0CA4" w14:textId="07A0869B"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(0.466)</w:t>
            </w:r>
          </w:p>
        </w:tc>
      </w:tr>
      <w:tr w:rsidR="00724CA2" w:rsidRPr="00724CA2" w14:paraId="4ACB3B55" w14:textId="77777777" w:rsidTr="00EF73BE">
        <w:trPr>
          <w:gridAfter w:val="1"/>
          <w:wAfter w:w="214" w:type="dxa"/>
          <w:trHeight w:val="256"/>
          <w:jc w:val="center"/>
        </w:trPr>
        <w:tc>
          <w:tcPr>
            <w:tcW w:w="3218" w:type="dxa"/>
            <w:noWrap/>
            <w:vAlign w:val="center"/>
          </w:tcPr>
          <w:p w14:paraId="23E522E1" w14:textId="77777777"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Year FE</w:t>
            </w:r>
          </w:p>
        </w:tc>
        <w:tc>
          <w:tcPr>
            <w:tcW w:w="2321" w:type="dxa"/>
            <w:vAlign w:val="center"/>
          </w:tcPr>
          <w:p w14:paraId="2877DA45" w14:textId="77777777"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lang w:val="en-US"/>
              </w:rPr>
              <w:t>Yes</w:t>
            </w:r>
          </w:p>
        </w:tc>
        <w:tc>
          <w:tcPr>
            <w:tcW w:w="1846" w:type="dxa"/>
            <w:vAlign w:val="center"/>
          </w:tcPr>
          <w:p w14:paraId="18FD5C50" w14:textId="77777777"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lang w:val="en-US"/>
              </w:rPr>
              <w:t>Yes</w:t>
            </w:r>
          </w:p>
        </w:tc>
      </w:tr>
      <w:tr w:rsidR="00724CA2" w:rsidRPr="00724CA2" w14:paraId="531BE605" w14:textId="77777777" w:rsidTr="00EF73BE">
        <w:trPr>
          <w:gridAfter w:val="1"/>
          <w:wAfter w:w="214" w:type="dxa"/>
          <w:trHeight w:val="256"/>
          <w:jc w:val="center"/>
        </w:trPr>
        <w:tc>
          <w:tcPr>
            <w:tcW w:w="3218" w:type="dxa"/>
            <w:noWrap/>
            <w:vAlign w:val="center"/>
          </w:tcPr>
          <w:p w14:paraId="71B016A6" w14:textId="77777777"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Industry FE</w:t>
            </w:r>
          </w:p>
        </w:tc>
        <w:tc>
          <w:tcPr>
            <w:tcW w:w="2321" w:type="dxa"/>
            <w:vAlign w:val="center"/>
          </w:tcPr>
          <w:p w14:paraId="0B61D84B" w14:textId="77777777"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lang w:val="en-US"/>
              </w:rPr>
              <w:t>Yes</w:t>
            </w:r>
          </w:p>
        </w:tc>
        <w:tc>
          <w:tcPr>
            <w:tcW w:w="1846" w:type="dxa"/>
            <w:vAlign w:val="center"/>
          </w:tcPr>
          <w:p w14:paraId="43B35DA2" w14:textId="77777777"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lang w:val="en-US"/>
              </w:rPr>
              <w:t>Yes</w:t>
            </w:r>
          </w:p>
        </w:tc>
      </w:tr>
      <w:tr w:rsidR="00724CA2" w:rsidRPr="00724CA2" w14:paraId="3919EA08" w14:textId="77777777" w:rsidTr="00EF73BE">
        <w:trPr>
          <w:gridAfter w:val="1"/>
          <w:wAfter w:w="214" w:type="dxa"/>
          <w:trHeight w:val="256"/>
          <w:jc w:val="center"/>
        </w:trPr>
        <w:tc>
          <w:tcPr>
            <w:tcW w:w="3218" w:type="dxa"/>
            <w:noWrap/>
            <w:vAlign w:val="center"/>
          </w:tcPr>
          <w:p w14:paraId="25348BD9" w14:textId="3BE68195" w:rsidR="000B0AC2" w:rsidRPr="00724CA2" w:rsidRDefault="000B0AC2" w:rsidP="000B0AC2">
            <w:pPr>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Sargan statistic test (p-value) (overidentification test of all instruments)</w:t>
            </w:r>
          </w:p>
        </w:tc>
        <w:tc>
          <w:tcPr>
            <w:tcW w:w="2321" w:type="dxa"/>
            <w:vAlign w:val="center"/>
          </w:tcPr>
          <w:p w14:paraId="6BE5C2EB" w14:textId="53828E31"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0.145</w:t>
            </w:r>
          </w:p>
        </w:tc>
        <w:tc>
          <w:tcPr>
            <w:tcW w:w="1846" w:type="dxa"/>
            <w:vAlign w:val="center"/>
          </w:tcPr>
          <w:p w14:paraId="6873AF53" w14:textId="3061C87F"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0.137</w:t>
            </w:r>
          </w:p>
        </w:tc>
      </w:tr>
      <w:tr w:rsidR="00724CA2" w:rsidRPr="00724CA2" w14:paraId="0418436D" w14:textId="77777777" w:rsidTr="00EF73BE">
        <w:trPr>
          <w:gridAfter w:val="1"/>
          <w:wAfter w:w="214" w:type="dxa"/>
          <w:trHeight w:val="256"/>
          <w:jc w:val="center"/>
        </w:trPr>
        <w:tc>
          <w:tcPr>
            <w:tcW w:w="3218" w:type="dxa"/>
            <w:noWrap/>
            <w:vAlign w:val="center"/>
          </w:tcPr>
          <w:p w14:paraId="52839131" w14:textId="1505F7A4" w:rsidR="000B0AC2" w:rsidRPr="00724CA2" w:rsidRDefault="000B0AC2" w:rsidP="000B0AC2">
            <w:pPr>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Cragg-Donald (CD) Wald F-statistic</w:t>
            </w:r>
          </w:p>
        </w:tc>
        <w:tc>
          <w:tcPr>
            <w:tcW w:w="2321" w:type="dxa"/>
            <w:vAlign w:val="center"/>
          </w:tcPr>
          <w:p w14:paraId="1C65DECB" w14:textId="6983D17A"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10.155</w:t>
            </w:r>
          </w:p>
        </w:tc>
        <w:tc>
          <w:tcPr>
            <w:tcW w:w="1846" w:type="dxa"/>
            <w:vAlign w:val="center"/>
          </w:tcPr>
          <w:p w14:paraId="0B20CAFF" w14:textId="24FC17A1"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10.878</w:t>
            </w:r>
          </w:p>
        </w:tc>
      </w:tr>
      <w:tr w:rsidR="00724CA2" w:rsidRPr="00724CA2" w14:paraId="166E4E46" w14:textId="77777777" w:rsidTr="000B0AC2">
        <w:trPr>
          <w:gridAfter w:val="1"/>
          <w:wAfter w:w="214" w:type="dxa"/>
          <w:trHeight w:val="256"/>
          <w:jc w:val="center"/>
        </w:trPr>
        <w:tc>
          <w:tcPr>
            <w:tcW w:w="3218" w:type="dxa"/>
            <w:tcBorders>
              <w:bottom w:val="nil"/>
            </w:tcBorders>
            <w:noWrap/>
            <w:vAlign w:val="center"/>
          </w:tcPr>
          <w:p w14:paraId="3233F772" w14:textId="20F9FF22" w:rsidR="000B0AC2" w:rsidRPr="00724CA2" w:rsidRDefault="000B0AC2" w:rsidP="000B0AC2">
            <w:pPr>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Stock and Yogo (2005) ID test for critical values: 10% maximal IV</w:t>
            </w:r>
          </w:p>
        </w:tc>
        <w:tc>
          <w:tcPr>
            <w:tcW w:w="2321" w:type="dxa"/>
            <w:tcBorders>
              <w:bottom w:val="nil"/>
            </w:tcBorders>
            <w:vAlign w:val="center"/>
          </w:tcPr>
          <w:p w14:paraId="0EA88F48" w14:textId="71D828C1"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9.01</w:t>
            </w:r>
          </w:p>
        </w:tc>
        <w:tc>
          <w:tcPr>
            <w:tcW w:w="1846" w:type="dxa"/>
            <w:tcBorders>
              <w:bottom w:val="nil"/>
            </w:tcBorders>
            <w:vAlign w:val="center"/>
          </w:tcPr>
          <w:p w14:paraId="738D7FD7" w14:textId="0BCAF098"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9.48</w:t>
            </w:r>
          </w:p>
        </w:tc>
      </w:tr>
      <w:tr w:rsidR="00724CA2" w:rsidRPr="00724CA2" w14:paraId="16FB1620" w14:textId="77777777" w:rsidTr="000B0AC2">
        <w:trPr>
          <w:gridAfter w:val="1"/>
          <w:wAfter w:w="214" w:type="dxa"/>
          <w:trHeight w:val="256"/>
          <w:jc w:val="center"/>
        </w:trPr>
        <w:tc>
          <w:tcPr>
            <w:tcW w:w="3218" w:type="dxa"/>
            <w:tcBorders>
              <w:top w:val="nil"/>
              <w:bottom w:val="nil"/>
            </w:tcBorders>
            <w:noWrap/>
            <w:vAlign w:val="center"/>
          </w:tcPr>
          <w:p w14:paraId="7054234F" w14:textId="77777777"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Observations</w:t>
            </w:r>
          </w:p>
        </w:tc>
        <w:tc>
          <w:tcPr>
            <w:tcW w:w="2321" w:type="dxa"/>
            <w:tcBorders>
              <w:top w:val="nil"/>
              <w:left w:val="nil"/>
              <w:bottom w:val="nil"/>
              <w:right w:val="nil"/>
            </w:tcBorders>
            <w:shd w:val="clear" w:color="auto" w:fill="auto"/>
            <w:vAlign w:val="bottom"/>
          </w:tcPr>
          <w:p w14:paraId="66DB7134" w14:textId="2BEBDEEB"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rPr>
              <w:t>4,980</w:t>
            </w:r>
          </w:p>
        </w:tc>
        <w:tc>
          <w:tcPr>
            <w:tcW w:w="1846" w:type="dxa"/>
            <w:tcBorders>
              <w:top w:val="nil"/>
              <w:left w:val="nil"/>
              <w:bottom w:val="nil"/>
              <w:right w:val="nil"/>
            </w:tcBorders>
            <w:shd w:val="clear" w:color="auto" w:fill="auto"/>
            <w:vAlign w:val="bottom"/>
          </w:tcPr>
          <w:p w14:paraId="0B92BA20" w14:textId="5EE92722"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rPr>
              <w:t>4,980</w:t>
            </w:r>
          </w:p>
        </w:tc>
      </w:tr>
      <w:tr w:rsidR="00724CA2" w:rsidRPr="00724CA2" w14:paraId="28CBA9BC" w14:textId="77777777" w:rsidTr="000B0AC2">
        <w:trPr>
          <w:gridAfter w:val="1"/>
          <w:wAfter w:w="214" w:type="dxa"/>
          <w:trHeight w:val="256"/>
          <w:jc w:val="center"/>
        </w:trPr>
        <w:tc>
          <w:tcPr>
            <w:tcW w:w="3218" w:type="dxa"/>
            <w:tcBorders>
              <w:top w:val="nil"/>
              <w:bottom w:val="single" w:sz="12" w:space="0" w:color="auto"/>
            </w:tcBorders>
            <w:noWrap/>
            <w:vAlign w:val="center"/>
          </w:tcPr>
          <w:p w14:paraId="090C10DC" w14:textId="7DFE37CE" w:rsidR="000B0AC2" w:rsidRPr="00724CA2" w:rsidRDefault="000B0AC2" w:rsidP="000B0AC2">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Adjusted R-squared</w:t>
            </w:r>
          </w:p>
        </w:tc>
        <w:tc>
          <w:tcPr>
            <w:tcW w:w="2321" w:type="dxa"/>
            <w:tcBorders>
              <w:top w:val="nil"/>
              <w:left w:val="nil"/>
              <w:bottom w:val="single" w:sz="12" w:space="0" w:color="auto"/>
              <w:right w:val="nil"/>
            </w:tcBorders>
            <w:shd w:val="clear" w:color="auto" w:fill="auto"/>
            <w:vAlign w:val="bottom"/>
          </w:tcPr>
          <w:p w14:paraId="2EEF7C60" w14:textId="5C651B31"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rPr>
              <w:t>0.272</w:t>
            </w:r>
          </w:p>
        </w:tc>
        <w:tc>
          <w:tcPr>
            <w:tcW w:w="1846" w:type="dxa"/>
            <w:tcBorders>
              <w:top w:val="nil"/>
              <w:left w:val="nil"/>
              <w:bottom w:val="single" w:sz="12" w:space="0" w:color="auto"/>
              <w:right w:val="nil"/>
            </w:tcBorders>
            <w:shd w:val="clear" w:color="auto" w:fill="auto"/>
            <w:vAlign w:val="bottom"/>
          </w:tcPr>
          <w:p w14:paraId="3483366C" w14:textId="49D27A0E" w:rsidR="000B0AC2" w:rsidRPr="00724CA2" w:rsidRDefault="000B0AC2" w:rsidP="000B0AC2">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rPr>
              <w:t>0.289</w:t>
            </w:r>
          </w:p>
        </w:tc>
      </w:tr>
    </w:tbl>
    <w:p w14:paraId="174C64A7" w14:textId="1442B460" w:rsidR="00486C4A" w:rsidRPr="00724CA2" w:rsidRDefault="00486C4A" w:rsidP="000B0AC2">
      <w:pPr>
        <w:jc w:val="both"/>
        <w:rPr>
          <w:rFonts w:ascii="Times New Roman" w:hAnsi="Times New Roman" w:cs="Times New Roman"/>
          <w:color w:val="000000" w:themeColor="text1"/>
          <w:szCs w:val="20"/>
        </w:rPr>
      </w:pPr>
      <w:r w:rsidRPr="00724CA2">
        <w:rPr>
          <w:rFonts w:ascii="Times New Roman" w:hAnsi="Times New Roman" w:cs="Times New Roman"/>
          <w:color w:val="000000" w:themeColor="text1"/>
          <w:szCs w:val="20"/>
        </w:rPr>
        <w:t xml:space="preserve">Table 6 presents the results for the instrumental variable regression. Variable ‘Green question’ is controlled in Model 1, and variable ‘Green board’ is controlled in Model 2. The instrumental variables include lagged mutual fund, CSI 300 membership, and industry median levels of the mutual fund. Lagged mutual fund is defined as the proportion of shares held by mutual funds at the time t-2. CSI 300 membership is defined as a dummy variable that equals one if a firm’s stock is included in the CSI 300 index and zero otherwise. Industry median levels of mutual funds refer to the proportion of shares held by mutual funds in the firm's 2-digit CSRC coded industry per year. Year and industry fixed effects are included in all specifications. Robust standard errors, clustered at the industry level, are reported in parentheses. *, **, and *** represent significance at the 0.10, 0.05, and 0.01 levels, respectively. The definitions of the variables are summarized in Table 1. </w:t>
      </w:r>
    </w:p>
    <w:p w14:paraId="303243A3" w14:textId="15C6D2ED" w:rsidR="0001355B" w:rsidRPr="00724CA2" w:rsidRDefault="0001355B" w:rsidP="0001355B">
      <w:pPr>
        <w:spacing w:after="0"/>
        <w:jc w:val="both"/>
        <w:rPr>
          <w:rFonts w:ascii="Times New Roman" w:hAnsi="Times New Roman" w:cs="Times New Roman"/>
          <w:bCs/>
          <w:color w:val="000000" w:themeColor="text1"/>
        </w:rPr>
      </w:pPr>
      <w:r w:rsidRPr="00F6044F">
        <w:rPr>
          <w:rFonts w:ascii="Times New Roman" w:hAnsi="Times New Roman" w:cs="Times New Roman"/>
          <w:b/>
          <w:color w:val="000000" w:themeColor="text1"/>
        </w:rPr>
        <w:t>Table 7</w:t>
      </w:r>
      <w:r w:rsidR="002402B2" w:rsidRPr="00724CA2">
        <w:rPr>
          <w:rFonts w:ascii="Times New Roman" w:hAnsi="Times New Roman" w:cs="Times New Roman"/>
          <w:bCs/>
          <w:color w:val="000000" w:themeColor="text1"/>
        </w:rPr>
        <w:t xml:space="preserve"> Additional analysis</w:t>
      </w:r>
      <w:r w:rsidRPr="00724CA2">
        <w:rPr>
          <w:rFonts w:ascii="Times New Roman" w:hAnsi="Times New Roman" w:cs="Times New Roman"/>
          <w:bCs/>
          <w:color w:val="000000" w:themeColor="text1"/>
        </w:rPr>
        <w:t>: green mutual fund investments</w:t>
      </w:r>
    </w:p>
    <w:tbl>
      <w:tblPr>
        <w:tblStyle w:val="TableGrid"/>
        <w:tblW w:w="10620" w:type="dxa"/>
        <w:jc w:val="center"/>
        <w:tblBorders>
          <w:top w:val="single" w:sz="12" w:space="0" w:color="auto"/>
          <w:bottom w:val="single" w:sz="12" w:space="0" w:color="auto"/>
          <w:insideH w:val="none" w:sz="0" w:space="0" w:color="auto"/>
          <w:insideV w:val="none" w:sz="0" w:space="0" w:color="auto"/>
        </w:tblBorders>
        <w:tblLayout w:type="fixed"/>
        <w:tblLook w:val="04A0" w:firstRow="1" w:lastRow="0" w:firstColumn="1" w:lastColumn="0" w:noHBand="0" w:noVBand="1"/>
      </w:tblPr>
      <w:tblGrid>
        <w:gridCol w:w="3060"/>
        <w:gridCol w:w="1350"/>
        <w:gridCol w:w="1530"/>
        <w:gridCol w:w="1530"/>
        <w:gridCol w:w="1620"/>
        <w:gridCol w:w="1530"/>
      </w:tblGrid>
      <w:tr w:rsidR="00724CA2" w:rsidRPr="00724CA2" w14:paraId="750F1B6E" w14:textId="77777777" w:rsidTr="003725B9">
        <w:trPr>
          <w:trHeight w:val="275"/>
          <w:jc w:val="center"/>
        </w:trPr>
        <w:tc>
          <w:tcPr>
            <w:tcW w:w="3060" w:type="dxa"/>
            <w:tcBorders>
              <w:top w:val="single" w:sz="12" w:space="0" w:color="auto"/>
              <w:bottom w:val="single" w:sz="4" w:space="0" w:color="auto"/>
            </w:tcBorders>
            <w:noWrap/>
            <w:vAlign w:val="center"/>
            <w:hideMark/>
          </w:tcPr>
          <w:p w14:paraId="13599E22" w14:textId="77777777" w:rsidR="0001355B" w:rsidRPr="00724CA2" w:rsidRDefault="0001355B" w:rsidP="00BE68DC">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Variables</w:t>
            </w:r>
          </w:p>
        </w:tc>
        <w:tc>
          <w:tcPr>
            <w:tcW w:w="1350" w:type="dxa"/>
            <w:tcBorders>
              <w:top w:val="single" w:sz="12" w:space="0" w:color="auto"/>
              <w:bottom w:val="single" w:sz="4" w:space="0" w:color="auto"/>
            </w:tcBorders>
            <w:noWrap/>
            <w:vAlign w:val="center"/>
            <w:hideMark/>
          </w:tcPr>
          <w:p w14:paraId="701430A0" w14:textId="77777777" w:rsidR="0001355B" w:rsidRPr="00724CA2" w:rsidRDefault="0001355B" w:rsidP="00BE68DC">
            <w:pPr>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Model 1</w:t>
            </w:r>
          </w:p>
          <w:p w14:paraId="519A65C2" w14:textId="77777777" w:rsidR="0001355B" w:rsidRPr="00724CA2" w:rsidRDefault="0001355B" w:rsidP="00BE68DC">
            <w:pPr>
              <w:rPr>
                <w:rFonts w:ascii="Times New Roman" w:hAnsi="Times New Roman" w:cs="Times New Roman"/>
                <w:color w:val="000000" w:themeColor="text1"/>
                <w:lang w:val="en-US"/>
              </w:rPr>
            </w:pPr>
            <w:r w:rsidRPr="00724CA2">
              <w:rPr>
                <w:rFonts w:ascii="Times New Roman" w:hAnsi="Times New Roman" w:cs="Times New Roman" w:hint="eastAsia"/>
                <w:color w:val="000000" w:themeColor="text1"/>
                <w:lang w:val="en-US"/>
              </w:rPr>
              <w:t>F</w:t>
            </w:r>
            <w:r w:rsidRPr="00724CA2">
              <w:rPr>
                <w:rFonts w:ascii="Times New Roman" w:hAnsi="Times New Roman" w:cs="Times New Roman"/>
                <w:color w:val="000000" w:themeColor="text1"/>
                <w:lang w:val="en-US"/>
              </w:rPr>
              <w:t>irms with green fund investment</w:t>
            </w:r>
          </w:p>
        </w:tc>
        <w:tc>
          <w:tcPr>
            <w:tcW w:w="1530" w:type="dxa"/>
            <w:tcBorders>
              <w:top w:val="single" w:sz="12" w:space="0" w:color="auto"/>
              <w:bottom w:val="single" w:sz="4" w:space="0" w:color="auto"/>
            </w:tcBorders>
            <w:noWrap/>
            <w:vAlign w:val="center"/>
            <w:hideMark/>
          </w:tcPr>
          <w:p w14:paraId="2B3E923A" w14:textId="77777777" w:rsidR="0001355B" w:rsidRPr="00724CA2" w:rsidRDefault="0001355B" w:rsidP="00BE68DC">
            <w:pPr>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Model 2</w:t>
            </w:r>
          </w:p>
          <w:p w14:paraId="1A7C913E" w14:textId="77777777" w:rsidR="0001355B" w:rsidRPr="00724CA2" w:rsidRDefault="0001355B" w:rsidP="00BE68DC">
            <w:pPr>
              <w:rPr>
                <w:rFonts w:ascii="Times New Roman" w:hAnsi="Times New Roman" w:cs="Times New Roman"/>
                <w:color w:val="000000" w:themeColor="text1"/>
                <w:lang w:val="en-US"/>
              </w:rPr>
            </w:pPr>
            <w:r w:rsidRPr="00724CA2">
              <w:rPr>
                <w:rFonts w:ascii="Times New Roman" w:hAnsi="Times New Roman" w:cs="Times New Roman" w:hint="eastAsia"/>
                <w:color w:val="000000" w:themeColor="text1"/>
                <w:lang w:val="en-US"/>
              </w:rPr>
              <w:t>F</w:t>
            </w:r>
            <w:r w:rsidRPr="00724CA2">
              <w:rPr>
                <w:rFonts w:ascii="Times New Roman" w:hAnsi="Times New Roman" w:cs="Times New Roman"/>
                <w:color w:val="000000" w:themeColor="text1"/>
                <w:lang w:val="en-US"/>
              </w:rPr>
              <w:t>irms without green fund investment</w:t>
            </w:r>
          </w:p>
        </w:tc>
        <w:tc>
          <w:tcPr>
            <w:tcW w:w="1530" w:type="dxa"/>
            <w:tcBorders>
              <w:top w:val="single" w:sz="12" w:space="0" w:color="auto"/>
              <w:bottom w:val="single" w:sz="4" w:space="0" w:color="auto"/>
            </w:tcBorders>
            <w:vAlign w:val="center"/>
          </w:tcPr>
          <w:p w14:paraId="37DCA6A7" w14:textId="15C90770" w:rsidR="0001355B" w:rsidRPr="00724CA2" w:rsidRDefault="0001355B" w:rsidP="00BE68DC">
            <w:pPr>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 xml:space="preserve">Model 3 </w:t>
            </w:r>
          </w:p>
          <w:p w14:paraId="12D0EC54" w14:textId="77777777" w:rsidR="0001355B" w:rsidRPr="00724CA2" w:rsidRDefault="0001355B" w:rsidP="00BE68DC">
            <w:pPr>
              <w:rPr>
                <w:rFonts w:ascii="Times New Roman" w:hAnsi="Times New Roman" w:cs="Times New Roman"/>
                <w:color w:val="000000" w:themeColor="text1"/>
                <w:lang w:val="en-US"/>
              </w:rPr>
            </w:pPr>
            <w:r w:rsidRPr="00724CA2">
              <w:rPr>
                <w:rFonts w:ascii="Times New Roman" w:hAnsi="Times New Roman" w:cs="Times New Roman" w:hint="eastAsia"/>
                <w:color w:val="000000" w:themeColor="text1"/>
                <w:lang w:val="en-US"/>
              </w:rPr>
              <w:t>F</w:t>
            </w:r>
            <w:r w:rsidRPr="00724CA2">
              <w:rPr>
                <w:rFonts w:ascii="Times New Roman" w:hAnsi="Times New Roman" w:cs="Times New Roman"/>
                <w:color w:val="000000" w:themeColor="text1"/>
                <w:lang w:val="en-US"/>
              </w:rPr>
              <w:t>irms with green fund investment</w:t>
            </w:r>
          </w:p>
          <w:p w14:paraId="26F2382D" w14:textId="74071E91" w:rsidR="003725B9" w:rsidRPr="00724CA2" w:rsidRDefault="003725B9" w:rsidP="00BE68DC">
            <w:pPr>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2SLS</w:t>
            </w:r>
          </w:p>
        </w:tc>
        <w:tc>
          <w:tcPr>
            <w:tcW w:w="1620" w:type="dxa"/>
            <w:tcBorders>
              <w:top w:val="single" w:sz="12" w:space="0" w:color="auto"/>
              <w:bottom w:val="single" w:sz="4" w:space="0" w:color="auto"/>
            </w:tcBorders>
            <w:vAlign w:val="center"/>
          </w:tcPr>
          <w:p w14:paraId="3561D237" w14:textId="29254BD0" w:rsidR="0001355B" w:rsidRPr="00724CA2" w:rsidRDefault="0001355B" w:rsidP="00BE68DC">
            <w:pPr>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 xml:space="preserve">Model 4 </w:t>
            </w:r>
          </w:p>
          <w:p w14:paraId="4A8562DF" w14:textId="77777777" w:rsidR="0001355B" w:rsidRPr="00724CA2" w:rsidRDefault="0001355B" w:rsidP="00BE68DC">
            <w:pPr>
              <w:rPr>
                <w:rFonts w:ascii="Times New Roman" w:hAnsi="Times New Roman" w:cs="Times New Roman"/>
                <w:color w:val="000000" w:themeColor="text1"/>
                <w:lang w:val="en-US"/>
              </w:rPr>
            </w:pPr>
            <w:r w:rsidRPr="00724CA2">
              <w:rPr>
                <w:rFonts w:ascii="Times New Roman" w:hAnsi="Times New Roman" w:cs="Times New Roman" w:hint="eastAsia"/>
                <w:color w:val="000000" w:themeColor="text1"/>
                <w:lang w:val="en-US"/>
              </w:rPr>
              <w:t>F</w:t>
            </w:r>
            <w:r w:rsidRPr="00724CA2">
              <w:rPr>
                <w:rFonts w:ascii="Times New Roman" w:hAnsi="Times New Roman" w:cs="Times New Roman"/>
                <w:color w:val="000000" w:themeColor="text1"/>
                <w:lang w:val="en-US"/>
              </w:rPr>
              <w:t>irms without green fund investment</w:t>
            </w:r>
          </w:p>
          <w:p w14:paraId="04CA66D8" w14:textId="7A2EDF72" w:rsidR="003725B9" w:rsidRPr="00724CA2" w:rsidRDefault="003725B9" w:rsidP="00BE68DC">
            <w:pPr>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2SLS</w:t>
            </w:r>
          </w:p>
        </w:tc>
        <w:tc>
          <w:tcPr>
            <w:tcW w:w="1530" w:type="dxa"/>
            <w:tcBorders>
              <w:top w:val="single" w:sz="12" w:space="0" w:color="auto"/>
              <w:bottom w:val="single" w:sz="4" w:space="0" w:color="auto"/>
            </w:tcBorders>
            <w:vAlign w:val="center"/>
          </w:tcPr>
          <w:p w14:paraId="63D81E4B" w14:textId="1F0689C7" w:rsidR="0001355B" w:rsidRPr="00724CA2" w:rsidRDefault="0001355B" w:rsidP="00BE68DC">
            <w:pPr>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 xml:space="preserve">Model 5  </w:t>
            </w:r>
            <w:r w:rsidR="003725B9" w:rsidRPr="00724CA2">
              <w:rPr>
                <w:rFonts w:ascii="Times New Roman" w:hAnsi="Times New Roman" w:cs="Times New Roman"/>
                <w:color w:val="000000" w:themeColor="text1"/>
                <w:lang w:val="en-US"/>
              </w:rPr>
              <w:t>Green mutual fund investment proportion</w:t>
            </w:r>
          </w:p>
        </w:tc>
      </w:tr>
      <w:tr w:rsidR="00724CA2" w:rsidRPr="00724CA2" w14:paraId="2D778EFA" w14:textId="77777777" w:rsidTr="003725B9">
        <w:trPr>
          <w:trHeight w:val="275"/>
          <w:jc w:val="center"/>
        </w:trPr>
        <w:tc>
          <w:tcPr>
            <w:tcW w:w="3060" w:type="dxa"/>
            <w:tcBorders>
              <w:top w:val="single" w:sz="4" w:space="0" w:color="auto"/>
            </w:tcBorders>
            <w:noWrap/>
            <w:vAlign w:val="center"/>
            <w:hideMark/>
          </w:tcPr>
          <w:p w14:paraId="5F9C3249" w14:textId="77777777" w:rsidR="0001355B" w:rsidRPr="00724CA2" w:rsidRDefault="0001355B" w:rsidP="00BE68DC">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rPr>
              <w:t>Mutual fund</w:t>
            </w:r>
          </w:p>
        </w:tc>
        <w:tc>
          <w:tcPr>
            <w:tcW w:w="1350" w:type="dxa"/>
            <w:tcBorders>
              <w:top w:val="nil"/>
              <w:left w:val="nil"/>
              <w:bottom w:val="nil"/>
              <w:right w:val="nil"/>
            </w:tcBorders>
            <w:shd w:val="clear" w:color="auto" w:fill="auto"/>
            <w:noWrap/>
            <w:vAlign w:val="center"/>
          </w:tcPr>
          <w:p w14:paraId="064206F2" w14:textId="77777777" w:rsidR="0001355B" w:rsidRPr="00724CA2" w:rsidRDefault="0001355B" w:rsidP="00BE68DC">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4.223***</w:t>
            </w:r>
          </w:p>
        </w:tc>
        <w:tc>
          <w:tcPr>
            <w:tcW w:w="1530" w:type="dxa"/>
            <w:tcBorders>
              <w:top w:val="nil"/>
              <w:left w:val="nil"/>
              <w:bottom w:val="nil"/>
              <w:right w:val="nil"/>
            </w:tcBorders>
            <w:shd w:val="clear" w:color="auto" w:fill="auto"/>
            <w:noWrap/>
            <w:vAlign w:val="center"/>
          </w:tcPr>
          <w:p w14:paraId="2E111F06" w14:textId="77777777" w:rsidR="0001355B" w:rsidRPr="00724CA2" w:rsidRDefault="0001355B" w:rsidP="00BE68DC">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3.625***</w:t>
            </w:r>
          </w:p>
        </w:tc>
        <w:tc>
          <w:tcPr>
            <w:tcW w:w="1530" w:type="dxa"/>
            <w:tcBorders>
              <w:top w:val="nil"/>
              <w:left w:val="nil"/>
              <w:bottom w:val="nil"/>
              <w:right w:val="nil"/>
            </w:tcBorders>
            <w:vAlign w:val="center"/>
          </w:tcPr>
          <w:p w14:paraId="61DFE9FE" w14:textId="531DB0C3" w:rsidR="0001355B" w:rsidRPr="00724CA2" w:rsidRDefault="00AB2D31" w:rsidP="00BE68DC">
            <w:pPr>
              <w:jc w:val="both"/>
              <w:rPr>
                <w:rFonts w:ascii="Times New Roman" w:hAnsi="Times New Roman" w:cs="Times New Roman"/>
                <w:color w:val="000000" w:themeColor="text1"/>
              </w:rPr>
            </w:pPr>
            <w:r w:rsidRPr="00724CA2">
              <w:rPr>
                <w:rFonts w:ascii="Times New Roman" w:hAnsi="Times New Roman" w:cs="Times New Roman"/>
                <w:color w:val="000000" w:themeColor="text1"/>
              </w:rPr>
              <w:t>4</w:t>
            </w:r>
            <w:r w:rsidR="00E34B0E" w:rsidRPr="00724CA2">
              <w:rPr>
                <w:rFonts w:ascii="Times New Roman" w:hAnsi="Times New Roman" w:cs="Times New Roman"/>
                <w:color w:val="000000" w:themeColor="text1"/>
              </w:rPr>
              <w:t>.</w:t>
            </w:r>
            <w:r w:rsidRPr="00724CA2">
              <w:rPr>
                <w:rFonts w:ascii="Times New Roman" w:hAnsi="Times New Roman" w:cs="Times New Roman"/>
                <w:color w:val="000000" w:themeColor="text1"/>
              </w:rPr>
              <w:t>524</w:t>
            </w:r>
            <w:r w:rsidR="0001355B" w:rsidRPr="00724CA2">
              <w:rPr>
                <w:rFonts w:ascii="Times New Roman" w:hAnsi="Times New Roman" w:cs="Times New Roman"/>
                <w:color w:val="000000" w:themeColor="text1"/>
              </w:rPr>
              <w:t>***</w:t>
            </w:r>
          </w:p>
        </w:tc>
        <w:tc>
          <w:tcPr>
            <w:tcW w:w="1620" w:type="dxa"/>
            <w:tcBorders>
              <w:top w:val="nil"/>
              <w:left w:val="nil"/>
              <w:bottom w:val="nil"/>
              <w:right w:val="nil"/>
            </w:tcBorders>
            <w:vAlign w:val="center"/>
          </w:tcPr>
          <w:p w14:paraId="662093AE" w14:textId="06FB110A" w:rsidR="0001355B" w:rsidRPr="00724CA2" w:rsidRDefault="00C3253A" w:rsidP="00BE68DC">
            <w:pPr>
              <w:jc w:val="both"/>
              <w:rPr>
                <w:rFonts w:ascii="Times New Roman" w:hAnsi="Times New Roman" w:cs="Times New Roman"/>
                <w:color w:val="000000" w:themeColor="text1"/>
              </w:rPr>
            </w:pPr>
            <w:r w:rsidRPr="00724CA2">
              <w:rPr>
                <w:rFonts w:ascii="Times New Roman" w:hAnsi="Times New Roman" w:cs="Times New Roman"/>
                <w:color w:val="000000" w:themeColor="text1"/>
              </w:rPr>
              <w:t>2</w:t>
            </w:r>
            <w:r w:rsidR="0001355B" w:rsidRPr="00724CA2">
              <w:rPr>
                <w:rFonts w:ascii="Times New Roman" w:hAnsi="Times New Roman" w:cs="Times New Roman"/>
                <w:color w:val="000000" w:themeColor="text1"/>
              </w:rPr>
              <w:t>.</w:t>
            </w:r>
            <w:r w:rsidRPr="00724CA2">
              <w:rPr>
                <w:rFonts w:ascii="Times New Roman" w:hAnsi="Times New Roman" w:cs="Times New Roman"/>
                <w:color w:val="000000" w:themeColor="text1"/>
              </w:rPr>
              <w:t>7</w:t>
            </w:r>
            <w:r w:rsidR="00BA42C6" w:rsidRPr="00724CA2">
              <w:rPr>
                <w:rFonts w:ascii="Times New Roman" w:hAnsi="Times New Roman" w:cs="Times New Roman"/>
                <w:color w:val="000000" w:themeColor="text1"/>
              </w:rPr>
              <w:t>23</w:t>
            </w:r>
            <w:r w:rsidR="0001355B" w:rsidRPr="00724CA2">
              <w:rPr>
                <w:rFonts w:ascii="Times New Roman" w:hAnsi="Times New Roman" w:cs="Times New Roman"/>
                <w:color w:val="000000" w:themeColor="text1"/>
              </w:rPr>
              <w:t>***</w:t>
            </w:r>
          </w:p>
        </w:tc>
        <w:tc>
          <w:tcPr>
            <w:tcW w:w="1530" w:type="dxa"/>
            <w:tcBorders>
              <w:top w:val="nil"/>
              <w:left w:val="nil"/>
              <w:bottom w:val="nil"/>
              <w:right w:val="nil"/>
            </w:tcBorders>
            <w:vAlign w:val="center"/>
          </w:tcPr>
          <w:p w14:paraId="0ACE7552" w14:textId="2A1DB84D" w:rsidR="0001355B" w:rsidRPr="00724CA2" w:rsidRDefault="0001355B" w:rsidP="00BE68DC">
            <w:pPr>
              <w:jc w:val="both"/>
              <w:rPr>
                <w:rFonts w:ascii="Times New Roman" w:hAnsi="Times New Roman" w:cs="Times New Roman"/>
                <w:color w:val="000000" w:themeColor="text1"/>
              </w:rPr>
            </w:pPr>
          </w:p>
        </w:tc>
      </w:tr>
      <w:tr w:rsidR="00724CA2" w:rsidRPr="00724CA2" w14:paraId="5D5C26D6" w14:textId="77777777" w:rsidTr="003725B9">
        <w:trPr>
          <w:trHeight w:val="275"/>
          <w:jc w:val="center"/>
        </w:trPr>
        <w:tc>
          <w:tcPr>
            <w:tcW w:w="3060" w:type="dxa"/>
            <w:noWrap/>
            <w:vAlign w:val="center"/>
            <w:hideMark/>
          </w:tcPr>
          <w:p w14:paraId="5EB4CB89" w14:textId="77777777" w:rsidR="0001355B" w:rsidRPr="00724CA2" w:rsidRDefault="0001355B" w:rsidP="00BE68DC">
            <w:pPr>
              <w:jc w:val="both"/>
              <w:rPr>
                <w:rFonts w:ascii="Times New Roman" w:hAnsi="Times New Roman" w:cs="Times New Roman"/>
                <w:color w:val="000000" w:themeColor="text1"/>
                <w:lang w:val="en-US"/>
              </w:rPr>
            </w:pPr>
          </w:p>
        </w:tc>
        <w:tc>
          <w:tcPr>
            <w:tcW w:w="1350" w:type="dxa"/>
            <w:tcBorders>
              <w:top w:val="nil"/>
              <w:left w:val="nil"/>
              <w:bottom w:val="nil"/>
              <w:right w:val="nil"/>
            </w:tcBorders>
            <w:shd w:val="clear" w:color="auto" w:fill="auto"/>
            <w:noWrap/>
            <w:vAlign w:val="center"/>
          </w:tcPr>
          <w:p w14:paraId="58F121E2" w14:textId="77777777" w:rsidR="0001355B" w:rsidRPr="00724CA2" w:rsidRDefault="0001355B" w:rsidP="00BE68DC">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(0.585)</w:t>
            </w:r>
          </w:p>
        </w:tc>
        <w:tc>
          <w:tcPr>
            <w:tcW w:w="1530" w:type="dxa"/>
            <w:tcBorders>
              <w:top w:val="nil"/>
              <w:left w:val="nil"/>
              <w:bottom w:val="nil"/>
              <w:right w:val="nil"/>
            </w:tcBorders>
            <w:shd w:val="clear" w:color="auto" w:fill="auto"/>
            <w:noWrap/>
            <w:vAlign w:val="center"/>
          </w:tcPr>
          <w:p w14:paraId="35ADB025" w14:textId="77777777" w:rsidR="0001355B" w:rsidRPr="00724CA2" w:rsidRDefault="0001355B" w:rsidP="00BE68DC">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(0.423)</w:t>
            </w:r>
          </w:p>
        </w:tc>
        <w:tc>
          <w:tcPr>
            <w:tcW w:w="1530" w:type="dxa"/>
            <w:tcBorders>
              <w:top w:val="nil"/>
              <w:left w:val="nil"/>
              <w:bottom w:val="nil"/>
              <w:right w:val="nil"/>
            </w:tcBorders>
            <w:vAlign w:val="center"/>
          </w:tcPr>
          <w:p w14:paraId="634B5B7F" w14:textId="366BB299" w:rsidR="0001355B" w:rsidRPr="00724CA2" w:rsidRDefault="0001355B" w:rsidP="00BE68DC">
            <w:pPr>
              <w:jc w:val="both"/>
              <w:rPr>
                <w:rFonts w:ascii="Times New Roman" w:hAnsi="Times New Roman" w:cs="Times New Roman"/>
                <w:color w:val="000000" w:themeColor="text1"/>
              </w:rPr>
            </w:pPr>
            <w:r w:rsidRPr="00724CA2">
              <w:rPr>
                <w:rFonts w:ascii="Times New Roman" w:hAnsi="Times New Roman" w:cs="Times New Roman"/>
                <w:color w:val="000000" w:themeColor="text1"/>
              </w:rPr>
              <w:t>(0.</w:t>
            </w:r>
            <w:r w:rsidR="00AB2D31" w:rsidRPr="00724CA2">
              <w:rPr>
                <w:rFonts w:ascii="Times New Roman" w:hAnsi="Times New Roman" w:cs="Times New Roman"/>
                <w:color w:val="000000" w:themeColor="text1"/>
              </w:rPr>
              <w:t>4</w:t>
            </w:r>
            <w:r w:rsidR="00E34B0E" w:rsidRPr="00724CA2">
              <w:rPr>
                <w:rFonts w:ascii="Times New Roman" w:hAnsi="Times New Roman" w:cs="Times New Roman"/>
                <w:color w:val="000000" w:themeColor="text1"/>
              </w:rPr>
              <w:t>42</w:t>
            </w:r>
            <w:r w:rsidRPr="00724CA2">
              <w:rPr>
                <w:rFonts w:ascii="Times New Roman" w:hAnsi="Times New Roman" w:cs="Times New Roman"/>
                <w:color w:val="000000" w:themeColor="text1"/>
              </w:rPr>
              <w:t>)</w:t>
            </w:r>
          </w:p>
        </w:tc>
        <w:tc>
          <w:tcPr>
            <w:tcW w:w="1620" w:type="dxa"/>
            <w:tcBorders>
              <w:top w:val="nil"/>
              <w:left w:val="nil"/>
              <w:bottom w:val="nil"/>
              <w:right w:val="nil"/>
            </w:tcBorders>
            <w:vAlign w:val="center"/>
          </w:tcPr>
          <w:p w14:paraId="5D021218" w14:textId="1305667D" w:rsidR="0001355B" w:rsidRPr="00724CA2" w:rsidRDefault="0001355B" w:rsidP="00BE68DC">
            <w:pPr>
              <w:jc w:val="both"/>
              <w:rPr>
                <w:rFonts w:ascii="Times New Roman" w:hAnsi="Times New Roman" w:cs="Times New Roman"/>
                <w:color w:val="000000" w:themeColor="text1"/>
              </w:rPr>
            </w:pPr>
            <w:r w:rsidRPr="00724CA2">
              <w:rPr>
                <w:rFonts w:ascii="Times New Roman" w:hAnsi="Times New Roman" w:cs="Times New Roman"/>
                <w:color w:val="000000" w:themeColor="text1"/>
              </w:rPr>
              <w:t>(0.</w:t>
            </w:r>
            <w:r w:rsidR="00C3253A" w:rsidRPr="00724CA2">
              <w:rPr>
                <w:rFonts w:ascii="Times New Roman" w:hAnsi="Times New Roman" w:cs="Times New Roman"/>
                <w:color w:val="000000" w:themeColor="text1"/>
              </w:rPr>
              <w:t>3</w:t>
            </w:r>
            <w:r w:rsidRPr="00724CA2">
              <w:rPr>
                <w:rFonts w:ascii="Times New Roman" w:hAnsi="Times New Roman" w:cs="Times New Roman"/>
                <w:color w:val="000000" w:themeColor="text1"/>
              </w:rPr>
              <w:t>23)</w:t>
            </w:r>
          </w:p>
        </w:tc>
        <w:tc>
          <w:tcPr>
            <w:tcW w:w="1530" w:type="dxa"/>
            <w:tcBorders>
              <w:top w:val="nil"/>
              <w:left w:val="nil"/>
              <w:bottom w:val="nil"/>
              <w:right w:val="nil"/>
            </w:tcBorders>
            <w:vAlign w:val="center"/>
          </w:tcPr>
          <w:p w14:paraId="337CFF55" w14:textId="51341F7D" w:rsidR="0001355B" w:rsidRPr="00724CA2" w:rsidRDefault="0001355B" w:rsidP="00BE68DC">
            <w:pPr>
              <w:jc w:val="both"/>
              <w:rPr>
                <w:rFonts w:ascii="Times New Roman" w:hAnsi="Times New Roman" w:cs="Times New Roman"/>
                <w:color w:val="000000" w:themeColor="text1"/>
              </w:rPr>
            </w:pPr>
          </w:p>
        </w:tc>
      </w:tr>
      <w:tr w:rsidR="00724CA2" w:rsidRPr="00724CA2" w14:paraId="1BA0B334" w14:textId="77777777" w:rsidTr="003725B9">
        <w:trPr>
          <w:trHeight w:val="275"/>
          <w:jc w:val="center"/>
        </w:trPr>
        <w:tc>
          <w:tcPr>
            <w:tcW w:w="3060" w:type="dxa"/>
            <w:noWrap/>
            <w:vAlign w:val="center"/>
          </w:tcPr>
          <w:p w14:paraId="65A951B0" w14:textId="3990E8E3" w:rsidR="00DD33B3" w:rsidRPr="00724CA2" w:rsidRDefault="00DD33B3" w:rsidP="00DD33B3">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Green mutual fund</w:t>
            </w:r>
          </w:p>
        </w:tc>
        <w:tc>
          <w:tcPr>
            <w:tcW w:w="1350" w:type="dxa"/>
            <w:tcBorders>
              <w:top w:val="nil"/>
              <w:left w:val="nil"/>
              <w:bottom w:val="nil"/>
              <w:right w:val="nil"/>
            </w:tcBorders>
            <w:shd w:val="clear" w:color="auto" w:fill="auto"/>
            <w:noWrap/>
            <w:vAlign w:val="center"/>
          </w:tcPr>
          <w:p w14:paraId="2BAFB204" w14:textId="77777777" w:rsidR="00DD33B3" w:rsidRPr="00724CA2" w:rsidRDefault="00DD33B3" w:rsidP="00DD33B3">
            <w:pPr>
              <w:jc w:val="both"/>
              <w:rPr>
                <w:rFonts w:ascii="Times New Roman" w:hAnsi="Times New Roman" w:cs="Times New Roman"/>
                <w:color w:val="000000" w:themeColor="text1"/>
              </w:rPr>
            </w:pPr>
          </w:p>
        </w:tc>
        <w:tc>
          <w:tcPr>
            <w:tcW w:w="1530" w:type="dxa"/>
            <w:tcBorders>
              <w:top w:val="nil"/>
              <w:left w:val="nil"/>
              <w:bottom w:val="nil"/>
              <w:right w:val="nil"/>
            </w:tcBorders>
            <w:shd w:val="clear" w:color="auto" w:fill="auto"/>
            <w:noWrap/>
            <w:vAlign w:val="center"/>
          </w:tcPr>
          <w:p w14:paraId="0E4D1E92" w14:textId="77777777" w:rsidR="00DD33B3" w:rsidRPr="00724CA2" w:rsidRDefault="00DD33B3" w:rsidP="00DD33B3">
            <w:pPr>
              <w:jc w:val="both"/>
              <w:rPr>
                <w:rFonts w:ascii="Times New Roman" w:hAnsi="Times New Roman" w:cs="Times New Roman"/>
                <w:color w:val="000000" w:themeColor="text1"/>
              </w:rPr>
            </w:pPr>
          </w:p>
        </w:tc>
        <w:tc>
          <w:tcPr>
            <w:tcW w:w="1530" w:type="dxa"/>
            <w:tcBorders>
              <w:top w:val="nil"/>
              <w:left w:val="nil"/>
              <w:bottom w:val="nil"/>
              <w:right w:val="nil"/>
            </w:tcBorders>
            <w:vAlign w:val="center"/>
          </w:tcPr>
          <w:p w14:paraId="3F9A75B8" w14:textId="77777777" w:rsidR="00DD33B3" w:rsidRPr="00724CA2" w:rsidRDefault="00DD33B3" w:rsidP="00DD33B3">
            <w:pPr>
              <w:jc w:val="both"/>
              <w:rPr>
                <w:rFonts w:ascii="Times New Roman" w:hAnsi="Times New Roman" w:cs="Times New Roman"/>
                <w:color w:val="000000" w:themeColor="text1"/>
              </w:rPr>
            </w:pPr>
          </w:p>
        </w:tc>
        <w:tc>
          <w:tcPr>
            <w:tcW w:w="1620" w:type="dxa"/>
            <w:tcBorders>
              <w:top w:val="nil"/>
              <w:left w:val="nil"/>
              <w:bottom w:val="nil"/>
              <w:right w:val="nil"/>
            </w:tcBorders>
            <w:vAlign w:val="center"/>
          </w:tcPr>
          <w:p w14:paraId="23A2F3E7" w14:textId="77777777" w:rsidR="00DD33B3" w:rsidRPr="00724CA2" w:rsidRDefault="00DD33B3" w:rsidP="00DD33B3">
            <w:pPr>
              <w:jc w:val="both"/>
              <w:rPr>
                <w:rFonts w:ascii="Times New Roman" w:hAnsi="Times New Roman" w:cs="Times New Roman"/>
                <w:color w:val="000000" w:themeColor="text1"/>
              </w:rPr>
            </w:pPr>
          </w:p>
        </w:tc>
        <w:tc>
          <w:tcPr>
            <w:tcW w:w="1530" w:type="dxa"/>
            <w:tcBorders>
              <w:top w:val="nil"/>
              <w:left w:val="nil"/>
              <w:bottom w:val="nil"/>
              <w:right w:val="nil"/>
            </w:tcBorders>
            <w:vAlign w:val="center"/>
          </w:tcPr>
          <w:p w14:paraId="3D73B983" w14:textId="20F2252D"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3.517***</w:t>
            </w:r>
          </w:p>
        </w:tc>
      </w:tr>
      <w:tr w:rsidR="00724CA2" w:rsidRPr="00724CA2" w14:paraId="4CA3191A" w14:textId="77777777" w:rsidTr="003725B9">
        <w:trPr>
          <w:trHeight w:val="275"/>
          <w:jc w:val="center"/>
        </w:trPr>
        <w:tc>
          <w:tcPr>
            <w:tcW w:w="3060" w:type="dxa"/>
            <w:noWrap/>
            <w:vAlign w:val="center"/>
          </w:tcPr>
          <w:p w14:paraId="7F0798D8" w14:textId="77777777" w:rsidR="00DD33B3" w:rsidRPr="00724CA2" w:rsidRDefault="00DD33B3" w:rsidP="00DD33B3">
            <w:pPr>
              <w:jc w:val="both"/>
              <w:rPr>
                <w:rFonts w:ascii="Times New Roman" w:hAnsi="Times New Roman" w:cs="Times New Roman"/>
                <w:color w:val="000000" w:themeColor="text1"/>
                <w:lang w:val="en-US"/>
              </w:rPr>
            </w:pPr>
          </w:p>
        </w:tc>
        <w:tc>
          <w:tcPr>
            <w:tcW w:w="1350" w:type="dxa"/>
            <w:tcBorders>
              <w:top w:val="nil"/>
              <w:left w:val="nil"/>
              <w:bottom w:val="nil"/>
              <w:right w:val="nil"/>
            </w:tcBorders>
            <w:shd w:val="clear" w:color="auto" w:fill="auto"/>
            <w:noWrap/>
            <w:vAlign w:val="center"/>
          </w:tcPr>
          <w:p w14:paraId="617F9732" w14:textId="77777777" w:rsidR="00DD33B3" w:rsidRPr="00724CA2" w:rsidRDefault="00DD33B3" w:rsidP="00DD33B3">
            <w:pPr>
              <w:jc w:val="both"/>
              <w:rPr>
                <w:rFonts w:ascii="Times New Roman" w:hAnsi="Times New Roman" w:cs="Times New Roman"/>
                <w:color w:val="000000" w:themeColor="text1"/>
              </w:rPr>
            </w:pPr>
          </w:p>
        </w:tc>
        <w:tc>
          <w:tcPr>
            <w:tcW w:w="1530" w:type="dxa"/>
            <w:tcBorders>
              <w:top w:val="nil"/>
              <w:left w:val="nil"/>
              <w:bottom w:val="nil"/>
              <w:right w:val="nil"/>
            </w:tcBorders>
            <w:shd w:val="clear" w:color="auto" w:fill="auto"/>
            <w:noWrap/>
            <w:vAlign w:val="center"/>
          </w:tcPr>
          <w:p w14:paraId="76D83566" w14:textId="77777777" w:rsidR="00DD33B3" w:rsidRPr="00724CA2" w:rsidRDefault="00DD33B3" w:rsidP="00DD33B3">
            <w:pPr>
              <w:jc w:val="both"/>
              <w:rPr>
                <w:rFonts w:ascii="Times New Roman" w:hAnsi="Times New Roman" w:cs="Times New Roman"/>
                <w:color w:val="000000" w:themeColor="text1"/>
              </w:rPr>
            </w:pPr>
          </w:p>
        </w:tc>
        <w:tc>
          <w:tcPr>
            <w:tcW w:w="1530" w:type="dxa"/>
            <w:tcBorders>
              <w:top w:val="nil"/>
              <w:left w:val="nil"/>
              <w:bottom w:val="nil"/>
              <w:right w:val="nil"/>
            </w:tcBorders>
            <w:vAlign w:val="center"/>
          </w:tcPr>
          <w:p w14:paraId="5F857AE5" w14:textId="77777777" w:rsidR="00DD33B3" w:rsidRPr="00724CA2" w:rsidRDefault="00DD33B3" w:rsidP="00DD33B3">
            <w:pPr>
              <w:jc w:val="both"/>
              <w:rPr>
                <w:rFonts w:ascii="Times New Roman" w:hAnsi="Times New Roman" w:cs="Times New Roman"/>
                <w:color w:val="000000" w:themeColor="text1"/>
              </w:rPr>
            </w:pPr>
          </w:p>
        </w:tc>
        <w:tc>
          <w:tcPr>
            <w:tcW w:w="1620" w:type="dxa"/>
            <w:tcBorders>
              <w:top w:val="nil"/>
              <w:left w:val="nil"/>
              <w:bottom w:val="nil"/>
              <w:right w:val="nil"/>
            </w:tcBorders>
            <w:vAlign w:val="center"/>
          </w:tcPr>
          <w:p w14:paraId="1EC89250" w14:textId="77777777" w:rsidR="00DD33B3" w:rsidRPr="00724CA2" w:rsidRDefault="00DD33B3" w:rsidP="00DD33B3">
            <w:pPr>
              <w:jc w:val="both"/>
              <w:rPr>
                <w:rFonts w:ascii="Times New Roman" w:hAnsi="Times New Roman" w:cs="Times New Roman"/>
                <w:color w:val="000000" w:themeColor="text1"/>
              </w:rPr>
            </w:pPr>
          </w:p>
        </w:tc>
        <w:tc>
          <w:tcPr>
            <w:tcW w:w="1530" w:type="dxa"/>
            <w:tcBorders>
              <w:top w:val="nil"/>
              <w:left w:val="nil"/>
              <w:bottom w:val="nil"/>
              <w:right w:val="nil"/>
            </w:tcBorders>
            <w:vAlign w:val="center"/>
          </w:tcPr>
          <w:p w14:paraId="0FA1C8DA" w14:textId="0488F09D"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(0.893)</w:t>
            </w:r>
          </w:p>
        </w:tc>
      </w:tr>
      <w:tr w:rsidR="00724CA2" w:rsidRPr="00724CA2" w14:paraId="68E278E0" w14:textId="77777777" w:rsidTr="003725B9">
        <w:trPr>
          <w:trHeight w:val="275"/>
          <w:jc w:val="center"/>
        </w:trPr>
        <w:tc>
          <w:tcPr>
            <w:tcW w:w="3060" w:type="dxa"/>
            <w:noWrap/>
            <w:vAlign w:val="center"/>
          </w:tcPr>
          <w:p w14:paraId="334ABA1B" w14:textId="77777777" w:rsidR="00DD33B3" w:rsidRPr="00724CA2" w:rsidRDefault="00DD33B3" w:rsidP="00DD33B3">
            <w:pPr>
              <w:jc w:val="both"/>
              <w:rPr>
                <w:rFonts w:ascii="Times New Roman" w:hAnsi="Times New Roman" w:cs="Times New Roman"/>
                <w:color w:val="000000" w:themeColor="text1"/>
                <w:lang w:val="en-US"/>
              </w:rPr>
            </w:pPr>
            <w:r w:rsidRPr="00724CA2">
              <w:rPr>
                <w:rFonts w:ascii="Times New Roman" w:hAnsi="Times New Roman" w:cs="Times New Roman" w:hint="eastAsia"/>
                <w:color w:val="000000" w:themeColor="text1"/>
                <w:lang w:val="en-US"/>
              </w:rPr>
              <w:t>S</w:t>
            </w:r>
            <w:r w:rsidRPr="00724CA2">
              <w:rPr>
                <w:rFonts w:ascii="Times New Roman" w:hAnsi="Times New Roman" w:cs="Times New Roman"/>
                <w:color w:val="000000" w:themeColor="text1"/>
                <w:lang w:val="en-US"/>
              </w:rPr>
              <w:t>ociety</w:t>
            </w:r>
          </w:p>
        </w:tc>
        <w:tc>
          <w:tcPr>
            <w:tcW w:w="1350" w:type="dxa"/>
            <w:tcBorders>
              <w:top w:val="nil"/>
              <w:left w:val="nil"/>
              <w:bottom w:val="nil"/>
              <w:right w:val="nil"/>
            </w:tcBorders>
            <w:shd w:val="clear" w:color="auto" w:fill="auto"/>
            <w:noWrap/>
            <w:vAlign w:val="center"/>
          </w:tcPr>
          <w:p w14:paraId="54D279E5" w14:textId="77777777" w:rsidR="00DD33B3" w:rsidRPr="00724CA2" w:rsidRDefault="00DD33B3" w:rsidP="00DD33B3">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0.013*</w:t>
            </w:r>
          </w:p>
        </w:tc>
        <w:tc>
          <w:tcPr>
            <w:tcW w:w="1530" w:type="dxa"/>
            <w:tcBorders>
              <w:top w:val="nil"/>
              <w:left w:val="nil"/>
              <w:bottom w:val="nil"/>
              <w:right w:val="nil"/>
            </w:tcBorders>
            <w:shd w:val="clear" w:color="auto" w:fill="auto"/>
            <w:noWrap/>
            <w:vAlign w:val="center"/>
          </w:tcPr>
          <w:p w14:paraId="299B2919" w14:textId="77777777" w:rsidR="00DD33B3" w:rsidRPr="00724CA2" w:rsidRDefault="00DD33B3" w:rsidP="00DD33B3">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0.016**</w:t>
            </w:r>
          </w:p>
        </w:tc>
        <w:tc>
          <w:tcPr>
            <w:tcW w:w="1530" w:type="dxa"/>
            <w:tcBorders>
              <w:top w:val="nil"/>
              <w:left w:val="nil"/>
              <w:bottom w:val="nil"/>
              <w:right w:val="nil"/>
            </w:tcBorders>
            <w:vAlign w:val="center"/>
          </w:tcPr>
          <w:p w14:paraId="408474EE"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0.006**</w:t>
            </w:r>
          </w:p>
        </w:tc>
        <w:tc>
          <w:tcPr>
            <w:tcW w:w="1620" w:type="dxa"/>
            <w:tcBorders>
              <w:top w:val="nil"/>
              <w:left w:val="nil"/>
              <w:bottom w:val="nil"/>
              <w:right w:val="nil"/>
            </w:tcBorders>
            <w:vAlign w:val="center"/>
          </w:tcPr>
          <w:p w14:paraId="3486A7ED"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0.006***</w:t>
            </w:r>
          </w:p>
        </w:tc>
        <w:tc>
          <w:tcPr>
            <w:tcW w:w="1530" w:type="dxa"/>
            <w:tcBorders>
              <w:top w:val="nil"/>
              <w:left w:val="nil"/>
              <w:bottom w:val="nil"/>
              <w:right w:val="nil"/>
            </w:tcBorders>
            <w:vAlign w:val="center"/>
          </w:tcPr>
          <w:p w14:paraId="2CE5044B"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0.017**</w:t>
            </w:r>
          </w:p>
        </w:tc>
      </w:tr>
      <w:tr w:rsidR="00724CA2" w:rsidRPr="00724CA2" w14:paraId="31DC8C1A" w14:textId="77777777" w:rsidTr="003725B9">
        <w:trPr>
          <w:trHeight w:val="275"/>
          <w:jc w:val="center"/>
        </w:trPr>
        <w:tc>
          <w:tcPr>
            <w:tcW w:w="3060" w:type="dxa"/>
            <w:noWrap/>
            <w:vAlign w:val="center"/>
          </w:tcPr>
          <w:p w14:paraId="53441C17" w14:textId="77777777" w:rsidR="00DD33B3" w:rsidRPr="00724CA2" w:rsidRDefault="00DD33B3" w:rsidP="00DD33B3">
            <w:pPr>
              <w:jc w:val="both"/>
              <w:rPr>
                <w:rFonts w:ascii="Times New Roman" w:hAnsi="Times New Roman" w:cs="Times New Roman"/>
                <w:color w:val="000000" w:themeColor="text1"/>
                <w:lang w:val="en-US"/>
              </w:rPr>
            </w:pPr>
          </w:p>
        </w:tc>
        <w:tc>
          <w:tcPr>
            <w:tcW w:w="1350" w:type="dxa"/>
            <w:tcBorders>
              <w:top w:val="nil"/>
              <w:left w:val="nil"/>
              <w:bottom w:val="nil"/>
              <w:right w:val="nil"/>
            </w:tcBorders>
            <w:shd w:val="clear" w:color="auto" w:fill="auto"/>
            <w:noWrap/>
            <w:vAlign w:val="center"/>
          </w:tcPr>
          <w:p w14:paraId="76F67BB7" w14:textId="77777777" w:rsidR="00DD33B3" w:rsidRPr="00724CA2" w:rsidRDefault="00DD33B3" w:rsidP="00DD33B3">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(0.006)</w:t>
            </w:r>
          </w:p>
        </w:tc>
        <w:tc>
          <w:tcPr>
            <w:tcW w:w="1530" w:type="dxa"/>
            <w:tcBorders>
              <w:top w:val="nil"/>
              <w:left w:val="nil"/>
              <w:bottom w:val="nil"/>
              <w:right w:val="nil"/>
            </w:tcBorders>
            <w:shd w:val="clear" w:color="auto" w:fill="auto"/>
            <w:noWrap/>
            <w:vAlign w:val="center"/>
          </w:tcPr>
          <w:p w14:paraId="68F501C1" w14:textId="77777777" w:rsidR="00DD33B3" w:rsidRPr="00724CA2" w:rsidRDefault="00DD33B3" w:rsidP="00DD33B3">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(0.006)</w:t>
            </w:r>
          </w:p>
        </w:tc>
        <w:tc>
          <w:tcPr>
            <w:tcW w:w="1530" w:type="dxa"/>
            <w:tcBorders>
              <w:top w:val="nil"/>
              <w:left w:val="nil"/>
              <w:bottom w:val="nil"/>
              <w:right w:val="nil"/>
            </w:tcBorders>
            <w:vAlign w:val="center"/>
          </w:tcPr>
          <w:p w14:paraId="1A514712"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(0.002)</w:t>
            </w:r>
          </w:p>
        </w:tc>
        <w:tc>
          <w:tcPr>
            <w:tcW w:w="1620" w:type="dxa"/>
            <w:tcBorders>
              <w:top w:val="nil"/>
              <w:left w:val="nil"/>
              <w:bottom w:val="nil"/>
              <w:right w:val="nil"/>
            </w:tcBorders>
            <w:vAlign w:val="center"/>
          </w:tcPr>
          <w:p w14:paraId="3B203DFA"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(0.001)</w:t>
            </w:r>
          </w:p>
        </w:tc>
        <w:tc>
          <w:tcPr>
            <w:tcW w:w="1530" w:type="dxa"/>
            <w:tcBorders>
              <w:top w:val="nil"/>
              <w:left w:val="nil"/>
              <w:bottom w:val="nil"/>
              <w:right w:val="nil"/>
            </w:tcBorders>
            <w:vAlign w:val="center"/>
          </w:tcPr>
          <w:p w14:paraId="5EF681C0"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(0.007)</w:t>
            </w:r>
          </w:p>
        </w:tc>
      </w:tr>
      <w:tr w:rsidR="00724CA2" w:rsidRPr="00724CA2" w14:paraId="04358589" w14:textId="77777777" w:rsidTr="003725B9">
        <w:trPr>
          <w:trHeight w:val="275"/>
          <w:jc w:val="center"/>
        </w:trPr>
        <w:tc>
          <w:tcPr>
            <w:tcW w:w="3060" w:type="dxa"/>
            <w:noWrap/>
            <w:vAlign w:val="center"/>
          </w:tcPr>
          <w:p w14:paraId="74F783C1" w14:textId="77777777" w:rsidR="00DD33B3" w:rsidRPr="00724CA2" w:rsidRDefault="00DD33B3" w:rsidP="00DD33B3">
            <w:pPr>
              <w:jc w:val="both"/>
              <w:rPr>
                <w:rFonts w:ascii="Times New Roman" w:hAnsi="Times New Roman" w:cs="Times New Roman"/>
                <w:color w:val="000000" w:themeColor="text1"/>
                <w:lang w:val="en-US"/>
              </w:rPr>
            </w:pPr>
            <w:r w:rsidRPr="00724CA2">
              <w:rPr>
                <w:rFonts w:ascii="Times New Roman" w:hAnsi="Times New Roman" w:cs="Times New Roman" w:hint="eastAsia"/>
                <w:color w:val="000000" w:themeColor="text1"/>
                <w:lang w:val="en-US"/>
              </w:rPr>
              <w:t>G</w:t>
            </w:r>
            <w:r w:rsidRPr="00724CA2">
              <w:rPr>
                <w:rFonts w:ascii="Times New Roman" w:hAnsi="Times New Roman" w:cs="Times New Roman"/>
                <w:color w:val="000000" w:themeColor="text1"/>
                <w:lang w:val="en-US"/>
              </w:rPr>
              <w:t>overnance</w:t>
            </w:r>
          </w:p>
        </w:tc>
        <w:tc>
          <w:tcPr>
            <w:tcW w:w="1350" w:type="dxa"/>
            <w:tcBorders>
              <w:top w:val="nil"/>
              <w:left w:val="nil"/>
              <w:bottom w:val="nil"/>
              <w:right w:val="nil"/>
            </w:tcBorders>
            <w:shd w:val="clear" w:color="auto" w:fill="auto"/>
            <w:noWrap/>
            <w:vAlign w:val="center"/>
          </w:tcPr>
          <w:p w14:paraId="568679CC" w14:textId="77777777" w:rsidR="00DD33B3" w:rsidRPr="00724CA2" w:rsidRDefault="00DD33B3" w:rsidP="00DD33B3">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0.023*</w:t>
            </w:r>
          </w:p>
        </w:tc>
        <w:tc>
          <w:tcPr>
            <w:tcW w:w="1530" w:type="dxa"/>
            <w:tcBorders>
              <w:top w:val="nil"/>
              <w:left w:val="nil"/>
              <w:bottom w:val="nil"/>
              <w:right w:val="nil"/>
            </w:tcBorders>
            <w:shd w:val="clear" w:color="auto" w:fill="auto"/>
            <w:noWrap/>
            <w:vAlign w:val="center"/>
          </w:tcPr>
          <w:p w14:paraId="7FFB7C85" w14:textId="77777777" w:rsidR="00DD33B3" w:rsidRPr="00724CA2" w:rsidRDefault="00DD33B3" w:rsidP="00DD33B3">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0.025**</w:t>
            </w:r>
          </w:p>
        </w:tc>
        <w:tc>
          <w:tcPr>
            <w:tcW w:w="1530" w:type="dxa"/>
            <w:tcBorders>
              <w:top w:val="nil"/>
              <w:left w:val="nil"/>
              <w:bottom w:val="nil"/>
              <w:right w:val="nil"/>
            </w:tcBorders>
            <w:vAlign w:val="center"/>
          </w:tcPr>
          <w:p w14:paraId="6DE4EC5B"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0.001</w:t>
            </w:r>
          </w:p>
        </w:tc>
        <w:tc>
          <w:tcPr>
            <w:tcW w:w="1620" w:type="dxa"/>
            <w:tcBorders>
              <w:top w:val="nil"/>
              <w:left w:val="nil"/>
              <w:bottom w:val="nil"/>
              <w:right w:val="nil"/>
            </w:tcBorders>
            <w:vAlign w:val="center"/>
          </w:tcPr>
          <w:p w14:paraId="024C4A96"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0.005*</w:t>
            </w:r>
          </w:p>
        </w:tc>
        <w:tc>
          <w:tcPr>
            <w:tcW w:w="1530" w:type="dxa"/>
            <w:tcBorders>
              <w:top w:val="nil"/>
              <w:left w:val="nil"/>
              <w:bottom w:val="nil"/>
              <w:right w:val="nil"/>
            </w:tcBorders>
            <w:vAlign w:val="center"/>
          </w:tcPr>
          <w:p w14:paraId="43D602C8"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0.026**</w:t>
            </w:r>
          </w:p>
        </w:tc>
      </w:tr>
      <w:tr w:rsidR="00724CA2" w:rsidRPr="00724CA2" w14:paraId="2AF922E0" w14:textId="77777777" w:rsidTr="003725B9">
        <w:trPr>
          <w:trHeight w:val="275"/>
          <w:jc w:val="center"/>
        </w:trPr>
        <w:tc>
          <w:tcPr>
            <w:tcW w:w="3060" w:type="dxa"/>
            <w:noWrap/>
            <w:vAlign w:val="center"/>
          </w:tcPr>
          <w:p w14:paraId="145078D8" w14:textId="77777777" w:rsidR="00DD33B3" w:rsidRPr="00724CA2" w:rsidRDefault="00DD33B3" w:rsidP="00DD33B3">
            <w:pPr>
              <w:jc w:val="both"/>
              <w:rPr>
                <w:rFonts w:ascii="Times New Roman" w:hAnsi="Times New Roman" w:cs="Times New Roman"/>
                <w:color w:val="000000" w:themeColor="text1"/>
                <w:lang w:val="en-US"/>
              </w:rPr>
            </w:pPr>
          </w:p>
        </w:tc>
        <w:tc>
          <w:tcPr>
            <w:tcW w:w="1350" w:type="dxa"/>
            <w:tcBorders>
              <w:top w:val="nil"/>
              <w:left w:val="nil"/>
              <w:bottom w:val="nil"/>
              <w:right w:val="nil"/>
            </w:tcBorders>
            <w:shd w:val="clear" w:color="auto" w:fill="auto"/>
            <w:noWrap/>
            <w:vAlign w:val="center"/>
          </w:tcPr>
          <w:p w14:paraId="6E38A00D" w14:textId="77777777" w:rsidR="00DD33B3" w:rsidRPr="00724CA2" w:rsidRDefault="00DD33B3" w:rsidP="00DD33B3">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(0.012)</w:t>
            </w:r>
          </w:p>
        </w:tc>
        <w:tc>
          <w:tcPr>
            <w:tcW w:w="1530" w:type="dxa"/>
            <w:tcBorders>
              <w:top w:val="nil"/>
              <w:left w:val="nil"/>
              <w:bottom w:val="nil"/>
              <w:right w:val="nil"/>
            </w:tcBorders>
            <w:shd w:val="clear" w:color="auto" w:fill="auto"/>
            <w:noWrap/>
            <w:vAlign w:val="center"/>
          </w:tcPr>
          <w:p w14:paraId="0D610BA9" w14:textId="77777777" w:rsidR="00DD33B3" w:rsidRPr="00724CA2" w:rsidRDefault="00DD33B3" w:rsidP="00DD33B3">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(0.010)</w:t>
            </w:r>
          </w:p>
        </w:tc>
        <w:tc>
          <w:tcPr>
            <w:tcW w:w="1530" w:type="dxa"/>
            <w:tcBorders>
              <w:top w:val="nil"/>
              <w:left w:val="nil"/>
              <w:bottom w:val="nil"/>
              <w:right w:val="nil"/>
            </w:tcBorders>
            <w:vAlign w:val="center"/>
          </w:tcPr>
          <w:p w14:paraId="5F090C76"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(0.004)</w:t>
            </w:r>
          </w:p>
        </w:tc>
        <w:tc>
          <w:tcPr>
            <w:tcW w:w="1620" w:type="dxa"/>
            <w:tcBorders>
              <w:top w:val="nil"/>
              <w:left w:val="nil"/>
              <w:bottom w:val="nil"/>
              <w:right w:val="nil"/>
            </w:tcBorders>
            <w:vAlign w:val="center"/>
          </w:tcPr>
          <w:p w14:paraId="7930024D"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(0.002)</w:t>
            </w:r>
          </w:p>
        </w:tc>
        <w:tc>
          <w:tcPr>
            <w:tcW w:w="1530" w:type="dxa"/>
            <w:tcBorders>
              <w:top w:val="nil"/>
              <w:left w:val="nil"/>
              <w:bottom w:val="nil"/>
              <w:right w:val="nil"/>
            </w:tcBorders>
            <w:vAlign w:val="center"/>
          </w:tcPr>
          <w:p w14:paraId="41D53258"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(0.010)</w:t>
            </w:r>
          </w:p>
        </w:tc>
      </w:tr>
      <w:tr w:rsidR="00724CA2" w:rsidRPr="00724CA2" w14:paraId="1207A5C5" w14:textId="77777777" w:rsidTr="003725B9">
        <w:trPr>
          <w:trHeight w:val="275"/>
          <w:jc w:val="center"/>
        </w:trPr>
        <w:tc>
          <w:tcPr>
            <w:tcW w:w="3060" w:type="dxa"/>
            <w:noWrap/>
            <w:vAlign w:val="center"/>
            <w:hideMark/>
          </w:tcPr>
          <w:p w14:paraId="32BBBB1A" w14:textId="77777777" w:rsidR="00DD33B3" w:rsidRPr="00724CA2" w:rsidRDefault="00DD33B3" w:rsidP="00DD33B3">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Duality</w:t>
            </w:r>
          </w:p>
        </w:tc>
        <w:tc>
          <w:tcPr>
            <w:tcW w:w="1350" w:type="dxa"/>
            <w:tcBorders>
              <w:top w:val="nil"/>
              <w:left w:val="nil"/>
              <w:bottom w:val="nil"/>
              <w:right w:val="nil"/>
            </w:tcBorders>
            <w:shd w:val="clear" w:color="auto" w:fill="auto"/>
            <w:noWrap/>
            <w:vAlign w:val="center"/>
          </w:tcPr>
          <w:p w14:paraId="6705921C"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0.258</w:t>
            </w:r>
          </w:p>
        </w:tc>
        <w:tc>
          <w:tcPr>
            <w:tcW w:w="1530" w:type="dxa"/>
            <w:tcBorders>
              <w:top w:val="nil"/>
              <w:left w:val="nil"/>
              <w:bottom w:val="nil"/>
              <w:right w:val="nil"/>
            </w:tcBorders>
            <w:shd w:val="clear" w:color="auto" w:fill="auto"/>
            <w:noWrap/>
            <w:vAlign w:val="center"/>
          </w:tcPr>
          <w:p w14:paraId="5BC328D1"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0.240</w:t>
            </w:r>
          </w:p>
        </w:tc>
        <w:tc>
          <w:tcPr>
            <w:tcW w:w="1530" w:type="dxa"/>
            <w:tcBorders>
              <w:top w:val="nil"/>
              <w:left w:val="nil"/>
              <w:bottom w:val="nil"/>
              <w:right w:val="nil"/>
            </w:tcBorders>
            <w:vAlign w:val="center"/>
          </w:tcPr>
          <w:p w14:paraId="6901C24C"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0.002</w:t>
            </w:r>
          </w:p>
        </w:tc>
        <w:tc>
          <w:tcPr>
            <w:tcW w:w="1620" w:type="dxa"/>
            <w:tcBorders>
              <w:top w:val="nil"/>
              <w:left w:val="nil"/>
              <w:bottom w:val="nil"/>
              <w:right w:val="nil"/>
            </w:tcBorders>
            <w:vAlign w:val="center"/>
          </w:tcPr>
          <w:p w14:paraId="0387DECA"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0.049</w:t>
            </w:r>
          </w:p>
        </w:tc>
        <w:tc>
          <w:tcPr>
            <w:tcW w:w="1530" w:type="dxa"/>
            <w:tcBorders>
              <w:top w:val="nil"/>
              <w:left w:val="nil"/>
              <w:bottom w:val="nil"/>
              <w:right w:val="nil"/>
            </w:tcBorders>
            <w:vAlign w:val="center"/>
          </w:tcPr>
          <w:p w14:paraId="0E7AA48E"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0.234</w:t>
            </w:r>
          </w:p>
        </w:tc>
      </w:tr>
      <w:tr w:rsidR="00724CA2" w:rsidRPr="00724CA2" w14:paraId="1942856C" w14:textId="77777777" w:rsidTr="003725B9">
        <w:trPr>
          <w:trHeight w:val="275"/>
          <w:jc w:val="center"/>
        </w:trPr>
        <w:tc>
          <w:tcPr>
            <w:tcW w:w="3060" w:type="dxa"/>
            <w:noWrap/>
            <w:vAlign w:val="center"/>
            <w:hideMark/>
          </w:tcPr>
          <w:p w14:paraId="4A6F234C" w14:textId="77777777" w:rsidR="00DD33B3" w:rsidRPr="00724CA2" w:rsidRDefault="00DD33B3" w:rsidP="00DD33B3">
            <w:pPr>
              <w:jc w:val="both"/>
              <w:rPr>
                <w:rFonts w:ascii="Times New Roman" w:hAnsi="Times New Roman" w:cs="Times New Roman"/>
                <w:color w:val="000000" w:themeColor="text1"/>
                <w:lang w:val="en-US"/>
              </w:rPr>
            </w:pPr>
          </w:p>
        </w:tc>
        <w:tc>
          <w:tcPr>
            <w:tcW w:w="1350" w:type="dxa"/>
            <w:tcBorders>
              <w:top w:val="nil"/>
              <w:left w:val="nil"/>
              <w:bottom w:val="nil"/>
              <w:right w:val="nil"/>
            </w:tcBorders>
            <w:shd w:val="clear" w:color="auto" w:fill="auto"/>
            <w:noWrap/>
            <w:vAlign w:val="center"/>
          </w:tcPr>
          <w:p w14:paraId="24AA054F"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(0.152)</w:t>
            </w:r>
          </w:p>
        </w:tc>
        <w:tc>
          <w:tcPr>
            <w:tcW w:w="1530" w:type="dxa"/>
            <w:tcBorders>
              <w:top w:val="nil"/>
              <w:left w:val="nil"/>
              <w:bottom w:val="nil"/>
              <w:right w:val="nil"/>
            </w:tcBorders>
            <w:shd w:val="clear" w:color="auto" w:fill="auto"/>
            <w:noWrap/>
            <w:vAlign w:val="center"/>
          </w:tcPr>
          <w:p w14:paraId="299A745A"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(0.166)</w:t>
            </w:r>
          </w:p>
        </w:tc>
        <w:tc>
          <w:tcPr>
            <w:tcW w:w="1530" w:type="dxa"/>
            <w:tcBorders>
              <w:top w:val="nil"/>
              <w:left w:val="nil"/>
              <w:bottom w:val="nil"/>
              <w:right w:val="nil"/>
            </w:tcBorders>
            <w:vAlign w:val="center"/>
          </w:tcPr>
          <w:p w14:paraId="256E7391"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(0.083)</w:t>
            </w:r>
          </w:p>
        </w:tc>
        <w:tc>
          <w:tcPr>
            <w:tcW w:w="1620" w:type="dxa"/>
            <w:tcBorders>
              <w:top w:val="nil"/>
              <w:left w:val="nil"/>
              <w:bottom w:val="nil"/>
              <w:right w:val="nil"/>
            </w:tcBorders>
            <w:vAlign w:val="center"/>
          </w:tcPr>
          <w:p w14:paraId="19545779"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(0.066)</w:t>
            </w:r>
          </w:p>
        </w:tc>
        <w:tc>
          <w:tcPr>
            <w:tcW w:w="1530" w:type="dxa"/>
            <w:tcBorders>
              <w:top w:val="nil"/>
              <w:left w:val="nil"/>
              <w:bottom w:val="nil"/>
              <w:right w:val="nil"/>
            </w:tcBorders>
            <w:vAlign w:val="center"/>
          </w:tcPr>
          <w:p w14:paraId="53AC6F9C"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(0.164)</w:t>
            </w:r>
          </w:p>
        </w:tc>
      </w:tr>
      <w:tr w:rsidR="00724CA2" w:rsidRPr="00724CA2" w14:paraId="07FA0234" w14:textId="77777777" w:rsidTr="003725B9">
        <w:trPr>
          <w:trHeight w:val="275"/>
          <w:jc w:val="center"/>
        </w:trPr>
        <w:tc>
          <w:tcPr>
            <w:tcW w:w="3060" w:type="dxa"/>
            <w:noWrap/>
            <w:vAlign w:val="center"/>
            <w:hideMark/>
          </w:tcPr>
          <w:p w14:paraId="28053A3B" w14:textId="77777777" w:rsidR="00DD33B3" w:rsidRPr="00724CA2" w:rsidRDefault="00DD33B3" w:rsidP="00DD33B3">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Independence</w:t>
            </w:r>
          </w:p>
        </w:tc>
        <w:tc>
          <w:tcPr>
            <w:tcW w:w="1350" w:type="dxa"/>
            <w:tcBorders>
              <w:top w:val="nil"/>
              <w:left w:val="nil"/>
              <w:bottom w:val="nil"/>
              <w:right w:val="nil"/>
            </w:tcBorders>
            <w:shd w:val="clear" w:color="auto" w:fill="auto"/>
            <w:noWrap/>
            <w:vAlign w:val="center"/>
          </w:tcPr>
          <w:p w14:paraId="6B97B389"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0.217</w:t>
            </w:r>
          </w:p>
        </w:tc>
        <w:tc>
          <w:tcPr>
            <w:tcW w:w="1530" w:type="dxa"/>
            <w:tcBorders>
              <w:top w:val="nil"/>
              <w:left w:val="nil"/>
              <w:bottom w:val="nil"/>
              <w:right w:val="nil"/>
            </w:tcBorders>
            <w:shd w:val="clear" w:color="auto" w:fill="auto"/>
            <w:noWrap/>
            <w:vAlign w:val="center"/>
          </w:tcPr>
          <w:p w14:paraId="35CF8143"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0.735</w:t>
            </w:r>
          </w:p>
        </w:tc>
        <w:tc>
          <w:tcPr>
            <w:tcW w:w="1530" w:type="dxa"/>
            <w:tcBorders>
              <w:top w:val="nil"/>
              <w:left w:val="nil"/>
              <w:bottom w:val="nil"/>
              <w:right w:val="nil"/>
            </w:tcBorders>
            <w:vAlign w:val="center"/>
          </w:tcPr>
          <w:p w14:paraId="749EAFCB"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0.492</w:t>
            </w:r>
          </w:p>
        </w:tc>
        <w:tc>
          <w:tcPr>
            <w:tcW w:w="1620" w:type="dxa"/>
            <w:tcBorders>
              <w:top w:val="nil"/>
              <w:left w:val="nil"/>
              <w:bottom w:val="nil"/>
              <w:right w:val="nil"/>
            </w:tcBorders>
            <w:vAlign w:val="center"/>
          </w:tcPr>
          <w:p w14:paraId="06CAF164"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0.030</w:t>
            </w:r>
          </w:p>
        </w:tc>
        <w:tc>
          <w:tcPr>
            <w:tcW w:w="1530" w:type="dxa"/>
            <w:tcBorders>
              <w:top w:val="nil"/>
              <w:left w:val="nil"/>
              <w:bottom w:val="nil"/>
              <w:right w:val="nil"/>
            </w:tcBorders>
            <w:vAlign w:val="center"/>
          </w:tcPr>
          <w:p w14:paraId="329B3982"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0.700</w:t>
            </w:r>
          </w:p>
        </w:tc>
      </w:tr>
      <w:tr w:rsidR="00724CA2" w:rsidRPr="00724CA2" w14:paraId="22A052E0" w14:textId="77777777" w:rsidTr="003725B9">
        <w:trPr>
          <w:trHeight w:val="275"/>
          <w:jc w:val="center"/>
        </w:trPr>
        <w:tc>
          <w:tcPr>
            <w:tcW w:w="3060" w:type="dxa"/>
            <w:noWrap/>
            <w:vAlign w:val="center"/>
            <w:hideMark/>
          </w:tcPr>
          <w:p w14:paraId="1D332D6E" w14:textId="77777777" w:rsidR="00DD33B3" w:rsidRPr="00724CA2" w:rsidRDefault="00DD33B3" w:rsidP="00DD33B3">
            <w:pPr>
              <w:jc w:val="both"/>
              <w:rPr>
                <w:rFonts w:ascii="Times New Roman" w:hAnsi="Times New Roman" w:cs="Times New Roman"/>
                <w:color w:val="000000" w:themeColor="text1"/>
                <w:lang w:val="en-US"/>
              </w:rPr>
            </w:pPr>
          </w:p>
        </w:tc>
        <w:tc>
          <w:tcPr>
            <w:tcW w:w="1350" w:type="dxa"/>
            <w:tcBorders>
              <w:top w:val="nil"/>
              <w:left w:val="nil"/>
              <w:bottom w:val="nil"/>
              <w:right w:val="nil"/>
            </w:tcBorders>
            <w:shd w:val="clear" w:color="auto" w:fill="auto"/>
            <w:noWrap/>
            <w:vAlign w:val="center"/>
          </w:tcPr>
          <w:p w14:paraId="4F6292B4"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(1.063)</w:t>
            </w:r>
          </w:p>
        </w:tc>
        <w:tc>
          <w:tcPr>
            <w:tcW w:w="1530" w:type="dxa"/>
            <w:tcBorders>
              <w:top w:val="nil"/>
              <w:left w:val="nil"/>
              <w:bottom w:val="nil"/>
              <w:right w:val="nil"/>
            </w:tcBorders>
            <w:shd w:val="clear" w:color="auto" w:fill="auto"/>
            <w:noWrap/>
            <w:vAlign w:val="center"/>
          </w:tcPr>
          <w:p w14:paraId="13A2D0A5"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(1.094)</w:t>
            </w:r>
          </w:p>
        </w:tc>
        <w:tc>
          <w:tcPr>
            <w:tcW w:w="1530" w:type="dxa"/>
            <w:tcBorders>
              <w:top w:val="nil"/>
              <w:left w:val="nil"/>
              <w:bottom w:val="nil"/>
              <w:right w:val="nil"/>
            </w:tcBorders>
            <w:vAlign w:val="center"/>
          </w:tcPr>
          <w:p w14:paraId="682B07D4"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(0.300)</w:t>
            </w:r>
          </w:p>
        </w:tc>
        <w:tc>
          <w:tcPr>
            <w:tcW w:w="1620" w:type="dxa"/>
            <w:tcBorders>
              <w:top w:val="nil"/>
              <w:left w:val="nil"/>
              <w:bottom w:val="nil"/>
              <w:right w:val="nil"/>
            </w:tcBorders>
            <w:vAlign w:val="center"/>
          </w:tcPr>
          <w:p w14:paraId="55D85191"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(0.293)</w:t>
            </w:r>
          </w:p>
        </w:tc>
        <w:tc>
          <w:tcPr>
            <w:tcW w:w="1530" w:type="dxa"/>
            <w:tcBorders>
              <w:top w:val="nil"/>
              <w:left w:val="nil"/>
              <w:bottom w:val="nil"/>
              <w:right w:val="nil"/>
            </w:tcBorders>
            <w:vAlign w:val="center"/>
          </w:tcPr>
          <w:p w14:paraId="66BE03B0"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(1.119)</w:t>
            </w:r>
          </w:p>
        </w:tc>
      </w:tr>
      <w:tr w:rsidR="00724CA2" w:rsidRPr="00724CA2" w14:paraId="28DBF819" w14:textId="77777777" w:rsidTr="003725B9">
        <w:trPr>
          <w:trHeight w:val="275"/>
          <w:jc w:val="center"/>
        </w:trPr>
        <w:tc>
          <w:tcPr>
            <w:tcW w:w="3060" w:type="dxa"/>
            <w:noWrap/>
            <w:vAlign w:val="center"/>
            <w:hideMark/>
          </w:tcPr>
          <w:p w14:paraId="7B983057" w14:textId="77777777" w:rsidR="00DD33B3" w:rsidRPr="00724CA2" w:rsidRDefault="00DD33B3" w:rsidP="00DD33B3">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Board meeting</w:t>
            </w:r>
          </w:p>
        </w:tc>
        <w:tc>
          <w:tcPr>
            <w:tcW w:w="1350" w:type="dxa"/>
            <w:tcBorders>
              <w:top w:val="nil"/>
              <w:left w:val="nil"/>
              <w:bottom w:val="nil"/>
              <w:right w:val="nil"/>
            </w:tcBorders>
            <w:shd w:val="clear" w:color="auto" w:fill="auto"/>
            <w:noWrap/>
            <w:vAlign w:val="center"/>
          </w:tcPr>
          <w:p w14:paraId="18837910"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0.017</w:t>
            </w:r>
          </w:p>
        </w:tc>
        <w:tc>
          <w:tcPr>
            <w:tcW w:w="1530" w:type="dxa"/>
            <w:tcBorders>
              <w:top w:val="nil"/>
              <w:left w:val="nil"/>
              <w:bottom w:val="nil"/>
              <w:right w:val="nil"/>
            </w:tcBorders>
            <w:shd w:val="clear" w:color="auto" w:fill="auto"/>
            <w:noWrap/>
            <w:vAlign w:val="center"/>
          </w:tcPr>
          <w:p w14:paraId="06C80D3E"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0.029**</w:t>
            </w:r>
          </w:p>
        </w:tc>
        <w:tc>
          <w:tcPr>
            <w:tcW w:w="1530" w:type="dxa"/>
            <w:tcBorders>
              <w:top w:val="nil"/>
              <w:left w:val="nil"/>
              <w:bottom w:val="nil"/>
              <w:right w:val="nil"/>
            </w:tcBorders>
            <w:vAlign w:val="center"/>
          </w:tcPr>
          <w:p w14:paraId="43B0C05E"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0.001</w:t>
            </w:r>
          </w:p>
        </w:tc>
        <w:tc>
          <w:tcPr>
            <w:tcW w:w="1620" w:type="dxa"/>
            <w:tcBorders>
              <w:top w:val="nil"/>
              <w:left w:val="nil"/>
              <w:bottom w:val="nil"/>
              <w:right w:val="nil"/>
            </w:tcBorders>
            <w:vAlign w:val="center"/>
          </w:tcPr>
          <w:p w14:paraId="6ED09C81"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0.003</w:t>
            </w:r>
          </w:p>
        </w:tc>
        <w:tc>
          <w:tcPr>
            <w:tcW w:w="1530" w:type="dxa"/>
            <w:tcBorders>
              <w:top w:val="nil"/>
              <w:left w:val="nil"/>
              <w:bottom w:val="nil"/>
              <w:right w:val="nil"/>
            </w:tcBorders>
            <w:vAlign w:val="center"/>
          </w:tcPr>
          <w:p w14:paraId="5410F035"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0.029**</w:t>
            </w:r>
          </w:p>
        </w:tc>
      </w:tr>
      <w:tr w:rsidR="00724CA2" w:rsidRPr="00724CA2" w14:paraId="40052973" w14:textId="77777777" w:rsidTr="003725B9">
        <w:trPr>
          <w:trHeight w:val="275"/>
          <w:jc w:val="center"/>
        </w:trPr>
        <w:tc>
          <w:tcPr>
            <w:tcW w:w="3060" w:type="dxa"/>
            <w:noWrap/>
            <w:vAlign w:val="center"/>
            <w:hideMark/>
          </w:tcPr>
          <w:p w14:paraId="19C99E91" w14:textId="77777777" w:rsidR="00DD33B3" w:rsidRPr="00724CA2" w:rsidRDefault="00DD33B3" w:rsidP="00DD33B3">
            <w:pPr>
              <w:jc w:val="both"/>
              <w:rPr>
                <w:rFonts w:ascii="Times New Roman" w:hAnsi="Times New Roman" w:cs="Times New Roman"/>
                <w:color w:val="000000" w:themeColor="text1"/>
                <w:lang w:val="en-US"/>
              </w:rPr>
            </w:pPr>
          </w:p>
        </w:tc>
        <w:tc>
          <w:tcPr>
            <w:tcW w:w="1350" w:type="dxa"/>
            <w:tcBorders>
              <w:top w:val="nil"/>
              <w:left w:val="nil"/>
              <w:bottom w:val="nil"/>
              <w:right w:val="nil"/>
            </w:tcBorders>
            <w:shd w:val="clear" w:color="auto" w:fill="auto"/>
            <w:noWrap/>
            <w:vAlign w:val="center"/>
          </w:tcPr>
          <w:p w14:paraId="66D4DF17"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(0.012)</w:t>
            </w:r>
          </w:p>
        </w:tc>
        <w:tc>
          <w:tcPr>
            <w:tcW w:w="1530" w:type="dxa"/>
            <w:tcBorders>
              <w:top w:val="nil"/>
              <w:left w:val="nil"/>
              <w:bottom w:val="nil"/>
              <w:right w:val="nil"/>
            </w:tcBorders>
            <w:shd w:val="clear" w:color="auto" w:fill="auto"/>
            <w:noWrap/>
            <w:vAlign w:val="center"/>
          </w:tcPr>
          <w:p w14:paraId="0F7F5AF6"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(0.012)</w:t>
            </w:r>
          </w:p>
        </w:tc>
        <w:tc>
          <w:tcPr>
            <w:tcW w:w="1530" w:type="dxa"/>
            <w:tcBorders>
              <w:top w:val="nil"/>
              <w:left w:val="nil"/>
              <w:bottom w:val="nil"/>
              <w:right w:val="nil"/>
            </w:tcBorders>
            <w:vAlign w:val="center"/>
          </w:tcPr>
          <w:p w14:paraId="23D14E89"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(0.006)</w:t>
            </w:r>
          </w:p>
        </w:tc>
        <w:tc>
          <w:tcPr>
            <w:tcW w:w="1620" w:type="dxa"/>
            <w:tcBorders>
              <w:top w:val="nil"/>
              <w:left w:val="nil"/>
              <w:bottom w:val="nil"/>
              <w:right w:val="nil"/>
            </w:tcBorders>
            <w:vAlign w:val="center"/>
          </w:tcPr>
          <w:p w14:paraId="2FBE95F8"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(0.006)</w:t>
            </w:r>
          </w:p>
        </w:tc>
        <w:tc>
          <w:tcPr>
            <w:tcW w:w="1530" w:type="dxa"/>
            <w:tcBorders>
              <w:top w:val="nil"/>
              <w:left w:val="nil"/>
              <w:bottom w:val="nil"/>
              <w:right w:val="nil"/>
            </w:tcBorders>
            <w:vAlign w:val="center"/>
          </w:tcPr>
          <w:p w14:paraId="3D8C0769"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(0.013)</w:t>
            </w:r>
          </w:p>
        </w:tc>
      </w:tr>
      <w:tr w:rsidR="00724CA2" w:rsidRPr="00724CA2" w14:paraId="2B74FA64" w14:textId="77777777" w:rsidTr="003725B9">
        <w:trPr>
          <w:trHeight w:val="275"/>
          <w:jc w:val="center"/>
        </w:trPr>
        <w:tc>
          <w:tcPr>
            <w:tcW w:w="3060" w:type="dxa"/>
            <w:noWrap/>
            <w:vAlign w:val="center"/>
            <w:hideMark/>
          </w:tcPr>
          <w:p w14:paraId="2114069B" w14:textId="77777777" w:rsidR="00DD33B3" w:rsidRPr="00724CA2" w:rsidRDefault="00DD33B3" w:rsidP="00DD33B3">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Managerial ownership</w:t>
            </w:r>
          </w:p>
        </w:tc>
        <w:tc>
          <w:tcPr>
            <w:tcW w:w="1350" w:type="dxa"/>
            <w:tcBorders>
              <w:top w:val="nil"/>
              <w:left w:val="nil"/>
              <w:bottom w:val="nil"/>
              <w:right w:val="nil"/>
            </w:tcBorders>
            <w:shd w:val="clear" w:color="auto" w:fill="auto"/>
            <w:noWrap/>
            <w:vAlign w:val="center"/>
          </w:tcPr>
          <w:p w14:paraId="184E3C62"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-0.548**</w:t>
            </w:r>
          </w:p>
        </w:tc>
        <w:tc>
          <w:tcPr>
            <w:tcW w:w="1530" w:type="dxa"/>
            <w:tcBorders>
              <w:top w:val="nil"/>
              <w:left w:val="nil"/>
              <w:bottom w:val="nil"/>
              <w:right w:val="nil"/>
            </w:tcBorders>
            <w:shd w:val="clear" w:color="auto" w:fill="auto"/>
            <w:noWrap/>
            <w:vAlign w:val="center"/>
          </w:tcPr>
          <w:p w14:paraId="0C6F2770"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-0.768***</w:t>
            </w:r>
          </w:p>
        </w:tc>
        <w:tc>
          <w:tcPr>
            <w:tcW w:w="1530" w:type="dxa"/>
            <w:tcBorders>
              <w:top w:val="nil"/>
              <w:left w:val="nil"/>
              <w:bottom w:val="nil"/>
              <w:right w:val="nil"/>
            </w:tcBorders>
            <w:vAlign w:val="center"/>
          </w:tcPr>
          <w:p w14:paraId="1F48B122"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-0.120</w:t>
            </w:r>
          </w:p>
        </w:tc>
        <w:tc>
          <w:tcPr>
            <w:tcW w:w="1620" w:type="dxa"/>
            <w:tcBorders>
              <w:top w:val="nil"/>
              <w:left w:val="nil"/>
              <w:bottom w:val="nil"/>
              <w:right w:val="nil"/>
            </w:tcBorders>
            <w:vAlign w:val="center"/>
          </w:tcPr>
          <w:p w14:paraId="42C016BB"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-0.199*</w:t>
            </w:r>
          </w:p>
        </w:tc>
        <w:tc>
          <w:tcPr>
            <w:tcW w:w="1530" w:type="dxa"/>
            <w:tcBorders>
              <w:top w:val="nil"/>
              <w:left w:val="nil"/>
              <w:bottom w:val="nil"/>
              <w:right w:val="nil"/>
            </w:tcBorders>
            <w:vAlign w:val="center"/>
          </w:tcPr>
          <w:p w14:paraId="5E34D24F"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-0.733***</w:t>
            </w:r>
          </w:p>
        </w:tc>
      </w:tr>
      <w:tr w:rsidR="00724CA2" w:rsidRPr="00724CA2" w14:paraId="4CB9F6E1" w14:textId="77777777" w:rsidTr="003725B9">
        <w:trPr>
          <w:trHeight w:val="275"/>
          <w:jc w:val="center"/>
        </w:trPr>
        <w:tc>
          <w:tcPr>
            <w:tcW w:w="3060" w:type="dxa"/>
            <w:noWrap/>
            <w:vAlign w:val="center"/>
            <w:hideMark/>
          </w:tcPr>
          <w:p w14:paraId="41B69210" w14:textId="77777777" w:rsidR="00DD33B3" w:rsidRPr="00724CA2" w:rsidRDefault="00DD33B3" w:rsidP="00DD33B3">
            <w:pPr>
              <w:jc w:val="both"/>
              <w:rPr>
                <w:rFonts w:ascii="Times New Roman" w:hAnsi="Times New Roman" w:cs="Times New Roman"/>
                <w:color w:val="000000" w:themeColor="text1"/>
                <w:lang w:val="en-US"/>
              </w:rPr>
            </w:pPr>
          </w:p>
        </w:tc>
        <w:tc>
          <w:tcPr>
            <w:tcW w:w="1350" w:type="dxa"/>
            <w:tcBorders>
              <w:top w:val="nil"/>
              <w:left w:val="nil"/>
              <w:bottom w:val="nil"/>
              <w:right w:val="nil"/>
            </w:tcBorders>
            <w:shd w:val="clear" w:color="auto" w:fill="auto"/>
            <w:noWrap/>
            <w:vAlign w:val="center"/>
          </w:tcPr>
          <w:p w14:paraId="140E5172"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(0.230)</w:t>
            </w:r>
          </w:p>
        </w:tc>
        <w:tc>
          <w:tcPr>
            <w:tcW w:w="1530" w:type="dxa"/>
            <w:tcBorders>
              <w:top w:val="nil"/>
              <w:left w:val="nil"/>
              <w:bottom w:val="nil"/>
              <w:right w:val="nil"/>
            </w:tcBorders>
            <w:shd w:val="clear" w:color="auto" w:fill="auto"/>
            <w:noWrap/>
            <w:vAlign w:val="center"/>
          </w:tcPr>
          <w:p w14:paraId="04574FE5"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(0.167)</w:t>
            </w:r>
          </w:p>
        </w:tc>
        <w:tc>
          <w:tcPr>
            <w:tcW w:w="1530" w:type="dxa"/>
            <w:tcBorders>
              <w:top w:val="nil"/>
              <w:left w:val="nil"/>
              <w:bottom w:val="nil"/>
              <w:right w:val="nil"/>
            </w:tcBorders>
            <w:vAlign w:val="center"/>
          </w:tcPr>
          <w:p w14:paraId="24A0B0A0"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(0.148)</w:t>
            </w:r>
          </w:p>
        </w:tc>
        <w:tc>
          <w:tcPr>
            <w:tcW w:w="1620" w:type="dxa"/>
            <w:tcBorders>
              <w:top w:val="nil"/>
              <w:left w:val="nil"/>
              <w:bottom w:val="nil"/>
              <w:right w:val="nil"/>
            </w:tcBorders>
            <w:vAlign w:val="center"/>
          </w:tcPr>
          <w:p w14:paraId="43A4B8F3"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(0.095)</w:t>
            </w:r>
          </w:p>
        </w:tc>
        <w:tc>
          <w:tcPr>
            <w:tcW w:w="1530" w:type="dxa"/>
            <w:tcBorders>
              <w:top w:val="nil"/>
              <w:left w:val="nil"/>
              <w:bottom w:val="nil"/>
              <w:right w:val="nil"/>
            </w:tcBorders>
            <w:vAlign w:val="center"/>
          </w:tcPr>
          <w:p w14:paraId="21581F6A"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(0.180)</w:t>
            </w:r>
          </w:p>
        </w:tc>
      </w:tr>
      <w:tr w:rsidR="00724CA2" w:rsidRPr="00724CA2" w14:paraId="59DF9299" w14:textId="77777777" w:rsidTr="003725B9">
        <w:trPr>
          <w:trHeight w:val="275"/>
          <w:jc w:val="center"/>
        </w:trPr>
        <w:tc>
          <w:tcPr>
            <w:tcW w:w="3060" w:type="dxa"/>
            <w:noWrap/>
            <w:vAlign w:val="center"/>
            <w:hideMark/>
          </w:tcPr>
          <w:p w14:paraId="1540F99F" w14:textId="77777777" w:rsidR="00DD33B3" w:rsidRPr="00724CA2" w:rsidRDefault="00DD33B3" w:rsidP="00DD33B3">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Z Index</w:t>
            </w:r>
          </w:p>
        </w:tc>
        <w:tc>
          <w:tcPr>
            <w:tcW w:w="1350" w:type="dxa"/>
            <w:tcBorders>
              <w:top w:val="nil"/>
              <w:left w:val="nil"/>
              <w:bottom w:val="nil"/>
              <w:right w:val="nil"/>
            </w:tcBorders>
            <w:shd w:val="clear" w:color="auto" w:fill="auto"/>
            <w:noWrap/>
            <w:vAlign w:val="center"/>
          </w:tcPr>
          <w:p w14:paraId="78B5011B"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0.004</w:t>
            </w:r>
          </w:p>
        </w:tc>
        <w:tc>
          <w:tcPr>
            <w:tcW w:w="1530" w:type="dxa"/>
            <w:tcBorders>
              <w:top w:val="nil"/>
              <w:left w:val="nil"/>
              <w:bottom w:val="nil"/>
              <w:right w:val="nil"/>
            </w:tcBorders>
            <w:shd w:val="clear" w:color="auto" w:fill="auto"/>
            <w:noWrap/>
            <w:vAlign w:val="center"/>
          </w:tcPr>
          <w:p w14:paraId="52F8596D"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0.008**</w:t>
            </w:r>
          </w:p>
        </w:tc>
        <w:tc>
          <w:tcPr>
            <w:tcW w:w="1530" w:type="dxa"/>
            <w:tcBorders>
              <w:top w:val="nil"/>
              <w:left w:val="nil"/>
              <w:bottom w:val="nil"/>
              <w:right w:val="nil"/>
            </w:tcBorders>
            <w:vAlign w:val="center"/>
          </w:tcPr>
          <w:p w14:paraId="1C8B84BD"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0.004**</w:t>
            </w:r>
          </w:p>
        </w:tc>
        <w:tc>
          <w:tcPr>
            <w:tcW w:w="1620" w:type="dxa"/>
            <w:tcBorders>
              <w:top w:val="nil"/>
              <w:left w:val="nil"/>
              <w:bottom w:val="nil"/>
              <w:right w:val="nil"/>
            </w:tcBorders>
            <w:vAlign w:val="center"/>
          </w:tcPr>
          <w:p w14:paraId="2F700DD8"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0.002</w:t>
            </w:r>
          </w:p>
        </w:tc>
        <w:tc>
          <w:tcPr>
            <w:tcW w:w="1530" w:type="dxa"/>
            <w:tcBorders>
              <w:top w:val="nil"/>
              <w:left w:val="nil"/>
              <w:bottom w:val="nil"/>
              <w:right w:val="nil"/>
            </w:tcBorders>
            <w:vAlign w:val="center"/>
          </w:tcPr>
          <w:p w14:paraId="78CFE05F"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0.008**</w:t>
            </w:r>
          </w:p>
        </w:tc>
      </w:tr>
      <w:tr w:rsidR="00724CA2" w:rsidRPr="00724CA2" w14:paraId="5D21FF89" w14:textId="77777777" w:rsidTr="003725B9">
        <w:trPr>
          <w:trHeight w:val="275"/>
          <w:jc w:val="center"/>
        </w:trPr>
        <w:tc>
          <w:tcPr>
            <w:tcW w:w="3060" w:type="dxa"/>
            <w:noWrap/>
            <w:vAlign w:val="center"/>
            <w:hideMark/>
          </w:tcPr>
          <w:p w14:paraId="7107DB9C" w14:textId="77777777" w:rsidR="00DD33B3" w:rsidRPr="00724CA2" w:rsidRDefault="00DD33B3" w:rsidP="00DD33B3">
            <w:pPr>
              <w:jc w:val="both"/>
              <w:rPr>
                <w:rFonts w:ascii="Times New Roman" w:hAnsi="Times New Roman" w:cs="Times New Roman"/>
                <w:color w:val="000000" w:themeColor="text1"/>
                <w:lang w:val="en-US"/>
              </w:rPr>
            </w:pPr>
          </w:p>
        </w:tc>
        <w:tc>
          <w:tcPr>
            <w:tcW w:w="1350" w:type="dxa"/>
            <w:tcBorders>
              <w:top w:val="nil"/>
              <w:left w:val="nil"/>
              <w:bottom w:val="nil"/>
              <w:right w:val="nil"/>
            </w:tcBorders>
            <w:shd w:val="clear" w:color="auto" w:fill="auto"/>
            <w:noWrap/>
            <w:vAlign w:val="center"/>
          </w:tcPr>
          <w:p w14:paraId="5580DC51"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(0.004)</w:t>
            </w:r>
          </w:p>
        </w:tc>
        <w:tc>
          <w:tcPr>
            <w:tcW w:w="1530" w:type="dxa"/>
            <w:tcBorders>
              <w:top w:val="nil"/>
              <w:left w:val="nil"/>
              <w:bottom w:val="nil"/>
              <w:right w:val="nil"/>
            </w:tcBorders>
            <w:shd w:val="clear" w:color="auto" w:fill="auto"/>
            <w:noWrap/>
            <w:vAlign w:val="center"/>
          </w:tcPr>
          <w:p w14:paraId="4B90F7F3"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(0.003)</w:t>
            </w:r>
          </w:p>
        </w:tc>
        <w:tc>
          <w:tcPr>
            <w:tcW w:w="1530" w:type="dxa"/>
            <w:tcBorders>
              <w:top w:val="nil"/>
              <w:left w:val="nil"/>
              <w:bottom w:val="nil"/>
              <w:right w:val="nil"/>
            </w:tcBorders>
            <w:vAlign w:val="center"/>
          </w:tcPr>
          <w:p w14:paraId="13850E08"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(0.002)</w:t>
            </w:r>
          </w:p>
        </w:tc>
        <w:tc>
          <w:tcPr>
            <w:tcW w:w="1620" w:type="dxa"/>
            <w:tcBorders>
              <w:top w:val="nil"/>
              <w:left w:val="nil"/>
              <w:bottom w:val="nil"/>
              <w:right w:val="nil"/>
            </w:tcBorders>
            <w:vAlign w:val="center"/>
          </w:tcPr>
          <w:p w14:paraId="7277F9D5"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(0.002)</w:t>
            </w:r>
          </w:p>
        </w:tc>
        <w:tc>
          <w:tcPr>
            <w:tcW w:w="1530" w:type="dxa"/>
            <w:tcBorders>
              <w:top w:val="nil"/>
              <w:left w:val="nil"/>
              <w:bottom w:val="nil"/>
              <w:right w:val="nil"/>
            </w:tcBorders>
            <w:vAlign w:val="center"/>
          </w:tcPr>
          <w:p w14:paraId="7FB851AB"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(0.003)</w:t>
            </w:r>
          </w:p>
        </w:tc>
      </w:tr>
      <w:tr w:rsidR="00724CA2" w:rsidRPr="00724CA2" w14:paraId="096A0742" w14:textId="77777777" w:rsidTr="003725B9">
        <w:trPr>
          <w:trHeight w:val="275"/>
          <w:jc w:val="center"/>
        </w:trPr>
        <w:tc>
          <w:tcPr>
            <w:tcW w:w="3060" w:type="dxa"/>
            <w:noWrap/>
            <w:vAlign w:val="center"/>
            <w:hideMark/>
          </w:tcPr>
          <w:p w14:paraId="7C5512B1" w14:textId="77777777" w:rsidR="00DD33B3" w:rsidRPr="00724CA2" w:rsidRDefault="00DD33B3" w:rsidP="00DD33B3">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Stock returns</w:t>
            </w:r>
          </w:p>
        </w:tc>
        <w:tc>
          <w:tcPr>
            <w:tcW w:w="1350" w:type="dxa"/>
            <w:tcBorders>
              <w:top w:val="nil"/>
              <w:left w:val="nil"/>
              <w:bottom w:val="nil"/>
              <w:right w:val="nil"/>
            </w:tcBorders>
            <w:shd w:val="clear" w:color="auto" w:fill="auto"/>
            <w:noWrap/>
            <w:vAlign w:val="center"/>
          </w:tcPr>
          <w:p w14:paraId="66BB0E07"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0.698***</w:t>
            </w:r>
          </w:p>
        </w:tc>
        <w:tc>
          <w:tcPr>
            <w:tcW w:w="1530" w:type="dxa"/>
            <w:tcBorders>
              <w:top w:val="nil"/>
              <w:left w:val="nil"/>
              <w:bottom w:val="nil"/>
              <w:right w:val="nil"/>
            </w:tcBorders>
            <w:shd w:val="clear" w:color="auto" w:fill="auto"/>
            <w:noWrap/>
            <w:vAlign w:val="center"/>
          </w:tcPr>
          <w:p w14:paraId="31161AF4"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0.482***</w:t>
            </w:r>
          </w:p>
        </w:tc>
        <w:tc>
          <w:tcPr>
            <w:tcW w:w="1530" w:type="dxa"/>
            <w:tcBorders>
              <w:top w:val="nil"/>
              <w:left w:val="nil"/>
              <w:bottom w:val="nil"/>
              <w:right w:val="nil"/>
            </w:tcBorders>
            <w:vAlign w:val="center"/>
          </w:tcPr>
          <w:p w14:paraId="3814D882"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0.252***</w:t>
            </w:r>
          </w:p>
        </w:tc>
        <w:tc>
          <w:tcPr>
            <w:tcW w:w="1620" w:type="dxa"/>
            <w:tcBorders>
              <w:top w:val="nil"/>
              <w:left w:val="nil"/>
              <w:bottom w:val="nil"/>
              <w:right w:val="nil"/>
            </w:tcBorders>
            <w:vAlign w:val="center"/>
          </w:tcPr>
          <w:p w14:paraId="12C2D336"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0.253***</w:t>
            </w:r>
          </w:p>
        </w:tc>
        <w:tc>
          <w:tcPr>
            <w:tcW w:w="1530" w:type="dxa"/>
            <w:tcBorders>
              <w:top w:val="nil"/>
              <w:left w:val="nil"/>
              <w:bottom w:val="nil"/>
              <w:right w:val="nil"/>
            </w:tcBorders>
            <w:vAlign w:val="center"/>
          </w:tcPr>
          <w:p w14:paraId="572D8C3E"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0.479***</w:t>
            </w:r>
          </w:p>
        </w:tc>
      </w:tr>
      <w:tr w:rsidR="00724CA2" w:rsidRPr="00724CA2" w14:paraId="62E10CF5" w14:textId="77777777" w:rsidTr="003725B9">
        <w:trPr>
          <w:trHeight w:val="275"/>
          <w:jc w:val="center"/>
        </w:trPr>
        <w:tc>
          <w:tcPr>
            <w:tcW w:w="3060" w:type="dxa"/>
            <w:noWrap/>
            <w:vAlign w:val="center"/>
            <w:hideMark/>
          </w:tcPr>
          <w:p w14:paraId="43A5358F" w14:textId="77777777" w:rsidR="00DD33B3" w:rsidRPr="00724CA2" w:rsidRDefault="00DD33B3" w:rsidP="00DD33B3">
            <w:pPr>
              <w:jc w:val="both"/>
              <w:rPr>
                <w:rFonts w:ascii="Times New Roman" w:hAnsi="Times New Roman" w:cs="Times New Roman"/>
                <w:color w:val="000000" w:themeColor="text1"/>
                <w:lang w:val="en-US"/>
              </w:rPr>
            </w:pPr>
          </w:p>
        </w:tc>
        <w:tc>
          <w:tcPr>
            <w:tcW w:w="1350" w:type="dxa"/>
            <w:tcBorders>
              <w:top w:val="nil"/>
              <w:left w:val="nil"/>
              <w:bottom w:val="nil"/>
              <w:right w:val="nil"/>
            </w:tcBorders>
            <w:shd w:val="clear" w:color="auto" w:fill="auto"/>
            <w:noWrap/>
            <w:vAlign w:val="center"/>
          </w:tcPr>
          <w:p w14:paraId="34048CD6"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(0.049)</w:t>
            </w:r>
          </w:p>
        </w:tc>
        <w:tc>
          <w:tcPr>
            <w:tcW w:w="1530" w:type="dxa"/>
            <w:tcBorders>
              <w:top w:val="nil"/>
              <w:left w:val="nil"/>
              <w:bottom w:val="nil"/>
              <w:right w:val="nil"/>
            </w:tcBorders>
            <w:shd w:val="clear" w:color="auto" w:fill="auto"/>
            <w:noWrap/>
            <w:vAlign w:val="center"/>
          </w:tcPr>
          <w:p w14:paraId="2D9BB813"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(0.044)</w:t>
            </w:r>
          </w:p>
        </w:tc>
        <w:tc>
          <w:tcPr>
            <w:tcW w:w="1530" w:type="dxa"/>
            <w:tcBorders>
              <w:top w:val="nil"/>
              <w:left w:val="nil"/>
              <w:bottom w:val="nil"/>
              <w:right w:val="nil"/>
            </w:tcBorders>
            <w:vAlign w:val="center"/>
          </w:tcPr>
          <w:p w14:paraId="49F16B92"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(0.060)</w:t>
            </w:r>
          </w:p>
        </w:tc>
        <w:tc>
          <w:tcPr>
            <w:tcW w:w="1620" w:type="dxa"/>
            <w:tcBorders>
              <w:top w:val="nil"/>
              <w:left w:val="nil"/>
              <w:bottom w:val="nil"/>
              <w:right w:val="nil"/>
            </w:tcBorders>
            <w:vAlign w:val="center"/>
          </w:tcPr>
          <w:p w14:paraId="4DB8A27F"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(0.065)</w:t>
            </w:r>
          </w:p>
        </w:tc>
        <w:tc>
          <w:tcPr>
            <w:tcW w:w="1530" w:type="dxa"/>
            <w:tcBorders>
              <w:top w:val="nil"/>
              <w:left w:val="nil"/>
              <w:bottom w:val="nil"/>
              <w:right w:val="nil"/>
            </w:tcBorders>
            <w:vAlign w:val="center"/>
          </w:tcPr>
          <w:p w14:paraId="3F3EAF8A"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(0.043)</w:t>
            </w:r>
          </w:p>
        </w:tc>
      </w:tr>
      <w:tr w:rsidR="00724CA2" w:rsidRPr="00724CA2" w14:paraId="040898F4" w14:textId="77777777" w:rsidTr="003725B9">
        <w:trPr>
          <w:trHeight w:val="275"/>
          <w:jc w:val="center"/>
        </w:trPr>
        <w:tc>
          <w:tcPr>
            <w:tcW w:w="3060" w:type="dxa"/>
            <w:noWrap/>
            <w:vAlign w:val="center"/>
            <w:hideMark/>
          </w:tcPr>
          <w:p w14:paraId="6EBB0C4F" w14:textId="77777777" w:rsidR="00DD33B3" w:rsidRPr="00724CA2" w:rsidRDefault="00DD33B3" w:rsidP="00DD33B3">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Tobin Q</w:t>
            </w:r>
          </w:p>
        </w:tc>
        <w:tc>
          <w:tcPr>
            <w:tcW w:w="1350" w:type="dxa"/>
            <w:tcBorders>
              <w:top w:val="nil"/>
              <w:left w:val="nil"/>
              <w:bottom w:val="nil"/>
              <w:right w:val="nil"/>
            </w:tcBorders>
            <w:shd w:val="clear" w:color="auto" w:fill="auto"/>
            <w:noWrap/>
            <w:vAlign w:val="center"/>
          </w:tcPr>
          <w:p w14:paraId="18D435D4"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-0.398***</w:t>
            </w:r>
          </w:p>
        </w:tc>
        <w:tc>
          <w:tcPr>
            <w:tcW w:w="1530" w:type="dxa"/>
            <w:tcBorders>
              <w:top w:val="nil"/>
              <w:left w:val="nil"/>
              <w:bottom w:val="nil"/>
              <w:right w:val="nil"/>
            </w:tcBorders>
            <w:shd w:val="clear" w:color="auto" w:fill="auto"/>
            <w:noWrap/>
            <w:vAlign w:val="center"/>
          </w:tcPr>
          <w:p w14:paraId="2021B4B3"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-0.454***</w:t>
            </w:r>
          </w:p>
        </w:tc>
        <w:tc>
          <w:tcPr>
            <w:tcW w:w="1530" w:type="dxa"/>
            <w:tcBorders>
              <w:top w:val="nil"/>
              <w:left w:val="nil"/>
              <w:bottom w:val="nil"/>
              <w:right w:val="nil"/>
            </w:tcBorders>
            <w:vAlign w:val="center"/>
          </w:tcPr>
          <w:p w14:paraId="481DF0B9"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-0.052</w:t>
            </w:r>
          </w:p>
        </w:tc>
        <w:tc>
          <w:tcPr>
            <w:tcW w:w="1620" w:type="dxa"/>
            <w:tcBorders>
              <w:top w:val="nil"/>
              <w:left w:val="nil"/>
              <w:bottom w:val="nil"/>
              <w:right w:val="nil"/>
            </w:tcBorders>
            <w:vAlign w:val="center"/>
          </w:tcPr>
          <w:p w14:paraId="3FA8BDCD"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-0.029</w:t>
            </w:r>
          </w:p>
        </w:tc>
        <w:tc>
          <w:tcPr>
            <w:tcW w:w="1530" w:type="dxa"/>
            <w:tcBorders>
              <w:top w:val="nil"/>
              <w:left w:val="nil"/>
              <w:bottom w:val="nil"/>
              <w:right w:val="nil"/>
            </w:tcBorders>
            <w:vAlign w:val="center"/>
          </w:tcPr>
          <w:p w14:paraId="47863E15"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-0.452***</w:t>
            </w:r>
          </w:p>
        </w:tc>
      </w:tr>
      <w:tr w:rsidR="00724CA2" w:rsidRPr="00724CA2" w14:paraId="7FBEC841" w14:textId="77777777" w:rsidTr="003725B9">
        <w:trPr>
          <w:trHeight w:val="275"/>
          <w:jc w:val="center"/>
        </w:trPr>
        <w:tc>
          <w:tcPr>
            <w:tcW w:w="3060" w:type="dxa"/>
            <w:noWrap/>
            <w:vAlign w:val="center"/>
            <w:hideMark/>
          </w:tcPr>
          <w:p w14:paraId="58E07CA4" w14:textId="77777777" w:rsidR="00DD33B3" w:rsidRPr="00724CA2" w:rsidRDefault="00DD33B3" w:rsidP="00DD33B3">
            <w:pPr>
              <w:jc w:val="both"/>
              <w:rPr>
                <w:rFonts w:ascii="Times New Roman" w:hAnsi="Times New Roman" w:cs="Times New Roman"/>
                <w:color w:val="000000" w:themeColor="text1"/>
                <w:lang w:val="en-US"/>
              </w:rPr>
            </w:pPr>
          </w:p>
        </w:tc>
        <w:tc>
          <w:tcPr>
            <w:tcW w:w="1350" w:type="dxa"/>
            <w:tcBorders>
              <w:top w:val="nil"/>
              <w:left w:val="nil"/>
              <w:bottom w:val="nil"/>
              <w:right w:val="nil"/>
            </w:tcBorders>
            <w:shd w:val="clear" w:color="auto" w:fill="auto"/>
            <w:noWrap/>
            <w:vAlign w:val="center"/>
          </w:tcPr>
          <w:p w14:paraId="371A7BAA"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(0.033)</w:t>
            </w:r>
          </w:p>
        </w:tc>
        <w:tc>
          <w:tcPr>
            <w:tcW w:w="1530" w:type="dxa"/>
            <w:tcBorders>
              <w:top w:val="nil"/>
              <w:left w:val="nil"/>
              <w:bottom w:val="nil"/>
              <w:right w:val="nil"/>
            </w:tcBorders>
            <w:shd w:val="clear" w:color="auto" w:fill="auto"/>
            <w:noWrap/>
            <w:vAlign w:val="center"/>
          </w:tcPr>
          <w:p w14:paraId="0E070BAB"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(0.045)</w:t>
            </w:r>
          </w:p>
        </w:tc>
        <w:tc>
          <w:tcPr>
            <w:tcW w:w="1530" w:type="dxa"/>
            <w:tcBorders>
              <w:top w:val="nil"/>
              <w:left w:val="nil"/>
              <w:bottom w:val="nil"/>
              <w:right w:val="nil"/>
            </w:tcBorders>
            <w:vAlign w:val="center"/>
          </w:tcPr>
          <w:p w14:paraId="3F57499B"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(0.032)</w:t>
            </w:r>
          </w:p>
        </w:tc>
        <w:tc>
          <w:tcPr>
            <w:tcW w:w="1620" w:type="dxa"/>
            <w:tcBorders>
              <w:top w:val="nil"/>
              <w:left w:val="nil"/>
              <w:bottom w:val="nil"/>
              <w:right w:val="nil"/>
            </w:tcBorders>
            <w:vAlign w:val="center"/>
          </w:tcPr>
          <w:p w14:paraId="12AF98C7"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(0.020)</w:t>
            </w:r>
          </w:p>
        </w:tc>
        <w:tc>
          <w:tcPr>
            <w:tcW w:w="1530" w:type="dxa"/>
            <w:tcBorders>
              <w:top w:val="nil"/>
              <w:left w:val="nil"/>
              <w:bottom w:val="nil"/>
              <w:right w:val="nil"/>
            </w:tcBorders>
            <w:vAlign w:val="center"/>
          </w:tcPr>
          <w:p w14:paraId="7584B91F"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(0.044)</w:t>
            </w:r>
          </w:p>
        </w:tc>
      </w:tr>
      <w:tr w:rsidR="00724CA2" w:rsidRPr="00724CA2" w14:paraId="7B4E5AA6" w14:textId="77777777" w:rsidTr="003725B9">
        <w:trPr>
          <w:trHeight w:val="275"/>
          <w:jc w:val="center"/>
        </w:trPr>
        <w:tc>
          <w:tcPr>
            <w:tcW w:w="3060" w:type="dxa"/>
            <w:noWrap/>
            <w:vAlign w:val="center"/>
            <w:hideMark/>
          </w:tcPr>
          <w:p w14:paraId="55155854" w14:textId="77777777" w:rsidR="00DD33B3" w:rsidRPr="00724CA2" w:rsidRDefault="00DD33B3" w:rsidP="00DD33B3">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Firm age</w:t>
            </w:r>
          </w:p>
        </w:tc>
        <w:tc>
          <w:tcPr>
            <w:tcW w:w="1350" w:type="dxa"/>
            <w:tcBorders>
              <w:top w:val="nil"/>
              <w:left w:val="nil"/>
              <w:bottom w:val="nil"/>
              <w:right w:val="nil"/>
            </w:tcBorders>
            <w:shd w:val="clear" w:color="auto" w:fill="auto"/>
            <w:noWrap/>
            <w:vAlign w:val="center"/>
          </w:tcPr>
          <w:p w14:paraId="2EEA6BF4"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-0.019</w:t>
            </w:r>
          </w:p>
        </w:tc>
        <w:tc>
          <w:tcPr>
            <w:tcW w:w="1530" w:type="dxa"/>
            <w:tcBorders>
              <w:top w:val="nil"/>
              <w:left w:val="nil"/>
              <w:bottom w:val="nil"/>
              <w:right w:val="nil"/>
            </w:tcBorders>
            <w:shd w:val="clear" w:color="auto" w:fill="auto"/>
            <w:noWrap/>
            <w:vAlign w:val="center"/>
          </w:tcPr>
          <w:p w14:paraId="723C3685"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-0.017</w:t>
            </w:r>
          </w:p>
        </w:tc>
        <w:tc>
          <w:tcPr>
            <w:tcW w:w="1530" w:type="dxa"/>
            <w:tcBorders>
              <w:top w:val="nil"/>
              <w:left w:val="nil"/>
              <w:bottom w:val="nil"/>
              <w:right w:val="nil"/>
            </w:tcBorders>
            <w:vAlign w:val="center"/>
          </w:tcPr>
          <w:p w14:paraId="0B048614"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-0.003</w:t>
            </w:r>
          </w:p>
        </w:tc>
        <w:tc>
          <w:tcPr>
            <w:tcW w:w="1620" w:type="dxa"/>
            <w:tcBorders>
              <w:top w:val="nil"/>
              <w:left w:val="nil"/>
              <w:bottom w:val="nil"/>
              <w:right w:val="nil"/>
            </w:tcBorders>
            <w:vAlign w:val="center"/>
          </w:tcPr>
          <w:p w14:paraId="4798672F"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-0.001</w:t>
            </w:r>
          </w:p>
        </w:tc>
        <w:tc>
          <w:tcPr>
            <w:tcW w:w="1530" w:type="dxa"/>
            <w:tcBorders>
              <w:top w:val="nil"/>
              <w:left w:val="nil"/>
              <w:bottom w:val="nil"/>
              <w:right w:val="nil"/>
            </w:tcBorders>
            <w:vAlign w:val="center"/>
          </w:tcPr>
          <w:p w14:paraId="3CBB5F93"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-0.017</w:t>
            </w:r>
          </w:p>
        </w:tc>
      </w:tr>
      <w:tr w:rsidR="00724CA2" w:rsidRPr="00724CA2" w14:paraId="3E439826" w14:textId="77777777" w:rsidTr="003725B9">
        <w:trPr>
          <w:trHeight w:val="275"/>
          <w:jc w:val="center"/>
        </w:trPr>
        <w:tc>
          <w:tcPr>
            <w:tcW w:w="3060" w:type="dxa"/>
            <w:noWrap/>
            <w:vAlign w:val="center"/>
            <w:hideMark/>
          </w:tcPr>
          <w:p w14:paraId="07F880C1" w14:textId="77777777" w:rsidR="00DD33B3" w:rsidRPr="00724CA2" w:rsidRDefault="00DD33B3" w:rsidP="00DD33B3">
            <w:pPr>
              <w:jc w:val="both"/>
              <w:rPr>
                <w:rFonts w:ascii="Times New Roman" w:hAnsi="Times New Roman" w:cs="Times New Roman"/>
                <w:color w:val="000000" w:themeColor="text1"/>
                <w:lang w:val="en-US"/>
              </w:rPr>
            </w:pPr>
          </w:p>
        </w:tc>
        <w:tc>
          <w:tcPr>
            <w:tcW w:w="1350" w:type="dxa"/>
            <w:tcBorders>
              <w:top w:val="nil"/>
              <w:left w:val="nil"/>
              <w:bottom w:val="nil"/>
              <w:right w:val="nil"/>
            </w:tcBorders>
            <w:shd w:val="clear" w:color="auto" w:fill="auto"/>
            <w:noWrap/>
            <w:vAlign w:val="center"/>
          </w:tcPr>
          <w:p w14:paraId="637015B2"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(0.014)</w:t>
            </w:r>
          </w:p>
        </w:tc>
        <w:tc>
          <w:tcPr>
            <w:tcW w:w="1530" w:type="dxa"/>
            <w:tcBorders>
              <w:top w:val="nil"/>
              <w:left w:val="nil"/>
              <w:bottom w:val="nil"/>
              <w:right w:val="nil"/>
            </w:tcBorders>
            <w:shd w:val="clear" w:color="auto" w:fill="auto"/>
            <w:noWrap/>
            <w:vAlign w:val="center"/>
          </w:tcPr>
          <w:p w14:paraId="5DFD4699"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(0.015)</w:t>
            </w:r>
          </w:p>
        </w:tc>
        <w:tc>
          <w:tcPr>
            <w:tcW w:w="1530" w:type="dxa"/>
            <w:tcBorders>
              <w:top w:val="nil"/>
              <w:left w:val="nil"/>
              <w:bottom w:val="nil"/>
              <w:right w:val="nil"/>
            </w:tcBorders>
            <w:vAlign w:val="center"/>
          </w:tcPr>
          <w:p w14:paraId="588A3BDD"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(0.004)</w:t>
            </w:r>
          </w:p>
        </w:tc>
        <w:tc>
          <w:tcPr>
            <w:tcW w:w="1620" w:type="dxa"/>
            <w:tcBorders>
              <w:top w:val="nil"/>
              <w:left w:val="nil"/>
              <w:bottom w:val="nil"/>
              <w:right w:val="nil"/>
            </w:tcBorders>
            <w:vAlign w:val="center"/>
          </w:tcPr>
          <w:p w14:paraId="4A2776C9"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(0.003)</w:t>
            </w:r>
          </w:p>
        </w:tc>
        <w:tc>
          <w:tcPr>
            <w:tcW w:w="1530" w:type="dxa"/>
            <w:tcBorders>
              <w:top w:val="nil"/>
              <w:left w:val="nil"/>
              <w:bottom w:val="nil"/>
              <w:right w:val="nil"/>
            </w:tcBorders>
            <w:vAlign w:val="center"/>
          </w:tcPr>
          <w:p w14:paraId="6704CD44"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(0.015)</w:t>
            </w:r>
          </w:p>
        </w:tc>
      </w:tr>
      <w:tr w:rsidR="00724CA2" w:rsidRPr="00724CA2" w14:paraId="756B7E88" w14:textId="77777777" w:rsidTr="003725B9">
        <w:trPr>
          <w:trHeight w:val="275"/>
          <w:jc w:val="center"/>
        </w:trPr>
        <w:tc>
          <w:tcPr>
            <w:tcW w:w="3060" w:type="dxa"/>
            <w:noWrap/>
            <w:vAlign w:val="center"/>
            <w:hideMark/>
          </w:tcPr>
          <w:p w14:paraId="4230B99A" w14:textId="77777777" w:rsidR="00DD33B3" w:rsidRPr="00724CA2" w:rsidRDefault="00DD33B3" w:rsidP="00DD33B3">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Leverage</w:t>
            </w:r>
          </w:p>
        </w:tc>
        <w:tc>
          <w:tcPr>
            <w:tcW w:w="1350" w:type="dxa"/>
            <w:tcBorders>
              <w:top w:val="nil"/>
              <w:left w:val="nil"/>
              <w:bottom w:val="nil"/>
              <w:right w:val="nil"/>
            </w:tcBorders>
            <w:shd w:val="clear" w:color="auto" w:fill="auto"/>
            <w:noWrap/>
            <w:vAlign w:val="center"/>
          </w:tcPr>
          <w:p w14:paraId="624D33F1"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2.093***</w:t>
            </w:r>
          </w:p>
        </w:tc>
        <w:tc>
          <w:tcPr>
            <w:tcW w:w="1530" w:type="dxa"/>
            <w:tcBorders>
              <w:top w:val="nil"/>
              <w:left w:val="nil"/>
              <w:bottom w:val="nil"/>
              <w:right w:val="nil"/>
            </w:tcBorders>
            <w:shd w:val="clear" w:color="auto" w:fill="auto"/>
            <w:noWrap/>
            <w:vAlign w:val="center"/>
          </w:tcPr>
          <w:p w14:paraId="46CE8D13"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0.761***</w:t>
            </w:r>
          </w:p>
        </w:tc>
        <w:tc>
          <w:tcPr>
            <w:tcW w:w="1530" w:type="dxa"/>
            <w:tcBorders>
              <w:top w:val="nil"/>
              <w:left w:val="nil"/>
              <w:bottom w:val="nil"/>
              <w:right w:val="nil"/>
            </w:tcBorders>
            <w:vAlign w:val="center"/>
          </w:tcPr>
          <w:p w14:paraId="7D06FAA6"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0.133</w:t>
            </w:r>
          </w:p>
        </w:tc>
        <w:tc>
          <w:tcPr>
            <w:tcW w:w="1620" w:type="dxa"/>
            <w:tcBorders>
              <w:top w:val="nil"/>
              <w:left w:val="nil"/>
              <w:bottom w:val="nil"/>
              <w:right w:val="nil"/>
            </w:tcBorders>
            <w:vAlign w:val="center"/>
          </w:tcPr>
          <w:p w14:paraId="0FCAAFF6"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0.190**</w:t>
            </w:r>
          </w:p>
        </w:tc>
        <w:tc>
          <w:tcPr>
            <w:tcW w:w="1530" w:type="dxa"/>
            <w:tcBorders>
              <w:top w:val="nil"/>
              <w:left w:val="nil"/>
              <w:bottom w:val="nil"/>
              <w:right w:val="nil"/>
            </w:tcBorders>
            <w:vAlign w:val="center"/>
          </w:tcPr>
          <w:p w14:paraId="6DCD3B5E"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0.757***</w:t>
            </w:r>
          </w:p>
        </w:tc>
      </w:tr>
      <w:tr w:rsidR="00724CA2" w:rsidRPr="00724CA2" w14:paraId="61554F19" w14:textId="77777777" w:rsidTr="003725B9">
        <w:trPr>
          <w:trHeight w:val="275"/>
          <w:jc w:val="center"/>
        </w:trPr>
        <w:tc>
          <w:tcPr>
            <w:tcW w:w="3060" w:type="dxa"/>
            <w:noWrap/>
            <w:vAlign w:val="center"/>
            <w:hideMark/>
          </w:tcPr>
          <w:p w14:paraId="37E20B23" w14:textId="77777777" w:rsidR="00DD33B3" w:rsidRPr="00724CA2" w:rsidRDefault="00DD33B3" w:rsidP="00DD33B3">
            <w:pPr>
              <w:jc w:val="both"/>
              <w:rPr>
                <w:rFonts w:ascii="Times New Roman" w:hAnsi="Times New Roman" w:cs="Times New Roman"/>
                <w:color w:val="000000" w:themeColor="text1"/>
                <w:lang w:val="en-US"/>
              </w:rPr>
            </w:pPr>
          </w:p>
        </w:tc>
        <w:tc>
          <w:tcPr>
            <w:tcW w:w="1350" w:type="dxa"/>
            <w:tcBorders>
              <w:top w:val="nil"/>
              <w:left w:val="nil"/>
              <w:bottom w:val="nil"/>
              <w:right w:val="nil"/>
            </w:tcBorders>
            <w:shd w:val="clear" w:color="auto" w:fill="auto"/>
            <w:noWrap/>
            <w:vAlign w:val="center"/>
          </w:tcPr>
          <w:p w14:paraId="75D20E8F"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(0.336)</w:t>
            </w:r>
          </w:p>
        </w:tc>
        <w:tc>
          <w:tcPr>
            <w:tcW w:w="1530" w:type="dxa"/>
            <w:tcBorders>
              <w:top w:val="nil"/>
              <w:left w:val="nil"/>
              <w:bottom w:val="nil"/>
              <w:right w:val="nil"/>
            </w:tcBorders>
            <w:shd w:val="clear" w:color="auto" w:fill="auto"/>
            <w:noWrap/>
            <w:vAlign w:val="center"/>
          </w:tcPr>
          <w:p w14:paraId="168583C8"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(0.166)</w:t>
            </w:r>
          </w:p>
        </w:tc>
        <w:tc>
          <w:tcPr>
            <w:tcW w:w="1530" w:type="dxa"/>
            <w:tcBorders>
              <w:top w:val="nil"/>
              <w:left w:val="nil"/>
              <w:bottom w:val="nil"/>
              <w:right w:val="nil"/>
            </w:tcBorders>
            <w:vAlign w:val="center"/>
          </w:tcPr>
          <w:p w14:paraId="1B1D3EA4"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(0.142)</w:t>
            </w:r>
          </w:p>
        </w:tc>
        <w:tc>
          <w:tcPr>
            <w:tcW w:w="1620" w:type="dxa"/>
            <w:tcBorders>
              <w:top w:val="nil"/>
              <w:left w:val="nil"/>
              <w:bottom w:val="nil"/>
              <w:right w:val="nil"/>
            </w:tcBorders>
            <w:vAlign w:val="center"/>
          </w:tcPr>
          <w:p w14:paraId="4BF8C8C8"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(0.083)</w:t>
            </w:r>
          </w:p>
        </w:tc>
        <w:tc>
          <w:tcPr>
            <w:tcW w:w="1530" w:type="dxa"/>
            <w:tcBorders>
              <w:top w:val="nil"/>
              <w:left w:val="nil"/>
              <w:bottom w:val="nil"/>
              <w:right w:val="nil"/>
            </w:tcBorders>
            <w:vAlign w:val="center"/>
          </w:tcPr>
          <w:p w14:paraId="223B8B22"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(0.167)</w:t>
            </w:r>
          </w:p>
        </w:tc>
      </w:tr>
      <w:tr w:rsidR="00724CA2" w:rsidRPr="00724CA2" w14:paraId="3C843D90" w14:textId="77777777" w:rsidTr="003725B9">
        <w:trPr>
          <w:trHeight w:val="275"/>
          <w:jc w:val="center"/>
        </w:trPr>
        <w:tc>
          <w:tcPr>
            <w:tcW w:w="3060" w:type="dxa"/>
            <w:noWrap/>
            <w:vAlign w:val="center"/>
          </w:tcPr>
          <w:p w14:paraId="20C85151" w14:textId="77777777" w:rsidR="00DD33B3" w:rsidRPr="00724CA2" w:rsidRDefault="00DD33B3" w:rsidP="00DD33B3">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Year FE</w:t>
            </w:r>
          </w:p>
        </w:tc>
        <w:tc>
          <w:tcPr>
            <w:tcW w:w="1350" w:type="dxa"/>
            <w:noWrap/>
            <w:vAlign w:val="center"/>
          </w:tcPr>
          <w:p w14:paraId="3FE46518"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Yes</w:t>
            </w:r>
          </w:p>
        </w:tc>
        <w:tc>
          <w:tcPr>
            <w:tcW w:w="1530" w:type="dxa"/>
            <w:noWrap/>
            <w:vAlign w:val="center"/>
          </w:tcPr>
          <w:p w14:paraId="38072D4D"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Yes</w:t>
            </w:r>
          </w:p>
        </w:tc>
        <w:tc>
          <w:tcPr>
            <w:tcW w:w="1530" w:type="dxa"/>
            <w:vAlign w:val="center"/>
          </w:tcPr>
          <w:p w14:paraId="0661A5D0"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Yes</w:t>
            </w:r>
          </w:p>
        </w:tc>
        <w:tc>
          <w:tcPr>
            <w:tcW w:w="1620" w:type="dxa"/>
            <w:vAlign w:val="center"/>
          </w:tcPr>
          <w:p w14:paraId="6B22D0EF"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Yes</w:t>
            </w:r>
          </w:p>
        </w:tc>
        <w:tc>
          <w:tcPr>
            <w:tcW w:w="1530" w:type="dxa"/>
            <w:vAlign w:val="center"/>
          </w:tcPr>
          <w:p w14:paraId="31B65FC1"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Yes</w:t>
            </w:r>
          </w:p>
        </w:tc>
      </w:tr>
      <w:tr w:rsidR="00724CA2" w:rsidRPr="00724CA2" w14:paraId="0E453301" w14:textId="77777777" w:rsidTr="003725B9">
        <w:trPr>
          <w:trHeight w:val="275"/>
          <w:jc w:val="center"/>
        </w:trPr>
        <w:tc>
          <w:tcPr>
            <w:tcW w:w="3060" w:type="dxa"/>
            <w:tcBorders>
              <w:bottom w:val="nil"/>
            </w:tcBorders>
            <w:noWrap/>
            <w:vAlign w:val="center"/>
          </w:tcPr>
          <w:p w14:paraId="383A9DF9" w14:textId="77777777" w:rsidR="00DD33B3" w:rsidRPr="00724CA2" w:rsidRDefault="00DD33B3" w:rsidP="00DD33B3">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Industry FE</w:t>
            </w:r>
          </w:p>
        </w:tc>
        <w:tc>
          <w:tcPr>
            <w:tcW w:w="1350" w:type="dxa"/>
            <w:tcBorders>
              <w:bottom w:val="nil"/>
            </w:tcBorders>
            <w:noWrap/>
            <w:vAlign w:val="center"/>
          </w:tcPr>
          <w:p w14:paraId="3BCB1912"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Yes</w:t>
            </w:r>
          </w:p>
        </w:tc>
        <w:tc>
          <w:tcPr>
            <w:tcW w:w="1530" w:type="dxa"/>
            <w:tcBorders>
              <w:bottom w:val="nil"/>
            </w:tcBorders>
            <w:noWrap/>
            <w:vAlign w:val="center"/>
          </w:tcPr>
          <w:p w14:paraId="798DA98B"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Yes</w:t>
            </w:r>
          </w:p>
        </w:tc>
        <w:tc>
          <w:tcPr>
            <w:tcW w:w="1530" w:type="dxa"/>
            <w:tcBorders>
              <w:bottom w:val="nil"/>
            </w:tcBorders>
            <w:vAlign w:val="center"/>
          </w:tcPr>
          <w:p w14:paraId="4AAE29D0"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Yes</w:t>
            </w:r>
          </w:p>
        </w:tc>
        <w:tc>
          <w:tcPr>
            <w:tcW w:w="1620" w:type="dxa"/>
            <w:tcBorders>
              <w:bottom w:val="nil"/>
            </w:tcBorders>
            <w:vAlign w:val="center"/>
          </w:tcPr>
          <w:p w14:paraId="1686F532"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lang w:val="en-US"/>
              </w:rPr>
              <w:t>Yes</w:t>
            </w:r>
          </w:p>
        </w:tc>
        <w:tc>
          <w:tcPr>
            <w:tcW w:w="1530" w:type="dxa"/>
            <w:tcBorders>
              <w:bottom w:val="nil"/>
            </w:tcBorders>
            <w:vAlign w:val="center"/>
          </w:tcPr>
          <w:p w14:paraId="52793077"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Yes</w:t>
            </w:r>
          </w:p>
        </w:tc>
      </w:tr>
      <w:tr w:rsidR="00724CA2" w:rsidRPr="00724CA2" w14:paraId="31C25F52" w14:textId="77777777" w:rsidTr="003725B9">
        <w:trPr>
          <w:trHeight w:val="275"/>
          <w:jc w:val="center"/>
        </w:trPr>
        <w:tc>
          <w:tcPr>
            <w:tcW w:w="3060" w:type="dxa"/>
            <w:tcBorders>
              <w:top w:val="nil"/>
              <w:bottom w:val="nil"/>
            </w:tcBorders>
            <w:noWrap/>
            <w:vAlign w:val="center"/>
          </w:tcPr>
          <w:p w14:paraId="0FC264D0" w14:textId="77777777" w:rsidR="00DD33B3" w:rsidRPr="00724CA2" w:rsidRDefault="00DD33B3" w:rsidP="00DD33B3">
            <w:pPr>
              <w:rPr>
                <w:rFonts w:ascii="Times New Roman" w:hAnsi="Times New Roman" w:cs="Times New Roman"/>
                <w:color w:val="000000" w:themeColor="text1"/>
                <w:lang w:val="en-US"/>
              </w:rPr>
            </w:pPr>
            <w:r w:rsidRPr="00724CA2">
              <w:rPr>
                <w:rFonts w:ascii="Times New Roman" w:hAnsi="Times New Roman" w:cs="Times New Roman"/>
                <w:color w:val="000000" w:themeColor="text1"/>
                <w:sz w:val="21"/>
                <w:szCs w:val="21"/>
                <w:lang w:val="en-US"/>
              </w:rPr>
              <w:t>Sargan statistic test (p-value) (overidentification test of all instruments)</w:t>
            </w:r>
          </w:p>
        </w:tc>
        <w:tc>
          <w:tcPr>
            <w:tcW w:w="1350" w:type="dxa"/>
            <w:tcBorders>
              <w:top w:val="nil"/>
              <w:left w:val="nil"/>
              <w:bottom w:val="nil"/>
              <w:right w:val="nil"/>
            </w:tcBorders>
            <w:shd w:val="clear" w:color="auto" w:fill="auto"/>
            <w:noWrap/>
            <w:vAlign w:val="center"/>
          </w:tcPr>
          <w:p w14:paraId="2FA242ED" w14:textId="77777777" w:rsidR="00DD33B3" w:rsidRPr="00724CA2" w:rsidRDefault="00DD33B3" w:rsidP="00DD33B3">
            <w:pPr>
              <w:jc w:val="both"/>
              <w:rPr>
                <w:rFonts w:ascii="Times New Roman" w:hAnsi="Times New Roman" w:cs="Times New Roman"/>
                <w:color w:val="000000" w:themeColor="text1"/>
              </w:rPr>
            </w:pPr>
          </w:p>
        </w:tc>
        <w:tc>
          <w:tcPr>
            <w:tcW w:w="1530" w:type="dxa"/>
            <w:tcBorders>
              <w:top w:val="nil"/>
              <w:left w:val="nil"/>
              <w:bottom w:val="nil"/>
              <w:right w:val="nil"/>
            </w:tcBorders>
            <w:shd w:val="clear" w:color="auto" w:fill="auto"/>
            <w:noWrap/>
            <w:vAlign w:val="center"/>
          </w:tcPr>
          <w:p w14:paraId="7EEE3CE2" w14:textId="77777777" w:rsidR="00DD33B3" w:rsidRPr="00724CA2" w:rsidRDefault="00DD33B3" w:rsidP="00DD33B3">
            <w:pPr>
              <w:jc w:val="both"/>
              <w:rPr>
                <w:rFonts w:ascii="Times New Roman" w:hAnsi="Times New Roman" w:cs="Times New Roman"/>
                <w:color w:val="000000" w:themeColor="text1"/>
              </w:rPr>
            </w:pPr>
          </w:p>
        </w:tc>
        <w:tc>
          <w:tcPr>
            <w:tcW w:w="1530" w:type="dxa"/>
            <w:tcBorders>
              <w:top w:val="nil"/>
              <w:left w:val="nil"/>
              <w:bottom w:val="nil"/>
              <w:right w:val="nil"/>
            </w:tcBorders>
            <w:vAlign w:val="center"/>
          </w:tcPr>
          <w:p w14:paraId="14A2B28D"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0.304</w:t>
            </w:r>
          </w:p>
        </w:tc>
        <w:tc>
          <w:tcPr>
            <w:tcW w:w="1620" w:type="dxa"/>
            <w:tcBorders>
              <w:top w:val="nil"/>
              <w:left w:val="nil"/>
              <w:bottom w:val="nil"/>
              <w:right w:val="nil"/>
            </w:tcBorders>
            <w:vAlign w:val="center"/>
          </w:tcPr>
          <w:p w14:paraId="40A875DB"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0.421</w:t>
            </w:r>
          </w:p>
        </w:tc>
        <w:tc>
          <w:tcPr>
            <w:tcW w:w="1530" w:type="dxa"/>
            <w:tcBorders>
              <w:top w:val="nil"/>
              <w:left w:val="nil"/>
              <w:bottom w:val="nil"/>
              <w:right w:val="nil"/>
            </w:tcBorders>
            <w:vAlign w:val="center"/>
          </w:tcPr>
          <w:p w14:paraId="19BE39F6" w14:textId="77777777" w:rsidR="00DD33B3" w:rsidRPr="00724CA2" w:rsidRDefault="00DD33B3" w:rsidP="00DD33B3">
            <w:pPr>
              <w:jc w:val="both"/>
              <w:rPr>
                <w:rFonts w:ascii="Times New Roman" w:hAnsi="Times New Roman" w:cs="Times New Roman"/>
                <w:color w:val="000000" w:themeColor="text1"/>
              </w:rPr>
            </w:pPr>
          </w:p>
        </w:tc>
      </w:tr>
      <w:tr w:rsidR="00724CA2" w:rsidRPr="00724CA2" w14:paraId="173F39FC" w14:textId="77777777" w:rsidTr="003725B9">
        <w:trPr>
          <w:trHeight w:val="275"/>
          <w:jc w:val="center"/>
        </w:trPr>
        <w:tc>
          <w:tcPr>
            <w:tcW w:w="3060" w:type="dxa"/>
            <w:tcBorders>
              <w:top w:val="nil"/>
              <w:bottom w:val="nil"/>
            </w:tcBorders>
            <w:noWrap/>
            <w:vAlign w:val="center"/>
          </w:tcPr>
          <w:p w14:paraId="08CF952C" w14:textId="77777777" w:rsidR="00DD33B3" w:rsidRPr="00724CA2" w:rsidRDefault="00DD33B3" w:rsidP="00DD33B3">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sz w:val="21"/>
                <w:szCs w:val="21"/>
                <w:lang w:val="en-US"/>
              </w:rPr>
              <w:t>Cragg-Donald (CD) Wald F-statistic</w:t>
            </w:r>
          </w:p>
        </w:tc>
        <w:tc>
          <w:tcPr>
            <w:tcW w:w="1350" w:type="dxa"/>
            <w:tcBorders>
              <w:top w:val="nil"/>
              <w:left w:val="nil"/>
              <w:bottom w:val="nil"/>
              <w:right w:val="nil"/>
            </w:tcBorders>
            <w:shd w:val="clear" w:color="auto" w:fill="auto"/>
            <w:noWrap/>
            <w:vAlign w:val="center"/>
          </w:tcPr>
          <w:p w14:paraId="1E9A7E4C" w14:textId="77777777" w:rsidR="00DD33B3" w:rsidRPr="00724CA2" w:rsidRDefault="00DD33B3" w:rsidP="00DD33B3">
            <w:pPr>
              <w:jc w:val="both"/>
              <w:rPr>
                <w:rFonts w:ascii="Times New Roman" w:hAnsi="Times New Roman" w:cs="Times New Roman"/>
                <w:color w:val="000000" w:themeColor="text1"/>
              </w:rPr>
            </w:pPr>
          </w:p>
        </w:tc>
        <w:tc>
          <w:tcPr>
            <w:tcW w:w="1530" w:type="dxa"/>
            <w:tcBorders>
              <w:top w:val="nil"/>
              <w:left w:val="nil"/>
              <w:bottom w:val="nil"/>
              <w:right w:val="nil"/>
            </w:tcBorders>
            <w:shd w:val="clear" w:color="auto" w:fill="auto"/>
            <w:noWrap/>
            <w:vAlign w:val="center"/>
          </w:tcPr>
          <w:p w14:paraId="27EBDDC3" w14:textId="77777777" w:rsidR="00DD33B3" w:rsidRPr="00724CA2" w:rsidRDefault="00DD33B3" w:rsidP="00DD33B3">
            <w:pPr>
              <w:jc w:val="both"/>
              <w:rPr>
                <w:rFonts w:ascii="Times New Roman" w:hAnsi="Times New Roman" w:cs="Times New Roman"/>
                <w:color w:val="000000" w:themeColor="text1"/>
              </w:rPr>
            </w:pPr>
          </w:p>
        </w:tc>
        <w:tc>
          <w:tcPr>
            <w:tcW w:w="1530" w:type="dxa"/>
            <w:tcBorders>
              <w:top w:val="nil"/>
              <w:left w:val="nil"/>
              <w:bottom w:val="nil"/>
              <w:right w:val="nil"/>
            </w:tcBorders>
            <w:vAlign w:val="center"/>
          </w:tcPr>
          <w:p w14:paraId="1EA74581"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114.121</w:t>
            </w:r>
          </w:p>
        </w:tc>
        <w:tc>
          <w:tcPr>
            <w:tcW w:w="1620" w:type="dxa"/>
            <w:tcBorders>
              <w:top w:val="nil"/>
              <w:left w:val="nil"/>
              <w:bottom w:val="nil"/>
              <w:right w:val="nil"/>
            </w:tcBorders>
            <w:vAlign w:val="center"/>
          </w:tcPr>
          <w:p w14:paraId="12221A2B"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27.24</w:t>
            </w:r>
          </w:p>
        </w:tc>
        <w:tc>
          <w:tcPr>
            <w:tcW w:w="1530" w:type="dxa"/>
            <w:tcBorders>
              <w:top w:val="nil"/>
              <w:left w:val="nil"/>
              <w:bottom w:val="nil"/>
              <w:right w:val="nil"/>
            </w:tcBorders>
            <w:vAlign w:val="center"/>
          </w:tcPr>
          <w:p w14:paraId="41528EDB" w14:textId="77777777" w:rsidR="00DD33B3" w:rsidRPr="00724CA2" w:rsidRDefault="00DD33B3" w:rsidP="00DD33B3">
            <w:pPr>
              <w:jc w:val="both"/>
              <w:rPr>
                <w:rFonts w:ascii="Times New Roman" w:hAnsi="Times New Roman" w:cs="Times New Roman"/>
                <w:color w:val="000000" w:themeColor="text1"/>
              </w:rPr>
            </w:pPr>
          </w:p>
        </w:tc>
      </w:tr>
      <w:tr w:rsidR="00724CA2" w:rsidRPr="00724CA2" w14:paraId="59D2E411" w14:textId="77777777" w:rsidTr="003725B9">
        <w:trPr>
          <w:trHeight w:val="275"/>
          <w:jc w:val="center"/>
        </w:trPr>
        <w:tc>
          <w:tcPr>
            <w:tcW w:w="3060" w:type="dxa"/>
            <w:tcBorders>
              <w:top w:val="nil"/>
              <w:bottom w:val="nil"/>
            </w:tcBorders>
            <w:noWrap/>
            <w:vAlign w:val="center"/>
          </w:tcPr>
          <w:p w14:paraId="6FA02487" w14:textId="77777777" w:rsidR="00DD33B3" w:rsidRPr="00724CA2" w:rsidRDefault="00DD33B3" w:rsidP="00DD33B3">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sz w:val="21"/>
                <w:szCs w:val="21"/>
                <w:lang w:val="en-US"/>
              </w:rPr>
              <w:t>Stock and Yogo (2005) ID test for critical values: 10% maximal IV</w:t>
            </w:r>
          </w:p>
        </w:tc>
        <w:tc>
          <w:tcPr>
            <w:tcW w:w="1350" w:type="dxa"/>
            <w:tcBorders>
              <w:top w:val="nil"/>
              <w:left w:val="nil"/>
              <w:bottom w:val="nil"/>
              <w:right w:val="nil"/>
            </w:tcBorders>
            <w:shd w:val="clear" w:color="auto" w:fill="auto"/>
            <w:noWrap/>
            <w:vAlign w:val="center"/>
          </w:tcPr>
          <w:p w14:paraId="6DA640C8" w14:textId="77777777" w:rsidR="00DD33B3" w:rsidRPr="00724CA2" w:rsidRDefault="00DD33B3" w:rsidP="00DD33B3">
            <w:pPr>
              <w:jc w:val="both"/>
              <w:rPr>
                <w:rFonts w:ascii="Times New Roman" w:hAnsi="Times New Roman" w:cs="Times New Roman"/>
                <w:color w:val="000000" w:themeColor="text1"/>
              </w:rPr>
            </w:pPr>
          </w:p>
        </w:tc>
        <w:tc>
          <w:tcPr>
            <w:tcW w:w="1530" w:type="dxa"/>
            <w:tcBorders>
              <w:top w:val="nil"/>
              <w:left w:val="nil"/>
              <w:bottom w:val="nil"/>
              <w:right w:val="nil"/>
            </w:tcBorders>
            <w:shd w:val="clear" w:color="auto" w:fill="auto"/>
            <w:noWrap/>
            <w:vAlign w:val="center"/>
          </w:tcPr>
          <w:p w14:paraId="1E102EAC" w14:textId="77777777" w:rsidR="00DD33B3" w:rsidRPr="00724CA2" w:rsidRDefault="00DD33B3" w:rsidP="00DD33B3">
            <w:pPr>
              <w:jc w:val="both"/>
              <w:rPr>
                <w:rFonts w:ascii="Times New Roman" w:hAnsi="Times New Roman" w:cs="Times New Roman"/>
                <w:color w:val="000000" w:themeColor="text1"/>
              </w:rPr>
            </w:pPr>
          </w:p>
        </w:tc>
        <w:tc>
          <w:tcPr>
            <w:tcW w:w="1530" w:type="dxa"/>
            <w:tcBorders>
              <w:top w:val="nil"/>
              <w:left w:val="nil"/>
              <w:bottom w:val="nil"/>
              <w:right w:val="nil"/>
            </w:tcBorders>
            <w:vAlign w:val="center"/>
          </w:tcPr>
          <w:p w14:paraId="6DDB3341"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31.50</w:t>
            </w:r>
          </w:p>
        </w:tc>
        <w:tc>
          <w:tcPr>
            <w:tcW w:w="1620" w:type="dxa"/>
            <w:tcBorders>
              <w:top w:val="nil"/>
              <w:left w:val="nil"/>
              <w:bottom w:val="nil"/>
              <w:right w:val="nil"/>
            </w:tcBorders>
            <w:vAlign w:val="center"/>
          </w:tcPr>
          <w:p w14:paraId="0D4A3C5A"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11.29</w:t>
            </w:r>
          </w:p>
        </w:tc>
        <w:tc>
          <w:tcPr>
            <w:tcW w:w="1530" w:type="dxa"/>
            <w:tcBorders>
              <w:top w:val="nil"/>
              <w:left w:val="nil"/>
              <w:bottom w:val="nil"/>
              <w:right w:val="nil"/>
            </w:tcBorders>
            <w:vAlign w:val="center"/>
          </w:tcPr>
          <w:p w14:paraId="73FA065C" w14:textId="77777777" w:rsidR="00DD33B3" w:rsidRPr="00724CA2" w:rsidRDefault="00DD33B3" w:rsidP="00DD33B3">
            <w:pPr>
              <w:jc w:val="both"/>
              <w:rPr>
                <w:rFonts w:ascii="Times New Roman" w:hAnsi="Times New Roman" w:cs="Times New Roman"/>
                <w:color w:val="000000" w:themeColor="text1"/>
              </w:rPr>
            </w:pPr>
          </w:p>
        </w:tc>
      </w:tr>
      <w:tr w:rsidR="00724CA2" w:rsidRPr="00724CA2" w14:paraId="338EDD20" w14:textId="77777777" w:rsidTr="003725B9">
        <w:trPr>
          <w:trHeight w:val="275"/>
          <w:jc w:val="center"/>
        </w:trPr>
        <w:tc>
          <w:tcPr>
            <w:tcW w:w="3060" w:type="dxa"/>
            <w:tcBorders>
              <w:top w:val="nil"/>
              <w:bottom w:val="nil"/>
            </w:tcBorders>
            <w:noWrap/>
            <w:vAlign w:val="center"/>
          </w:tcPr>
          <w:p w14:paraId="0A8448B4" w14:textId="77777777" w:rsidR="00DD33B3" w:rsidRPr="00724CA2" w:rsidRDefault="00DD33B3" w:rsidP="00DD33B3">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Observations</w:t>
            </w:r>
          </w:p>
        </w:tc>
        <w:tc>
          <w:tcPr>
            <w:tcW w:w="1350" w:type="dxa"/>
            <w:tcBorders>
              <w:top w:val="nil"/>
              <w:left w:val="nil"/>
              <w:bottom w:val="nil"/>
              <w:right w:val="nil"/>
            </w:tcBorders>
            <w:shd w:val="clear" w:color="auto" w:fill="auto"/>
            <w:noWrap/>
            <w:vAlign w:val="center"/>
          </w:tcPr>
          <w:p w14:paraId="0FE5E3C8"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1,722</w:t>
            </w:r>
          </w:p>
        </w:tc>
        <w:tc>
          <w:tcPr>
            <w:tcW w:w="1530" w:type="dxa"/>
            <w:tcBorders>
              <w:top w:val="nil"/>
              <w:left w:val="nil"/>
              <w:bottom w:val="nil"/>
              <w:right w:val="nil"/>
            </w:tcBorders>
            <w:shd w:val="clear" w:color="auto" w:fill="auto"/>
            <w:noWrap/>
            <w:vAlign w:val="center"/>
          </w:tcPr>
          <w:p w14:paraId="01602097" w14:textId="77777777" w:rsidR="00DD33B3" w:rsidRPr="00724CA2" w:rsidRDefault="00DD33B3" w:rsidP="00DD33B3">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rPr>
              <w:t>4,838</w:t>
            </w:r>
          </w:p>
        </w:tc>
        <w:tc>
          <w:tcPr>
            <w:tcW w:w="1530" w:type="dxa"/>
            <w:tcBorders>
              <w:top w:val="nil"/>
              <w:left w:val="nil"/>
              <w:bottom w:val="nil"/>
              <w:right w:val="nil"/>
            </w:tcBorders>
            <w:vAlign w:val="center"/>
          </w:tcPr>
          <w:p w14:paraId="5FCEE56B"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1,722</w:t>
            </w:r>
          </w:p>
        </w:tc>
        <w:tc>
          <w:tcPr>
            <w:tcW w:w="1620" w:type="dxa"/>
            <w:tcBorders>
              <w:top w:val="nil"/>
              <w:left w:val="nil"/>
              <w:bottom w:val="nil"/>
              <w:right w:val="nil"/>
            </w:tcBorders>
            <w:vAlign w:val="center"/>
          </w:tcPr>
          <w:p w14:paraId="1F442C4A"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4,838</w:t>
            </w:r>
          </w:p>
        </w:tc>
        <w:tc>
          <w:tcPr>
            <w:tcW w:w="1530" w:type="dxa"/>
            <w:tcBorders>
              <w:top w:val="nil"/>
              <w:left w:val="nil"/>
              <w:bottom w:val="nil"/>
              <w:right w:val="nil"/>
            </w:tcBorders>
            <w:vAlign w:val="center"/>
          </w:tcPr>
          <w:p w14:paraId="1563DFD6"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1,722</w:t>
            </w:r>
          </w:p>
        </w:tc>
      </w:tr>
      <w:tr w:rsidR="00724CA2" w:rsidRPr="00724CA2" w14:paraId="0685578D" w14:textId="77777777" w:rsidTr="003725B9">
        <w:trPr>
          <w:trHeight w:val="275"/>
          <w:jc w:val="center"/>
        </w:trPr>
        <w:tc>
          <w:tcPr>
            <w:tcW w:w="3060" w:type="dxa"/>
            <w:tcBorders>
              <w:top w:val="nil"/>
              <w:bottom w:val="single" w:sz="12" w:space="0" w:color="auto"/>
            </w:tcBorders>
            <w:noWrap/>
            <w:vAlign w:val="center"/>
          </w:tcPr>
          <w:p w14:paraId="0AC5D9F0"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lang w:val="en-US"/>
              </w:rPr>
              <w:t>Adjusted R-squared</w:t>
            </w:r>
          </w:p>
        </w:tc>
        <w:tc>
          <w:tcPr>
            <w:tcW w:w="1350" w:type="dxa"/>
            <w:tcBorders>
              <w:top w:val="nil"/>
              <w:left w:val="nil"/>
              <w:bottom w:val="single" w:sz="12" w:space="0" w:color="auto"/>
              <w:right w:val="nil"/>
            </w:tcBorders>
            <w:shd w:val="clear" w:color="auto" w:fill="auto"/>
            <w:noWrap/>
            <w:vAlign w:val="center"/>
          </w:tcPr>
          <w:p w14:paraId="63468056" w14:textId="77777777" w:rsidR="00DD33B3" w:rsidRPr="00724CA2" w:rsidRDefault="00DD33B3" w:rsidP="00DD33B3">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0.196</w:t>
            </w:r>
          </w:p>
        </w:tc>
        <w:tc>
          <w:tcPr>
            <w:tcW w:w="1530" w:type="dxa"/>
            <w:tcBorders>
              <w:top w:val="nil"/>
              <w:left w:val="nil"/>
              <w:bottom w:val="single" w:sz="12" w:space="0" w:color="auto"/>
              <w:right w:val="nil"/>
            </w:tcBorders>
            <w:shd w:val="clear" w:color="auto" w:fill="auto"/>
            <w:noWrap/>
            <w:vAlign w:val="center"/>
          </w:tcPr>
          <w:p w14:paraId="22B64D45" w14:textId="77777777" w:rsidR="00DD33B3" w:rsidRPr="00724CA2" w:rsidRDefault="00DD33B3" w:rsidP="00DD33B3">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rPr>
              <w:t>0.181</w:t>
            </w:r>
          </w:p>
        </w:tc>
        <w:tc>
          <w:tcPr>
            <w:tcW w:w="1530" w:type="dxa"/>
            <w:tcBorders>
              <w:top w:val="nil"/>
              <w:left w:val="nil"/>
              <w:bottom w:val="single" w:sz="12" w:space="0" w:color="auto"/>
              <w:right w:val="nil"/>
            </w:tcBorders>
            <w:vAlign w:val="center"/>
          </w:tcPr>
          <w:p w14:paraId="46BF045E" w14:textId="22244360"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w:t>
            </w:r>
            <w:r w:rsidR="00E34B0E" w:rsidRPr="00724CA2">
              <w:rPr>
                <w:rFonts w:ascii="Times New Roman" w:hAnsi="Times New Roman" w:cs="Times New Roman"/>
                <w:color w:val="000000" w:themeColor="text1"/>
              </w:rPr>
              <w:t>9</w:t>
            </w:r>
            <w:r w:rsidR="00AB2D31" w:rsidRPr="00724CA2">
              <w:rPr>
                <w:rFonts w:ascii="Times New Roman" w:hAnsi="Times New Roman" w:cs="Times New Roman"/>
                <w:color w:val="000000" w:themeColor="text1"/>
              </w:rPr>
              <w:t>62</w:t>
            </w:r>
          </w:p>
        </w:tc>
        <w:tc>
          <w:tcPr>
            <w:tcW w:w="1620" w:type="dxa"/>
            <w:tcBorders>
              <w:top w:val="nil"/>
              <w:left w:val="nil"/>
              <w:bottom w:val="single" w:sz="12" w:space="0" w:color="auto"/>
              <w:right w:val="nil"/>
            </w:tcBorders>
            <w:vAlign w:val="center"/>
          </w:tcPr>
          <w:p w14:paraId="29175BBF" w14:textId="2A3EDBCC"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w:t>
            </w:r>
            <w:r w:rsidR="00BA42C6" w:rsidRPr="00724CA2">
              <w:rPr>
                <w:rFonts w:ascii="Times New Roman" w:hAnsi="Times New Roman" w:cs="Times New Roman"/>
                <w:color w:val="000000" w:themeColor="text1"/>
              </w:rPr>
              <w:t>9</w:t>
            </w:r>
            <w:r w:rsidRPr="00724CA2">
              <w:rPr>
                <w:rFonts w:ascii="Times New Roman" w:hAnsi="Times New Roman" w:cs="Times New Roman"/>
                <w:color w:val="000000" w:themeColor="text1"/>
              </w:rPr>
              <w:t>72</w:t>
            </w:r>
          </w:p>
        </w:tc>
        <w:tc>
          <w:tcPr>
            <w:tcW w:w="1530" w:type="dxa"/>
            <w:tcBorders>
              <w:top w:val="nil"/>
              <w:left w:val="nil"/>
              <w:bottom w:val="single" w:sz="12" w:space="0" w:color="auto"/>
              <w:right w:val="nil"/>
            </w:tcBorders>
            <w:vAlign w:val="center"/>
          </w:tcPr>
          <w:p w14:paraId="002780D0" w14:textId="77777777" w:rsidR="00DD33B3" w:rsidRPr="00724CA2" w:rsidRDefault="00DD33B3" w:rsidP="00DD33B3">
            <w:pPr>
              <w:jc w:val="both"/>
              <w:rPr>
                <w:rFonts w:ascii="Times New Roman" w:hAnsi="Times New Roman" w:cs="Times New Roman"/>
                <w:color w:val="000000" w:themeColor="text1"/>
              </w:rPr>
            </w:pPr>
            <w:r w:rsidRPr="00724CA2">
              <w:rPr>
                <w:rFonts w:ascii="Times New Roman" w:hAnsi="Times New Roman" w:cs="Times New Roman"/>
                <w:color w:val="000000" w:themeColor="text1"/>
              </w:rPr>
              <w:t>0.179</w:t>
            </w:r>
          </w:p>
        </w:tc>
      </w:tr>
    </w:tbl>
    <w:p w14:paraId="26344637" w14:textId="7149DD93" w:rsidR="00935AF7" w:rsidRPr="00724CA2" w:rsidRDefault="0001355B" w:rsidP="00935AF7">
      <w:pPr>
        <w:jc w:val="both"/>
        <w:rPr>
          <w:rFonts w:ascii="Times New Roman" w:hAnsi="Times New Roman" w:cs="Times New Roman"/>
          <w:bCs/>
          <w:iCs/>
          <w:color w:val="000000" w:themeColor="text1"/>
          <w:szCs w:val="20"/>
        </w:rPr>
      </w:pPr>
      <w:r w:rsidRPr="00724CA2">
        <w:rPr>
          <w:rFonts w:ascii="Times New Roman" w:hAnsi="Times New Roman" w:cs="Times New Roman"/>
          <w:color w:val="000000" w:themeColor="text1"/>
          <w:szCs w:val="20"/>
        </w:rPr>
        <w:t>Green mutual funds include funds with the objectives of environmental protection, energy saving, adoption of clean energy, reduction of pollution and carbon emission.</w:t>
      </w:r>
      <w:r w:rsidRPr="00724CA2">
        <w:rPr>
          <w:rFonts w:ascii="Times New Roman" w:hAnsi="Times New Roman" w:cs="Times New Roman"/>
          <w:bCs/>
          <w:iCs/>
          <w:color w:val="000000" w:themeColor="text1"/>
          <w:szCs w:val="20"/>
        </w:rPr>
        <w:t xml:space="preserve"> </w:t>
      </w:r>
      <w:r w:rsidR="00285EB4" w:rsidRPr="00724CA2">
        <w:rPr>
          <w:rFonts w:ascii="Times New Roman" w:hAnsi="Times New Roman" w:cs="Times New Roman"/>
          <w:bCs/>
          <w:iCs/>
          <w:color w:val="000000" w:themeColor="text1"/>
          <w:szCs w:val="20"/>
        </w:rPr>
        <w:t xml:space="preserve">Models 3-4 reports the instrumental variable (IV) regression </w:t>
      </w:r>
      <w:r w:rsidR="00676AE6" w:rsidRPr="00724CA2">
        <w:rPr>
          <w:rFonts w:ascii="Times New Roman" w:hAnsi="Times New Roman" w:cs="Times New Roman"/>
          <w:bCs/>
          <w:iCs/>
          <w:color w:val="000000" w:themeColor="text1"/>
          <w:szCs w:val="20"/>
        </w:rPr>
        <w:t>results,</w:t>
      </w:r>
      <w:r w:rsidR="00987259" w:rsidRPr="00724CA2">
        <w:rPr>
          <w:rFonts w:ascii="Times New Roman" w:hAnsi="Times New Roman" w:cs="Times New Roman"/>
          <w:bCs/>
          <w:iCs/>
          <w:color w:val="000000" w:themeColor="text1"/>
          <w:szCs w:val="20"/>
        </w:rPr>
        <w:t xml:space="preserve"> and three instrumental variables are included</w:t>
      </w:r>
      <w:r w:rsidR="00676AE6" w:rsidRPr="00724CA2">
        <w:rPr>
          <w:rFonts w:ascii="Times New Roman" w:hAnsi="Times New Roman" w:cs="Times New Roman"/>
          <w:bCs/>
          <w:iCs/>
          <w:color w:val="000000" w:themeColor="text1"/>
          <w:szCs w:val="20"/>
        </w:rPr>
        <w:t xml:space="preserve"> i.e.,</w:t>
      </w:r>
      <w:r w:rsidR="00987259" w:rsidRPr="00724CA2">
        <w:rPr>
          <w:rFonts w:ascii="Times New Roman" w:hAnsi="Times New Roman" w:cs="Times New Roman"/>
          <w:bCs/>
          <w:iCs/>
          <w:color w:val="000000" w:themeColor="text1"/>
          <w:szCs w:val="20"/>
        </w:rPr>
        <w:t xml:space="preserve"> lagged mutual fund ownership, the CSI 300 index, and industry mean mutual fund holdings</w:t>
      </w:r>
      <w:r w:rsidR="00676AE6" w:rsidRPr="00724CA2">
        <w:rPr>
          <w:rFonts w:ascii="Times New Roman" w:hAnsi="Times New Roman" w:cs="Times New Roman"/>
          <w:bCs/>
          <w:iCs/>
          <w:color w:val="000000" w:themeColor="text1"/>
          <w:szCs w:val="20"/>
        </w:rPr>
        <w:t xml:space="preserve">. </w:t>
      </w:r>
      <w:r w:rsidR="00746333" w:rsidRPr="00724CA2">
        <w:rPr>
          <w:rFonts w:ascii="Times New Roman" w:hAnsi="Times New Roman" w:cs="Times New Roman"/>
          <w:bCs/>
          <w:iCs/>
          <w:color w:val="000000" w:themeColor="text1"/>
          <w:szCs w:val="20"/>
        </w:rPr>
        <w:t xml:space="preserve">In Model 5, </w:t>
      </w:r>
      <w:r w:rsidR="00C13316" w:rsidRPr="00724CA2">
        <w:rPr>
          <w:rFonts w:ascii="Times New Roman" w:hAnsi="Times New Roman" w:cs="Times New Roman"/>
          <w:bCs/>
          <w:iCs/>
          <w:color w:val="000000" w:themeColor="text1"/>
          <w:szCs w:val="20"/>
        </w:rPr>
        <w:t xml:space="preserve">green mutual fund is the percentage of shareholding coming from sustainable and green mutual funds in total shareholding for each firm. </w:t>
      </w:r>
      <w:r w:rsidRPr="00724CA2">
        <w:rPr>
          <w:rFonts w:ascii="Times New Roman" w:hAnsi="Times New Roman" w:cs="Times New Roman"/>
          <w:color w:val="000000" w:themeColor="text1"/>
          <w:szCs w:val="20"/>
        </w:rPr>
        <w:t>Robust standard errors, clustered at the industry level, are reported in parentheses. *, **, and *** represent significance at the 0.10, 0.05, and 0.01 levels, respectively. The definitions of the variables are summarized in Table 1.</w:t>
      </w:r>
      <w:r w:rsidR="00935AF7" w:rsidRPr="00724CA2">
        <w:rPr>
          <w:rFonts w:ascii="Times New Roman" w:hAnsi="Times New Roman" w:cs="Times New Roman"/>
          <w:color w:val="000000" w:themeColor="text1"/>
          <w:szCs w:val="20"/>
        </w:rPr>
        <w:br w:type="page"/>
      </w:r>
    </w:p>
    <w:p w14:paraId="1EBAA2C8" w14:textId="65E2B2B7" w:rsidR="00EC11E6" w:rsidRPr="00724CA2" w:rsidRDefault="00EC11E6" w:rsidP="00EC11E6">
      <w:pPr>
        <w:spacing w:after="0"/>
        <w:jc w:val="both"/>
        <w:rPr>
          <w:rFonts w:ascii="Times New Roman" w:hAnsi="Times New Roman" w:cs="Times New Roman"/>
          <w:color w:val="000000" w:themeColor="text1"/>
        </w:rPr>
      </w:pPr>
      <w:r w:rsidRPr="00724CA2">
        <w:rPr>
          <w:rFonts w:ascii="Times New Roman" w:hAnsi="Times New Roman" w:cs="Times New Roman"/>
          <w:b/>
          <w:color w:val="000000" w:themeColor="text1"/>
        </w:rPr>
        <w:t xml:space="preserve">Table 8 </w:t>
      </w:r>
      <w:r w:rsidRPr="00724CA2">
        <w:rPr>
          <w:rFonts w:ascii="Times New Roman" w:hAnsi="Times New Roman" w:cs="Times New Roman"/>
          <w:bCs/>
          <w:color w:val="000000" w:themeColor="text1"/>
        </w:rPr>
        <w:t>Robustness tests: sub-group analysis by state ownership and legal environment</w:t>
      </w:r>
    </w:p>
    <w:tbl>
      <w:tblPr>
        <w:tblStyle w:val="TableGrid"/>
        <w:tblW w:w="8997" w:type="dxa"/>
        <w:jc w:val="center"/>
        <w:tblBorders>
          <w:top w:val="single" w:sz="12" w:space="0" w:color="auto"/>
          <w:bottom w:val="single" w:sz="12" w:space="0" w:color="auto"/>
          <w:insideH w:val="none" w:sz="0" w:space="0" w:color="auto"/>
          <w:insideV w:val="none" w:sz="0" w:space="0" w:color="auto"/>
        </w:tblBorders>
        <w:tblLayout w:type="fixed"/>
        <w:tblLook w:val="04A0" w:firstRow="1" w:lastRow="0" w:firstColumn="1" w:lastColumn="0" w:noHBand="0" w:noVBand="1"/>
      </w:tblPr>
      <w:tblGrid>
        <w:gridCol w:w="2450"/>
        <w:gridCol w:w="1636"/>
        <w:gridCol w:w="1637"/>
        <w:gridCol w:w="1637"/>
        <w:gridCol w:w="1637"/>
      </w:tblGrid>
      <w:tr w:rsidR="00724CA2" w:rsidRPr="00724CA2" w14:paraId="179A7F99" w14:textId="7132A1E3" w:rsidTr="00EC11E6">
        <w:trPr>
          <w:trHeight w:val="289"/>
          <w:jc w:val="center"/>
        </w:trPr>
        <w:tc>
          <w:tcPr>
            <w:tcW w:w="2450" w:type="dxa"/>
            <w:tcBorders>
              <w:top w:val="single" w:sz="12" w:space="0" w:color="auto"/>
              <w:bottom w:val="single" w:sz="4" w:space="0" w:color="auto"/>
            </w:tcBorders>
            <w:noWrap/>
            <w:vAlign w:val="center"/>
            <w:hideMark/>
          </w:tcPr>
          <w:p w14:paraId="7903A599" w14:textId="77777777" w:rsidR="00EC11E6" w:rsidRPr="00724CA2" w:rsidRDefault="00EC11E6" w:rsidP="00135CA2">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Variables</w:t>
            </w:r>
          </w:p>
        </w:tc>
        <w:tc>
          <w:tcPr>
            <w:tcW w:w="1636" w:type="dxa"/>
            <w:tcBorders>
              <w:top w:val="single" w:sz="12" w:space="0" w:color="auto"/>
              <w:bottom w:val="single" w:sz="4" w:space="0" w:color="auto"/>
            </w:tcBorders>
            <w:noWrap/>
            <w:vAlign w:val="center"/>
            <w:hideMark/>
          </w:tcPr>
          <w:p w14:paraId="77FBB8AA" w14:textId="77777777" w:rsidR="00EC11E6" w:rsidRPr="00724CA2" w:rsidRDefault="00EC11E6" w:rsidP="00135CA2">
            <w:pPr>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Model 1</w:t>
            </w:r>
            <w:r w:rsidRPr="00724CA2">
              <w:rPr>
                <w:rFonts w:ascii="Times New Roman" w:hAnsi="Times New Roman" w:cs="Times New Roman" w:hint="eastAsia"/>
                <w:color w:val="000000" w:themeColor="text1"/>
                <w:lang w:val="en-US"/>
              </w:rPr>
              <w:t xml:space="preserve"> </w:t>
            </w:r>
          </w:p>
          <w:p w14:paraId="1C83B1CD" w14:textId="794F7300" w:rsidR="00EC11E6" w:rsidRPr="00724CA2" w:rsidRDefault="00EC11E6" w:rsidP="00135CA2">
            <w:pPr>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non-SOEs</w:t>
            </w:r>
          </w:p>
        </w:tc>
        <w:tc>
          <w:tcPr>
            <w:tcW w:w="1637" w:type="dxa"/>
            <w:tcBorders>
              <w:top w:val="single" w:sz="12" w:space="0" w:color="auto"/>
              <w:bottom w:val="single" w:sz="4" w:space="0" w:color="auto"/>
            </w:tcBorders>
            <w:noWrap/>
            <w:vAlign w:val="center"/>
            <w:hideMark/>
          </w:tcPr>
          <w:p w14:paraId="3C6ABC30" w14:textId="419302A9" w:rsidR="00EC11E6" w:rsidRPr="00724CA2" w:rsidRDefault="00EC11E6" w:rsidP="00EC11E6">
            <w:pPr>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Model 2</w:t>
            </w:r>
            <w:r w:rsidRPr="00724CA2">
              <w:rPr>
                <w:rFonts w:ascii="Times New Roman" w:hAnsi="Times New Roman" w:cs="Times New Roman" w:hint="eastAsia"/>
                <w:color w:val="000000" w:themeColor="text1"/>
                <w:lang w:val="en-US"/>
              </w:rPr>
              <w:t xml:space="preserve"> </w:t>
            </w:r>
          </w:p>
          <w:p w14:paraId="18DAA938" w14:textId="03D0780C" w:rsidR="00EC11E6" w:rsidRPr="00724CA2" w:rsidRDefault="00EC11E6" w:rsidP="00EC11E6">
            <w:pPr>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SOEs</w:t>
            </w:r>
          </w:p>
        </w:tc>
        <w:tc>
          <w:tcPr>
            <w:tcW w:w="1637" w:type="dxa"/>
            <w:tcBorders>
              <w:top w:val="single" w:sz="12" w:space="0" w:color="auto"/>
              <w:bottom w:val="single" w:sz="4" w:space="0" w:color="auto"/>
            </w:tcBorders>
            <w:vAlign w:val="center"/>
          </w:tcPr>
          <w:p w14:paraId="4890E06D" w14:textId="39433A77" w:rsidR="00EC11E6" w:rsidRPr="00724CA2" w:rsidRDefault="00EC11E6" w:rsidP="00EC11E6">
            <w:pPr>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Model 3</w:t>
            </w:r>
            <w:r w:rsidRPr="00724CA2">
              <w:rPr>
                <w:rFonts w:ascii="Times New Roman" w:hAnsi="Times New Roman" w:cs="Times New Roman" w:hint="eastAsia"/>
                <w:color w:val="000000" w:themeColor="text1"/>
                <w:lang w:val="en-US"/>
              </w:rPr>
              <w:t xml:space="preserve"> </w:t>
            </w:r>
          </w:p>
          <w:p w14:paraId="4C197820" w14:textId="5E2FB263" w:rsidR="00EC11E6" w:rsidRPr="00724CA2" w:rsidRDefault="00EC11E6" w:rsidP="00EC11E6">
            <w:pPr>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Weak legal environment</w:t>
            </w:r>
          </w:p>
        </w:tc>
        <w:tc>
          <w:tcPr>
            <w:tcW w:w="1637" w:type="dxa"/>
            <w:tcBorders>
              <w:top w:val="single" w:sz="12" w:space="0" w:color="auto"/>
              <w:bottom w:val="single" w:sz="4" w:space="0" w:color="auto"/>
            </w:tcBorders>
            <w:vAlign w:val="center"/>
          </w:tcPr>
          <w:p w14:paraId="54650B54" w14:textId="1FDAA905" w:rsidR="00EC11E6" w:rsidRPr="00724CA2" w:rsidRDefault="00EC11E6" w:rsidP="00EC11E6">
            <w:pPr>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Model 4</w:t>
            </w:r>
            <w:r w:rsidRPr="00724CA2">
              <w:rPr>
                <w:rFonts w:ascii="Times New Roman" w:hAnsi="Times New Roman" w:cs="Times New Roman" w:hint="eastAsia"/>
                <w:color w:val="000000" w:themeColor="text1"/>
                <w:lang w:val="en-US"/>
              </w:rPr>
              <w:t xml:space="preserve"> </w:t>
            </w:r>
          </w:p>
          <w:p w14:paraId="3E798138" w14:textId="0E83B184" w:rsidR="00EC11E6" w:rsidRPr="00724CA2" w:rsidRDefault="00EC11E6" w:rsidP="00EC11E6">
            <w:pPr>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Strong legal environment</w:t>
            </w:r>
          </w:p>
        </w:tc>
      </w:tr>
      <w:tr w:rsidR="00724CA2" w:rsidRPr="00724CA2" w14:paraId="2AB0030C" w14:textId="565F0FA5" w:rsidTr="00694AA9">
        <w:trPr>
          <w:trHeight w:val="289"/>
          <w:jc w:val="center"/>
        </w:trPr>
        <w:tc>
          <w:tcPr>
            <w:tcW w:w="2450" w:type="dxa"/>
            <w:tcBorders>
              <w:top w:val="single" w:sz="4" w:space="0" w:color="auto"/>
            </w:tcBorders>
            <w:noWrap/>
            <w:vAlign w:val="center"/>
            <w:hideMark/>
          </w:tcPr>
          <w:p w14:paraId="1D1DC82E" w14:textId="77777777" w:rsidR="00EC11E6" w:rsidRPr="00724CA2" w:rsidRDefault="00EC11E6" w:rsidP="00EC11E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rPr>
              <w:t>Mutual fund</w:t>
            </w:r>
          </w:p>
        </w:tc>
        <w:tc>
          <w:tcPr>
            <w:tcW w:w="1636" w:type="dxa"/>
            <w:tcBorders>
              <w:top w:val="nil"/>
              <w:left w:val="nil"/>
              <w:bottom w:val="nil"/>
              <w:right w:val="nil"/>
            </w:tcBorders>
            <w:shd w:val="clear" w:color="auto" w:fill="auto"/>
            <w:noWrap/>
            <w:vAlign w:val="bottom"/>
          </w:tcPr>
          <w:p w14:paraId="1A955E03" w14:textId="203AF564"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3.438***</w:t>
            </w:r>
          </w:p>
        </w:tc>
        <w:tc>
          <w:tcPr>
            <w:tcW w:w="1637" w:type="dxa"/>
            <w:tcBorders>
              <w:top w:val="nil"/>
              <w:left w:val="nil"/>
              <w:bottom w:val="nil"/>
              <w:right w:val="nil"/>
            </w:tcBorders>
            <w:shd w:val="clear" w:color="auto" w:fill="auto"/>
            <w:noWrap/>
            <w:vAlign w:val="bottom"/>
          </w:tcPr>
          <w:p w14:paraId="6F444FA3" w14:textId="32428AC8"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4.578***</w:t>
            </w:r>
          </w:p>
        </w:tc>
        <w:tc>
          <w:tcPr>
            <w:tcW w:w="1637" w:type="dxa"/>
            <w:tcBorders>
              <w:top w:val="nil"/>
              <w:left w:val="nil"/>
              <w:bottom w:val="nil"/>
              <w:right w:val="nil"/>
            </w:tcBorders>
            <w:shd w:val="clear" w:color="auto" w:fill="auto"/>
            <w:vAlign w:val="bottom"/>
          </w:tcPr>
          <w:p w14:paraId="257A25F2" w14:textId="3DD2F23F"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3.089**</w:t>
            </w:r>
          </w:p>
        </w:tc>
        <w:tc>
          <w:tcPr>
            <w:tcW w:w="1637" w:type="dxa"/>
            <w:tcBorders>
              <w:top w:val="nil"/>
              <w:left w:val="nil"/>
              <w:bottom w:val="nil"/>
              <w:right w:val="nil"/>
            </w:tcBorders>
            <w:shd w:val="clear" w:color="auto" w:fill="auto"/>
            <w:vAlign w:val="bottom"/>
          </w:tcPr>
          <w:p w14:paraId="17E7FFAA" w14:textId="60A441B0"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4.537***</w:t>
            </w:r>
          </w:p>
        </w:tc>
      </w:tr>
      <w:tr w:rsidR="00724CA2" w:rsidRPr="00724CA2" w14:paraId="7F0C5A9B" w14:textId="3A47E49D" w:rsidTr="00694AA9">
        <w:trPr>
          <w:trHeight w:val="289"/>
          <w:jc w:val="center"/>
        </w:trPr>
        <w:tc>
          <w:tcPr>
            <w:tcW w:w="2450" w:type="dxa"/>
            <w:noWrap/>
            <w:vAlign w:val="center"/>
            <w:hideMark/>
          </w:tcPr>
          <w:p w14:paraId="3D71AD50" w14:textId="77777777" w:rsidR="00EC11E6" w:rsidRPr="00724CA2" w:rsidRDefault="00EC11E6" w:rsidP="00EC11E6">
            <w:pPr>
              <w:jc w:val="both"/>
              <w:rPr>
                <w:rFonts w:ascii="Times New Roman" w:hAnsi="Times New Roman" w:cs="Times New Roman"/>
                <w:color w:val="000000" w:themeColor="text1"/>
                <w:lang w:val="en-US"/>
              </w:rPr>
            </w:pPr>
          </w:p>
        </w:tc>
        <w:tc>
          <w:tcPr>
            <w:tcW w:w="1636" w:type="dxa"/>
            <w:tcBorders>
              <w:top w:val="nil"/>
              <w:left w:val="nil"/>
              <w:bottom w:val="nil"/>
              <w:right w:val="nil"/>
            </w:tcBorders>
            <w:shd w:val="clear" w:color="auto" w:fill="auto"/>
            <w:noWrap/>
            <w:vAlign w:val="bottom"/>
          </w:tcPr>
          <w:p w14:paraId="4D12BA9E" w14:textId="700AD3FF"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(0.462)</w:t>
            </w:r>
          </w:p>
        </w:tc>
        <w:tc>
          <w:tcPr>
            <w:tcW w:w="1637" w:type="dxa"/>
            <w:tcBorders>
              <w:top w:val="nil"/>
              <w:left w:val="nil"/>
              <w:bottom w:val="nil"/>
              <w:right w:val="nil"/>
            </w:tcBorders>
            <w:shd w:val="clear" w:color="auto" w:fill="auto"/>
            <w:noWrap/>
            <w:vAlign w:val="bottom"/>
          </w:tcPr>
          <w:p w14:paraId="628E1018" w14:textId="768BBB75"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(0.696)</w:t>
            </w:r>
          </w:p>
        </w:tc>
        <w:tc>
          <w:tcPr>
            <w:tcW w:w="1637" w:type="dxa"/>
            <w:tcBorders>
              <w:top w:val="nil"/>
              <w:left w:val="nil"/>
              <w:bottom w:val="nil"/>
              <w:right w:val="nil"/>
            </w:tcBorders>
            <w:shd w:val="clear" w:color="auto" w:fill="auto"/>
            <w:vAlign w:val="bottom"/>
          </w:tcPr>
          <w:p w14:paraId="79E68689" w14:textId="69A373E2"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(1.319)</w:t>
            </w:r>
          </w:p>
        </w:tc>
        <w:tc>
          <w:tcPr>
            <w:tcW w:w="1637" w:type="dxa"/>
            <w:tcBorders>
              <w:top w:val="nil"/>
              <w:left w:val="nil"/>
              <w:bottom w:val="nil"/>
              <w:right w:val="nil"/>
            </w:tcBorders>
            <w:shd w:val="clear" w:color="auto" w:fill="auto"/>
            <w:vAlign w:val="bottom"/>
          </w:tcPr>
          <w:p w14:paraId="731A3C4A" w14:textId="3EA19306"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(0.346)</w:t>
            </w:r>
          </w:p>
        </w:tc>
      </w:tr>
      <w:tr w:rsidR="00724CA2" w:rsidRPr="00724CA2" w14:paraId="0772A5C9" w14:textId="5087DA3E" w:rsidTr="00694AA9">
        <w:trPr>
          <w:trHeight w:val="289"/>
          <w:jc w:val="center"/>
        </w:trPr>
        <w:tc>
          <w:tcPr>
            <w:tcW w:w="2450" w:type="dxa"/>
            <w:noWrap/>
            <w:vAlign w:val="center"/>
          </w:tcPr>
          <w:p w14:paraId="17FCF01C" w14:textId="77777777" w:rsidR="00EC11E6" w:rsidRPr="00724CA2" w:rsidRDefault="00EC11E6" w:rsidP="00EC11E6">
            <w:pPr>
              <w:jc w:val="both"/>
              <w:rPr>
                <w:rFonts w:ascii="Times New Roman" w:hAnsi="Times New Roman" w:cs="Times New Roman"/>
                <w:color w:val="000000" w:themeColor="text1"/>
                <w:lang w:val="en-US"/>
              </w:rPr>
            </w:pPr>
            <w:r w:rsidRPr="00724CA2">
              <w:rPr>
                <w:rFonts w:ascii="Times New Roman" w:hAnsi="Times New Roman" w:cs="Times New Roman" w:hint="eastAsia"/>
                <w:color w:val="000000" w:themeColor="text1"/>
                <w:lang w:val="en-US"/>
              </w:rPr>
              <w:t>S</w:t>
            </w:r>
            <w:r w:rsidRPr="00724CA2">
              <w:rPr>
                <w:rFonts w:ascii="Times New Roman" w:hAnsi="Times New Roman" w:cs="Times New Roman"/>
                <w:color w:val="000000" w:themeColor="text1"/>
                <w:lang w:val="en-US"/>
              </w:rPr>
              <w:t>ociety</w:t>
            </w:r>
          </w:p>
        </w:tc>
        <w:tc>
          <w:tcPr>
            <w:tcW w:w="1636" w:type="dxa"/>
            <w:tcBorders>
              <w:top w:val="nil"/>
              <w:left w:val="nil"/>
              <w:bottom w:val="nil"/>
              <w:right w:val="nil"/>
            </w:tcBorders>
            <w:shd w:val="clear" w:color="auto" w:fill="auto"/>
            <w:noWrap/>
            <w:vAlign w:val="bottom"/>
          </w:tcPr>
          <w:p w14:paraId="5D942921" w14:textId="19DEFFCC"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0.022***</w:t>
            </w:r>
          </w:p>
        </w:tc>
        <w:tc>
          <w:tcPr>
            <w:tcW w:w="1637" w:type="dxa"/>
            <w:tcBorders>
              <w:top w:val="nil"/>
              <w:left w:val="nil"/>
              <w:bottom w:val="nil"/>
              <w:right w:val="nil"/>
            </w:tcBorders>
            <w:shd w:val="clear" w:color="auto" w:fill="auto"/>
            <w:noWrap/>
            <w:vAlign w:val="bottom"/>
          </w:tcPr>
          <w:p w14:paraId="17FAB15B" w14:textId="1B415F58"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0.009*</w:t>
            </w:r>
          </w:p>
        </w:tc>
        <w:tc>
          <w:tcPr>
            <w:tcW w:w="1637" w:type="dxa"/>
            <w:tcBorders>
              <w:top w:val="nil"/>
              <w:left w:val="nil"/>
              <w:bottom w:val="nil"/>
              <w:right w:val="nil"/>
            </w:tcBorders>
            <w:shd w:val="clear" w:color="auto" w:fill="auto"/>
            <w:vAlign w:val="bottom"/>
          </w:tcPr>
          <w:p w14:paraId="4ED65FF8" w14:textId="35F3810C"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0.017</w:t>
            </w:r>
          </w:p>
        </w:tc>
        <w:tc>
          <w:tcPr>
            <w:tcW w:w="1637" w:type="dxa"/>
            <w:tcBorders>
              <w:top w:val="nil"/>
              <w:left w:val="nil"/>
              <w:bottom w:val="nil"/>
              <w:right w:val="nil"/>
            </w:tcBorders>
            <w:shd w:val="clear" w:color="auto" w:fill="auto"/>
            <w:vAlign w:val="bottom"/>
          </w:tcPr>
          <w:p w14:paraId="06CC6401" w14:textId="59AA672D"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0.013**</w:t>
            </w:r>
          </w:p>
        </w:tc>
      </w:tr>
      <w:tr w:rsidR="00724CA2" w:rsidRPr="00724CA2" w14:paraId="29312DC4" w14:textId="6A2527EB" w:rsidTr="00694AA9">
        <w:trPr>
          <w:trHeight w:val="289"/>
          <w:jc w:val="center"/>
        </w:trPr>
        <w:tc>
          <w:tcPr>
            <w:tcW w:w="2450" w:type="dxa"/>
            <w:noWrap/>
            <w:vAlign w:val="center"/>
          </w:tcPr>
          <w:p w14:paraId="544ECC90" w14:textId="77777777" w:rsidR="00EC11E6" w:rsidRPr="00724CA2" w:rsidRDefault="00EC11E6" w:rsidP="00EC11E6">
            <w:pPr>
              <w:jc w:val="both"/>
              <w:rPr>
                <w:rFonts w:ascii="Times New Roman" w:hAnsi="Times New Roman" w:cs="Times New Roman"/>
                <w:color w:val="000000" w:themeColor="text1"/>
                <w:lang w:val="en-US"/>
              </w:rPr>
            </w:pPr>
          </w:p>
        </w:tc>
        <w:tc>
          <w:tcPr>
            <w:tcW w:w="1636" w:type="dxa"/>
            <w:tcBorders>
              <w:top w:val="nil"/>
              <w:left w:val="nil"/>
              <w:bottom w:val="nil"/>
              <w:right w:val="nil"/>
            </w:tcBorders>
            <w:shd w:val="clear" w:color="auto" w:fill="auto"/>
            <w:noWrap/>
            <w:vAlign w:val="bottom"/>
          </w:tcPr>
          <w:p w14:paraId="6E0A8128" w14:textId="66C083CF"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(0.007)</w:t>
            </w:r>
          </w:p>
        </w:tc>
        <w:tc>
          <w:tcPr>
            <w:tcW w:w="1637" w:type="dxa"/>
            <w:tcBorders>
              <w:top w:val="nil"/>
              <w:left w:val="nil"/>
              <w:bottom w:val="nil"/>
              <w:right w:val="nil"/>
            </w:tcBorders>
            <w:shd w:val="clear" w:color="auto" w:fill="auto"/>
            <w:noWrap/>
            <w:vAlign w:val="bottom"/>
          </w:tcPr>
          <w:p w14:paraId="2409DB5C" w14:textId="083B2C34"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(0.005)</w:t>
            </w:r>
          </w:p>
        </w:tc>
        <w:tc>
          <w:tcPr>
            <w:tcW w:w="1637" w:type="dxa"/>
            <w:tcBorders>
              <w:top w:val="nil"/>
              <w:left w:val="nil"/>
              <w:bottom w:val="nil"/>
              <w:right w:val="nil"/>
            </w:tcBorders>
            <w:shd w:val="clear" w:color="auto" w:fill="auto"/>
            <w:vAlign w:val="bottom"/>
          </w:tcPr>
          <w:p w14:paraId="73EDF43E" w14:textId="611B8A1A"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(0.010)</w:t>
            </w:r>
          </w:p>
        </w:tc>
        <w:tc>
          <w:tcPr>
            <w:tcW w:w="1637" w:type="dxa"/>
            <w:tcBorders>
              <w:top w:val="nil"/>
              <w:left w:val="nil"/>
              <w:bottom w:val="nil"/>
              <w:right w:val="nil"/>
            </w:tcBorders>
            <w:shd w:val="clear" w:color="auto" w:fill="auto"/>
            <w:vAlign w:val="bottom"/>
          </w:tcPr>
          <w:p w14:paraId="2E794CFF" w14:textId="788DF5A7"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(0.004)</w:t>
            </w:r>
          </w:p>
        </w:tc>
      </w:tr>
      <w:tr w:rsidR="00724CA2" w:rsidRPr="00724CA2" w14:paraId="30E4D242" w14:textId="7E8B9851" w:rsidTr="00694AA9">
        <w:trPr>
          <w:trHeight w:val="289"/>
          <w:jc w:val="center"/>
        </w:trPr>
        <w:tc>
          <w:tcPr>
            <w:tcW w:w="2450" w:type="dxa"/>
            <w:noWrap/>
            <w:vAlign w:val="center"/>
          </w:tcPr>
          <w:p w14:paraId="5EB58DC5" w14:textId="77777777" w:rsidR="00EC11E6" w:rsidRPr="00724CA2" w:rsidRDefault="00EC11E6" w:rsidP="00EC11E6">
            <w:pPr>
              <w:jc w:val="both"/>
              <w:rPr>
                <w:rFonts w:ascii="Times New Roman" w:hAnsi="Times New Roman" w:cs="Times New Roman"/>
                <w:color w:val="000000" w:themeColor="text1"/>
                <w:lang w:val="en-US"/>
              </w:rPr>
            </w:pPr>
            <w:r w:rsidRPr="00724CA2">
              <w:rPr>
                <w:rFonts w:ascii="Times New Roman" w:hAnsi="Times New Roman" w:cs="Times New Roman" w:hint="eastAsia"/>
                <w:color w:val="000000" w:themeColor="text1"/>
                <w:lang w:val="en-US"/>
              </w:rPr>
              <w:t>G</w:t>
            </w:r>
            <w:r w:rsidRPr="00724CA2">
              <w:rPr>
                <w:rFonts w:ascii="Times New Roman" w:hAnsi="Times New Roman" w:cs="Times New Roman"/>
                <w:color w:val="000000" w:themeColor="text1"/>
                <w:lang w:val="en-US"/>
              </w:rPr>
              <w:t>overnance</w:t>
            </w:r>
          </w:p>
        </w:tc>
        <w:tc>
          <w:tcPr>
            <w:tcW w:w="1636" w:type="dxa"/>
            <w:tcBorders>
              <w:top w:val="nil"/>
              <w:left w:val="nil"/>
              <w:bottom w:val="nil"/>
              <w:right w:val="nil"/>
            </w:tcBorders>
            <w:shd w:val="clear" w:color="auto" w:fill="auto"/>
            <w:noWrap/>
            <w:vAlign w:val="bottom"/>
          </w:tcPr>
          <w:p w14:paraId="760CA909" w14:textId="5C0AF569"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0.010</w:t>
            </w:r>
          </w:p>
        </w:tc>
        <w:tc>
          <w:tcPr>
            <w:tcW w:w="1637" w:type="dxa"/>
            <w:tcBorders>
              <w:top w:val="nil"/>
              <w:left w:val="nil"/>
              <w:bottom w:val="nil"/>
              <w:right w:val="nil"/>
            </w:tcBorders>
            <w:shd w:val="clear" w:color="auto" w:fill="auto"/>
            <w:noWrap/>
            <w:vAlign w:val="bottom"/>
          </w:tcPr>
          <w:p w14:paraId="5EBDC2BE" w14:textId="5CD16951"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0.041**</w:t>
            </w:r>
          </w:p>
        </w:tc>
        <w:tc>
          <w:tcPr>
            <w:tcW w:w="1637" w:type="dxa"/>
            <w:tcBorders>
              <w:top w:val="nil"/>
              <w:left w:val="nil"/>
              <w:bottom w:val="nil"/>
              <w:right w:val="nil"/>
            </w:tcBorders>
            <w:shd w:val="clear" w:color="auto" w:fill="auto"/>
            <w:vAlign w:val="bottom"/>
          </w:tcPr>
          <w:p w14:paraId="00CE8064" w14:textId="68C2294E"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0.033***</w:t>
            </w:r>
          </w:p>
        </w:tc>
        <w:tc>
          <w:tcPr>
            <w:tcW w:w="1637" w:type="dxa"/>
            <w:tcBorders>
              <w:top w:val="nil"/>
              <w:left w:val="nil"/>
              <w:bottom w:val="nil"/>
              <w:right w:val="nil"/>
            </w:tcBorders>
            <w:shd w:val="clear" w:color="auto" w:fill="auto"/>
            <w:vAlign w:val="bottom"/>
          </w:tcPr>
          <w:p w14:paraId="4C5F58C8" w14:textId="7BB79037"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0.020</w:t>
            </w:r>
          </w:p>
        </w:tc>
      </w:tr>
      <w:tr w:rsidR="00724CA2" w:rsidRPr="00724CA2" w14:paraId="38E90CB1" w14:textId="00DDC627" w:rsidTr="00694AA9">
        <w:trPr>
          <w:trHeight w:val="289"/>
          <w:jc w:val="center"/>
        </w:trPr>
        <w:tc>
          <w:tcPr>
            <w:tcW w:w="2450" w:type="dxa"/>
            <w:noWrap/>
            <w:vAlign w:val="center"/>
          </w:tcPr>
          <w:p w14:paraId="556302A5" w14:textId="77777777" w:rsidR="00EC11E6" w:rsidRPr="00724CA2" w:rsidRDefault="00EC11E6" w:rsidP="00EC11E6">
            <w:pPr>
              <w:jc w:val="both"/>
              <w:rPr>
                <w:rFonts w:ascii="Times New Roman" w:hAnsi="Times New Roman" w:cs="Times New Roman"/>
                <w:color w:val="000000" w:themeColor="text1"/>
                <w:lang w:val="en-US"/>
              </w:rPr>
            </w:pPr>
          </w:p>
        </w:tc>
        <w:tc>
          <w:tcPr>
            <w:tcW w:w="1636" w:type="dxa"/>
            <w:tcBorders>
              <w:top w:val="nil"/>
              <w:left w:val="nil"/>
              <w:bottom w:val="nil"/>
              <w:right w:val="nil"/>
            </w:tcBorders>
            <w:shd w:val="clear" w:color="auto" w:fill="auto"/>
            <w:noWrap/>
            <w:vAlign w:val="bottom"/>
          </w:tcPr>
          <w:p w14:paraId="52695785" w14:textId="30CE7A11"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(0.007)</w:t>
            </w:r>
          </w:p>
        </w:tc>
        <w:tc>
          <w:tcPr>
            <w:tcW w:w="1637" w:type="dxa"/>
            <w:tcBorders>
              <w:top w:val="nil"/>
              <w:left w:val="nil"/>
              <w:bottom w:val="nil"/>
              <w:right w:val="nil"/>
            </w:tcBorders>
            <w:shd w:val="clear" w:color="auto" w:fill="auto"/>
            <w:noWrap/>
            <w:vAlign w:val="bottom"/>
          </w:tcPr>
          <w:p w14:paraId="2E4F7284" w14:textId="7C4A990D"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(0.017)</w:t>
            </w:r>
          </w:p>
        </w:tc>
        <w:tc>
          <w:tcPr>
            <w:tcW w:w="1637" w:type="dxa"/>
            <w:tcBorders>
              <w:top w:val="nil"/>
              <w:left w:val="nil"/>
              <w:bottom w:val="nil"/>
              <w:right w:val="nil"/>
            </w:tcBorders>
            <w:shd w:val="clear" w:color="auto" w:fill="auto"/>
            <w:vAlign w:val="bottom"/>
          </w:tcPr>
          <w:p w14:paraId="2888CFFC" w14:textId="54DE7FAF"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(0.011)</w:t>
            </w:r>
          </w:p>
        </w:tc>
        <w:tc>
          <w:tcPr>
            <w:tcW w:w="1637" w:type="dxa"/>
            <w:tcBorders>
              <w:top w:val="nil"/>
              <w:left w:val="nil"/>
              <w:bottom w:val="nil"/>
              <w:right w:val="nil"/>
            </w:tcBorders>
            <w:shd w:val="clear" w:color="auto" w:fill="auto"/>
            <w:vAlign w:val="bottom"/>
          </w:tcPr>
          <w:p w14:paraId="5707834F" w14:textId="76D52F11"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(0.014)</w:t>
            </w:r>
          </w:p>
        </w:tc>
      </w:tr>
      <w:tr w:rsidR="00724CA2" w:rsidRPr="00724CA2" w14:paraId="10BFB4DC" w14:textId="56454FEE" w:rsidTr="00694AA9">
        <w:trPr>
          <w:trHeight w:val="289"/>
          <w:jc w:val="center"/>
        </w:trPr>
        <w:tc>
          <w:tcPr>
            <w:tcW w:w="2450" w:type="dxa"/>
            <w:noWrap/>
            <w:vAlign w:val="center"/>
            <w:hideMark/>
          </w:tcPr>
          <w:p w14:paraId="5F98BADD" w14:textId="77777777" w:rsidR="00EC11E6" w:rsidRPr="00724CA2" w:rsidRDefault="00EC11E6" w:rsidP="00EC11E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Duality</w:t>
            </w:r>
          </w:p>
        </w:tc>
        <w:tc>
          <w:tcPr>
            <w:tcW w:w="1636" w:type="dxa"/>
            <w:tcBorders>
              <w:top w:val="nil"/>
              <w:left w:val="nil"/>
              <w:bottom w:val="nil"/>
              <w:right w:val="nil"/>
            </w:tcBorders>
            <w:shd w:val="clear" w:color="auto" w:fill="auto"/>
            <w:noWrap/>
            <w:vAlign w:val="bottom"/>
          </w:tcPr>
          <w:p w14:paraId="0145A4F4" w14:textId="0089FED2"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0.162</w:t>
            </w:r>
          </w:p>
        </w:tc>
        <w:tc>
          <w:tcPr>
            <w:tcW w:w="1637" w:type="dxa"/>
            <w:tcBorders>
              <w:top w:val="nil"/>
              <w:left w:val="nil"/>
              <w:bottom w:val="nil"/>
              <w:right w:val="nil"/>
            </w:tcBorders>
            <w:shd w:val="clear" w:color="auto" w:fill="auto"/>
            <w:noWrap/>
            <w:vAlign w:val="bottom"/>
          </w:tcPr>
          <w:p w14:paraId="67D5D0FF" w14:textId="55FACEF2"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0.235</w:t>
            </w:r>
          </w:p>
        </w:tc>
        <w:tc>
          <w:tcPr>
            <w:tcW w:w="1637" w:type="dxa"/>
            <w:tcBorders>
              <w:top w:val="nil"/>
              <w:left w:val="nil"/>
              <w:bottom w:val="nil"/>
              <w:right w:val="nil"/>
            </w:tcBorders>
            <w:shd w:val="clear" w:color="auto" w:fill="auto"/>
            <w:vAlign w:val="bottom"/>
          </w:tcPr>
          <w:p w14:paraId="3FADA564" w14:textId="11E205AA"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0.230**</w:t>
            </w:r>
          </w:p>
        </w:tc>
        <w:tc>
          <w:tcPr>
            <w:tcW w:w="1637" w:type="dxa"/>
            <w:tcBorders>
              <w:top w:val="nil"/>
              <w:left w:val="nil"/>
              <w:bottom w:val="nil"/>
              <w:right w:val="nil"/>
            </w:tcBorders>
            <w:shd w:val="clear" w:color="auto" w:fill="auto"/>
            <w:vAlign w:val="bottom"/>
          </w:tcPr>
          <w:p w14:paraId="3C1847C9" w14:textId="270005E1"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0.152</w:t>
            </w:r>
          </w:p>
        </w:tc>
      </w:tr>
      <w:tr w:rsidR="00724CA2" w:rsidRPr="00724CA2" w14:paraId="26182BB1" w14:textId="0A86BA32" w:rsidTr="00694AA9">
        <w:trPr>
          <w:trHeight w:val="289"/>
          <w:jc w:val="center"/>
        </w:trPr>
        <w:tc>
          <w:tcPr>
            <w:tcW w:w="2450" w:type="dxa"/>
            <w:noWrap/>
            <w:vAlign w:val="center"/>
            <w:hideMark/>
          </w:tcPr>
          <w:p w14:paraId="258A2248" w14:textId="77777777" w:rsidR="00EC11E6" w:rsidRPr="00724CA2" w:rsidRDefault="00EC11E6" w:rsidP="00EC11E6">
            <w:pPr>
              <w:jc w:val="both"/>
              <w:rPr>
                <w:rFonts w:ascii="Times New Roman" w:hAnsi="Times New Roman" w:cs="Times New Roman"/>
                <w:color w:val="000000" w:themeColor="text1"/>
                <w:lang w:val="en-US"/>
              </w:rPr>
            </w:pPr>
          </w:p>
        </w:tc>
        <w:tc>
          <w:tcPr>
            <w:tcW w:w="1636" w:type="dxa"/>
            <w:tcBorders>
              <w:top w:val="nil"/>
              <w:left w:val="nil"/>
              <w:bottom w:val="nil"/>
              <w:right w:val="nil"/>
            </w:tcBorders>
            <w:shd w:val="clear" w:color="auto" w:fill="auto"/>
            <w:noWrap/>
            <w:vAlign w:val="bottom"/>
          </w:tcPr>
          <w:p w14:paraId="3F51ED23" w14:textId="3E57A6D5"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(0.096)</w:t>
            </w:r>
          </w:p>
        </w:tc>
        <w:tc>
          <w:tcPr>
            <w:tcW w:w="1637" w:type="dxa"/>
            <w:tcBorders>
              <w:top w:val="nil"/>
              <w:left w:val="nil"/>
              <w:bottom w:val="nil"/>
              <w:right w:val="nil"/>
            </w:tcBorders>
            <w:shd w:val="clear" w:color="auto" w:fill="auto"/>
            <w:noWrap/>
            <w:vAlign w:val="bottom"/>
          </w:tcPr>
          <w:p w14:paraId="45032E68" w14:textId="2032D152"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(0.253)</w:t>
            </w:r>
          </w:p>
        </w:tc>
        <w:tc>
          <w:tcPr>
            <w:tcW w:w="1637" w:type="dxa"/>
            <w:tcBorders>
              <w:top w:val="nil"/>
              <w:left w:val="nil"/>
              <w:bottom w:val="nil"/>
              <w:right w:val="nil"/>
            </w:tcBorders>
            <w:shd w:val="clear" w:color="auto" w:fill="auto"/>
            <w:vAlign w:val="bottom"/>
          </w:tcPr>
          <w:p w14:paraId="61DB0CAC" w14:textId="58950B02"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(0.103)</w:t>
            </w:r>
          </w:p>
        </w:tc>
        <w:tc>
          <w:tcPr>
            <w:tcW w:w="1637" w:type="dxa"/>
            <w:tcBorders>
              <w:top w:val="nil"/>
              <w:left w:val="nil"/>
              <w:bottom w:val="nil"/>
              <w:right w:val="nil"/>
            </w:tcBorders>
            <w:shd w:val="clear" w:color="auto" w:fill="auto"/>
            <w:vAlign w:val="bottom"/>
          </w:tcPr>
          <w:p w14:paraId="6DA1D146" w14:textId="68D42BDB"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(0.189)</w:t>
            </w:r>
          </w:p>
        </w:tc>
      </w:tr>
      <w:tr w:rsidR="00724CA2" w:rsidRPr="00724CA2" w14:paraId="75722364" w14:textId="73E664B6" w:rsidTr="00694AA9">
        <w:trPr>
          <w:trHeight w:val="289"/>
          <w:jc w:val="center"/>
        </w:trPr>
        <w:tc>
          <w:tcPr>
            <w:tcW w:w="2450" w:type="dxa"/>
            <w:noWrap/>
            <w:vAlign w:val="center"/>
            <w:hideMark/>
          </w:tcPr>
          <w:p w14:paraId="0850EBF6" w14:textId="77777777" w:rsidR="00EC11E6" w:rsidRPr="00724CA2" w:rsidRDefault="00EC11E6" w:rsidP="00EC11E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Independence</w:t>
            </w:r>
          </w:p>
        </w:tc>
        <w:tc>
          <w:tcPr>
            <w:tcW w:w="1636" w:type="dxa"/>
            <w:tcBorders>
              <w:top w:val="nil"/>
              <w:left w:val="nil"/>
              <w:bottom w:val="nil"/>
              <w:right w:val="nil"/>
            </w:tcBorders>
            <w:shd w:val="clear" w:color="auto" w:fill="auto"/>
            <w:noWrap/>
            <w:vAlign w:val="bottom"/>
          </w:tcPr>
          <w:p w14:paraId="2378FADC" w14:textId="4F6BD789"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1.729*</w:t>
            </w:r>
          </w:p>
        </w:tc>
        <w:tc>
          <w:tcPr>
            <w:tcW w:w="1637" w:type="dxa"/>
            <w:tcBorders>
              <w:top w:val="nil"/>
              <w:left w:val="nil"/>
              <w:bottom w:val="nil"/>
              <w:right w:val="nil"/>
            </w:tcBorders>
            <w:shd w:val="clear" w:color="auto" w:fill="auto"/>
            <w:noWrap/>
            <w:vAlign w:val="bottom"/>
          </w:tcPr>
          <w:p w14:paraId="733C9020" w14:textId="500AFC12"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0.863</w:t>
            </w:r>
          </w:p>
        </w:tc>
        <w:tc>
          <w:tcPr>
            <w:tcW w:w="1637" w:type="dxa"/>
            <w:tcBorders>
              <w:top w:val="nil"/>
              <w:left w:val="nil"/>
              <w:bottom w:val="nil"/>
              <w:right w:val="nil"/>
            </w:tcBorders>
            <w:shd w:val="clear" w:color="auto" w:fill="auto"/>
            <w:vAlign w:val="bottom"/>
          </w:tcPr>
          <w:p w14:paraId="39C193E3" w14:textId="50752C75"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0.957</w:t>
            </w:r>
          </w:p>
        </w:tc>
        <w:tc>
          <w:tcPr>
            <w:tcW w:w="1637" w:type="dxa"/>
            <w:tcBorders>
              <w:top w:val="nil"/>
              <w:left w:val="nil"/>
              <w:bottom w:val="nil"/>
              <w:right w:val="nil"/>
            </w:tcBorders>
            <w:shd w:val="clear" w:color="auto" w:fill="auto"/>
            <w:vAlign w:val="bottom"/>
          </w:tcPr>
          <w:p w14:paraId="68B284BD" w14:textId="3A377040"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1.546</w:t>
            </w:r>
          </w:p>
        </w:tc>
      </w:tr>
      <w:tr w:rsidR="00724CA2" w:rsidRPr="00724CA2" w14:paraId="3BEAB4F0" w14:textId="239B32C9" w:rsidTr="00694AA9">
        <w:trPr>
          <w:trHeight w:val="289"/>
          <w:jc w:val="center"/>
        </w:trPr>
        <w:tc>
          <w:tcPr>
            <w:tcW w:w="2450" w:type="dxa"/>
            <w:noWrap/>
            <w:vAlign w:val="center"/>
            <w:hideMark/>
          </w:tcPr>
          <w:p w14:paraId="36C4B8A0" w14:textId="77777777" w:rsidR="00EC11E6" w:rsidRPr="00724CA2" w:rsidRDefault="00EC11E6" w:rsidP="00EC11E6">
            <w:pPr>
              <w:jc w:val="both"/>
              <w:rPr>
                <w:rFonts w:ascii="Times New Roman" w:hAnsi="Times New Roman" w:cs="Times New Roman"/>
                <w:color w:val="000000" w:themeColor="text1"/>
                <w:lang w:val="en-US"/>
              </w:rPr>
            </w:pPr>
          </w:p>
        </w:tc>
        <w:tc>
          <w:tcPr>
            <w:tcW w:w="1636" w:type="dxa"/>
            <w:tcBorders>
              <w:top w:val="nil"/>
              <w:left w:val="nil"/>
              <w:bottom w:val="nil"/>
              <w:right w:val="nil"/>
            </w:tcBorders>
            <w:shd w:val="clear" w:color="auto" w:fill="auto"/>
            <w:noWrap/>
            <w:vAlign w:val="bottom"/>
          </w:tcPr>
          <w:p w14:paraId="33EBB15C" w14:textId="7B5973D5"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(0.905)</w:t>
            </w:r>
          </w:p>
        </w:tc>
        <w:tc>
          <w:tcPr>
            <w:tcW w:w="1637" w:type="dxa"/>
            <w:tcBorders>
              <w:top w:val="nil"/>
              <w:left w:val="nil"/>
              <w:bottom w:val="nil"/>
              <w:right w:val="nil"/>
            </w:tcBorders>
            <w:shd w:val="clear" w:color="auto" w:fill="auto"/>
            <w:noWrap/>
            <w:vAlign w:val="bottom"/>
          </w:tcPr>
          <w:p w14:paraId="73FFEB17" w14:textId="55A6CDCE"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(1.275)</w:t>
            </w:r>
          </w:p>
        </w:tc>
        <w:tc>
          <w:tcPr>
            <w:tcW w:w="1637" w:type="dxa"/>
            <w:tcBorders>
              <w:top w:val="nil"/>
              <w:left w:val="nil"/>
              <w:bottom w:val="nil"/>
              <w:right w:val="nil"/>
            </w:tcBorders>
            <w:shd w:val="clear" w:color="auto" w:fill="auto"/>
            <w:vAlign w:val="bottom"/>
          </w:tcPr>
          <w:p w14:paraId="5ECD5C0F" w14:textId="7B3242FB"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(0.966)</w:t>
            </w:r>
          </w:p>
        </w:tc>
        <w:tc>
          <w:tcPr>
            <w:tcW w:w="1637" w:type="dxa"/>
            <w:tcBorders>
              <w:top w:val="nil"/>
              <w:left w:val="nil"/>
              <w:bottom w:val="nil"/>
              <w:right w:val="nil"/>
            </w:tcBorders>
            <w:shd w:val="clear" w:color="auto" w:fill="auto"/>
            <w:vAlign w:val="bottom"/>
          </w:tcPr>
          <w:p w14:paraId="13F8009F" w14:textId="52408DA5"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(1.309)</w:t>
            </w:r>
          </w:p>
        </w:tc>
      </w:tr>
      <w:tr w:rsidR="00724CA2" w:rsidRPr="00724CA2" w14:paraId="0604DEB2" w14:textId="2C3C7EB2" w:rsidTr="00694AA9">
        <w:trPr>
          <w:trHeight w:val="289"/>
          <w:jc w:val="center"/>
        </w:trPr>
        <w:tc>
          <w:tcPr>
            <w:tcW w:w="2450" w:type="dxa"/>
            <w:noWrap/>
            <w:vAlign w:val="center"/>
            <w:hideMark/>
          </w:tcPr>
          <w:p w14:paraId="362C1E19" w14:textId="77777777" w:rsidR="00EC11E6" w:rsidRPr="00724CA2" w:rsidRDefault="00EC11E6" w:rsidP="00EC11E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Board meeting</w:t>
            </w:r>
          </w:p>
        </w:tc>
        <w:tc>
          <w:tcPr>
            <w:tcW w:w="1636" w:type="dxa"/>
            <w:tcBorders>
              <w:top w:val="nil"/>
              <w:left w:val="nil"/>
              <w:bottom w:val="nil"/>
              <w:right w:val="nil"/>
            </w:tcBorders>
            <w:shd w:val="clear" w:color="auto" w:fill="auto"/>
            <w:noWrap/>
            <w:vAlign w:val="bottom"/>
          </w:tcPr>
          <w:p w14:paraId="558B86CA" w14:textId="7C6D9AAF"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0.058***</w:t>
            </w:r>
          </w:p>
        </w:tc>
        <w:tc>
          <w:tcPr>
            <w:tcW w:w="1637" w:type="dxa"/>
            <w:tcBorders>
              <w:top w:val="nil"/>
              <w:left w:val="nil"/>
              <w:bottom w:val="nil"/>
              <w:right w:val="nil"/>
            </w:tcBorders>
            <w:shd w:val="clear" w:color="auto" w:fill="auto"/>
            <w:noWrap/>
            <w:vAlign w:val="bottom"/>
          </w:tcPr>
          <w:p w14:paraId="64BEC7D3" w14:textId="4F77ADD4"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0.012</w:t>
            </w:r>
          </w:p>
        </w:tc>
        <w:tc>
          <w:tcPr>
            <w:tcW w:w="1637" w:type="dxa"/>
            <w:tcBorders>
              <w:top w:val="nil"/>
              <w:left w:val="nil"/>
              <w:bottom w:val="nil"/>
              <w:right w:val="nil"/>
            </w:tcBorders>
            <w:shd w:val="clear" w:color="auto" w:fill="auto"/>
            <w:vAlign w:val="bottom"/>
          </w:tcPr>
          <w:p w14:paraId="605E97EE" w14:textId="3D548D0F"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0.037**</w:t>
            </w:r>
          </w:p>
        </w:tc>
        <w:tc>
          <w:tcPr>
            <w:tcW w:w="1637" w:type="dxa"/>
            <w:tcBorders>
              <w:top w:val="nil"/>
              <w:left w:val="nil"/>
              <w:bottom w:val="nil"/>
              <w:right w:val="nil"/>
            </w:tcBorders>
            <w:shd w:val="clear" w:color="auto" w:fill="auto"/>
            <w:vAlign w:val="bottom"/>
          </w:tcPr>
          <w:p w14:paraId="27D54F94" w14:textId="6FB459A1"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0.021***</w:t>
            </w:r>
          </w:p>
        </w:tc>
      </w:tr>
      <w:tr w:rsidR="00724CA2" w:rsidRPr="00724CA2" w14:paraId="59B0FD82" w14:textId="3D5A9D3C" w:rsidTr="00694AA9">
        <w:trPr>
          <w:trHeight w:val="289"/>
          <w:jc w:val="center"/>
        </w:trPr>
        <w:tc>
          <w:tcPr>
            <w:tcW w:w="2450" w:type="dxa"/>
            <w:noWrap/>
            <w:vAlign w:val="center"/>
            <w:hideMark/>
          </w:tcPr>
          <w:p w14:paraId="03DFFB81" w14:textId="77777777" w:rsidR="00EC11E6" w:rsidRPr="00724CA2" w:rsidRDefault="00EC11E6" w:rsidP="00EC11E6">
            <w:pPr>
              <w:jc w:val="both"/>
              <w:rPr>
                <w:rFonts w:ascii="Times New Roman" w:hAnsi="Times New Roman" w:cs="Times New Roman"/>
                <w:color w:val="000000" w:themeColor="text1"/>
                <w:lang w:val="en-US"/>
              </w:rPr>
            </w:pPr>
          </w:p>
        </w:tc>
        <w:tc>
          <w:tcPr>
            <w:tcW w:w="1636" w:type="dxa"/>
            <w:tcBorders>
              <w:top w:val="nil"/>
              <w:left w:val="nil"/>
              <w:bottom w:val="nil"/>
              <w:right w:val="nil"/>
            </w:tcBorders>
            <w:shd w:val="clear" w:color="auto" w:fill="auto"/>
            <w:noWrap/>
            <w:vAlign w:val="bottom"/>
          </w:tcPr>
          <w:p w14:paraId="42C0371D" w14:textId="39545443"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(0.015)</w:t>
            </w:r>
          </w:p>
        </w:tc>
        <w:tc>
          <w:tcPr>
            <w:tcW w:w="1637" w:type="dxa"/>
            <w:tcBorders>
              <w:top w:val="nil"/>
              <w:left w:val="nil"/>
              <w:bottom w:val="nil"/>
              <w:right w:val="nil"/>
            </w:tcBorders>
            <w:shd w:val="clear" w:color="auto" w:fill="auto"/>
            <w:noWrap/>
            <w:vAlign w:val="bottom"/>
          </w:tcPr>
          <w:p w14:paraId="630F36AA" w14:textId="477C9525"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(0.013)</w:t>
            </w:r>
          </w:p>
        </w:tc>
        <w:tc>
          <w:tcPr>
            <w:tcW w:w="1637" w:type="dxa"/>
            <w:tcBorders>
              <w:top w:val="nil"/>
              <w:left w:val="nil"/>
              <w:bottom w:val="nil"/>
              <w:right w:val="nil"/>
            </w:tcBorders>
            <w:shd w:val="clear" w:color="auto" w:fill="auto"/>
            <w:vAlign w:val="bottom"/>
          </w:tcPr>
          <w:p w14:paraId="58661AC3" w14:textId="11728263"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(0.015)</w:t>
            </w:r>
          </w:p>
        </w:tc>
        <w:tc>
          <w:tcPr>
            <w:tcW w:w="1637" w:type="dxa"/>
            <w:tcBorders>
              <w:top w:val="nil"/>
              <w:left w:val="nil"/>
              <w:bottom w:val="nil"/>
              <w:right w:val="nil"/>
            </w:tcBorders>
            <w:shd w:val="clear" w:color="auto" w:fill="auto"/>
            <w:vAlign w:val="bottom"/>
          </w:tcPr>
          <w:p w14:paraId="584ED0AD" w14:textId="7100D08D"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(0.005)</w:t>
            </w:r>
          </w:p>
        </w:tc>
      </w:tr>
      <w:tr w:rsidR="00724CA2" w:rsidRPr="00724CA2" w14:paraId="0083DF48" w14:textId="62A85A6E" w:rsidTr="00694AA9">
        <w:trPr>
          <w:trHeight w:val="289"/>
          <w:jc w:val="center"/>
        </w:trPr>
        <w:tc>
          <w:tcPr>
            <w:tcW w:w="2450" w:type="dxa"/>
            <w:noWrap/>
            <w:vAlign w:val="center"/>
            <w:hideMark/>
          </w:tcPr>
          <w:p w14:paraId="75FA57B0" w14:textId="77777777" w:rsidR="00EC11E6" w:rsidRPr="00724CA2" w:rsidRDefault="00EC11E6" w:rsidP="00EC11E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Managerial ownership</w:t>
            </w:r>
          </w:p>
        </w:tc>
        <w:tc>
          <w:tcPr>
            <w:tcW w:w="1636" w:type="dxa"/>
            <w:tcBorders>
              <w:top w:val="nil"/>
              <w:left w:val="nil"/>
              <w:bottom w:val="nil"/>
              <w:right w:val="nil"/>
            </w:tcBorders>
            <w:shd w:val="clear" w:color="auto" w:fill="auto"/>
            <w:noWrap/>
            <w:vAlign w:val="bottom"/>
          </w:tcPr>
          <w:p w14:paraId="2002F79F" w14:textId="0829D08B"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-0.518***</w:t>
            </w:r>
          </w:p>
        </w:tc>
        <w:tc>
          <w:tcPr>
            <w:tcW w:w="1637" w:type="dxa"/>
            <w:tcBorders>
              <w:top w:val="nil"/>
              <w:left w:val="nil"/>
              <w:bottom w:val="nil"/>
              <w:right w:val="nil"/>
            </w:tcBorders>
            <w:shd w:val="clear" w:color="auto" w:fill="auto"/>
            <w:noWrap/>
            <w:vAlign w:val="bottom"/>
          </w:tcPr>
          <w:p w14:paraId="2CE24BD4" w14:textId="656FF86A"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-1.684**</w:t>
            </w:r>
          </w:p>
        </w:tc>
        <w:tc>
          <w:tcPr>
            <w:tcW w:w="1637" w:type="dxa"/>
            <w:tcBorders>
              <w:top w:val="nil"/>
              <w:left w:val="nil"/>
              <w:bottom w:val="nil"/>
              <w:right w:val="nil"/>
            </w:tcBorders>
            <w:shd w:val="clear" w:color="auto" w:fill="auto"/>
            <w:vAlign w:val="bottom"/>
          </w:tcPr>
          <w:p w14:paraId="6BDEA62F" w14:textId="1399ED73"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-0.136</w:t>
            </w:r>
          </w:p>
        </w:tc>
        <w:tc>
          <w:tcPr>
            <w:tcW w:w="1637" w:type="dxa"/>
            <w:tcBorders>
              <w:top w:val="nil"/>
              <w:left w:val="nil"/>
              <w:bottom w:val="nil"/>
              <w:right w:val="nil"/>
            </w:tcBorders>
            <w:shd w:val="clear" w:color="auto" w:fill="auto"/>
            <w:vAlign w:val="bottom"/>
          </w:tcPr>
          <w:p w14:paraId="6FA22924" w14:textId="133720AF"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-0.962***</w:t>
            </w:r>
          </w:p>
        </w:tc>
      </w:tr>
      <w:tr w:rsidR="00724CA2" w:rsidRPr="00724CA2" w14:paraId="4AC753B7" w14:textId="3B113B98" w:rsidTr="00694AA9">
        <w:trPr>
          <w:trHeight w:val="289"/>
          <w:jc w:val="center"/>
        </w:trPr>
        <w:tc>
          <w:tcPr>
            <w:tcW w:w="2450" w:type="dxa"/>
            <w:noWrap/>
            <w:vAlign w:val="center"/>
            <w:hideMark/>
          </w:tcPr>
          <w:p w14:paraId="5E1989C6" w14:textId="77777777" w:rsidR="00EC11E6" w:rsidRPr="00724CA2" w:rsidRDefault="00EC11E6" w:rsidP="00EC11E6">
            <w:pPr>
              <w:jc w:val="both"/>
              <w:rPr>
                <w:rFonts w:ascii="Times New Roman" w:hAnsi="Times New Roman" w:cs="Times New Roman"/>
                <w:color w:val="000000" w:themeColor="text1"/>
                <w:lang w:val="en-US"/>
              </w:rPr>
            </w:pPr>
          </w:p>
        </w:tc>
        <w:tc>
          <w:tcPr>
            <w:tcW w:w="1636" w:type="dxa"/>
            <w:tcBorders>
              <w:top w:val="nil"/>
              <w:left w:val="nil"/>
              <w:bottom w:val="nil"/>
              <w:right w:val="nil"/>
            </w:tcBorders>
            <w:shd w:val="clear" w:color="auto" w:fill="auto"/>
            <w:noWrap/>
            <w:vAlign w:val="bottom"/>
          </w:tcPr>
          <w:p w14:paraId="14C748C0" w14:textId="684BDD43"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(0.096)</w:t>
            </w:r>
          </w:p>
        </w:tc>
        <w:tc>
          <w:tcPr>
            <w:tcW w:w="1637" w:type="dxa"/>
            <w:tcBorders>
              <w:top w:val="nil"/>
              <w:left w:val="nil"/>
              <w:bottom w:val="nil"/>
              <w:right w:val="nil"/>
            </w:tcBorders>
            <w:shd w:val="clear" w:color="auto" w:fill="auto"/>
            <w:noWrap/>
            <w:vAlign w:val="bottom"/>
          </w:tcPr>
          <w:p w14:paraId="3C3EA832" w14:textId="2606750F"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(0.779)</w:t>
            </w:r>
          </w:p>
        </w:tc>
        <w:tc>
          <w:tcPr>
            <w:tcW w:w="1637" w:type="dxa"/>
            <w:tcBorders>
              <w:top w:val="nil"/>
              <w:left w:val="nil"/>
              <w:bottom w:val="nil"/>
              <w:right w:val="nil"/>
            </w:tcBorders>
            <w:shd w:val="clear" w:color="auto" w:fill="auto"/>
            <w:vAlign w:val="bottom"/>
          </w:tcPr>
          <w:p w14:paraId="56AD928F" w14:textId="60C588AE"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(0.176)</w:t>
            </w:r>
          </w:p>
        </w:tc>
        <w:tc>
          <w:tcPr>
            <w:tcW w:w="1637" w:type="dxa"/>
            <w:tcBorders>
              <w:top w:val="nil"/>
              <w:left w:val="nil"/>
              <w:bottom w:val="nil"/>
              <w:right w:val="nil"/>
            </w:tcBorders>
            <w:shd w:val="clear" w:color="auto" w:fill="auto"/>
            <w:vAlign w:val="bottom"/>
          </w:tcPr>
          <w:p w14:paraId="1F281741" w14:textId="151958F3"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(0.190)</w:t>
            </w:r>
          </w:p>
        </w:tc>
      </w:tr>
      <w:tr w:rsidR="00724CA2" w:rsidRPr="00724CA2" w14:paraId="3E501E00" w14:textId="6010D4B4" w:rsidTr="00694AA9">
        <w:trPr>
          <w:trHeight w:val="289"/>
          <w:jc w:val="center"/>
        </w:trPr>
        <w:tc>
          <w:tcPr>
            <w:tcW w:w="2450" w:type="dxa"/>
            <w:noWrap/>
            <w:vAlign w:val="center"/>
            <w:hideMark/>
          </w:tcPr>
          <w:p w14:paraId="5BE36D3E" w14:textId="77777777" w:rsidR="00EC11E6" w:rsidRPr="00724CA2" w:rsidRDefault="00EC11E6" w:rsidP="00EC11E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Z Index</w:t>
            </w:r>
          </w:p>
        </w:tc>
        <w:tc>
          <w:tcPr>
            <w:tcW w:w="1636" w:type="dxa"/>
            <w:tcBorders>
              <w:top w:val="nil"/>
              <w:left w:val="nil"/>
              <w:bottom w:val="nil"/>
              <w:right w:val="nil"/>
            </w:tcBorders>
            <w:shd w:val="clear" w:color="auto" w:fill="auto"/>
            <w:noWrap/>
            <w:vAlign w:val="bottom"/>
          </w:tcPr>
          <w:p w14:paraId="3EE2D497" w14:textId="36836F65"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0.011*</w:t>
            </w:r>
          </w:p>
        </w:tc>
        <w:tc>
          <w:tcPr>
            <w:tcW w:w="1637" w:type="dxa"/>
            <w:tcBorders>
              <w:top w:val="nil"/>
              <w:left w:val="nil"/>
              <w:bottom w:val="nil"/>
              <w:right w:val="nil"/>
            </w:tcBorders>
            <w:shd w:val="clear" w:color="auto" w:fill="auto"/>
            <w:noWrap/>
            <w:vAlign w:val="bottom"/>
          </w:tcPr>
          <w:p w14:paraId="1F02825E" w14:textId="4406B880"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0.006</w:t>
            </w:r>
          </w:p>
        </w:tc>
        <w:tc>
          <w:tcPr>
            <w:tcW w:w="1637" w:type="dxa"/>
            <w:tcBorders>
              <w:top w:val="nil"/>
              <w:left w:val="nil"/>
              <w:bottom w:val="nil"/>
              <w:right w:val="nil"/>
            </w:tcBorders>
            <w:shd w:val="clear" w:color="auto" w:fill="auto"/>
            <w:vAlign w:val="bottom"/>
          </w:tcPr>
          <w:p w14:paraId="2D406F4F" w14:textId="50E0D540"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-0.005</w:t>
            </w:r>
          </w:p>
        </w:tc>
        <w:tc>
          <w:tcPr>
            <w:tcW w:w="1637" w:type="dxa"/>
            <w:tcBorders>
              <w:top w:val="nil"/>
              <w:left w:val="nil"/>
              <w:bottom w:val="nil"/>
              <w:right w:val="nil"/>
            </w:tcBorders>
            <w:shd w:val="clear" w:color="auto" w:fill="auto"/>
            <w:vAlign w:val="bottom"/>
          </w:tcPr>
          <w:p w14:paraId="00BCF129" w14:textId="5C61CE6B"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0.019***</w:t>
            </w:r>
          </w:p>
        </w:tc>
      </w:tr>
      <w:tr w:rsidR="00724CA2" w:rsidRPr="00724CA2" w14:paraId="1244C636" w14:textId="6B7C575B" w:rsidTr="00694AA9">
        <w:trPr>
          <w:trHeight w:val="289"/>
          <w:jc w:val="center"/>
        </w:trPr>
        <w:tc>
          <w:tcPr>
            <w:tcW w:w="2450" w:type="dxa"/>
            <w:noWrap/>
            <w:vAlign w:val="center"/>
            <w:hideMark/>
          </w:tcPr>
          <w:p w14:paraId="229BB547" w14:textId="77777777" w:rsidR="00EC11E6" w:rsidRPr="00724CA2" w:rsidRDefault="00EC11E6" w:rsidP="00EC11E6">
            <w:pPr>
              <w:jc w:val="both"/>
              <w:rPr>
                <w:rFonts w:ascii="Times New Roman" w:hAnsi="Times New Roman" w:cs="Times New Roman"/>
                <w:color w:val="000000" w:themeColor="text1"/>
                <w:lang w:val="en-US"/>
              </w:rPr>
            </w:pPr>
          </w:p>
        </w:tc>
        <w:tc>
          <w:tcPr>
            <w:tcW w:w="1636" w:type="dxa"/>
            <w:tcBorders>
              <w:top w:val="nil"/>
              <w:left w:val="nil"/>
              <w:bottom w:val="nil"/>
              <w:right w:val="nil"/>
            </w:tcBorders>
            <w:shd w:val="clear" w:color="auto" w:fill="auto"/>
            <w:noWrap/>
            <w:vAlign w:val="bottom"/>
          </w:tcPr>
          <w:p w14:paraId="4A861F03" w14:textId="2D6C374B"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(0.005)</w:t>
            </w:r>
          </w:p>
        </w:tc>
        <w:tc>
          <w:tcPr>
            <w:tcW w:w="1637" w:type="dxa"/>
            <w:tcBorders>
              <w:top w:val="nil"/>
              <w:left w:val="nil"/>
              <w:bottom w:val="nil"/>
              <w:right w:val="nil"/>
            </w:tcBorders>
            <w:shd w:val="clear" w:color="auto" w:fill="auto"/>
            <w:noWrap/>
            <w:vAlign w:val="bottom"/>
          </w:tcPr>
          <w:p w14:paraId="1660951A" w14:textId="194EDB66"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(0.004)</w:t>
            </w:r>
          </w:p>
        </w:tc>
        <w:tc>
          <w:tcPr>
            <w:tcW w:w="1637" w:type="dxa"/>
            <w:tcBorders>
              <w:top w:val="nil"/>
              <w:left w:val="nil"/>
              <w:bottom w:val="nil"/>
              <w:right w:val="nil"/>
            </w:tcBorders>
            <w:shd w:val="clear" w:color="auto" w:fill="auto"/>
            <w:vAlign w:val="bottom"/>
          </w:tcPr>
          <w:p w14:paraId="03EF62E9" w14:textId="014389E3"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(0.005)</w:t>
            </w:r>
          </w:p>
        </w:tc>
        <w:tc>
          <w:tcPr>
            <w:tcW w:w="1637" w:type="dxa"/>
            <w:tcBorders>
              <w:top w:val="nil"/>
              <w:left w:val="nil"/>
              <w:bottom w:val="nil"/>
              <w:right w:val="nil"/>
            </w:tcBorders>
            <w:shd w:val="clear" w:color="auto" w:fill="auto"/>
            <w:vAlign w:val="bottom"/>
          </w:tcPr>
          <w:p w14:paraId="1C30375F" w14:textId="170D74ED"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(0.004)</w:t>
            </w:r>
          </w:p>
        </w:tc>
      </w:tr>
      <w:tr w:rsidR="00724CA2" w:rsidRPr="00724CA2" w14:paraId="43CAE4C1" w14:textId="00C8F987" w:rsidTr="00694AA9">
        <w:trPr>
          <w:trHeight w:val="289"/>
          <w:jc w:val="center"/>
        </w:trPr>
        <w:tc>
          <w:tcPr>
            <w:tcW w:w="2450" w:type="dxa"/>
            <w:noWrap/>
            <w:vAlign w:val="center"/>
            <w:hideMark/>
          </w:tcPr>
          <w:p w14:paraId="7374CF32" w14:textId="77777777" w:rsidR="00EC11E6" w:rsidRPr="00724CA2" w:rsidRDefault="00EC11E6" w:rsidP="00EC11E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Stock returns</w:t>
            </w:r>
          </w:p>
        </w:tc>
        <w:tc>
          <w:tcPr>
            <w:tcW w:w="1636" w:type="dxa"/>
            <w:tcBorders>
              <w:top w:val="nil"/>
              <w:left w:val="nil"/>
              <w:bottom w:val="nil"/>
              <w:right w:val="nil"/>
            </w:tcBorders>
            <w:shd w:val="clear" w:color="auto" w:fill="auto"/>
            <w:noWrap/>
            <w:vAlign w:val="bottom"/>
          </w:tcPr>
          <w:p w14:paraId="633D993D" w14:textId="3A0A5C4C"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0.294***</w:t>
            </w:r>
          </w:p>
        </w:tc>
        <w:tc>
          <w:tcPr>
            <w:tcW w:w="1637" w:type="dxa"/>
            <w:tcBorders>
              <w:top w:val="nil"/>
              <w:left w:val="nil"/>
              <w:bottom w:val="nil"/>
              <w:right w:val="nil"/>
            </w:tcBorders>
            <w:shd w:val="clear" w:color="auto" w:fill="auto"/>
            <w:noWrap/>
            <w:vAlign w:val="bottom"/>
          </w:tcPr>
          <w:p w14:paraId="4D2C9E8A" w14:textId="683C301F"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0.660***</w:t>
            </w:r>
          </w:p>
        </w:tc>
        <w:tc>
          <w:tcPr>
            <w:tcW w:w="1637" w:type="dxa"/>
            <w:tcBorders>
              <w:top w:val="nil"/>
              <w:left w:val="nil"/>
              <w:bottom w:val="nil"/>
              <w:right w:val="nil"/>
            </w:tcBorders>
            <w:shd w:val="clear" w:color="auto" w:fill="auto"/>
            <w:vAlign w:val="bottom"/>
          </w:tcPr>
          <w:p w14:paraId="7AEF4826" w14:textId="680EF132"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0.348***</w:t>
            </w:r>
          </w:p>
        </w:tc>
        <w:tc>
          <w:tcPr>
            <w:tcW w:w="1637" w:type="dxa"/>
            <w:tcBorders>
              <w:top w:val="nil"/>
              <w:left w:val="nil"/>
              <w:bottom w:val="nil"/>
              <w:right w:val="nil"/>
            </w:tcBorders>
            <w:shd w:val="clear" w:color="auto" w:fill="auto"/>
            <w:vAlign w:val="bottom"/>
          </w:tcPr>
          <w:p w14:paraId="3919647E" w14:textId="20480680"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0.560***</w:t>
            </w:r>
          </w:p>
        </w:tc>
      </w:tr>
      <w:tr w:rsidR="00724CA2" w:rsidRPr="00724CA2" w14:paraId="03184B9A" w14:textId="1E311550" w:rsidTr="00694AA9">
        <w:trPr>
          <w:trHeight w:val="289"/>
          <w:jc w:val="center"/>
        </w:trPr>
        <w:tc>
          <w:tcPr>
            <w:tcW w:w="2450" w:type="dxa"/>
            <w:noWrap/>
            <w:vAlign w:val="center"/>
            <w:hideMark/>
          </w:tcPr>
          <w:p w14:paraId="59B6AB09" w14:textId="77777777" w:rsidR="00EC11E6" w:rsidRPr="00724CA2" w:rsidRDefault="00EC11E6" w:rsidP="00EC11E6">
            <w:pPr>
              <w:jc w:val="both"/>
              <w:rPr>
                <w:rFonts w:ascii="Times New Roman" w:hAnsi="Times New Roman" w:cs="Times New Roman"/>
                <w:color w:val="000000" w:themeColor="text1"/>
                <w:lang w:val="en-US"/>
              </w:rPr>
            </w:pPr>
          </w:p>
        </w:tc>
        <w:tc>
          <w:tcPr>
            <w:tcW w:w="1636" w:type="dxa"/>
            <w:tcBorders>
              <w:top w:val="nil"/>
              <w:left w:val="nil"/>
              <w:bottom w:val="nil"/>
              <w:right w:val="nil"/>
            </w:tcBorders>
            <w:shd w:val="clear" w:color="auto" w:fill="auto"/>
            <w:noWrap/>
            <w:vAlign w:val="bottom"/>
          </w:tcPr>
          <w:p w14:paraId="4FCC59D3" w14:textId="300AFCC9"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(0.065)</w:t>
            </w:r>
          </w:p>
        </w:tc>
        <w:tc>
          <w:tcPr>
            <w:tcW w:w="1637" w:type="dxa"/>
            <w:tcBorders>
              <w:top w:val="nil"/>
              <w:left w:val="nil"/>
              <w:bottom w:val="nil"/>
              <w:right w:val="nil"/>
            </w:tcBorders>
            <w:shd w:val="clear" w:color="auto" w:fill="auto"/>
            <w:noWrap/>
            <w:vAlign w:val="bottom"/>
          </w:tcPr>
          <w:p w14:paraId="6D9EE085" w14:textId="33A1B975"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(0.104)</w:t>
            </w:r>
          </w:p>
        </w:tc>
        <w:tc>
          <w:tcPr>
            <w:tcW w:w="1637" w:type="dxa"/>
            <w:tcBorders>
              <w:top w:val="nil"/>
              <w:left w:val="nil"/>
              <w:bottom w:val="nil"/>
              <w:right w:val="nil"/>
            </w:tcBorders>
            <w:shd w:val="clear" w:color="auto" w:fill="auto"/>
            <w:vAlign w:val="bottom"/>
          </w:tcPr>
          <w:p w14:paraId="1CEC74D2" w14:textId="5E54861C"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(0.060)</w:t>
            </w:r>
          </w:p>
        </w:tc>
        <w:tc>
          <w:tcPr>
            <w:tcW w:w="1637" w:type="dxa"/>
            <w:tcBorders>
              <w:top w:val="nil"/>
              <w:left w:val="nil"/>
              <w:bottom w:val="nil"/>
              <w:right w:val="nil"/>
            </w:tcBorders>
            <w:shd w:val="clear" w:color="auto" w:fill="auto"/>
            <w:vAlign w:val="bottom"/>
          </w:tcPr>
          <w:p w14:paraId="5C0B4D57" w14:textId="6BA9BA62"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(0.068)</w:t>
            </w:r>
          </w:p>
        </w:tc>
      </w:tr>
      <w:tr w:rsidR="00724CA2" w:rsidRPr="00724CA2" w14:paraId="7AD5952F" w14:textId="38A2F40C" w:rsidTr="00694AA9">
        <w:trPr>
          <w:trHeight w:val="289"/>
          <w:jc w:val="center"/>
        </w:trPr>
        <w:tc>
          <w:tcPr>
            <w:tcW w:w="2450" w:type="dxa"/>
            <w:noWrap/>
            <w:vAlign w:val="center"/>
            <w:hideMark/>
          </w:tcPr>
          <w:p w14:paraId="5618FB08" w14:textId="77777777" w:rsidR="00EC11E6" w:rsidRPr="00724CA2" w:rsidRDefault="00EC11E6" w:rsidP="00EC11E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Tobin Q</w:t>
            </w:r>
          </w:p>
        </w:tc>
        <w:tc>
          <w:tcPr>
            <w:tcW w:w="1636" w:type="dxa"/>
            <w:tcBorders>
              <w:top w:val="nil"/>
              <w:left w:val="nil"/>
              <w:bottom w:val="nil"/>
              <w:right w:val="nil"/>
            </w:tcBorders>
            <w:shd w:val="clear" w:color="auto" w:fill="auto"/>
            <w:noWrap/>
            <w:vAlign w:val="bottom"/>
          </w:tcPr>
          <w:p w14:paraId="17634292" w14:textId="2B08E1C2"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-0.364***</w:t>
            </w:r>
          </w:p>
        </w:tc>
        <w:tc>
          <w:tcPr>
            <w:tcW w:w="1637" w:type="dxa"/>
            <w:tcBorders>
              <w:top w:val="nil"/>
              <w:left w:val="nil"/>
              <w:bottom w:val="nil"/>
              <w:right w:val="nil"/>
            </w:tcBorders>
            <w:shd w:val="clear" w:color="auto" w:fill="auto"/>
            <w:noWrap/>
            <w:vAlign w:val="bottom"/>
          </w:tcPr>
          <w:p w14:paraId="55FD8B4B" w14:textId="6906FEE1"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-0.518***</w:t>
            </w:r>
          </w:p>
        </w:tc>
        <w:tc>
          <w:tcPr>
            <w:tcW w:w="1637" w:type="dxa"/>
            <w:tcBorders>
              <w:top w:val="nil"/>
              <w:left w:val="nil"/>
              <w:bottom w:val="nil"/>
              <w:right w:val="nil"/>
            </w:tcBorders>
            <w:shd w:val="clear" w:color="auto" w:fill="auto"/>
            <w:vAlign w:val="bottom"/>
          </w:tcPr>
          <w:p w14:paraId="5B4A8ABA" w14:textId="4C6CFC84"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-0.418***</w:t>
            </w:r>
          </w:p>
        </w:tc>
        <w:tc>
          <w:tcPr>
            <w:tcW w:w="1637" w:type="dxa"/>
            <w:tcBorders>
              <w:top w:val="nil"/>
              <w:left w:val="nil"/>
              <w:bottom w:val="nil"/>
              <w:right w:val="nil"/>
            </w:tcBorders>
            <w:shd w:val="clear" w:color="auto" w:fill="auto"/>
            <w:vAlign w:val="bottom"/>
          </w:tcPr>
          <w:p w14:paraId="5E794A59" w14:textId="0C203AAF"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-0.439***</w:t>
            </w:r>
          </w:p>
        </w:tc>
      </w:tr>
      <w:tr w:rsidR="00724CA2" w:rsidRPr="00724CA2" w14:paraId="42DC4BE2" w14:textId="6E2617F0" w:rsidTr="00694AA9">
        <w:trPr>
          <w:trHeight w:val="289"/>
          <w:jc w:val="center"/>
        </w:trPr>
        <w:tc>
          <w:tcPr>
            <w:tcW w:w="2450" w:type="dxa"/>
            <w:noWrap/>
            <w:vAlign w:val="center"/>
            <w:hideMark/>
          </w:tcPr>
          <w:p w14:paraId="6EC91D37" w14:textId="77777777" w:rsidR="00EC11E6" w:rsidRPr="00724CA2" w:rsidRDefault="00EC11E6" w:rsidP="00EC11E6">
            <w:pPr>
              <w:jc w:val="both"/>
              <w:rPr>
                <w:rFonts w:ascii="Times New Roman" w:hAnsi="Times New Roman" w:cs="Times New Roman"/>
                <w:color w:val="000000" w:themeColor="text1"/>
                <w:lang w:val="en-US"/>
              </w:rPr>
            </w:pPr>
          </w:p>
        </w:tc>
        <w:tc>
          <w:tcPr>
            <w:tcW w:w="1636" w:type="dxa"/>
            <w:tcBorders>
              <w:top w:val="nil"/>
              <w:left w:val="nil"/>
              <w:bottom w:val="nil"/>
              <w:right w:val="nil"/>
            </w:tcBorders>
            <w:shd w:val="clear" w:color="auto" w:fill="auto"/>
            <w:noWrap/>
            <w:vAlign w:val="bottom"/>
          </w:tcPr>
          <w:p w14:paraId="3472AB9C" w14:textId="55AB8574"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(0.053)</w:t>
            </w:r>
          </w:p>
        </w:tc>
        <w:tc>
          <w:tcPr>
            <w:tcW w:w="1637" w:type="dxa"/>
            <w:tcBorders>
              <w:top w:val="nil"/>
              <w:left w:val="nil"/>
              <w:bottom w:val="nil"/>
              <w:right w:val="nil"/>
            </w:tcBorders>
            <w:shd w:val="clear" w:color="auto" w:fill="auto"/>
            <w:noWrap/>
            <w:vAlign w:val="bottom"/>
          </w:tcPr>
          <w:p w14:paraId="2E2E576A" w14:textId="13F711E6"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(0.029)</w:t>
            </w:r>
          </w:p>
        </w:tc>
        <w:tc>
          <w:tcPr>
            <w:tcW w:w="1637" w:type="dxa"/>
            <w:tcBorders>
              <w:top w:val="nil"/>
              <w:left w:val="nil"/>
              <w:bottom w:val="nil"/>
              <w:right w:val="nil"/>
            </w:tcBorders>
            <w:shd w:val="clear" w:color="auto" w:fill="auto"/>
            <w:vAlign w:val="bottom"/>
          </w:tcPr>
          <w:p w14:paraId="33B14FAF" w14:textId="087661DA"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(0.032)</w:t>
            </w:r>
          </w:p>
        </w:tc>
        <w:tc>
          <w:tcPr>
            <w:tcW w:w="1637" w:type="dxa"/>
            <w:tcBorders>
              <w:top w:val="nil"/>
              <w:left w:val="nil"/>
              <w:bottom w:val="nil"/>
              <w:right w:val="nil"/>
            </w:tcBorders>
            <w:shd w:val="clear" w:color="auto" w:fill="auto"/>
            <w:vAlign w:val="bottom"/>
          </w:tcPr>
          <w:p w14:paraId="467149B3" w14:textId="40948BA3"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(0.043)</w:t>
            </w:r>
          </w:p>
        </w:tc>
      </w:tr>
      <w:tr w:rsidR="00724CA2" w:rsidRPr="00724CA2" w14:paraId="56DBB5E7" w14:textId="03252715" w:rsidTr="00694AA9">
        <w:trPr>
          <w:trHeight w:val="289"/>
          <w:jc w:val="center"/>
        </w:trPr>
        <w:tc>
          <w:tcPr>
            <w:tcW w:w="2450" w:type="dxa"/>
            <w:noWrap/>
            <w:vAlign w:val="center"/>
            <w:hideMark/>
          </w:tcPr>
          <w:p w14:paraId="1857F6CB" w14:textId="77777777" w:rsidR="00EC11E6" w:rsidRPr="00724CA2" w:rsidRDefault="00EC11E6" w:rsidP="00EC11E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Firm age</w:t>
            </w:r>
          </w:p>
        </w:tc>
        <w:tc>
          <w:tcPr>
            <w:tcW w:w="1636" w:type="dxa"/>
            <w:tcBorders>
              <w:top w:val="nil"/>
              <w:left w:val="nil"/>
              <w:bottom w:val="nil"/>
              <w:right w:val="nil"/>
            </w:tcBorders>
            <w:shd w:val="clear" w:color="auto" w:fill="auto"/>
            <w:noWrap/>
            <w:vAlign w:val="bottom"/>
          </w:tcPr>
          <w:p w14:paraId="01A38D7C" w14:textId="13E83E52"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-0.022**</w:t>
            </w:r>
          </w:p>
        </w:tc>
        <w:tc>
          <w:tcPr>
            <w:tcW w:w="1637" w:type="dxa"/>
            <w:tcBorders>
              <w:top w:val="nil"/>
              <w:left w:val="nil"/>
              <w:bottom w:val="nil"/>
              <w:right w:val="nil"/>
            </w:tcBorders>
            <w:shd w:val="clear" w:color="auto" w:fill="auto"/>
            <w:noWrap/>
            <w:vAlign w:val="bottom"/>
          </w:tcPr>
          <w:p w14:paraId="7A778950" w14:textId="05559129"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-0.022</w:t>
            </w:r>
          </w:p>
        </w:tc>
        <w:tc>
          <w:tcPr>
            <w:tcW w:w="1637" w:type="dxa"/>
            <w:tcBorders>
              <w:top w:val="nil"/>
              <w:left w:val="nil"/>
              <w:bottom w:val="nil"/>
              <w:right w:val="nil"/>
            </w:tcBorders>
            <w:shd w:val="clear" w:color="auto" w:fill="auto"/>
            <w:vAlign w:val="bottom"/>
          </w:tcPr>
          <w:p w14:paraId="30C7E36B" w14:textId="3EAE7543"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-0.046***</w:t>
            </w:r>
          </w:p>
        </w:tc>
        <w:tc>
          <w:tcPr>
            <w:tcW w:w="1637" w:type="dxa"/>
            <w:tcBorders>
              <w:top w:val="nil"/>
              <w:left w:val="nil"/>
              <w:bottom w:val="nil"/>
              <w:right w:val="nil"/>
            </w:tcBorders>
            <w:shd w:val="clear" w:color="auto" w:fill="auto"/>
            <w:vAlign w:val="bottom"/>
          </w:tcPr>
          <w:p w14:paraId="4358F5F1" w14:textId="45D55AFD"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-0.005</w:t>
            </w:r>
          </w:p>
        </w:tc>
      </w:tr>
      <w:tr w:rsidR="00724CA2" w:rsidRPr="00724CA2" w14:paraId="75A4B3A1" w14:textId="46E009ED" w:rsidTr="00694AA9">
        <w:trPr>
          <w:trHeight w:val="289"/>
          <w:jc w:val="center"/>
        </w:trPr>
        <w:tc>
          <w:tcPr>
            <w:tcW w:w="2450" w:type="dxa"/>
            <w:noWrap/>
            <w:vAlign w:val="center"/>
            <w:hideMark/>
          </w:tcPr>
          <w:p w14:paraId="45DE3D41" w14:textId="77777777" w:rsidR="00EC11E6" w:rsidRPr="00724CA2" w:rsidRDefault="00EC11E6" w:rsidP="00EC11E6">
            <w:pPr>
              <w:jc w:val="both"/>
              <w:rPr>
                <w:rFonts w:ascii="Times New Roman" w:hAnsi="Times New Roman" w:cs="Times New Roman"/>
                <w:color w:val="000000" w:themeColor="text1"/>
                <w:lang w:val="en-US"/>
              </w:rPr>
            </w:pPr>
          </w:p>
        </w:tc>
        <w:tc>
          <w:tcPr>
            <w:tcW w:w="1636" w:type="dxa"/>
            <w:tcBorders>
              <w:top w:val="nil"/>
              <w:left w:val="nil"/>
              <w:bottom w:val="nil"/>
              <w:right w:val="nil"/>
            </w:tcBorders>
            <w:shd w:val="clear" w:color="auto" w:fill="auto"/>
            <w:noWrap/>
            <w:vAlign w:val="bottom"/>
          </w:tcPr>
          <w:p w14:paraId="79E0B463" w14:textId="03FDB2DD"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(0.009)</w:t>
            </w:r>
          </w:p>
        </w:tc>
        <w:tc>
          <w:tcPr>
            <w:tcW w:w="1637" w:type="dxa"/>
            <w:tcBorders>
              <w:top w:val="nil"/>
              <w:left w:val="nil"/>
              <w:bottom w:val="nil"/>
              <w:right w:val="nil"/>
            </w:tcBorders>
            <w:shd w:val="clear" w:color="auto" w:fill="auto"/>
            <w:noWrap/>
            <w:vAlign w:val="bottom"/>
          </w:tcPr>
          <w:p w14:paraId="3C7528A2" w14:textId="068F0113"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(0.016)</w:t>
            </w:r>
          </w:p>
        </w:tc>
        <w:tc>
          <w:tcPr>
            <w:tcW w:w="1637" w:type="dxa"/>
            <w:tcBorders>
              <w:top w:val="nil"/>
              <w:left w:val="nil"/>
              <w:bottom w:val="nil"/>
              <w:right w:val="nil"/>
            </w:tcBorders>
            <w:shd w:val="clear" w:color="auto" w:fill="auto"/>
            <w:vAlign w:val="bottom"/>
          </w:tcPr>
          <w:p w14:paraId="7867678E" w14:textId="3728DD51"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(0.012)</w:t>
            </w:r>
          </w:p>
        </w:tc>
        <w:tc>
          <w:tcPr>
            <w:tcW w:w="1637" w:type="dxa"/>
            <w:tcBorders>
              <w:top w:val="nil"/>
              <w:left w:val="nil"/>
              <w:bottom w:val="nil"/>
              <w:right w:val="nil"/>
            </w:tcBorders>
            <w:shd w:val="clear" w:color="auto" w:fill="auto"/>
            <w:vAlign w:val="bottom"/>
          </w:tcPr>
          <w:p w14:paraId="1BE99EBE" w14:textId="35BF34BC"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(0.009)</w:t>
            </w:r>
          </w:p>
        </w:tc>
      </w:tr>
      <w:tr w:rsidR="00724CA2" w:rsidRPr="00724CA2" w14:paraId="39FC123A" w14:textId="6C7BAA19" w:rsidTr="00694AA9">
        <w:trPr>
          <w:trHeight w:val="289"/>
          <w:jc w:val="center"/>
        </w:trPr>
        <w:tc>
          <w:tcPr>
            <w:tcW w:w="2450" w:type="dxa"/>
            <w:noWrap/>
            <w:vAlign w:val="center"/>
            <w:hideMark/>
          </w:tcPr>
          <w:p w14:paraId="4A8C0D17" w14:textId="77777777" w:rsidR="00EC11E6" w:rsidRPr="00724CA2" w:rsidRDefault="00EC11E6" w:rsidP="00EC11E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Leverage</w:t>
            </w:r>
          </w:p>
        </w:tc>
        <w:tc>
          <w:tcPr>
            <w:tcW w:w="1636" w:type="dxa"/>
            <w:tcBorders>
              <w:top w:val="nil"/>
              <w:left w:val="nil"/>
              <w:bottom w:val="nil"/>
              <w:right w:val="nil"/>
            </w:tcBorders>
            <w:shd w:val="clear" w:color="auto" w:fill="auto"/>
            <w:noWrap/>
            <w:vAlign w:val="bottom"/>
          </w:tcPr>
          <w:p w14:paraId="79DF10E1" w14:textId="344221DA"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0.314***</w:t>
            </w:r>
          </w:p>
        </w:tc>
        <w:tc>
          <w:tcPr>
            <w:tcW w:w="1637" w:type="dxa"/>
            <w:tcBorders>
              <w:top w:val="nil"/>
              <w:left w:val="nil"/>
              <w:bottom w:val="nil"/>
              <w:right w:val="nil"/>
            </w:tcBorders>
            <w:shd w:val="clear" w:color="auto" w:fill="auto"/>
            <w:noWrap/>
            <w:vAlign w:val="bottom"/>
          </w:tcPr>
          <w:p w14:paraId="7D978CA8" w14:textId="323D2BDF"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1.313***</w:t>
            </w:r>
          </w:p>
        </w:tc>
        <w:tc>
          <w:tcPr>
            <w:tcW w:w="1637" w:type="dxa"/>
            <w:tcBorders>
              <w:top w:val="nil"/>
              <w:left w:val="nil"/>
              <w:bottom w:val="nil"/>
              <w:right w:val="nil"/>
            </w:tcBorders>
            <w:shd w:val="clear" w:color="auto" w:fill="auto"/>
            <w:vAlign w:val="bottom"/>
          </w:tcPr>
          <w:p w14:paraId="47B13221" w14:textId="6FC8C9D9"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0.377***</w:t>
            </w:r>
          </w:p>
        </w:tc>
        <w:tc>
          <w:tcPr>
            <w:tcW w:w="1637" w:type="dxa"/>
            <w:tcBorders>
              <w:top w:val="nil"/>
              <w:left w:val="nil"/>
              <w:bottom w:val="nil"/>
              <w:right w:val="nil"/>
            </w:tcBorders>
            <w:shd w:val="clear" w:color="auto" w:fill="auto"/>
            <w:vAlign w:val="bottom"/>
          </w:tcPr>
          <w:p w14:paraId="5F39816F" w14:textId="04F480BF"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1.192***</w:t>
            </w:r>
          </w:p>
        </w:tc>
      </w:tr>
      <w:tr w:rsidR="00724CA2" w:rsidRPr="00724CA2" w14:paraId="6300412A" w14:textId="3C275F02" w:rsidTr="00694AA9">
        <w:trPr>
          <w:trHeight w:val="289"/>
          <w:jc w:val="center"/>
        </w:trPr>
        <w:tc>
          <w:tcPr>
            <w:tcW w:w="2450" w:type="dxa"/>
            <w:noWrap/>
            <w:vAlign w:val="center"/>
            <w:hideMark/>
          </w:tcPr>
          <w:p w14:paraId="16540507" w14:textId="77777777" w:rsidR="00EC11E6" w:rsidRPr="00724CA2" w:rsidRDefault="00EC11E6" w:rsidP="00EC11E6">
            <w:pPr>
              <w:jc w:val="both"/>
              <w:rPr>
                <w:rFonts w:ascii="Times New Roman" w:hAnsi="Times New Roman" w:cs="Times New Roman"/>
                <w:color w:val="000000" w:themeColor="text1"/>
                <w:lang w:val="en-US"/>
              </w:rPr>
            </w:pPr>
          </w:p>
        </w:tc>
        <w:tc>
          <w:tcPr>
            <w:tcW w:w="1636" w:type="dxa"/>
            <w:tcBorders>
              <w:top w:val="nil"/>
              <w:left w:val="nil"/>
              <w:bottom w:val="nil"/>
              <w:right w:val="nil"/>
            </w:tcBorders>
            <w:shd w:val="clear" w:color="auto" w:fill="auto"/>
            <w:noWrap/>
            <w:vAlign w:val="bottom"/>
          </w:tcPr>
          <w:p w14:paraId="30519BBC" w14:textId="035C285F"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(0.067)</w:t>
            </w:r>
          </w:p>
        </w:tc>
        <w:tc>
          <w:tcPr>
            <w:tcW w:w="1637" w:type="dxa"/>
            <w:tcBorders>
              <w:top w:val="nil"/>
              <w:left w:val="nil"/>
              <w:bottom w:val="nil"/>
              <w:right w:val="nil"/>
            </w:tcBorders>
            <w:shd w:val="clear" w:color="auto" w:fill="auto"/>
            <w:noWrap/>
            <w:vAlign w:val="bottom"/>
          </w:tcPr>
          <w:p w14:paraId="45D04BFF" w14:textId="7A869D7D"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(0.271)</w:t>
            </w:r>
          </w:p>
        </w:tc>
        <w:tc>
          <w:tcPr>
            <w:tcW w:w="1637" w:type="dxa"/>
            <w:tcBorders>
              <w:top w:val="nil"/>
              <w:left w:val="nil"/>
              <w:bottom w:val="nil"/>
              <w:right w:val="nil"/>
            </w:tcBorders>
            <w:shd w:val="clear" w:color="auto" w:fill="auto"/>
            <w:vAlign w:val="bottom"/>
          </w:tcPr>
          <w:p w14:paraId="7D234AF4" w14:textId="1954CA50"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(0.124)</w:t>
            </w:r>
          </w:p>
        </w:tc>
        <w:tc>
          <w:tcPr>
            <w:tcW w:w="1637" w:type="dxa"/>
            <w:tcBorders>
              <w:top w:val="nil"/>
              <w:left w:val="nil"/>
              <w:bottom w:val="nil"/>
              <w:right w:val="nil"/>
            </w:tcBorders>
            <w:shd w:val="clear" w:color="auto" w:fill="auto"/>
            <w:vAlign w:val="bottom"/>
          </w:tcPr>
          <w:p w14:paraId="4D74A7D7" w14:textId="64E20E7D" w:rsidR="00EC11E6" w:rsidRPr="00724CA2" w:rsidRDefault="00EC11E6" w:rsidP="00EC11E6">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(0.303)</w:t>
            </w:r>
          </w:p>
        </w:tc>
      </w:tr>
      <w:tr w:rsidR="00724CA2" w:rsidRPr="00724CA2" w14:paraId="3DCE97D2" w14:textId="0F57D453" w:rsidTr="00EC11E6">
        <w:trPr>
          <w:trHeight w:val="289"/>
          <w:jc w:val="center"/>
        </w:trPr>
        <w:tc>
          <w:tcPr>
            <w:tcW w:w="2450" w:type="dxa"/>
            <w:noWrap/>
            <w:vAlign w:val="center"/>
          </w:tcPr>
          <w:p w14:paraId="1BD0C5B2" w14:textId="77777777" w:rsidR="00EC11E6" w:rsidRPr="00724CA2" w:rsidRDefault="00EC11E6" w:rsidP="00EC11E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Year FE</w:t>
            </w:r>
          </w:p>
        </w:tc>
        <w:tc>
          <w:tcPr>
            <w:tcW w:w="1636" w:type="dxa"/>
            <w:noWrap/>
            <w:vAlign w:val="center"/>
          </w:tcPr>
          <w:p w14:paraId="333D048C" w14:textId="77777777"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Yes</w:t>
            </w:r>
          </w:p>
        </w:tc>
        <w:tc>
          <w:tcPr>
            <w:tcW w:w="1637" w:type="dxa"/>
            <w:noWrap/>
            <w:vAlign w:val="center"/>
          </w:tcPr>
          <w:p w14:paraId="46E44241" w14:textId="77777777"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Yes</w:t>
            </w:r>
          </w:p>
        </w:tc>
        <w:tc>
          <w:tcPr>
            <w:tcW w:w="1637" w:type="dxa"/>
            <w:vAlign w:val="center"/>
          </w:tcPr>
          <w:p w14:paraId="5BDFDA79" w14:textId="1FF412F9"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Yes</w:t>
            </w:r>
          </w:p>
        </w:tc>
        <w:tc>
          <w:tcPr>
            <w:tcW w:w="1637" w:type="dxa"/>
            <w:vAlign w:val="center"/>
          </w:tcPr>
          <w:p w14:paraId="3779393D" w14:textId="7188A3A9"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Yes</w:t>
            </w:r>
          </w:p>
        </w:tc>
      </w:tr>
      <w:tr w:rsidR="00724CA2" w:rsidRPr="00724CA2" w14:paraId="2E663CC4" w14:textId="40959EC5" w:rsidTr="00EC11E6">
        <w:trPr>
          <w:trHeight w:val="289"/>
          <w:jc w:val="center"/>
        </w:trPr>
        <w:tc>
          <w:tcPr>
            <w:tcW w:w="2450" w:type="dxa"/>
            <w:tcBorders>
              <w:bottom w:val="nil"/>
            </w:tcBorders>
            <w:noWrap/>
            <w:vAlign w:val="center"/>
          </w:tcPr>
          <w:p w14:paraId="39A335D2" w14:textId="77777777" w:rsidR="00EC11E6" w:rsidRPr="00724CA2" w:rsidRDefault="00EC11E6" w:rsidP="00EC11E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Industry FE</w:t>
            </w:r>
          </w:p>
        </w:tc>
        <w:tc>
          <w:tcPr>
            <w:tcW w:w="1636" w:type="dxa"/>
            <w:tcBorders>
              <w:bottom w:val="nil"/>
            </w:tcBorders>
            <w:noWrap/>
            <w:vAlign w:val="center"/>
          </w:tcPr>
          <w:p w14:paraId="45548DA9" w14:textId="77777777"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Yes</w:t>
            </w:r>
          </w:p>
        </w:tc>
        <w:tc>
          <w:tcPr>
            <w:tcW w:w="1637" w:type="dxa"/>
            <w:tcBorders>
              <w:bottom w:val="nil"/>
            </w:tcBorders>
            <w:noWrap/>
            <w:vAlign w:val="center"/>
          </w:tcPr>
          <w:p w14:paraId="57CB541A" w14:textId="77777777"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Yes</w:t>
            </w:r>
          </w:p>
        </w:tc>
        <w:tc>
          <w:tcPr>
            <w:tcW w:w="1637" w:type="dxa"/>
            <w:tcBorders>
              <w:bottom w:val="nil"/>
            </w:tcBorders>
            <w:vAlign w:val="center"/>
          </w:tcPr>
          <w:p w14:paraId="1D99034E" w14:textId="21FB75FE"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Yes</w:t>
            </w:r>
          </w:p>
        </w:tc>
        <w:tc>
          <w:tcPr>
            <w:tcW w:w="1637" w:type="dxa"/>
            <w:tcBorders>
              <w:bottom w:val="nil"/>
            </w:tcBorders>
            <w:vAlign w:val="center"/>
          </w:tcPr>
          <w:p w14:paraId="46F8BB97" w14:textId="46EA64D2" w:rsidR="00EC11E6" w:rsidRPr="00724CA2" w:rsidRDefault="00EC11E6" w:rsidP="00EC11E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Yes</w:t>
            </w:r>
          </w:p>
        </w:tc>
      </w:tr>
      <w:tr w:rsidR="00724CA2" w:rsidRPr="00724CA2" w14:paraId="4BDA6B31" w14:textId="4F416965" w:rsidTr="005467CE">
        <w:trPr>
          <w:trHeight w:val="289"/>
          <w:jc w:val="center"/>
        </w:trPr>
        <w:tc>
          <w:tcPr>
            <w:tcW w:w="2450" w:type="dxa"/>
            <w:tcBorders>
              <w:top w:val="nil"/>
              <w:bottom w:val="nil"/>
            </w:tcBorders>
            <w:noWrap/>
            <w:vAlign w:val="center"/>
          </w:tcPr>
          <w:p w14:paraId="23360472" w14:textId="77777777"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Observations</w:t>
            </w:r>
          </w:p>
        </w:tc>
        <w:tc>
          <w:tcPr>
            <w:tcW w:w="1636" w:type="dxa"/>
            <w:tcBorders>
              <w:top w:val="nil"/>
              <w:left w:val="nil"/>
              <w:bottom w:val="nil"/>
              <w:right w:val="nil"/>
            </w:tcBorders>
            <w:shd w:val="clear" w:color="auto" w:fill="auto"/>
            <w:noWrap/>
            <w:vAlign w:val="bottom"/>
          </w:tcPr>
          <w:p w14:paraId="6A5549B3" w14:textId="3E5AA934" w:rsidR="003D0AD5" w:rsidRPr="00724CA2" w:rsidRDefault="003D0AD5" w:rsidP="003D0AD5">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2,933</w:t>
            </w:r>
          </w:p>
        </w:tc>
        <w:tc>
          <w:tcPr>
            <w:tcW w:w="1637" w:type="dxa"/>
            <w:tcBorders>
              <w:top w:val="nil"/>
              <w:left w:val="nil"/>
              <w:bottom w:val="nil"/>
              <w:right w:val="nil"/>
            </w:tcBorders>
            <w:shd w:val="clear" w:color="auto" w:fill="auto"/>
            <w:noWrap/>
            <w:vAlign w:val="bottom"/>
          </w:tcPr>
          <w:p w14:paraId="64F95262" w14:textId="7DC8E16B" w:rsidR="003D0AD5" w:rsidRPr="00724CA2" w:rsidRDefault="003D0AD5" w:rsidP="003D0AD5">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rPr>
              <w:t>3,627</w:t>
            </w:r>
          </w:p>
        </w:tc>
        <w:tc>
          <w:tcPr>
            <w:tcW w:w="1637" w:type="dxa"/>
            <w:tcBorders>
              <w:top w:val="nil"/>
              <w:left w:val="nil"/>
              <w:bottom w:val="nil"/>
              <w:right w:val="nil"/>
            </w:tcBorders>
            <w:shd w:val="clear" w:color="auto" w:fill="auto"/>
            <w:vAlign w:val="bottom"/>
          </w:tcPr>
          <w:p w14:paraId="07D43889" w14:textId="1E7CC2C7" w:rsidR="003D0AD5" w:rsidRPr="00724CA2" w:rsidRDefault="003D0AD5" w:rsidP="003D0AD5">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2,826</w:t>
            </w:r>
          </w:p>
        </w:tc>
        <w:tc>
          <w:tcPr>
            <w:tcW w:w="1637" w:type="dxa"/>
            <w:tcBorders>
              <w:top w:val="nil"/>
              <w:left w:val="nil"/>
              <w:bottom w:val="nil"/>
              <w:right w:val="nil"/>
            </w:tcBorders>
            <w:shd w:val="clear" w:color="auto" w:fill="auto"/>
            <w:vAlign w:val="bottom"/>
          </w:tcPr>
          <w:p w14:paraId="1B7523DB" w14:textId="33491E57" w:rsidR="003D0AD5" w:rsidRPr="00724CA2" w:rsidRDefault="003D0AD5" w:rsidP="003D0AD5">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3,734</w:t>
            </w:r>
          </w:p>
        </w:tc>
      </w:tr>
      <w:tr w:rsidR="00724CA2" w:rsidRPr="00724CA2" w14:paraId="58EF94EC" w14:textId="77ED4C11" w:rsidTr="005467CE">
        <w:trPr>
          <w:trHeight w:val="289"/>
          <w:jc w:val="center"/>
        </w:trPr>
        <w:tc>
          <w:tcPr>
            <w:tcW w:w="2450" w:type="dxa"/>
            <w:tcBorders>
              <w:top w:val="nil"/>
              <w:bottom w:val="single" w:sz="12" w:space="0" w:color="auto"/>
            </w:tcBorders>
            <w:noWrap/>
            <w:vAlign w:val="center"/>
          </w:tcPr>
          <w:p w14:paraId="154F1EBB" w14:textId="77777777" w:rsidR="003D0AD5" w:rsidRPr="00724CA2" w:rsidRDefault="003D0AD5" w:rsidP="003D0AD5">
            <w:pPr>
              <w:jc w:val="both"/>
              <w:rPr>
                <w:rFonts w:ascii="Times New Roman" w:hAnsi="Times New Roman" w:cs="Times New Roman"/>
                <w:color w:val="000000" w:themeColor="text1"/>
              </w:rPr>
            </w:pPr>
            <w:r w:rsidRPr="00724CA2">
              <w:rPr>
                <w:rFonts w:ascii="Times New Roman" w:hAnsi="Times New Roman" w:cs="Times New Roman"/>
                <w:color w:val="000000" w:themeColor="text1"/>
                <w:lang w:val="en-US"/>
              </w:rPr>
              <w:t>Adjusted R-squared</w:t>
            </w:r>
          </w:p>
        </w:tc>
        <w:tc>
          <w:tcPr>
            <w:tcW w:w="1636" w:type="dxa"/>
            <w:tcBorders>
              <w:top w:val="nil"/>
              <w:left w:val="nil"/>
              <w:bottom w:val="single" w:sz="12" w:space="0" w:color="auto"/>
              <w:right w:val="nil"/>
            </w:tcBorders>
            <w:shd w:val="clear" w:color="auto" w:fill="auto"/>
            <w:noWrap/>
            <w:vAlign w:val="bottom"/>
          </w:tcPr>
          <w:p w14:paraId="175A9CF1" w14:textId="6C2D92F0" w:rsidR="003D0AD5" w:rsidRPr="00724CA2" w:rsidRDefault="003D0AD5" w:rsidP="003D0AD5">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0.123</w:t>
            </w:r>
          </w:p>
        </w:tc>
        <w:tc>
          <w:tcPr>
            <w:tcW w:w="1637" w:type="dxa"/>
            <w:tcBorders>
              <w:top w:val="nil"/>
              <w:left w:val="nil"/>
              <w:bottom w:val="single" w:sz="12" w:space="0" w:color="auto"/>
              <w:right w:val="nil"/>
            </w:tcBorders>
            <w:shd w:val="clear" w:color="auto" w:fill="auto"/>
            <w:noWrap/>
            <w:vAlign w:val="bottom"/>
          </w:tcPr>
          <w:p w14:paraId="0A437516" w14:textId="414CA015" w:rsidR="003D0AD5" w:rsidRPr="00724CA2" w:rsidRDefault="003D0AD5" w:rsidP="003D0AD5">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0.225</w:t>
            </w:r>
          </w:p>
        </w:tc>
        <w:tc>
          <w:tcPr>
            <w:tcW w:w="1637" w:type="dxa"/>
            <w:tcBorders>
              <w:top w:val="nil"/>
              <w:left w:val="nil"/>
              <w:bottom w:val="single" w:sz="12" w:space="0" w:color="auto"/>
              <w:right w:val="nil"/>
            </w:tcBorders>
            <w:shd w:val="clear" w:color="auto" w:fill="auto"/>
            <w:vAlign w:val="bottom"/>
          </w:tcPr>
          <w:p w14:paraId="7D4AA76E" w14:textId="33A60C36" w:rsidR="003D0AD5" w:rsidRPr="00724CA2" w:rsidRDefault="003D0AD5" w:rsidP="003D0AD5">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0.185</w:t>
            </w:r>
          </w:p>
        </w:tc>
        <w:tc>
          <w:tcPr>
            <w:tcW w:w="1637" w:type="dxa"/>
            <w:tcBorders>
              <w:top w:val="nil"/>
              <w:left w:val="nil"/>
              <w:bottom w:val="single" w:sz="12" w:space="0" w:color="auto"/>
              <w:right w:val="nil"/>
            </w:tcBorders>
            <w:shd w:val="clear" w:color="auto" w:fill="auto"/>
            <w:vAlign w:val="bottom"/>
          </w:tcPr>
          <w:p w14:paraId="658C1B43" w14:textId="042F5182" w:rsidR="003D0AD5" w:rsidRPr="00724CA2" w:rsidRDefault="003D0AD5" w:rsidP="003D0AD5">
            <w:pPr>
              <w:jc w:val="both"/>
              <w:rPr>
                <w:rFonts w:ascii="Times New Roman" w:hAnsi="Times New Roman" w:cs="Times New Roman"/>
                <w:color w:val="000000" w:themeColor="text1"/>
                <w:sz w:val="21"/>
                <w:szCs w:val="21"/>
              </w:rPr>
            </w:pPr>
            <w:r w:rsidRPr="00724CA2">
              <w:rPr>
                <w:rFonts w:ascii="Times New Roman" w:hAnsi="Times New Roman" w:cs="Times New Roman"/>
                <w:color w:val="000000" w:themeColor="text1"/>
                <w:sz w:val="21"/>
                <w:szCs w:val="21"/>
              </w:rPr>
              <w:t>0.197</w:t>
            </w:r>
          </w:p>
        </w:tc>
      </w:tr>
    </w:tbl>
    <w:p w14:paraId="5C3C5D86" w14:textId="1A473C6B" w:rsidR="00935AF7" w:rsidRPr="00724CA2" w:rsidRDefault="00995B96" w:rsidP="00935AF7">
      <w:pPr>
        <w:jc w:val="both"/>
        <w:rPr>
          <w:rFonts w:ascii="Times New Roman" w:hAnsi="Times New Roman" w:cs="Times New Roman"/>
          <w:color w:val="000000" w:themeColor="text1"/>
          <w:szCs w:val="20"/>
        </w:rPr>
      </w:pPr>
      <w:r w:rsidRPr="00724CA2">
        <w:rPr>
          <w:rFonts w:ascii="Times New Roman" w:hAnsi="Times New Roman" w:cs="Times New Roman"/>
          <w:color w:val="000000" w:themeColor="text1"/>
          <w:szCs w:val="20"/>
        </w:rPr>
        <w:t>Year and industry fixed effects are included in all specifications. SOE is a dummy variable that equals one if the ultimate controller of a listed firm is state or state agencies and zero otherwise. The legal environment index is developed by China’s National Economics Research Institute. The classification of strong and weak legal environment sub-groups is based on the sample median value of this variable. Robust standard errors, clustered at the industry level, are reported in parentheses. *, **, and *** represent significance at the 0.10, 0.05, and 0.01 levels, respectively. The definitions of the variables are summarized in Table 1</w:t>
      </w:r>
      <w:r w:rsidR="00EC11E6" w:rsidRPr="00724CA2">
        <w:rPr>
          <w:rFonts w:ascii="Times New Roman" w:hAnsi="Times New Roman" w:cs="Times New Roman"/>
          <w:color w:val="000000" w:themeColor="text1"/>
          <w:szCs w:val="20"/>
        </w:rPr>
        <w:t>.</w:t>
      </w:r>
    </w:p>
    <w:p w14:paraId="3E368BA6" w14:textId="77777777" w:rsidR="00EC11E6" w:rsidRPr="00724CA2" w:rsidRDefault="00EC11E6" w:rsidP="00935AF7">
      <w:pPr>
        <w:jc w:val="both"/>
        <w:rPr>
          <w:rFonts w:ascii="Times New Roman" w:hAnsi="Times New Roman" w:cs="Times New Roman"/>
          <w:color w:val="000000" w:themeColor="text1"/>
          <w:szCs w:val="20"/>
        </w:rPr>
      </w:pPr>
    </w:p>
    <w:p w14:paraId="44711078" w14:textId="50C57081" w:rsidR="00EC11E6" w:rsidRPr="00724CA2" w:rsidRDefault="00EC11E6" w:rsidP="00935AF7">
      <w:pPr>
        <w:jc w:val="both"/>
        <w:rPr>
          <w:rFonts w:ascii="Times New Roman" w:hAnsi="Times New Roman" w:cs="Times New Roman"/>
          <w:color w:val="000000" w:themeColor="text1"/>
          <w:szCs w:val="20"/>
        </w:rPr>
      </w:pPr>
      <w:r w:rsidRPr="00724CA2">
        <w:rPr>
          <w:rFonts w:ascii="Times New Roman" w:hAnsi="Times New Roman" w:cs="Times New Roman"/>
          <w:color w:val="000000" w:themeColor="text1"/>
          <w:szCs w:val="20"/>
        </w:rPr>
        <w:br w:type="page"/>
      </w:r>
    </w:p>
    <w:p w14:paraId="781B0A7C" w14:textId="51B36400" w:rsidR="00486C4A" w:rsidRPr="00724CA2" w:rsidRDefault="00486C4A" w:rsidP="003D0AD5">
      <w:pPr>
        <w:spacing w:after="0" w:line="240" w:lineRule="auto"/>
        <w:jc w:val="both"/>
        <w:rPr>
          <w:rFonts w:ascii="Times New Roman" w:hAnsi="Times New Roman" w:cs="Times New Roman"/>
          <w:color w:val="000000" w:themeColor="text1"/>
        </w:rPr>
      </w:pPr>
      <w:r w:rsidRPr="00724CA2">
        <w:rPr>
          <w:rFonts w:ascii="Times New Roman" w:hAnsi="Times New Roman" w:cs="Times New Roman"/>
          <w:b/>
          <w:color w:val="000000" w:themeColor="text1"/>
        </w:rPr>
        <w:t xml:space="preserve">Table </w:t>
      </w:r>
      <w:r w:rsidR="000B0AC2" w:rsidRPr="00724CA2">
        <w:rPr>
          <w:rFonts w:ascii="Times New Roman" w:hAnsi="Times New Roman" w:cs="Times New Roman"/>
          <w:b/>
          <w:color w:val="000000" w:themeColor="text1"/>
        </w:rPr>
        <w:t>9</w:t>
      </w:r>
      <w:r w:rsidRPr="00724CA2">
        <w:rPr>
          <w:rFonts w:ascii="Times New Roman" w:hAnsi="Times New Roman" w:cs="Times New Roman"/>
          <w:b/>
          <w:color w:val="000000" w:themeColor="text1"/>
        </w:rPr>
        <w:t xml:space="preserve"> </w:t>
      </w:r>
      <w:r w:rsidRPr="00724CA2">
        <w:rPr>
          <w:rFonts w:ascii="Times New Roman" w:hAnsi="Times New Roman" w:cs="Times New Roman"/>
          <w:bCs/>
          <w:color w:val="000000" w:themeColor="text1"/>
        </w:rPr>
        <w:t>Robustness tests: Alternative dependent variables, grey investors and big auditors.</w:t>
      </w:r>
    </w:p>
    <w:tbl>
      <w:tblPr>
        <w:tblStyle w:val="TableGrid"/>
        <w:tblW w:w="9849" w:type="dxa"/>
        <w:jc w:val="center"/>
        <w:tblBorders>
          <w:top w:val="single" w:sz="12" w:space="0" w:color="auto"/>
          <w:bottom w:val="single" w:sz="12" w:space="0" w:color="auto"/>
          <w:insideH w:val="none" w:sz="0" w:space="0" w:color="auto"/>
          <w:insideV w:val="none" w:sz="0" w:space="0" w:color="auto"/>
        </w:tblBorders>
        <w:tblLayout w:type="fixed"/>
        <w:tblLook w:val="04A0" w:firstRow="1" w:lastRow="0" w:firstColumn="1" w:lastColumn="0" w:noHBand="0" w:noVBand="1"/>
      </w:tblPr>
      <w:tblGrid>
        <w:gridCol w:w="2363"/>
        <w:gridCol w:w="1497"/>
        <w:gridCol w:w="1497"/>
        <w:gridCol w:w="1497"/>
        <w:gridCol w:w="1497"/>
        <w:gridCol w:w="1498"/>
      </w:tblGrid>
      <w:tr w:rsidR="00724CA2" w:rsidRPr="00724CA2" w14:paraId="13535B7E" w14:textId="77777777" w:rsidTr="009C7C8B">
        <w:trPr>
          <w:trHeight w:val="251"/>
          <w:jc w:val="center"/>
        </w:trPr>
        <w:tc>
          <w:tcPr>
            <w:tcW w:w="2363" w:type="dxa"/>
            <w:tcBorders>
              <w:top w:val="single" w:sz="12" w:space="0" w:color="auto"/>
              <w:bottom w:val="single" w:sz="4" w:space="0" w:color="auto"/>
            </w:tcBorders>
            <w:noWrap/>
            <w:vAlign w:val="center"/>
          </w:tcPr>
          <w:p w14:paraId="406E335A" w14:textId="77777777" w:rsidR="0054199B" w:rsidRPr="00724CA2" w:rsidRDefault="0054199B" w:rsidP="007B3E16">
            <w:pPr>
              <w:jc w:val="both"/>
              <w:rPr>
                <w:rFonts w:ascii="Times New Roman" w:hAnsi="Times New Roman" w:cs="Times New Roman"/>
                <w:color w:val="000000" w:themeColor="text1"/>
                <w:lang w:val="en-US"/>
              </w:rPr>
            </w:pPr>
          </w:p>
        </w:tc>
        <w:tc>
          <w:tcPr>
            <w:tcW w:w="1497" w:type="dxa"/>
            <w:tcBorders>
              <w:top w:val="single" w:sz="12" w:space="0" w:color="auto"/>
              <w:bottom w:val="single" w:sz="4" w:space="0" w:color="auto"/>
            </w:tcBorders>
            <w:noWrap/>
            <w:vAlign w:val="center"/>
          </w:tcPr>
          <w:p w14:paraId="5EB4EAB8" w14:textId="77777777" w:rsidR="0054199B" w:rsidRPr="00724CA2" w:rsidRDefault="0054199B" w:rsidP="007B3E16">
            <w:pPr>
              <w:jc w:val="both"/>
              <w:rPr>
                <w:rFonts w:ascii="Times New Roman" w:hAnsi="Times New Roman" w:cs="Times New Roman"/>
                <w:color w:val="000000" w:themeColor="text1"/>
                <w:szCs w:val="21"/>
              </w:rPr>
            </w:pPr>
            <w:r w:rsidRPr="00724CA2">
              <w:rPr>
                <w:rFonts w:ascii="Times New Roman" w:hAnsi="Times New Roman" w:cs="Times New Roman"/>
                <w:color w:val="000000" w:themeColor="text1"/>
                <w:szCs w:val="21"/>
              </w:rPr>
              <w:t>Model 1</w:t>
            </w:r>
          </w:p>
        </w:tc>
        <w:tc>
          <w:tcPr>
            <w:tcW w:w="1497" w:type="dxa"/>
            <w:tcBorders>
              <w:top w:val="single" w:sz="12" w:space="0" w:color="auto"/>
              <w:bottom w:val="single" w:sz="4" w:space="0" w:color="auto"/>
            </w:tcBorders>
            <w:noWrap/>
            <w:vAlign w:val="center"/>
          </w:tcPr>
          <w:p w14:paraId="5D9D8BAE" w14:textId="77777777" w:rsidR="0054199B" w:rsidRPr="00724CA2" w:rsidRDefault="0054199B" w:rsidP="007B3E16">
            <w:pPr>
              <w:jc w:val="both"/>
              <w:rPr>
                <w:rFonts w:ascii="Times New Roman" w:hAnsi="Times New Roman" w:cs="Times New Roman"/>
                <w:color w:val="000000" w:themeColor="text1"/>
                <w:szCs w:val="21"/>
              </w:rPr>
            </w:pPr>
            <w:r w:rsidRPr="00724CA2">
              <w:rPr>
                <w:rFonts w:ascii="Times New Roman" w:hAnsi="Times New Roman" w:cs="Times New Roman"/>
                <w:color w:val="000000" w:themeColor="text1"/>
                <w:szCs w:val="21"/>
              </w:rPr>
              <w:t>Model 2</w:t>
            </w:r>
          </w:p>
        </w:tc>
        <w:tc>
          <w:tcPr>
            <w:tcW w:w="1497" w:type="dxa"/>
            <w:tcBorders>
              <w:top w:val="single" w:sz="12" w:space="0" w:color="auto"/>
              <w:bottom w:val="single" w:sz="4" w:space="0" w:color="auto"/>
            </w:tcBorders>
            <w:vAlign w:val="center"/>
          </w:tcPr>
          <w:p w14:paraId="781BA7C5" w14:textId="6912DF0A" w:rsidR="0054199B" w:rsidRPr="00724CA2" w:rsidRDefault="0054199B" w:rsidP="007B3E16">
            <w:pPr>
              <w:jc w:val="both"/>
              <w:rPr>
                <w:rFonts w:ascii="Times New Roman" w:hAnsi="Times New Roman" w:cs="Times New Roman"/>
                <w:color w:val="000000" w:themeColor="text1"/>
                <w:szCs w:val="21"/>
              </w:rPr>
            </w:pPr>
            <w:r w:rsidRPr="00724CA2">
              <w:rPr>
                <w:rFonts w:ascii="Times New Roman" w:hAnsi="Times New Roman" w:cs="Times New Roman"/>
                <w:color w:val="000000" w:themeColor="text1"/>
                <w:szCs w:val="21"/>
              </w:rPr>
              <w:t>Model 3</w:t>
            </w:r>
          </w:p>
        </w:tc>
        <w:tc>
          <w:tcPr>
            <w:tcW w:w="1497" w:type="dxa"/>
            <w:tcBorders>
              <w:top w:val="single" w:sz="12" w:space="0" w:color="auto"/>
              <w:bottom w:val="single" w:sz="4" w:space="0" w:color="auto"/>
            </w:tcBorders>
            <w:vAlign w:val="center"/>
          </w:tcPr>
          <w:p w14:paraId="00046F34" w14:textId="61C2C253" w:rsidR="0054199B" w:rsidRPr="00724CA2" w:rsidRDefault="0054199B" w:rsidP="007B3E16">
            <w:pPr>
              <w:jc w:val="both"/>
              <w:rPr>
                <w:rFonts w:ascii="Times New Roman" w:hAnsi="Times New Roman" w:cs="Times New Roman"/>
                <w:bCs/>
                <w:color w:val="000000" w:themeColor="text1"/>
                <w:szCs w:val="21"/>
              </w:rPr>
            </w:pPr>
            <w:r w:rsidRPr="00724CA2">
              <w:rPr>
                <w:rFonts w:ascii="Times New Roman" w:hAnsi="Times New Roman" w:cs="Times New Roman"/>
                <w:color w:val="000000" w:themeColor="text1"/>
                <w:szCs w:val="21"/>
              </w:rPr>
              <w:t>Model 4</w:t>
            </w:r>
          </w:p>
        </w:tc>
        <w:tc>
          <w:tcPr>
            <w:tcW w:w="1498" w:type="dxa"/>
            <w:tcBorders>
              <w:top w:val="single" w:sz="12" w:space="0" w:color="auto"/>
              <w:bottom w:val="single" w:sz="4" w:space="0" w:color="auto"/>
            </w:tcBorders>
            <w:vAlign w:val="center"/>
          </w:tcPr>
          <w:p w14:paraId="452ABAF6" w14:textId="0275BE3C" w:rsidR="0054199B" w:rsidRPr="00724CA2" w:rsidRDefault="0054199B" w:rsidP="007B3E16">
            <w:pPr>
              <w:jc w:val="both"/>
              <w:rPr>
                <w:rFonts w:ascii="Times New Roman" w:hAnsi="Times New Roman" w:cs="Times New Roman"/>
                <w:color w:val="000000" w:themeColor="text1"/>
                <w:szCs w:val="21"/>
              </w:rPr>
            </w:pPr>
            <w:r w:rsidRPr="00724CA2">
              <w:rPr>
                <w:rFonts w:ascii="Times New Roman" w:hAnsi="Times New Roman" w:cs="Times New Roman"/>
                <w:color w:val="000000" w:themeColor="text1"/>
                <w:szCs w:val="21"/>
              </w:rPr>
              <w:t>Model 5</w:t>
            </w:r>
          </w:p>
        </w:tc>
      </w:tr>
      <w:tr w:rsidR="00724CA2" w:rsidRPr="00724CA2" w14:paraId="27451DF3" w14:textId="77777777" w:rsidTr="009C7C8B">
        <w:trPr>
          <w:trHeight w:val="251"/>
          <w:jc w:val="center"/>
        </w:trPr>
        <w:tc>
          <w:tcPr>
            <w:tcW w:w="2363" w:type="dxa"/>
            <w:tcBorders>
              <w:top w:val="single" w:sz="4" w:space="0" w:color="auto"/>
              <w:bottom w:val="single" w:sz="4" w:space="0" w:color="auto"/>
            </w:tcBorders>
            <w:noWrap/>
            <w:vAlign w:val="center"/>
            <w:hideMark/>
          </w:tcPr>
          <w:p w14:paraId="7FE9B63A" w14:textId="77777777" w:rsidR="0054199B" w:rsidRPr="00724CA2" w:rsidRDefault="0054199B" w:rsidP="007B3E16">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Variables</w:t>
            </w:r>
          </w:p>
        </w:tc>
        <w:tc>
          <w:tcPr>
            <w:tcW w:w="1497" w:type="dxa"/>
            <w:tcBorders>
              <w:top w:val="single" w:sz="4" w:space="0" w:color="auto"/>
              <w:bottom w:val="single" w:sz="4" w:space="0" w:color="auto"/>
            </w:tcBorders>
            <w:noWrap/>
            <w:vAlign w:val="center"/>
            <w:hideMark/>
          </w:tcPr>
          <w:p w14:paraId="4400DDE2" w14:textId="77777777" w:rsidR="0054199B" w:rsidRPr="00724CA2" w:rsidRDefault="0054199B" w:rsidP="007B3E1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Environmental Score</w:t>
            </w:r>
          </w:p>
        </w:tc>
        <w:tc>
          <w:tcPr>
            <w:tcW w:w="1497" w:type="dxa"/>
            <w:tcBorders>
              <w:top w:val="single" w:sz="4" w:space="0" w:color="auto"/>
              <w:bottom w:val="single" w:sz="4" w:space="0" w:color="auto"/>
            </w:tcBorders>
            <w:noWrap/>
            <w:vAlign w:val="center"/>
          </w:tcPr>
          <w:p w14:paraId="704D0908" w14:textId="77777777" w:rsidR="0054199B" w:rsidRPr="00724CA2" w:rsidRDefault="0054199B" w:rsidP="007B3E16">
            <w:pPr>
              <w:jc w:val="both"/>
              <w:rPr>
                <w:rFonts w:ascii="Times New Roman" w:hAnsi="Times New Roman" w:cs="Times New Roman"/>
                <w:color w:val="000000" w:themeColor="text1"/>
                <w:sz w:val="21"/>
                <w:szCs w:val="21"/>
                <w:lang w:val="en-US"/>
              </w:rPr>
            </w:pPr>
            <w:r w:rsidRPr="00724CA2">
              <w:rPr>
                <w:rFonts w:ascii="Times New Roman" w:hAnsi="Times New Roman" w:cs="Times New Roman"/>
                <w:color w:val="000000" w:themeColor="text1"/>
                <w:sz w:val="21"/>
                <w:szCs w:val="21"/>
                <w:lang w:val="en-US"/>
              </w:rPr>
              <w:t>Environmental policy index</w:t>
            </w:r>
          </w:p>
        </w:tc>
        <w:tc>
          <w:tcPr>
            <w:tcW w:w="1497" w:type="dxa"/>
            <w:tcBorders>
              <w:top w:val="single" w:sz="4" w:space="0" w:color="auto"/>
              <w:bottom w:val="single" w:sz="4" w:space="0" w:color="auto"/>
            </w:tcBorders>
            <w:vAlign w:val="center"/>
          </w:tcPr>
          <w:p w14:paraId="1BDFD5EF" w14:textId="71ED174F" w:rsidR="0054199B" w:rsidRPr="00724CA2" w:rsidRDefault="003D0AD5" w:rsidP="007B3E16">
            <w:pPr>
              <w:jc w:val="both"/>
              <w:rPr>
                <w:rFonts w:ascii="Times New Roman" w:hAnsi="Times New Roman" w:cs="Times New Roman"/>
                <w:bCs/>
                <w:color w:val="000000" w:themeColor="text1"/>
                <w:sz w:val="21"/>
                <w:szCs w:val="21"/>
              </w:rPr>
            </w:pPr>
            <w:r w:rsidRPr="00724CA2">
              <w:rPr>
                <w:rFonts w:ascii="Times New Roman" w:hAnsi="Times New Roman" w:cs="Times New Roman"/>
                <w:bCs/>
                <w:color w:val="000000" w:themeColor="text1"/>
                <w:sz w:val="21"/>
                <w:szCs w:val="21"/>
              </w:rPr>
              <w:t>Scaled by</w:t>
            </w:r>
            <w:r w:rsidR="00824B34" w:rsidRPr="00724CA2">
              <w:rPr>
                <w:rFonts w:ascii="Times New Roman" w:hAnsi="Times New Roman" w:cs="Times New Roman"/>
                <w:bCs/>
                <w:color w:val="000000" w:themeColor="text1"/>
                <w:sz w:val="21"/>
                <w:szCs w:val="21"/>
              </w:rPr>
              <w:t xml:space="preserve"> total assets</w:t>
            </w:r>
          </w:p>
        </w:tc>
        <w:tc>
          <w:tcPr>
            <w:tcW w:w="1497" w:type="dxa"/>
            <w:tcBorders>
              <w:top w:val="single" w:sz="4" w:space="0" w:color="auto"/>
              <w:bottom w:val="single" w:sz="4" w:space="0" w:color="auto"/>
            </w:tcBorders>
            <w:vAlign w:val="center"/>
          </w:tcPr>
          <w:p w14:paraId="56606141" w14:textId="58003AE2" w:rsidR="0054199B" w:rsidRPr="00724CA2" w:rsidRDefault="0054199B" w:rsidP="007B3E16">
            <w:pPr>
              <w:jc w:val="both"/>
              <w:rPr>
                <w:rFonts w:ascii="Times New Roman" w:hAnsi="Times New Roman" w:cs="Times New Roman"/>
                <w:bCs/>
                <w:color w:val="000000" w:themeColor="text1"/>
                <w:sz w:val="21"/>
                <w:szCs w:val="21"/>
              </w:rPr>
            </w:pPr>
            <w:r w:rsidRPr="00724CA2">
              <w:rPr>
                <w:rFonts w:ascii="Times New Roman" w:hAnsi="Times New Roman" w:cs="Times New Roman"/>
                <w:bCs/>
                <w:color w:val="000000" w:themeColor="text1"/>
                <w:sz w:val="21"/>
                <w:szCs w:val="21"/>
              </w:rPr>
              <w:t>Big auditors</w:t>
            </w:r>
          </w:p>
        </w:tc>
        <w:tc>
          <w:tcPr>
            <w:tcW w:w="1498" w:type="dxa"/>
            <w:tcBorders>
              <w:top w:val="single" w:sz="4" w:space="0" w:color="auto"/>
              <w:bottom w:val="single" w:sz="4" w:space="0" w:color="auto"/>
            </w:tcBorders>
            <w:vAlign w:val="center"/>
          </w:tcPr>
          <w:p w14:paraId="4A7FE370" w14:textId="77777777" w:rsidR="0054199B" w:rsidRPr="00724CA2" w:rsidRDefault="0054199B" w:rsidP="007B3E16">
            <w:pPr>
              <w:jc w:val="both"/>
              <w:rPr>
                <w:rFonts w:ascii="Times New Roman" w:hAnsi="Times New Roman" w:cs="Times New Roman"/>
                <w:bCs/>
                <w:color w:val="000000" w:themeColor="text1"/>
                <w:szCs w:val="21"/>
              </w:rPr>
            </w:pPr>
            <w:r w:rsidRPr="00724CA2">
              <w:rPr>
                <w:rFonts w:ascii="Times New Roman" w:hAnsi="Times New Roman" w:cs="Times New Roman"/>
                <w:bCs/>
                <w:color w:val="000000" w:themeColor="text1"/>
                <w:sz w:val="21"/>
                <w:szCs w:val="21"/>
              </w:rPr>
              <w:t>Grey investors</w:t>
            </w:r>
          </w:p>
        </w:tc>
      </w:tr>
      <w:tr w:rsidR="00724CA2" w:rsidRPr="00724CA2" w14:paraId="5B3B7F8A" w14:textId="77777777" w:rsidTr="008A0AEC">
        <w:trPr>
          <w:trHeight w:val="251"/>
          <w:jc w:val="center"/>
        </w:trPr>
        <w:tc>
          <w:tcPr>
            <w:tcW w:w="2363" w:type="dxa"/>
            <w:tcBorders>
              <w:top w:val="single" w:sz="4" w:space="0" w:color="auto"/>
            </w:tcBorders>
            <w:noWrap/>
            <w:vAlign w:val="center"/>
            <w:hideMark/>
          </w:tcPr>
          <w:p w14:paraId="219ABA16" w14:textId="77777777"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rPr>
              <w:t>Mutual fund</w:t>
            </w:r>
          </w:p>
        </w:tc>
        <w:tc>
          <w:tcPr>
            <w:tcW w:w="1497" w:type="dxa"/>
            <w:tcBorders>
              <w:top w:val="nil"/>
              <w:left w:val="nil"/>
              <w:bottom w:val="nil"/>
              <w:right w:val="nil"/>
            </w:tcBorders>
            <w:shd w:val="clear" w:color="auto" w:fill="auto"/>
            <w:noWrap/>
            <w:vAlign w:val="bottom"/>
          </w:tcPr>
          <w:p w14:paraId="47E1AA6B" w14:textId="2B583E90"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1.045***</w:t>
            </w:r>
          </w:p>
        </w:tc>
        <w:tc>
          <w:tcPr>
            <w:tcW w:w="1497" w:type="dxa"/>
            <w:tcBorders>
              <w:top w:val="nil"/>
              <w:left w:val="nil"/>
              <w:bottom w:val="nil"/>
              <w:right w:val="nil"/>
            </w:tcBorders>
            <w:shd w:val="clear" w:color="auto" w:fill="auto"/>
            <w:noWrap/>
            <w:vAlign w:val="bottom"/>
          </w:tcPr>
          <w:p w14:paraId="3753AF33" w14:textId="0208B894"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3.900***</w:t>
            </w:r>
          </w:p>
        </w:tc>
        <w:tc>
          <w:tcPr>
            <w:tcW w:w="1497" w:type="dxa"/>
            <w:tcBorders>
              <w:top w:val="nil"/>
              <w:left w:val="nil"/>
              <w:bottom w:val="nil"/>
              <w:right w:val="nil"/>
            </w:tcBorders>
            <w:shd w:val="clear" w:color="auto" w:fill="auto"/>
            <w:vAlign w:val="bottom"/>
          </w:tcPr>
          <w:p w14:paraId="3C72369A" w14:textId="744E5767"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0.567***</w:t>
            </w:r>
          </w:p>
        </w:tc>
        <w:tc>
          <w:tcPr>
            <w:tcW w:w="1497" w:type="dxa"/>
            <w:tcBorders>
              <w:top w:val="nil"/>
              <w:left w:val="nil"/>
              <w:bottom w:val="nil"/>
              <w:right w:val="nil"/>
            </w:tcBorders>
            <w:shd w:val="clear" w:color="auto" w:fill="auto"/>
            <w:vAlign w:val="bottom"/>
          </w:tcPr>
          <w:p w14:paraId="207519B0" w14:textId="3C37B860"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3.896***</w:t>
            </w:r>
          </w:p>
        </w:tc>
        <w:tc>
          <w:tcPr>
            <w:tcW w:w="1498" w:type="dxa"/>
            <w:tcBorders>
              <w:top w:val="nil"/>
              <w:left w:val="nil"/>
              <w:bottom w:val="nil"/>
              <w:right w:val="nil"/>
            </w:tcBorders>
            <w:shd w:val="clear" w:color="auto" w:fill="auto"/>
            <w:vAlign w:val="bottom"/>
          </w:tcPr>
          <w:p w14:paraId="47672677" w14:textId="77777777" w:rsidR="003D0AD5" w:rsidRPr="00724CA2" w:rsidRDefault="003D0AD5" w:rsidP="003D0AD5">
            <w:pPr>
              <w:jc w:val="both"/>
              <w:rPr>
                <w:rFonts w:ascii="Times New Roman" w:hAnsi="Times New Roman" w:cs="Times New Roman"/>
                <w:color w:val="000000" w:themeColor="text1"/>
                <w:sz w:val="20"/>
                <w:szCs w:val="20"/>
              </w:rPr>
            </w:pPr>
          </w:p>
        </w:tc>
      </w:tr>
      <w:tr w:rsidR="00724CA2" w:rsidRPr="00724CA2" w14:paraId="1A47A41A" w14:textId="77777777" w:rsidTr="008A0AEC">
        <w:trPr>
          <w:trHeight w:val="251"/>
          <w:jc w:val="center"/>
        </w:trPr>
        <w:tc>
          <w:tcPr>
            <w:tcW w:w="2363" w:type="dxa"/>
            <w:noWrap/>
            <w:vAlign w:val="center"/>
            <w:hideMark/>
          </w:tcPr>
          <w:p w14:paraId="1498C8F2" w14:textId="77777777" w:rsidR="003D0AD5" w:rsidRPr="00724CA2" w:rsidRDefault="003D0AD5" w:rsidP="003D0AD5">
            <w:pPr>
              <w:jc w:val="both"/>
              <w:rPr>
                <w:rFonts w:ascii="Times New Roman" w:hAnsi="Times New Roman" w:cs="Times New Roman"/>
                <w:color w:val="000000" w:themeColor="text1"/>
                <w:lang w:val="en-US"/>
              </w:rPr>
            </w:pPr>
          </w:p>
        </w:tc>
        <w:tc>
          <w:tcPr>
            <w:tcW w:w="1497" w:type="dxa"/>
            <w:tcBorders>
              <w:top w:val="nil"/>
              <w:left w:val="nil"/>
              <w:bottom w:val="nil"/>
              <w:right w:val="nil"/>
            </w:tcBorders>
            <w:shd w:val="clear" w:color="auto" w:fill="auto"/>
            <w:noWrap/>
            <w:vAlign w:val="bottom"/>
          </w:tcPr>
          <w:p w14:paraId="4461B066" w14:textId="31E87E04"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(0.162)</w:t>
            </w:r>
          </w:p>
        </w:tc>
        <w:tc>
          <w:tcPr>
            <w:tcW w:w="1497" w:type="dxa"/>
            <w:tcBorders>
              <w:top w:val="nil"/>
              <w:left w:val="nil"/>
              <w:bottom w:val="nil"/>
              <w:right w:val="nil"/>
            </w:tcBorders>
            <w:shd w:val="clear" w:color="auto" w:fill="auto"/>
            <w:noWrap/>
            <w:vAlign w:val="bottom"/>
          </w:tcPr>
          <w:p w14:paraId="72B913A4" w14:textId="4208A1AA"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(1.094)</w:t>
            </w:r>
          </w:p>
        </w:tc>
        <w:tc>
          <w:tcPr>
            <w:tcW w:w="1497" w:type="dxa"/>
            <w:tcBorders>
              <w:top w:val="nil"/>
              <w:left w:val="nil"/>
              <w:bottom w:val="nil"/>
              <w:right w:val="nil"/>
            </w:tcBorders>
            <w:shd w:val="clear" w:color="auto" w:fill="auto"/>
            <w:vAlign w:val="bottom"/>
          </w:tcPr>
          <w:p w14:paraId="5F719E5C" w14:textId="7D44E36D"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(0.165)</w:t>
            </w:r>
          </w:p>
        </w:tc>
        <w:tc>
          <w:tcPr>
            <w:tcW w:w="1497" w:type="dxa"/>
            <w:tcBorders>
              <w:top w:val="nil"/>
              <w:left w:val="nil"/>
              <w:bottom w:val="nil"/>
              <w:right w:val="nil"/>
            </w:tcBorders>
            <w:shd w:val="clear" w:color="auto" w:fill="auto"/>
            <w:vAlign w:val="bottom"/>
          </w:tcPr>
          <w:p w14:paraId="41336B92" w14:textId="61A8F708"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(0.398)</w:t>
            </w:r>
          </w:p>
        </w:tc>
        <w:tc>
          <w:tcPr>
            <w:tcW w:w="1498" w:type="dxa"/>
            <w:tcBorders>
              <w:top w:val="nil"/>
              <w:left w:val="nil"/>
              <w:bottom w:val="nil"/>
              <w:right w:val="nil"/>
            </w:tcBorders>
            <w:shd w:val="clear" w:color="auto" w:fill="auto"/>
            <w:vAlign w:val="bottom"/>
          </w:tcPr>
          <w:p w14:paraId="6CB29694" w14:textId="77777777" w:rsidR="003D0AD5" w:rsidRPr="00724CA2" w:rsidRDefault="003D0AD5" w:rsidP="003D0AD5">
            <w:pPr>
              <w:jc w:val="both"/>
              <w:rPr>
                <w:rFonts w:ascii="Times New Roman" w:hAnsi="Times New Roman" w:cs="Times New Roman"/>
                <w:color w:val="000000" w:themeColor="text1"/>
                <w:sz w:val="20"/>
                <w:szCs w:val="20"/>
              </w:rPr>
            </w:pPr>
          </w:p>
        </w:tc>
      </w:tr>
      <w:tr w:rsidR="00724CA2" w:rsidRPr="00724CA2" w14:paraId="532BDFD7" w14:textId="77777777" w:rsidTr="008A0AEC">
        <w:trPr>
          <w:trHeight w:val="251"/>
          <w:jc w:val="center"/>
        </w:trPr>
        <w:tc>
          <w:tcPr>
            <w:tcW w:w="2363" w:type="dxa"/>
            <w:noWrap/>
            <w:vAlign w:val="center"/>
          </w:tcPr>
          <w:p w14:paraId="603469A3" w14:textId="77777777" w:rsidR="003D0AD5" w:rsidRPr="00724CA2" w:rsidRDefault="003D0AD5" w:rsidP="003D0AD5">
            <w:pPr>
              <w:jc w:val="both"/>
              <w:rPr>
                <w:rFonts w:ascii="Times New Roman" w:hAnsi="Times New Roman" w:cs="Times New Roman"/>
                <w:color w:val="000000" w:themeColor="text1"/>
              </w:rPr>
            </w:pPr>
            <w:r w:rsidRPr="00724CA2">
              <w:rPr>
                <w:rFonts w:ascii="Times New Roman" w:hAnsi="Times New Roman" w:cs="Times New Roman"/>
                <w:color w:val="000000" w:themeColor="text1"/>
                <w:sz w:val="21"/>
                <w:szCs w:val="21"/>
              </w:rPr>
              <w:t>Mutual fund*Big auditor</w:t>
            </w:r>
          </w:p>
        </w:tc>
        <w:tc>
          <w:tcPr>
            <w:tcW w:w="1497" w:type="dxa"/>
            <w:tcBorders>
              <w:top w:val="nil"/>
              <w:left w:val="nil"/>
              <w:bottom w:val="nil"/>
              <w:right w:val="nil"/>
            </w:tcBorders>
            <w:shd w:val="clear" w:color="auto" w:fill="auto"/>
            <w:noWrap/>
            <w:vAlign w:val="bottom"/>
          </w:tcPr>
          <w:p w14:paraId="55C56FA6" w14:textId="77777777" w:rsidR="003D0AD5" w:rsidRPr="00724CA2" w:rsidRDefault="003D0AD5" w:rsidP="003D0AD5">
            <w:pPr>
              <w:jc w:val="both"/>
              <w:rPr>
                <w:rFonts w:ascii="Times New Roman" w:hAnsi="Times New Roman" w:cs="Times New Roman"/>
                <w:color w:val="000000" w:themeColor="text1"/>
                <w:sz w:val="20"/>
                <w:szCs w:val="20"/>
              </w:rPr>
            </w:pPr>
          </w:p>
        </w:tc>
        <w:tc>
          <w:tcPr>
            <w:tcW w:w="1497" w:type="dxa"/>
            <w:tcBorders>
              <w:top w:val="nil"/>
              <w:left w:val="nil"/>
              <w:bottom w:val="nil"/>
              <w:right w:val="nil"/>
            </w:tcBorders>
            <w:shd w:val="clear" w:color="auto" w:fill="auto"/>
            <w:noWrap/>
            <w:vAlign w:val="bottom"/>
          </w:tcPr>
          <w:p w14:paraId="1259208E" w14:textId="77777777" w:rsidR="003D0AD5" w:rsidRPr="00724CA2" w:rsidRDefault="003D0AD5" w:rsidP="003D0AD5">
            <w:pPr>
              <w:jc w:val="both"/>
              <w:rPr>
                <w:rFonts w:ascii="Times New Roman" w:hAnsi="Times New Roman" w:cs="Times New Roman"/>
                <w:color w:val="000000" w:themeColor="text1"/>
                <w:sz w:val="20"/>
                <w:szCs w:val="20"/>
              </w:rPr>
            </w:pPr>
          </w:p>
        </w:tc>
        <w:tc>
          <w:tcPr>
            <w:tcW w:w="1497" w:type="dxa"/>
            <w:tcBorders>
              <w:top w:val="nil"/>
              <w:left w:val="nil"/>
              <w:bottom w:val="nil"/>
              <w:right w:val="nil"/>
            </w:tcBorders>
            <w:shd w:val="clear" w:color="auto" w:fill="auto"/>
            <w:vAlign w:val="bottom"/>
          </w:tcPr>
          <w:p w14:paraId="0042949F" w14:textId="77777777" w:rsidR="003D0AD5" w:rsidRPr="00724CA2" w:rsidRDefault="003D0AD5" w:rsidP="003D0AD5">
            <w:pPr>
              <w:jc w:val="both"/>
              <w:rPr>
                <w:rFonts w:ascii="Times New Roman" w:hAnsi="Times New Roman" w:cs="Times New Roman"/>
                <w:color w:val="000000" w:themeColor="text1"/>
                <w:sz w:val="20"/>
                <w:szCs w:val="20"/>
              </w:rPr>
            </w:pPr>
          </w:p>
        </w:tc>
        <w:tc>
          <w:tcPr>
            <w:tcW w:w="1497" w:type="dxa"/>
            <w:tcBorders>
              <w:top w:val="nil"/>
              <w:left w:val="nil"/>
              <w:bottom w:val="nil"/>
              <w:right w:val="nil"/>
            </w:tcBorders>
            <w:shd w:val="clear" w:color="auto" w:fill="auto"/>
            <w:vAlign w:val="bottom"/>
          </w:tcPr>
          <w:p w14:paraId="154C519C" w14:textId="3AD71323"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4.303***</w:t>
            </w:r>
          </w:p>
        </w:tc>
        <w:tc>
          <w:tcPr>
            <w:tcW w:w="1498" w:type="dxa"/>
            <w:tcBorders>
              <w:top w:val="nil"/>
              <w:left w:val="nil"/>
              <w:bottom w:val="nil"/>
              <w:right w:val="nil"/>
            </w:tcBorders>
            <w:shd w:val="clear" w:color="auto" w:fill="auto"/>
            <w:vAlign w:val="bottom"/>
          </w:tcPr>
          <w:p w14:paraId="2BE389D8" w14:textId="6A4391C6" w:rsidR="003D0AD5" w:rsidRPr="00724CA2" w:rsidRDefault="003D0AD5" w:rsidP="003D0AD5">
            <w:pPr>
              <w:jc w:val="both"/>
              <w:rPr>
                <w:rFonts w:ascii="Times New Roman" w:hAnsi="Times New Roman" w:cs="Times New Roman"/>
                <w:color w:val="000000" w:themeColor="text1"/>
                <w:sz w:val="20"/>
                <w:szCs w:val="20"/>
              </w:rPr>
            </w:pPr>
          </w:p>
        </w:tc>
      </w:tr>
      <w:tr w:rsidR="00724CA2" w:rsidRPr="00724CA2" w14:paraId="7F2823E9" w14:textId="77777777" w:rsidTr="008A0AEC">
        <w:trPr>
          <w:trHeight w:val="251"/>
          <w:jc w:val="center"/>
        </w:trPr>
        <w:tc>
          <w:tcPr>
            <w:tcW w:w="2363" w:type="dxa"/>
            <w:noWrap/>
            <w:vAlign w:val="center"/>
          </w:tcPr>
          <w:p w14:paraId="55372C3F" w14:textId="77777777" w:rsidR="003D0AD5" w:rsidRPr="00724CA2" w:rsidRDefault="003D0AD5" w:rsidP="003D0AD5">
            <w:pPr>
              <w:jc w:val="both"/>
              <w:rPr>
                <w:rFonts w:ascii="Times New Roman" w:hAnsi="Times New Roman" w:cs="Times New Roman"/>
                <w:color w:val="000000" w:themeColor="text1"/>
              </w:rPr>
            </w:pPr>
          </w:p>
        </w:tc>
        <w:tc>
          <w:tcPr>
            <w:tcW w:w="1497" w:type="dxa"/>
            <w:tcBorders>
              <w:top w:val="nil"/>
              <w:left w:val="nil"/>
              <w:bottom w:val="nil"/>
              <w:right w:val="nil"/>
            </w:tcBorders>
            <w:shd w:val="clear" w:color="auto" w:fill="auto"/>
            <w:noWrap/>
            <w:vAlign w:val="bottom"/>
          </w:tcPr>
          <w:p w14:paraId="40A9515E" w14:textId="77777777" w:rsidR="003D0AD5" w:rsidRPr="00724CA2" w:rsidRDefault="003D0AD5" w:rsidP="003D0AD5">
            <w:pPr>
              <w:jc w:val="both"/>
              <w:rPr>
                <w:rFonts w:ascii="Times New Roman" w:hAnsi="Times New Roman" w:cs="Times New Roman"/>
                <w:color w:val="000000" w:themeColor="text1"/>
                <w:sz w:val="20"/>
                <w:szCs w:val="20"/>
              </w:rPr>
            </w:pPr>
          </w:p>
        </w:tc>
        <w:tc>
          <w:tcPr>
            <w:tcW w:w="1497" w:type="dxa"/>
            <w:tcBorders>
              <w:top w:val="nil"/>
              <w:left w:val="nil"/>
              <w:bottom w:val="nil"/>
              <w:right w:val="nil"/>
            </w:tcBorders>
            <w:shd w:val="clear" w:color="auto" w:fill="auto"/>
            <w:noWrap/>
            <w:vAlign w:val="bottom"/>
          </w:tcPr>
          <w:p w14:paraId="3AA34CE1" w14:textId="77777777" w:rsidR="003D0AD5" w:rsidRPr="00724CA2" w:rsidRDefault="003D0AD5" w:rsidP="003D0AD5">
            <w:pPr>
              <w:jc w:val="both"/>
              <w:rPr>
                <w:rFonts w:ascii="Times New Roman" w:hAnsi="Times New Roman" w:cs="Times New Roman"/>
                <w:color w:val="000000" w:themeColor="text1"/>
                <w:sz w:val="20"/>
                <w:szCs w:val="20"/>
              </w:rPr>
            </w:pPr>
          </w:p>
        </w:tc>
        <w:tc>
          <w:tcPr>
            <w:tcW w:w="1497" w:type="dxa"/>
            <w:tcBorders>
              <w:top w:val="nil"/>
              <w:left w:val="nil"/>
              <w:bottom w:val="nil"/>
              <w:right w:val="nil"/>
            </w:tcBorders>
            <w:shd w:val="clear" w:color="auto" w:fill="auto"/>
            <w:vAlign w:val="bottom"/>
          </w:tcPr>
          <w:p w14:paraId="25C92364" w14:textId="77777777" w:rsidR="003D0AD5" w:rsidRPr="00724CA2" w:rsidRDefault="003D0AD5" w:rsidP="003D0AD5">
            <w:pPr>
              <w:jc w:val="both"/>
              <w:rPr>
                <w:rFonts w:ascii="Times New Roman" w:hAnsi="Times New Roman" w:cs="Times New Roman"/>
                <w:color w:val="000000" w:themeColor="text1"/>
                <w:sz w:val="20"/>
                <w:szCs w:val="20"/>
              </w:rPr>
            </w:pPr>
          </w:p>
        </w:tc>
        <w:tc>
          <w:tcPr>
            <w:tcW w:w="1497" w:type="dxa"/>
            <w:tcBorders>
              <w:top w:val="nil"/>
              <w:left w:val="nil"/>
              <w:bottom w:val="nil"/>
              <w:right w:val="nil"/>
            </w:tcBorders>
            <w:shd w:val="clear" w:color="auto" w:fill="auto"/>
            <w:vAlign w:val="bottom"/>
          </w:tcPr>
          <w:p w14:paraId="305F6A07" w14:textId="67784717"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(0.683)</w:t>
            </w:r>
          </w:p>
        </w:tc>
        <w:tc>
          <w:tcPr>
            <w:tcW w:w="1498" w:type="dxa"/>
            <w:tcBorders>
              <w:top w:val="nil"/>
              <w:left w:val="nil"/>
              <w:bottom w:val="nil"/>
              <w:right w:val="nil"/>
            </w:tcBorders>
            <w:shd w:val="clear" w:color="auto" w:fill="auto"/>
            <w:vAlign w:val="bottom"/>
          </w:tcPr>
          <w:p w14:paraId="577358F2" w14:textId="3D3C3850" w:rsidR="003D0AD5" w:rsidRPr="00724CA2" w:rsidRDefault="003D0AD5" w:rsidP="003D0AD5">
            <w:pPr>
              <w:jc w:val="both"/>
              <w:rPr>
                <w:rFonts w:ascii="Times New Roman" w:hAnsi="Times New Roman" w:cs="Times New Roman"/>
                <w:color w:val="000000" w:themeColor="text1"/>
                <w:sz w:val="20"/>
                <w:szCs w:val="20"/>
              </w:rPr>
            </w:pPr>
          </w:p>
        </w:tc>
      </w:tr>
      <w:tr w:rsidR="00724CA2" w:rsidRPr="00724CA2" w14:paraId="2369729D" w14:textId="77777777" w:rsidTr="008A0AEC">
        <w:trPr>
          <w:trHeight w:val="251"/>
          <w:jc w:val="center"/>
        </w:trPr>
        <w:tc>
          <w:tcPr>
            <w:tcW w:w="2363" w:type="dxa"/>
            <w:noWrap/>
            <w:vAlign w:val="center"/>
          </w:tcPr>
          <w:p w14:paraId="41F6A658" w14:textId="30E8FE78" w:rsidR="003D0AD5" w:rsidRPr="00724CA2" w:rsidRDefault="003D0AD5" w:rsidP="003D0AD5">
            <w:pPr>
              <w:jc w:val="both"/>
              <w:rPr>
                <w:rFonts w:ascii="Times New Roman" w:hAnsi="Times New Roman" w:cs="Times New Roman"/>
                <w:color w:val="000000" w:themeColor="text1"/>
              </w:rPr>
            </w:pPr>
            <w:r w:rsidRPr="00724CA2">
              <w:rPr>
                <w:rFonts w:ascii="Times New Roman" w:hAnsi="Times New Roman" w:cs="Times New Roman"/>
                <w:color w:val="000000" w:themeColor="text1"/>
                <w:sz w:val="21"/>
                <w:szCs w:val="21"/>
              </w:rPr>
              <w:t>Big auditor</w:t>
            </w:r>
          </w:p>
        </w:tc>
        <w:tc>
          <w:tcPr>
            <w:tcW w:w="1497" w:type="dxa"/>
            <w:tcBorders>
              <w:top w:val="nil"/>
              <w:left w:val="nil"/>
              <w:bottom w:val="nil"/>
              <w:right w:val="nil"/>
            </w:tcBorders>
            <w:shd w:val="clear" w:color="auto" w:fill="auto"/>
            <w:noWrap/>
            <w:vAlign w:val="bottom"/>
          </w:tcPr>
          <w:p w14:paraId="2E584BD2" w14:textId="77777777" w:rsidR="003D0AD5" w:rsidRPr="00724CA2" w:rsidRDefault="003D0AD5" w:rsidP="003D0AD5">
            <w:pPr>
              <w:jc w:val="both"/>
              <w:rPr>
                <w:rFonts w:ascii="Times New Roman" w:hAnsi="Times New Roman" w:cs="Times New Roman"/>
                <w:color w:val="000000" w:themeColor="text1"/>
                <w:sz w:val="20"/>
                <w:szCs w:val="20"/>
              </w:rPr>
            </w:pPr>
          </w:p>
        </w:tc>
        <w:tc>
          <w:tcPr>
            <w:tcW w:w="1497" w:type="dxa"/>
            <w:tcBorders>
              <w:top w:val="nil"/>
              <w:left w:val="nil"/>
              <w:bottom w:val="nil"/>
              <w:right w:val="nil"/>
            </w:tcBorders>
            <w:shd w:val="clear" w:color="auto" w:fill="auto"/>
            <w:noWrap/>
            <w:vAlign w:val="bottom"/>
          </w:tcPr>
          <w:p w14:paraId="0C618691" w14:textId="77777777" w:rsidR="003D0AD5" w:rsidRPr="00724CA2" w:rsidRDefault="003D0AD5" w:rsidP="003D0AD5">
            <w:pPr>
              <w:jc w:val="both"/>
              <w:rPr>
                <w:rFonts w:ascii="Times New Roman" w:hAnsi="Times New Roman" w:cs="Times New Roman"/>
                <w:color w:val="000000" w:themeColor="text1"/>
                <w:sz w:val="20"/>
                <w:szCs w:val="20"/>
              </w:rPr>
            </w:pPr>
          </w:p>
        </w:tc>
        <w:tc>
          <w:tcPr>
            <w:tcW w:w="1497" w:type="dxa"/>
            <w:tcBorders>
              <w:top w:val="nil"/>
              <w:left w:val="nil"/>
              <w:bottom w:val="nil"/>
              <w:right w:val="nil"/>
            </w:tcBorders>
            <w:shd w:val="clear" w:color="auto" w:fill="auto"/>
            <w:vAlign w:val="bottom"/>
          </w:tcPr>
          <w:p w14:paraId="147422E6" w14:textId="77777777" w:rsidR="003D0AD5" w:rsidRPr="00724CA2" w:rsidRDefault="003D0AD5" w:rsidP="003D0AD5">
            <w:pPr>
              <w:jc w:val="both"/>
              <w:rPr>
                <w:rFonts w:ascii="Times New Roman" w:hAnsi="Times New Roman" w:cs="Times New Roman"/>
                <w:color w:val="000000" w:themeColor="text1"/>
                <w:sz w:val="20"/>
                <w:szCs w:val="20"/>
              </w:rPr>
            </w:pPr>
          </w:p>
        </w:tc>
        <w:tc>
          <w:tcPr>
            <w:tcW w:w="1497" w:type="dxa"/>
            <w:tcBorders>
              <w:top w:val="nil"/>
              <w:left w:val="nil"/>
              <w:bottom w:val="nil"/>
              <w:right w:val="nil"/>
            </w:tcBorders>
            <w:shd w:val="clear" w:color="auto" w:fill="auto"/>
            <w:vAlign w:val="bottom"/>
          </w:tcPr>
          <w:p w14:paraId="466B8A33" w14:textId="6175848E"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0.592***</w:t>
            </w:r>
          </w:p>
        </w:tc>
        <w:tc>
          <w:tcPr>
            <w:tcW w:w="1498" w:type="dxa"/>
            <w:tcBorders>
              <w:top w:val="nil"/>
              <w:left w:val="nil"/>
              <w:bottom w:val="nil"/>
              <w:right w:val="nil"/>
            </w:tcBorders>
            <w:shd w:val="clear" w:color="auto" w:fill="auto"/>
            <w:vAlign w:val="bottom"/>
          </w:tcPr>
          <w:p w14:paraId="26A1ACA8" w14:textId="55948A65" w:rsidR="003D0AD5" w:rsidRPr="00724CA2" w:rsidRDefault="003D0AD5" w:rsidP="003D0AD5">
            <w:pPr>
              <w:jc w:val="both"/>
              <w:rPr>
                <w:rFonts w:ascii="Times New Roman" w:hAnsi="Times New Roman" w:cs="Times New Roman"/>
                <w:color w:val="000000" w:themeColor="text1"/>
                <w:sz w:val="20"/>
                <w:szCs w:val="20"/>
              </w:rPr>
            </w:pPr>
          </w:p>
        </w:tc>
      </w:tr>
      <w:tr w:rsidR="00724CA2" w:rsidRPr="00724CA2" w14:paraId="33BDFA2B" w14:textId="77777777" w:rsidTr="008A0AEC">
        <w:trPr>
          <w:trHeight w:val="251"/>
          <w:jc w:val="center"/>
        </w:trPr>
        <w:tc>
          <w:tcPr>
            <w:tcW w:w="2363" w:type="dxa"/>
            <w:noWrap/>
            <w:vAlign w:val="center"/>
          </w:tcPr>
          <w:p w14:paraId="1F5EB2C0" w14:textId="77777777" w:rsidR="003D0AD5" w:rsidRPr="00724CA2" w:rsidRDefault="003D0AD5" w:rsidP="003D0AD5">
            <w:pPr>
              <w:jc w:val="both"/>
              <w:rPr>
                <w:rFonts w:ascii="Times New Roman" w:hAnsi="Times New Roman" w:cs="Times New Roman"/>
                <w:color w:val="000000" w:themeColor="text1"/>
              </w:rPr>
            </w:pPr>
          </w:p>
        </w:tc>
        <w:tc>
          <w:tcPr>
            <w:tcW w:w="1497" w:type="dxa"/>
            <w:tcBorders>
              <w:top w:val="nil"/>
              <w:left w:val="nil"/>
              <w:bottom w:val="nil"/>
              <w:right w:val="nil"/>
            </w:tcBorders>
            <w:shd w:val="clear" w:color="auto" w:fill="auto"/>
            <w:noWrap/>
            <w:vAlign w:val="bottom"/>
          </w:tcPr>
          <w:p w14:paraId="0EFC2EB1" w14:textId="77777777" w:rsidR="003D0AD5" w:rsidRPr="00724CA2" w:rsidRDefault="003D0AD5" w:rsidP="003D0AD5">
            <w:pPr>
              <w:jc w:val="both"/>
              <w:rPr>
                <w:rFonts w:ascii="Times New Roman" w:hAnsi="Times New Roman" w:cs="Times New Roman"/>
                <w:color w:val="000000" w:themeColor="text1"/>
                <w:sz w:val="20"/>
                <w:szCs w:val="20"/>
              </w:rPr>
            </w:pPr>
          </w:p>
        </w:tc>
        <w:tc>
          <w:tcPr>
            <w:tcW w:w="1497" w:type="dxa"/>
            <w:tcBorders>
              <w:top w:val="nil"/>
              <w:left w:val="nil"/>
              <w:bottom w:val="nil"/>
              <w:right w:val="nil"/>
            </w:tcBorders>
            <w:shd w:val="clear" w:color="auto" w:fill="auto"/>
            <w:noWrap/>
            <w:vAlign w:val="bottom"/>
          </w:tcPr>
          <w:p w14:paraId="7B9805F4" w14:textId="77777777" w:rsidR="003D0AD5" w:rsidRPr="00724CA2" w:rsidRDefault="003D0AD5" w:rsidP="003D0AD5">
            <w:pPr>
              <w:jc w:val="both"/>
              <w:rPr>
                <w:rFonts w:ascii="Times New Roman" w:hAnsi="Times New Roman" w:cs="Times New Roman"/>
                <w:color w:val="000000" w:themeColor="text1"/>
                <w:sz w:val="20"/>
                <w:szCs w:val="20"/>
              </w:rPr>
            </w:pPr>
          </w:p>
        </w:tc>
        <w:tc>
          <w:tcPr>
            <w:tcW w:w="1497" w:type="dxa"/>
            <w:tcBorders>
              <w:top w:val="nil"/>
              <w:left w:val="nil"/>
              <w:bottom w:val="nil"/>
              <w:right w:val="nil"/>
            </w:tcBorders>
            <w:shd w:val="clear" w:color="auto" w:fill="auto"/>
            <w:vAlign w:val="bottom"/>
          </w:tcPr>
          <w:p w14:paraId="122950B0" w14:textId="77777777" w:rsidR="003D0AD5" w:rsidRPr="00724CA2" w:rsidRDefault="003D0AD5" w:rsidP="003D0AD5">
            <w:pPr>
              <w:jc w:val="both"/>
              <w:rPr>
                <w:rFonts w:ascii="Times New Roman" w:hAnsi="Times New Roman" w:cs="Times New Roman"/>
                <w:color w:val="000000" w:themeColor="text1"/>
                <w:sz w:val="20"/>
                <w:szCs w:val="20"/>
              </w:rPr>
            </w:pPr>
          </w:p>
        </w:tc>
        <w:tc>
          <w:tcPr>
            <w:tcW w:w="1497" w:type="dxa"/>
            <w:tcBorders>
              <w:top w:val="nil"/>
              <w:left w:val="nil"/>
              <w:bottom w:val="nil"/>
              <w:right w:val="nil"/>
            </w:tcBorders>
            <w:shd w:val="clear" w:color="auto" w:fill="auto"/>
            <w:vAlign w:val="bottom"/>
          </w:tcPr>
          <w:p w14:paraId="56092AE8" w14:textId="746B1CC4"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(0.192)</w:t>
            </w:r>
          </w:p>
        </w:tc>
        <w:tc>
          <w:tcPr>
            <w:tcW w:w="1498" w:type="dxa"/>
            <w:tcBorders>
              <w:top w:val="nil"/>
              <w:left w:val="nil"/>
              <w:bottom w:val="nil"/>
              <w:right w:val="nil"/>
            </w:tcBorders>
            <w:shd w:val="clear" w:color="auto" w:fill="auto"/>
            <w:vAlign w:val="bottom"/>
          </w:tcPr>
          <w:p w14:paraId="38BFDE3F" w14:textId="3E8E1A8F" w:rsidR="003D0AD5" w:rsidRPr="00724CA2" w:rsidRDefault="003D0AD5" w:rsidP="003D0AD5">
            <w:pPr>
              <w:jc w:val="both"/>
              <w:rPr>
                <w:rFonts w:ascii="Times New Roman" w:hAnsi="Times New Roman" w:cs="Times New Roman"/>
                <w:color w:val="000000" w:themeColor="text1"/>
                <w:sz w:val="20"/>
                <w:szCs w:val="20"/>
              </w:rPr>
            </w:pPr>
          </w:p>
        </w:tc>
      </w:tr>
      <w:tr w:rsidR="00724CA2" w:rsidRPr="00724CA2" w14:paraId="05AE0923" w14:textId="77777777" w:rsidTr="008A0AEC">
        <w:trPr>
          <w:trHeight w:val="251"/>
          <w:jc w:val="center"/>
        </w:trPr>
        <w:tc>
          <w:tcPr>
            <w:tcW w:w="2363" w:type="dxa"/>
            <w:noWrap/>
            <w:vAlign w:val="center"/>
          </w:tcPr>
          <w:p w14:paraId="496F487F" w14:textId="618EA467" w:rsidR="003D0AD5" w:rsidRPr="00724CA2" w:rsidRDefault="003D0AD5" w:rsidP="003D0AD5">
            <w:pPr>
              <w:jc w:val="both"/>
              <w:rPr>
                <w:rFonts w:ascii="Times New Roman" w:hAnsi="Times New Roman" w:cs="Times New Roman"/>
                <w:color w:val="000000" w:themeColor="text1"/>
              </w:rPr>
            </w:pPr>
            <w:r w:rsidRPr="00724CA2">
              <w:rPr>
                <w:rFonts w:ascii="Times New Roman" w:hAnsi="Times New Roman" w:cs="Times New Roman"/>
                <w:bCs/>
                <w:color w:val="000000" w:themeColor="text1"/>
              </w:rPr>
              <w:t>Grey investors</w:t>
            </w:r>
          </w:p>
        </w:tc>
        <w:tc>
          <w:tcPr>
            <w:tcW w:w="1497" w:type="dxa"/>
            <w:tcBorders>
              <w:top w:val="nil"/>
              <w:left w:val="nil"/>
              <w:bottom w:val="nil"/>
              <w:right w:val="nil"/>
            </w:tcBorders>
            <w:shd w:val="clear" w:color="auto" w:fill="auto"/>
            <w:noWrap/>
            <w:vAlign w:val="bottom"/>
          </w:tcPr>
          <w:p w14:paraId="4D3CFBD0" w14:textId="77777777" w:rsidR="003D0AD5" w:rsidRPr="00724CA2" w:rsidRDefault="003D0AD5" w:rsidP="003D0AD5">
            <w:pPr>
              <w:jc w:val="both"/>
              <w:rPr>
                <w:rFonts w:ascii="Times New Roman" w:hAnsi="Times New Roman" w:cs="Times New Roman"/>
                <w:color w:val="000000" w:themeColor="text1"/>
                <w:sz w:val="20"/>
                <w:szCs w:val="20"/>
              </w:rPr>
            </w:pPr>
          </w:p>
        </w:tc>
        <w:tc>
          <w:tcPr>
            <w:tcW w:w="1497" w:type="dxa"/>
            <w:tcBorders>
              <w:top w:val="nil"/>
              <w:left w:val="nil"/>
              <w:bottom w:val="nil"/>
              <w:right w:val="nil"/>
            </w:tcBorders>
            <w:shd w:val="clear" w:color="auto" w:fill="auto"/>
            <w:noWrap/>
            <w:vAlign w:val="bottom"/>
          </w:tcPr>
          <w:p w14:paraId="379545F0" w14:textId="77777777" w:rsidR="003D0AD5" w:rsidRPr="00724CA2" w:rsidRDefault="003D0AD5" w:rsidP="003D0AD5">
            <w:pPr>
              <w:jc w:val="both"/>
              <w:rPr>
                <w:rFonts w:ascii="Times New Roman" w:hAnsi="Times New Roman" w:cs="Times New Roman"/>
                <w:color w:val="000000" w:themeColor="text1"/>
                <w:sz w:val="20"/>
                <w:szCs w:val="20"/>
              </w:rPr>
            </w:pPr>
          </w:p>
        </w:tc>
        <w:tc>
          <w:tcPr>
            <w:tcW w:w="1497" w:type="dxa"/>
            <w:tcBorders>
              <w:top w:val="nil"/>
              <w:left w:val="nil"/>
              <w:bottom w:val="nil"/>
              <w:right w:val="nil"/>
            </w:tcBorders>
            <w:shd w:val="clear" w:color="auto" w:fill="auto"/>
            <w:vAlign w:val="bottom"/>
          </w:tcPr>
          <w:p w14:paraId="1F3AF9B3" w14:textId="77777777" w:rsidR="003D0AD5" w:rsidRPr="00724CA2" w:rsidRDefault="003D0AD5" w:rsidP="003D0AD5">
            <w:pPr>
              <w:jc w:val="both"/>
              <w:rPr>
                <w:rFonts w:ascii="Times New Roman" w:hAnsi="Times New Roman" w:cs="Times New Roman"/>
                <w:color w:val="000000" w:themeColor="text1"/>
                <w:sz w:val="20"/>
                <w:szCs w:val="20"/>
              </w:rPr>
            </w:pPr>
          </w:p>
        </w:tc>
        <w:tc>
          <w:tcPr>
            <w:tcW w:w="1497" w:type="dxa"/>
            <w:tcBorders>
              <w:top w:val="nil"/>
              <w:left w:val="nil"/>
              <w:bottom w:val="nil"/>
              <w:right w:val="nil"/>
            </w:tcBorders>
            <w:shd w:val="clear" w:color="auto" w:fill="auto"/>
            <w:vAlign w:val="bottom"/>
          </w:tcPr>
          <w:p w14:paraId="74A8C6D3" w14:textId="24D5200B" w:rsidR="003D0AD5" w:rsidRPr="00724CA2" w:rsidRDefault="003D0AD5" w:rsidP="003D0AD5">
            <w:pPr>
              <w:jc w:val="both"/>
              <w:rPr>
                <w:rFonts w:ascii="Times New Roman" w:hAnsi="Times New Roman" w:cs="Times New Roman"/>
                <w:color w:val="000000" w:themeColor="text1"/>
                <w:sz w:val="20"/>
                <w:szCs w:val="20"/>
              </w:rPr>
            </w:pPr>
          </w:p>
        </w:tc>
        <w:tc>
          <w:tcPr>
            <w:tcW w:w="1498" w:type="dxa"/>
            <w:tcBorders>
              <w:top w:val="nil"/>
              <w:left w:val="nil"/>
              <w:bottom w:val="nil"/>
              <w:right w:val="nil"/>
            </w:tcBorders>
            <w:shd w:val="clear" w:color="auto" w:fill="auto"/>
            <w:vAlign w:val="bottom"/>
          </w:tcPr>
          <w:p w14:paraId="09E0872A" w14:textId="210161BE"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-0.264</w:t>
            </w:r>
          </w:p>
        </w:tc>
      </w:tr>
      <w:tr w:rsidR="00724CA2" w:rsidRPr="00724CA2" w14:paraId="0FD603A5" w14:textId="77777777" w:rsidTr="008A0AEC">
        <w:trPr>
          <w:trHeight w:val="251"/>
          <w:jc w:val="center"/>
        </w:trPr>
        <w:tc>
          <w:tcPr>
            <w:tcW w:w="2363" w:type="dxa"/>
            <w:noWrap/>
            <w:vAlign w:val="center"/>
          </w:tcPr>
          <w:p w14:paraId="00A14402" w14:textId="77777777" w:rsidR="003D0AD5" w:rsidRPr="00724CA2" w:rsidRDefault="003D0AD5" w:rsidP="003D0AD5">
            <w:pPr>
              <w:jc w:val="both"/>
              <w:rPr>
                <w:rFonts w:ascii="Times New Roman" w:hAnsi="Times New Roman" w:cs="Times New Roman"/>
                <w:color w:val="000000" w:themeColor="text1"/>
              </w:rPr>
            </w:pPr>
          </w:p>
        </w:tc>
        <w:tc>
          <w:tcPr>
            <w:tcW w:w="1497" w:type="dxa"/>
            <w:tcBorders>
              <w:top w:val="nil"/>
              <w:left w:val="nil"/>
              <w:bottom w:val="nil"/>
              <w:right w:val="nil"/>
            </w:tcBorders>
            <w:shd w:val="clear" w:color="auto" w:fill="auto"/>
            <w:noWrap/>
            <w:vAlign w:val="bottom"/>
          </w:tcPr>
          <w:p w14:paraId="45BAAE5C" w14:textId="77777777" w:rsidR="003D0AD5" w:rsidRPr="00724CA2" w:rsidRDefault="003D0AD5" w:rsidP="003D0AD5">
            <w:pPr>
              <w:jc w:val="both"/>
              <w:rPr>
                <w:rFonts w:ascii="Times New Roman" w:hAnsi="Times New Roman" w:cs="Times New Roman"/>
                <w:color w:val="000000" w:themeColor="text1"/>
                <w:sz w:val="20"/>
                <w:szCs w:val="20"/>
              </w:rPr>
            </w:pPr>
          </w:p>
        </w:tc>
        <w:tc>
          <w:tcPr>
            <w:tcW w:w="1497" w:type="dxa"/>
            <w:tcBorders>
              <w:top w:val="nil"/>
              <w:left w:val="nil"/>
              <w:bottom w:val="nil"/>
              <w:right w:val="nil"/>
            </w:tcBorders>
            <w:shd w:val="clear" w:color="auto" w:fill="auto"/>
            <w:noWrap/>
            <w:vAlign w:val="bottom"/>
          </w:tcPr>
          <w:p w14:paraId="25BFCAA7" w14:textId="77777777" w:rsidR="003D0AD5" w:rsidRPr="00724CA2" w:rsidRDefault="003D0AD5" w:rsidP="003D0AD5">
            <w:pPr>
              <w:jc w:val="both"/>
              <w:rPr>
                <w:rFonts w:ascii="Times New Roman" w:hAnsi="Times New Roman" w:cs="Times New Roman"/>
                <w:color w:val="000000" w:themeColor="text1"/>
                <w:sz w:val="20"/>
                <w:szCs w:val="20"/>
              </w:rPr>
            </w:pPr>
          </w:p>
        </w:tc>
        <w:tc>
          <w:tcPr>
            <w:tcW w:w="1497" w:type="dxa"/>
            <w:tcBorders>
              <w:top w:val="nil"/>
              <w:left w:val="nil"/>
              <w:bottom w:val="nil"/>
              <w:right w:val="nil"/>
            </w:tcBorders>
            <w:shd w:val="clear" w:color="auto" w:fill="auto"/>
            <w:vAlign w:val="bottom"/>
          </w:tcPr>
          <w:p w14:paraId="2E6AFF8D" w14:textId="77777777" w:rsidR="003D0AD5" w:rsidRPr="00724CA2" w:rsidRDefault="003D0AD5" w:rsidP="003D0AD5">
            <w:pPr>
              <w:jc w:val="both"/>
              <w:rPr>
                <w:rFonts w:ascii="Times New Roman" w:hAnsi="Times New Roman" w:cs="Times New Roman"/>
                <w:color w:val="000000" w:themeColor="text1"/>
                <w:sz w:val="20"/>
                <w:szCs w:val="20"/>
              </w:rPr>
            </w:pPr>
          </w:p>
        </w:tc>
        <w:tc>
          <w:tcPr>
            <w:tcW w:w="1497" w:type="dxa"/>
            <w:tcBorders>
              <w:top w:val="nil"/>
              <w:left w:val="nil"/>
              <w:bottom w:val="nil"/>
              <w:right w:val="nil"/>
            </w:tcBorders>
            <w:shd w:val="clear" w:color="auto" w:fill="auto"/>
            <w:vAlign w:val="bottom"/>
          </w:tcPr>
          <w:p w14:paraId="49CE35B2" w14:textId="348A083E" w:rsidR="003D0AD5" w:rsidRPr="00724CA2" w:rsidRDefault="003D0AD5" w:rsidP="003D0AD5">
            <w:pPr>
              <w:jc w:val="both"/>
              <w:rPr>
                <w:rFonts w:ascii="Times New Roman" w:hAnsi="Times New Roman" w:cs="Times New Roman"/>
                <w:color w:val="000000" w:themeColor="text1"/>
                <w:sz w:val="20"/>
                <w:szCs w:val="20"/>
              </w:rPr>
            </w:pPr>
          </w:p>
        </w:tc>
        <w:tc>
          <w:tcPr>
            <w:tcW w:w="1498" w:type="dxa"/>
            <w:tcBorders>
              <w:top w:val="nil"/>
              <w:left w:val="nil"/>
              <w:bottom w:val="nil"/>
              <w:right w:val="nil"/>
            </w:tcBorders>
            <w:shd w:val="clear" w:color="auto" w:fill="auto"/>
            <w:vAlign w:val="bottom"/>
          </w:tcPr>
          <w:p w14:paraId="06EEBD04" w14:textId="671219D8"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(2.200)</w:t>
            </w:r>
          </w:p>
        </w:tc>
      </w:tr>
      <w:tr w:rsidR="00724CA2" w:rsidRPr="00724CA2" w14:paraId="7804C8C0" w14:textId="77777777" w:rsidTr="008A0AEC">
        <w:trPr>
          <w:trHeight w:val="251"/>
          <w:jc w:val="center"/>
        </w:trPr>
        <w:tc>
          <w:tcPr>
            <w:tcW w:w="2363" w:type="dxa"/>
            <w:noWrap/>
            <w:vAlign w:val="center"/>
          </w:tcPr>
          <w:p w14:paraId="20568578" w14:textId="2278E903" w:rsidR="003D0AD5" w:rsidRPr="00724CA2" w:rsidRDefault="003D0AD5" w:rsidP="003D0AD5">
            <w:pPr>
              <w:jc w:val="both"/>
              <w:rPr>
                <w:rFonts w:ascii="Times New Roman" w:hAnsi="Times New Roman" w:cs="Times New Roman"/>
                <w:color w:val="000000" w:themeColor="text1"/>
              </w:rPr>
            </w:pPr>
            <w:r w:rsidRPr="00724CA2">
              <w:rPr>
                <w:rFonts w:ascii="Times New Roman" w:hAnsi="Times New Roman" w:cs="Times New Roman" w:hint="eastAsia"/>
                <w:color w:val="000000" w:themeColor="text1"/>
                <w:lang w:val="en-US"/>
              </w:rPr>
              <w:t>S</w:t>
            </w:r>
            <w:r w:rsidRPr="00724CA2">
              <w:rPr>
                <w:rFonts w:ascii="Times New Roman" w:hAnsi="Times New Roman" w:cs="Times New Roman"/>
                <w:color w:val="000000" w:themeColor="text1"/>
                <w:lang w:val="en-US"/>
              </w:rPr>
              <w:t>ociety</w:t>
            </w:r>
          </w:p>
        </w:tc>
        <w:tc>
          <w:tcPr>
            <w:tcW w:w="1497" w:type="dxa"/>
            <w:tcBorders>
              <w:top w:val="nil"/>
              <w:left w:val="nil"/>
              <w:bottom w:val="nil"/>
              <w:right w:val="nil"/>
            </w:tcBorders>
            <w:shd w:val="clear" w:color="auto" w:fill="auto"/>
            <w:noWrap/>
            <w:vAlign w:val="bottom"/>
          </w:tcPr>
          <w:p w14:paraId="324B0CBC" w14:textId="3C7673BF"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0.003**</w:t>
            </w:r>
          </w:p>
        </w:tc>
        <w:tc>
          <w:tcPr>
            <w:tcW w:w="1497" w:type="dxa"/>
            <w:tcBorders>
              <w:top w:val="nil"/>
              <w:left w:val="nil"/>
              <w:bottom w:val="nil"/>
              <w:right w:val="nil"/>
            </w:tcBorders>
            <w:shd w:val="clear" w:color="auto" w:fill="auto"/>
            <w:noWrap/>
            <w:vAlign w:val="bottom"/>
          </w:tcPr>
          <w:p w14:paraId="04344E5C" w14:textId="27433F07"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0.014**</w:t>
            </w:r>
          </w:p>
        </w:tc>
        <w:tc>
          <w:tcPr>
            <w:tcW w:w="1497" w:type="dxa"/>
            <w:tcBorders>
              <w:top w:val="nil"/>
              <w:left w:val="nil"/>
              <w:bottom w:val="nil"/>
              <w:right w:val="nil"/>
            </w:tcBorders>
            <w:shd w:val="clear" w:color="auto" w:fill="auto"/>
            <w:vAlign w:val="bottom"/>
          </w:tcPr>
          <w:p w14:paraId="315C2F97" w14:textId="59D5C4CF"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0.005**</w:t>
            </w:r>
          </w:p>
        </w:tc>
        <w:tc>
          <w:tcPr>
            <w:tcW w:w="1497" w:type="dxa"/>
            <w:tcBorders>
              <w:top w:val="nil"/>
              <w:left w:val="nil"/>
              <w:bottom w:val="nil"/>
              <w:right w:val="nil"/>
            </w:tcBorders>
            <w:shd w:val="clear" w:color="auto" w:fill="auto"/>
            <w:vAlign w:val="bottom"/>
          </w:tcPr>
          <w:p w14:paraId="65AECC87" w14:textId="78EC2E29"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0.015***</w:t>
            </w:r>
          </w:p>
        </w:tc>
        <w:tc>
          <w:tcPr>
            <w:tcW w:w="1498" w:type="dxa"/>
            <w:tcBorders>
              <w:top w:val="nil"/>
              <w:left w:val="nil"/>
              <w:bottom w:val="nil"/>
              <w:right w:val="nil"/>
            </w:tcBorders>
            <w:shd w:val="clear" w:color="auto" w:fill="auto"/>
            <w:vAlign w:val="bottom"/>
          </w:tcPr>
          <w:p w14:paraId="7DE93E37" w14:textId="17B3C97E"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0.018***</w:t>
            </w:r>
          </w:p>
        </w:tc>
      </w:tr>
      <w:tr w:rsidR="00724CA2" w:rsidRPr="00724CA2" w14:paraId="7EAE019F" w14:textId="77777777" w:rsidTr="008A0AEC">
        <w:trPr>
          <w:trHeight w:val="251"/>
          <w:jc w:val="center"/>
        </w:trPr>
        <w:tc>
          <w:tcPr>
            <w:tcW w:w="2363" w:type="dxa"/>
            <w:noWrap/>
            <w:vAlign w:val="center"/>
          </w:tcPr>
          <w:p w14:paraId="6A9668DB" w14:textId="77777777" w:rsidR="003D0AD5" w:rsidRPr="00724CA2" w:rsidRDefault="003D0AD5" w:rsidP="003D0AD5">
            <w:pPr>
              <w:jc w:val="both"/>
              <w:rPr>
                <w:rFonts w:ascii="Times New Roman" w:hAnsi="Times New Roman" w:cs="Times New Roman"/>
                <w:color w:val="000000" w:themeColor="text1"/>
              </w:rPr>
            </w:pPr>
          </w:p>
        </w:tc>
        <w:tc>
          <w:tcPr>
            <w:tcW w:w="1497" w:type="dxa"/>
            <w:tcBorders>
              <w:top w:val="nil"/>
              <w:left w:val="nil"/>
              <w:bottom w:val="nil"/>
              <w:right w:val="nil"/>
            </w:tcBorders>
            <w:shd w:val="clear" w:color="auto" w:fill="auto"/>
            <w:noWrap/>
            <w:vAlign w:val="bottom"/>
          </w:tcPr>
          <w:p w14:paraId="2741842F" w14:textId="67459E25"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(0.001)</w:t>
            </w:r>
          </w:p>
        </w:tc>
        <w:tc>
          <w:tcPr>
            <w:tcW w:w="1497" w:type="dxa"/>
            <w:tcBorders>
              <w:top w:val="nil"/>
              <w:left w:val="nil"/>
              <w:bottom w:val="nil"/>
              <w:right w:val="nil"/>
            </w:tcBorders>
            <w:shd w:val="clear" w:color="auto" w:fill="auto"/>
            <w:noWrap/>
            <w:vAlign w:val="bottom"/>
          </w:tcPr>
          <w:p w14:paraId="1778C4C3" w14:textId="74D0D432"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(0.004)</w:t>
            </w:r>
          </w:p>
        </w:tc>
        <w:tc>
          <w:tcPr>
            <w:tcW w:w="1497" w:type="dxa"/>
            <w:tcBorders>
              <w:top w:val="nil"/>
              <w:left w:val="nil"/>
              <w:bottom w:val="nil"/>
              <w:right w:val="nil"/>
            </w:tcBorders>
            <w:shd w:val="clear" w:color="auto" w:fill="auto"/>
            <w:vAlign w:val="bottom"/>
          </w:tcPr>
          <w:p w14:paraId="1C62F587" w14:textId="0A696B71"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(0.002)</w:t>
            </w:r>
          </w:p>
        </w:tc>
        <w:tc>
          <w:tcPr>
            <w:tcW w:w="1497" w:type="dxa"/>
            <w:tcBorders>
              <w:top w:val="nil"/>
              <w:left w:val="nil"/>
              <w:bottom w:val="nil"/>
              <w:right w:val="nil"/>
            </w:tcBorders>
            <w:shd w:val="clear" w:color="auto" w:fill="auto"/>
            <w:vAlign w:val="bottom"/>
          </w:tcPr>
          <w:p w14:paraId="0F211D79" w14:textId="094B8979"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(0.005)</w:t>
            </w:r>
          </w:p>
        </w:tc>
        <w:tc>
          <w:tcPr>
            <w:tcW w:w="1498" w:type="dxa"/>
            <w:tcBorders>
              <w:top w:val="nil"/>
              <w:left w:val="nil"/>
              <w:bottom w:val="nil"/>
              <w:right w:val="nil"/>
            </w:tcBorders>
            <w:shd w:val="clear" w:color="auto" w:fill="auto"/>
            <w:vAlign w:val="bottom"/>
          </w:tcPr>
          <w:p w14:paraId="04745A04" w14:textId="31E59C02"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(0.005)</w:t>
            </w:r>
          </w:p>
        </w:tc>
      </w:tr>
      <w:tr w:rsidR="00724CA2" w:rsidRPr="00724CA2" w14:paraId="322B7EC4" w14:textId="77777777" w:rsidTr="008A0AEC">
        <w:trPr>
          <w:trHeight w:val="251"/>
          <w:jc w:val="center"/>
        </w:trPr>
        <w:tc>
          <w:tcPr>
            <w:tcW w:w="2363" w:type="dxa"/>
            <w:noWrap/>
            <w:vAlign w:val="center"/>
          </w:tcPr>
          <w:p w14:paraId="5EB80E28" w14:textId="138FECFD" w:rsidR="003D0AD5" w:rsidRPr="00724CA2" w:rsidRDefault="003D0AD5" w:rsidP="003D0AD5">
            <w:pPr>
              <w:jc w:val="both"/>
              <w:rPr>
                <w:rFonts w:ascii="Times New Roman" w:hAnsi="Times New Roman" w:cs="Times New Roman"/>
                <w:color w:val="000000" w:themeColor="text1"/>
              </w:rPr>
            </w:pPr>
            <w:r w:rsidRPr="00724CA2">
              <w:rPr>
                <w:rFonts w:ascii="Times New Roman" w:hAnsi="Times New Roman" w:cs="Times New Roman" w:hint="eastAsia"/>
                <w:color w:val="000000" w:themeColor="text1"/>
                <w:lang w:val="en-US"/>
              </w:rPr>
              <w:t>G</w:t>
            </w:r>
            <w:r w:rsidRPr="00724CA2">
              <w:rPr>
                <w:rFonts w:ascii="Times New Roman" w:hAnsi="Times New Roman" w:cs="Times New Roman"/>
                <w:color w:val="000000" w:themeColor="text1"/>
                <w:lang w:val="en-US"/>
              </w:rPr>
              <w:t>overnance</w:t>
            </w:r>
          </w:p>
        </w:tc>
        <w:tc>
          <w:tcPr>
            <w:tcW w:w="1497" w:type="dxa"/>
            <w:tcBorders>
              <w:top w:val="nil"/>
              <w:left w:val="nil"/>
              <w:bottom w:val="nil"/>
              <w:right w:val="nil"/>
            </w:tcBorders>
            <w:shd w:val="clear" w:color="auto" w:fill="auto"/>
            <w:noWrap/>
            <w:vAlign w:val="bottom"/>
          </w:tcPr>
          <w:p w14:paraId="5604000D" w14:textId="509EC348"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0.004*</w:t>
            </w:r>
          </w:p>
        </w:tc>
        <w:tc>
          <w:tcPr>
            <w:tcW w:w="1497" w:type="dxa"/>
            <w:tcBorders>
              <w:top w:val="nil"/>
              <w:left w:val="nil"/>
              <w:bottom w:val="nil"/>
              <w:right w:val="nil"/>
            </w:tcBorders>
            <w:shd w:val="clear" w:color="auto" w:fill="auto"/>
            <w:noWrap/>
            <w:vAlign w:val="bottom"/>
          </w:tcPr>
          <w:p w14:paraId="7282E5A9" w14:textId="75B670BA"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0.004</w:t>
            </w:r>
          </w:p>
        </w:tc>
        <w:tc>
          <w:tcPr>
            <w:tcW w:w="1497" w:type="dxa"/>
            <w:tcBorders>
              <w:top w:val="nil"/>
              <w:left w:val="nil"/>
              <w:bottom w:val="nil"/>
              <w:right w:val="nil"/>
            </w:tcBorders>
            <w:shd w:val="clear" w:color="auto" w:fill="auto"/>
            <w:vAlign w:val="bottom"/>
          </w:tcPr>
          <w:p w14:paraId="22B176AA" w14:textId="730F8C06"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0.002</w:t>
            </w:r>
          </w:p>
        </w:tc>
        <w:tc>
          <w:tcPr>
            <w:tcW w:w="1497" w:type="dxa"/>
            <w:tcBorders>
              <w:top w:val="nil"/>
              <w:left w:val="nil"/>
              <w:bottom w:val="nil"/>
              <w:right w:val="nil"/>
            </w:tcBorders>
            <w:shd w:val="clear" w:color="auto" w:fill="auto"/>
            <w:vAlign w:val="bottom"/>
          </w:tcPr>
          <w:p w14:paraId="0D220B63" w14:textId="367BB725"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0.023**</w:t>
            </w:r>
          </w:p>
        </w:tc>
        <w:tc>
          <w:tcPr>
            <w:tcW w:w="1498" w:type="dxa"/>
            <w:tcBorders>
              <w:top w:val="nil"/>
              <w:left w:val="nil"/>
              <w:bottom w:val="nil"/>
              <w:right w:val="nil"/>
            </w:tcBorders>
            <w:shd w:val="clear" w:color="auto" w:fill="auto"/>
            <w:vAlign w:val="bottom"/>
          </w:tcPr>
          <w:p w14:paraId="6E1B8E35" w14:textId="432DCEBF"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0.026***</w:t>
            </w:r>
          </w:p>
        </w:tc>
      </w:tr>
      <w:tr w:rsidR="00724CA2" w:rsidRPr="00724CA2" w14:paraId="55C9CA14" w14:textId="77777777" w:rsidTr="008A0AEC">
        <w:trPr>
          <w:trHeight w:val="251"/>
          <w:jc w:val="center"/>
        </w:trPr>
        <w:tc>
          <w:tcPr>
            <w:tcW w:w="2363" w:type="dxa"/>
            <w:noWrap/>
            <w:vAlign w:val="center"/>
          </w:tcPr>
          <w:p w14:paraId="49AAF441" w14:textId="77777777" w:rsidR="003D0AD5" w:rsidRPr="00724CA2" w:rsidRDefault="003D0AD5" w:rsidP="003D0AD5">
            <w:pPr>
              <w:jc w:val="both"/>
              <w:rPr>
                <w:rFonts w:ascii="Times New Roman" w:hAnsi="Times New Roman" w:cs="Times New Roman"/>
                <w:color w:val="000000" w:themeColor="text1"/>
              </w:rPr>
            </w:pPr>
          </w:p>
        </w:tc>
        <w:tc>
          <w:tcPr>
            <w:tcW w:w="1497" w:type="dxa"/>
            <w:tcBorders>
              <w:top w:val="nil"/>
              <w:left w:val="nil"/>
              <w:bottom w:val="nil"/>
              <w:right w:val="nil"/>
            </w:tcBorders>
            <w:shd w:val="clear" w:color="auto" w:fill="auto"/>
            <w:noWrap/>
            <w:vAlign w:val="bottom"/>
          </w:tcPr>
          <w:p w14:paraId="3E692D4B" w14:textId="4F615A17"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(0.002)</w:t>
            </w:r>
          </w:p>
        </w:tc>
        <w:tc>
          <w:tcPr>
            <w:tcW w:w="1497" w:type="dxa"/>
            <w:tcBorders>
              <w:top w:val="nil"/>
              <w:left w:val="nil"/>
              <w:bottom w:val="nil"/>
              <w:right w:val="nil"/>
            </w:tcBorders>
            <w:shd w:val="clear" w:color="auto" w:fill="auto"/>
            <w:noWrap/>
            <w:vAlign w:val="bottom"/>
          </w:tcPr>
          <w:p w14:paraId="63FB5B41" w14:textId="64CA02FD"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(0.002)</w:t>
            </w:r>
          </w:p>
        </w:tc>
        <w:tc>
          <w:tcPr>
            <w:tcW w:w="1497" w:type="dxa"/>
            <w:tcBorders>
              <w:top w:val="nil"/>
              <w:left w:val="nil"/>
              <w:bottom w:val="nil"/>
              <w:right w:val="nil"/>
            </w:tcBorders>
            <w:shd w:val="clear" w:color="auto" w:fill="auto"/>
            <w:vAlign w:val="bottom"/>
          </w:tcPr>
          <w:p w14:paraId="3CE8B19E" w14:textId="34E18D8F"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(0.004)</w:t>
            </w:r>
          </w:p>
        </w:tc>
        <w:tc>
          <w:tcPr>
            <w:tcW w:w="1497" w:type="dxa"/>
            <w:tcBorders>
              <w:top w:val="nil"/>
              <w:left w:val="nil"/>
              <w:bottom w:val="nil"/>
              <w:right w:val="nil"/>
            </w:tcBorders>
            <w:shd w:val="clear" w:color="auto" w:fill="auto"/>
            <w:vAlign w:val="bottom"/>
          </w:tcPr>
          <w:p w14:paraId="45F2CE8B" w14:textId="4C008522"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(0.008)</w:t>
            </w:r>
          </w:p>
        </w:tc>
        <w:tc>
          <w:tcPr>
            <w:tcW w:w="1498" w:type="dxa"/>
            <w:tcBorders>
              <w:top w:val="nil"/>
              <w:left w:val="nil"/>
              <w:bottom w:val="nil"/>
              <w:right w:val="nil"/>
            </w:tcBorders>
            <w:shd w:val="clear" w:color="auto" w:fill="auto"/>
            <w:vAlign w:val="bottom"/>
          </w:tcPr>
          <w:p w14:paraId="0EEA83AA" w14:textId="4B004F8E"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(0.008)</w:t>
            </w:r>
          </w:p>
        </w:tc>
      </w:tr>
      <w:tr w:rsidR="00724CA2" w:rsidRPr="00724CA2" w14:paraId="631711CE" w14:textId="77777777" w:rsidTr="008A0AEC">
        <w:trPr>
          <w:trHeight w:val="251"/>
          <w:jc w:val="center"/>
        </w:trPr>
        <w:tc>
          <w:tcPr>
            <w:tcW w:w="2363" w:type="dxa"/>
            <w:noWrap/>
            <w:vAlign w:val="center"/>
            <w:hideMark/>
          </w:tcPr>
          <w:p w14:paraId="74813D79" w14:textId="77777777"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Duality</w:t>
            </w:r>
          </w:p>
        </w:tc>
        <w:tc>
          <w:tcPr>
            <w:tcW w:w="1497" w:type="dxa"/>
            <w:tcBorders>
              <w:top w:val="nil"/>
              <w:left w:val="nil"/>
              <w:bottom w:val="nil"/>
              <w:right w:val="nil"/>
            </w:tcBorders>
            <w:shd w:val="clear" w:color="auto" w:fill="auto"/>
            <w:noWrap/>
            <w:vAlign w:val="bottom"/>
          </w:tcPr>
          <w:p w14:paraId="1D204FF5" w14:textId="1495BB4F"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-0.058**</w:t>
            </w:r>
          </w:p>
        </w:tc>
        <w:tc>
          <w:tcPr>
            <w:tcW w:w="1497" w:type="dxa"/>
            <w:tcBorders>
              <w:top w:val="nil"/>
              <w:left w:val="nil"/>
              <w:bottom w:val="nil"/>
              <w:right w:val="nil"/>
            </w:tcBorders>
            <w:shd w:val="clear" w:color="auto" w:fill="auto"/>
            <w:noWrap/>
            <w:vAlign w:val="bottom"/>
          </w:tcPr>
          <w:p w14:paraId="7BA82D5C" w14:textId="52DEB096"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-0.324**</w:t>
            </w:r>
          </w:p>
        </w:tc>
        <w:tc>
          <w:tcPr>
            <w:tcW w:w="1497" w:type="dxa"/>
            <w:tcBorders>
              <w:top w:val="nil"/>
              <w:left w:val="nil"/>
              <w:bottom w:val="nil"/>
              <w:right w:val="nil"/>
            </w:tcBorders>
            <w:shd w:val="clear" w:color="auto" w:fill="auto"/>
            <w:vAlign w:val="bottom"/>
          </w:tcPr>
          <w:p w14:paraId="7FC772E9" w14:textId="7E464183"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-0.323***</w:t>
            </w:r>
          </w:p>
        </w:tc>
        <w:tc>
          <w:tcPr>
            <w:tcW w:w="1497" w:type="dxa"/>
            <w:tcBorders>
              <w:top w:val="nil"/>
              <w:left w:val="nil"/>
              <w:bottom w:val="nil"/>
              <w:right w:val="nil"/>
            </w:tcBorders>
            <w:shd w:val="clear" w:color="auto" w:fill="auto"/>
            <w:vAlign w:val="bottom"/>
          </w:tcPr>
          <w:p w14:paraId="7DE12DEF" w14:textId="50CF7AF5"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0.186</w:t>
            </w:r>
          </w:p>
        </w:tc>
        <w:tc>
          <w:tcPr>
            <w:tcW w:w="1498" w:type="dxa"/>
            <w:tcBorders>
              <w:top w:val="nil"/>
              <w:left w:val="nil"/>
              <w:bottom w:val="nil"/>
              <w:right w:val="nil"/>
            </w:tcBorders>
            <w:shd w:val="clear" w:color="auto" w:fill="auto"/>
            <w:vAlign w:val="bottom"/>
          </w:tcPr>
          <w:p w14:paraId="42AC326B" w14:textId="7DFD24D6"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0.205</w:t>
            </w:r>
          </w:p>
        </w:tc>
      </w:tr>
      <w:tr w:rsidR="00724CA2" w:rsidRPr="00724CA2" w14:paraId="67783085" w14:textId="77777777" w:rsidTr="008A0AEC">
        <w:trPr>
          <w:trHeight w:val="251"/>
          <w:jc w:val="center"/>
        </w:trPr>
        <w:tc>
          <w:tcPr>
            <w:tcW w:w="2363" w:type="dxa"/>
            <w:noWrap/>
            <w:vAlign w:val="center"/>
            <w:hideMark/>
          </w:tcPr>
          <w:p w14:paraId="0712EB00" w14:textId="77777777" w:rsidR="003D0AD5" w:rsidRPr="00724CA2" w:rsidRDefault="003D0AD5" w:rsidP="003D0AD5">
            <w:pPr>
              <w:jc w:val="both"/>
              <w:rPr>
                <w:rFonts w:ascii="Times New Roman" w:hAnsi="Times New Roman" w:cs="Times New Roman"/>
                <w:color w:val="000000" w:themeColor="text1"/>
                <w:lang w:val="en-US"/>
              </w:rPr>
            </w:pPr>
          </w:p>
        </w:tc>
        <w:tc>
          <w:tcPr>
            <w:tcW w:w="1497" w:type="dxa"/>
            <w:tcBorders>
              <w:top w:val="nil"/>
              <w:left w:val="nil"/>
              <w:bottom w:val="nil"/>
              <w:right w:val="nil"/>
            </w:tcBorders>
            <w:shd w:val="clear" w:color="auto" w:fill="auto"/>
            <w:noWrap/>
            <w:vAlign w:val="bottom"/>
          </w:tcPr>
          <w:p w14:paraId="7BCE0656" w14:textId="54074248"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(0.018)</w:t>
            </w:r>
          </w:p>
        </w:tc>
        <w:tc>
          <w:tcPr>
            <w:tcW w:w="1497" w:type="dxa"/>
            <w:tcBorders>
              <w:top w:val="nil"/>
              <w:left w:val="nil"/>
              <w:bottom w:val="nil"/>
              <w:right w:val="nil"/>
            </w:tcBorders>
            <w:shd w:val="clear" w:color="auto" w:fill="auto"/>
            <w:noWrap/>
            <w:vAlign w:val="bottom"/>
          </w:tcPr>
          <w:p w14:paraId="29D5F8F2" w14:textId="09C101CB"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(0.130)</w:t>
            </w:r>
          </w:p>
        </w:tc>
        <w:tc>
          <w:tcPr>
            <w:tcW w:w="1497" w:type="dxa"/>
            <w:tcBorders>
              <w:top w:val="nil"/>
              <w:left w:val="nil"/>
              <w:bottom w:val="nil"/>
              <w:right w:val="nil"/>
            </w:tcBorders>
            <w:shd w:val="clear" w:color="auto" w:fill="auto"/>
            <w:vAlign w:val="bottom"/>
          </w:tcPr>
          <w:p w14:paraId="3B13838F" w14:textId="463021EA"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(0.076)</w:t>
            </w:r>
          </w:p>
        </w:tc>
        <w:tc>
          <w:tcPr>
            <w:tcW w:w="1497" w:type="dxa"/>
            <w:tcBorders>
              <w:top w:val="nil"/>
              <w:left w:val="nil"/>
              <w:bottom w:val="nil"/>
              <w:right w:val="nil"/>
            </w:tcBorders>
            <w:shd w:val="clear" w:color="auto" w:fill="auto"/>
            <w:vAlign w:val="bottom"/>
          </w:tcPr>
          <w:p w14:paraId="10BC1E61" w14:textId="5944DADA"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(0.141)</w:t>
            </w:r>
          </w:p>
        </w:tc>
        <w:tc>
          <w:tcPr>
            <w:tcW w:w="1498" w:type="dxa"/>
            <w:tcBorders>
              <w:top w:val="nil"/>
              <w:left w:val="nil"/>
              <w:bottom w:val="nil"/>
              <w:right w:val="nil"/>
            </w:tcBorders>
            <w:shd w:val="clear" w:color="auto" w:fill="auto"/>
            <w:vAlign w:val="bottom"/>
          </w:tcPr>
          <w:p w14:paraId="1BE62723" w14:textId="4E95E318"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(0.140)</w:t>
            </w:r>
          </w:p>
        </w:tc>
      </w:tr>
      <w:tr w:rsidR="00724CA2" w:rsidRPr="00724CA2" w14:paraId="1FA459E2" w14:textId="77777777" w:rsidTr="008A0AEC">
        <w:trPr>
          <w:trHeight w:val="251"/>
          <w:jc w:val="center"/>
        </w:trPr>
        <w:tc>
          <w:tcPr>
            <w:tcW w:w="2363" w:type="dxa"/>
            <w:noWrap/>
            <w:vAlign w:val="center"/>
            <w:hideMark/>
          </w:tcPr>
          <w:p w14:paraId="08EA511C" w14:textId="77777777"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Independence</w:t>
            </w:r>
          </w:p>
        </w:tc>
        <w:tc>
          <w:tcPr>
            <w:tcW w:w="1497" w:type="dxa"/>
            <w:tcBorders>
              <w:top w:val="nil"/>
              <w:left w:val="nil"/>
              <w:bottom w:val="nil"/>
              <w:right w:val="nil"/>
            </w:tcBorders>
            <w:shd w:val="clear" w:color="auto" w:fill="auto"/>
            <w:noWrap/>
            <w:vAlign w:val="bottom"/>
          </w:tcPr>
          <w:p w14:paraId="20365D24" w14:textId="1DE5BB3D"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-0.157</w:t>
            </w:r>
          </w:p>
        </w:tc>
        <w:tc>
          <w:tcPr>
            <w:tcW w:w="1497" w:type="dxa"/>
            <w:tcBorders>
              <w:top w:val="nil"/>
              <w:left w:val="nil"/>
              <w:bottom w:val="nil"/>
              <w:right w:val="nil"/>
            </w:tcBorders>
            <w:shd w:val="clear" w:color="auto" w:fill="auto"/>
            <w:noWrap/>
            <w:vAlign w:val="bottom"/>
          </w:tcPr>
          <w:p w14:paraId="609FE9DF" w14:textId="4CF3C447"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-0.036</w:t>
            </w:r>
          </w:p>
        </w:tc>
        <w:tc>
          <w:tcPr>
            <w:tcW w:w="1497" w:type="dxa"/>
            <w:tcBorders>
              <w:top w:val="nil"/>
              <w:left w:val="nil"/>
              <w:bottom w:val="nil"/>
              <w:right w:val="nil"/>
            </w:tcBorders>
            <w:shd w:val="clear" w:color="auto" w:fill="auto"/>
            <w:vAlign w:val="bottom"/>
          </w:tcPr>
          <w:p w14:paraId="147999D3" w14:textId="0FCFD475"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-0.668</w:t>
            </w:r>
          </w:p>
        </w:tc>
        <w:tc>
          <w:tcPr>
            <w:tcW w:w="1497" w:type="dxa"/>
            <w:tcBorders>
              <w:top w:val="nil"/>
              <w:left w:val="nil"/>
              <w:bottom w:val="nil"/>
              <w:right w:val="nil"/>
            </w:tcBorders>
            <w:shd w:val="clear" w:color="auto" w:fill="auto"/>
            <w:vAlign w:val="bottom"/>
          </w:tcPr>
          <w:p w14:paraId="71DBE7E6" w14:textId="76879E87"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-1.089</w:t>
            </w:r>
          </w:p>
        </w:tc>
        <w:tc>
          <w:tcPr>
            <w:tcW w:w="1498" w:type="dxa"/>
            <w:tcBorders>
              <w:top w:val="nil"/>
              <w:left w:val="nil"/>
              <w:bottom w:val="nil"/>
              <w:right w:val="nil"/>
            </w:tcBorders>
            <w:shd w:val="clear" w:color="auto" w:fill="auto"/>
            <w:vAlign w:val="bottom"/>
          </w:tcPr>
          <w:p w14:paraId="1C5C653B" w14:textId="7442DFB4"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-0.993</w:t>
            </w:r>
          </w:p>
        </w:tc>
      </w:tr>
      <w:tr w:rsidR="00724CA2" w:rsidRPr="00724CA2" w14:paraId="419629E0" w14:textId="77777777" w:rsidTr="008A0AEC">
        <w:trPr>
          <w:trHeight w:val="251"/>
          <w:jc w:val="center"/>
        </w:trPr>
        <w:tc>
          <w:tcPr>
            <w:tcW w:w="2363" w:type="dxa"/>
            <w:noWrap/>
            <w:vAlign w:val="center"/>
            <w:hideMark/>
          </w:tcPr>
          <w:p w14:paraId="7F18F795" w14:textId="77777777" w:rsidR="003D0AD5" w:rsidRPr="00724CA2" w:rsidRDefault="003D0AD5" w:rsidP="003D0AD5">
            <w:pPr>
              <w:jc w:val="both"/>
              <w:rPr>
                <w:rFonts w:ascii="Times New Roman" w:hAnsi="Times New Roman" w:cs="Times New Roman"/>
                <w:color w:val="000000" w:themeColor="text1"/>
                <w:lang w:val="en-US"/>
              </w:rPr>
            </w:pPr>
          </w:p>
        </w:tc>
        <w:tc>
          <w:tcPr>
            <w:tcW w:w="1497" w:type="dxa"/>
            <w:tcBorders>
              <w:top w:val="nil"/>
              <w:left w:val="nil"/>
              <w:bottom w:val="nil"/>
              <w:right w:val="nil"/>
            </w:tcBorders>
            <w:shd w:val="clear" w:color="auto" w:fill="auto"/>
            <w:noWrap/>
            <w:vAlign w:val="bottom"/>
          </w:tcPr>
          <w:p w14:paraId="7BDF1014" w14:textId="6EAC5195"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(0.260)</w:t>
            </w:r>
          </w:p>
        </w:tc>
        <w:tc>
          <w:tcPr>
            <w:tcW w:w="1497" w:type="dxa"/>
            <w:tcBorders>
              <w:top w:val="nil"/>
              <w:left w:val="nil"/>
              <w:bottom w:val="nil"/>
              <w:right w:val="nil"/>
            </w:tcBorders>
            <w:shd w:val="clear" w:color="auto" w:fill="auto"/>
            <w:noWrap/>
            <w:vAlign w:val="bottom"/>
          </w:tcPr>
          <w:p w14:paraId="3778C055" w14:textId="402F5AD5"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(0.945)</w:t>
            </w:r>
          </w:p>
        </w:tc>
        <w:tc>
          <w:tcPr>
            <w:tcW w:w="1497" w:type="dxa"/>
            <w:tcBorders>
              <w:top w:val="nil"/>
              <w:left w:val="nil"/>
              <w:bottom w:val="nil"/>
              <w:right w:val="nil"/>
            </w:tcBorders>
            <w:shd w:val="clear" w:color="auto" w:fill="auto"/>
            <w:vAlign w:val="bottom"/>
          </w:tcPr>
          <w:p w14:paraId="10861A7D" w14:textId="1FC09652"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(0.555)</w:t>
            </w:r>
          </w:p>
        </w:tc>
        <w:tc>
          <w:tcPr>
            <w:tcW w:w="1497" w:type="dxa"/>
            <w:tcBorders>
              <w:top w:val="nil"/>
              <w:left w:val="nil"/>
              <w:bottom w:val="nil"/>
              <w:right w:val="nil"/>
            </w:tcBorders>
            <w:shd w:val="clear" w:color="auto" w:fill="auto"/>
            <w:vAlign w:val="bottom"/>
          </w:tcPr>
          <w:p w14:paraId="2E775A77" w14:textId="31F15741"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(1.100)</w:t>
            </w:r>
          </w:p>
        </w:tc>
        <w:tc>
          <w:tcPr>
            <w:tcW w:w="1498" w:type="dxa"/>
            <w:tcBorders>
              <w:top w:val="nil"/>
              <w:left w:val="nil"/>
              <w:bottom w:val="nil"/>
              <w:right w:val="nil"/>
            </w:tcBorders>
            <w:shd w:val="clear" w:color="auto" w:fill="auto"/>
            <w:vAlign w:val="bottom"/>
          </w:tcPr>
          <w:p w14:paraId="33D65C0D" w14:textId="155F0CE4"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(1.086)</w:t>
            </w:r>
          </w:p>
        </w:tc>
      </w:tr>
      <w:tr w:rsidR="00724CA2" w:rsidRPr="00724CA2" w14:paraId="0860700A" w14:textId="77777777" w:rsidTr="008A0AEC">
        <w:trPr>
          <w:trHeight w:val="251"/>
          <w:jc w:val="center"/>
        </w:trPr>
        <w:tc>
          <w:tcPr>
            <w:tcW w:w="2363" w:type="dxa"/>
            <w:noWrap/>
            <w:vAlign w:val="center"/>
            <w:hideMark/>
          </w:tcPr>
          <w:p w14:paraId="38D15755" w14:textId="77777777"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Board meeting</w:t>
            </w:r>
          </w:p>
        </w:tc>
        <w:tc>
          <w:tcPr>
            <w:tcW w:w="1497" w:type="dxa"/>
            <w:tcBorders>
              <w:top w:val="nil"/>
              <w:left w:val="nil"/>
              <w:bottom w:val="nil"/>
              <w:right w:val="nil"/>
            </w:tcBorders>
            <w:shd w:val="clear" w:color="auto" w:fill="auto"/>
            <w:noWrap/>
            <w:vAlign w:val="bottom"/>
          </w:tcPr>
          <w:p w14:paraId="5210335E" w14:textId="5813CE0F"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0.002</w:t>
            </w:r>
          </w:p>
        </w:tc>
        <w:tc>
          <w:tcPr>
            <w:tcW w:w="1497" w:type="dxa"/>
            <w:tcBorders>
              <w:top w:val="nil"/>
              <w:left w:val="nil"/>
              <w:bottom w:val="nil"/>
              <w:right w:val="nil"/>
            </w:tcBorders>
            <w:shd w:val="clear" w:color="auto" w:fill="auto"/>
            <w:noWrap/>
            <w:vAlign w:val="bottom"/>
          </w:tcPr>
          <w:p w14:paraId="528F6EAB" w14:textId="2631B874"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0.030***</w:t>
            </w:r>
          </w:p>
        </w:tc>
        <w:tc>
          <w:tcPr>
            <w:tcW w:w="1497" w:type="dxa"/>
            <w:tcBorders>
              <w:top w:val="nil"/>
              <w:left w:val="nil"/>
              <w:bottom w:val="nil"/>
              <w:right w:val="nil"/>
            </w:tcBorders>
            <w:shd w:val="clear" w:color="auto" w:fill="auto"/>
            <w:vAlign w:val="bottom"/>
          </w:tcPr>
          <w:p w14:paraId="01BD66E1" w14:textId="686D3CE9"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0.017***</w:t>
            </w:r>
          </w:p>
        </w:tc>
        <w:tc>
          <w:tcPr>
            <w:tcW w:w="1497" w:type="dxa"/>
            <w:tcBorders>
              <w:top w:val="nil"/>
              <w:left w:val="nil"/>
              <w:bottom w:val="nil"/>
              <w:right w:val="nil"/>
            </w:tcBorders>
            <w:shd w:val="clear" w:color="auto" w:fill="auto"/>
            <w:vAlign w:val="bottom"/>
          </w:tcPr>
          <w:p w14:paraId="639587EF" w14:textId="7C1A1A44"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0.034***</w:t>
            </w:r>
          </w:p>
        </w:tc>
        <w:tc>
          <w:tcPr>
            <w:tcW w:w="1498" w:type="dxa"/>
            <w:tcBorders>
              <w:top w:val="nil"/>
              <w:left w:val="nil"/>
              <w:bottom w:val="nil"/>
              <w:right w:val="nil"/>
            </w:tcBorders>
            <w:shd w:val="clear" w:color="auto" w:fill="auto"/>
            <w:vAlign w:val="bottom"/>
          </w:tcPr>
          <w:p w14:paraId="7A8CD8A7" w14:textId="7BB7DAB4"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0.038***</w:t>
            </w:r>
          </w:p>
        </w:tc>
      </w:tr>
      <w:tr w:rsidR="00724CA2" w:rsidRPr="00724CA2" w14:paraId="18894059" w14:textId="77777777" w:rsidTr="008A0AEC">
        <w:trPr>
          <w:trHeight w:val="251"/>
          <w:jc w:val="center"/>
        </w:trPr>
        <w:tc>
          <w:tcPr>
            <w:tcW w:w="2363" w:type="dxa"/>
            <w:noWrap/>
            <w:vAlign w:val="center"/>
            <w:hideMark/>
          </w:tcPr>
          <w:p w14:paraId="76B6DC5D" w14:textId="77777777" w:rsidR="003D0AD5" w:rsidRPr="00724CA2" w:rsidRDefault="003D0AD5" w:rsidP="003D0AD5">
            <w:pPr>
              <w:jc w:val="both"/>
              <w:rPr>
                <w:rFonts w:ascii="Times New Roman" w:hAnsi="Times New Roman" w:cs="Times New Roman"/>
                <w:color w:val="000000" w:themeColor="text1"/>
                <w:lang w:val="en-US"/>
              </w:rPr>
            </w:pPr>
          </w:p>
        </w:tc>
        <w:tc>
          <w:tcPr>
            <w:tcW w:w="1497" w:type="dxa"/>
            <w:tcBorders>
              <w:top w:val="nil"/>
              <w:left w:val="nil"/>
              <w:bottom w:val="nil"/>
              <w:right w:val="nil"/>
            </w:tcBorders>
            <w:shd w:val="clear" w:color="auto" w:fill="auto"/>
            <w:noWrap/>
            <w:vAlign w:val="bottom"/>
          </w:tcPr>
          <w:p w14:paraId="6030C67B" w14:textId="6ABAB11B"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(0.002)</w:t>
            </w:r>
          </w:p>
        </w:tc>
        <w:tc>
          <w:tcPr>
            <w:tcW w:w="1497" w:type="dxa"/>
            <w:tcBorders>
              <w:top w:val="nil"/>
              <w:left w:val="nil"/>
              <w:bottom w:val="nil"/>
              <w:right w:val="nil"/>
            </w:tcBorders>
            <w:shd w:val="clear" w:color="auto" w:fill="auto"/>
            <w:noWrap/>
            <w:vAlign w:val="bottom"/>
          </w:tcPr>
          <w:p w14:paraId="4A3B4FB3" w14:textId="27E9BE08"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(0.006)</w:t>
            </w:r>
          </w:p>
        </w:tc>
        <w:tc>
          <w:tcPr>
            <w:tcW w:w="1497" w:type="dxa"/>
            <w:tcBorders>
              <w:top w:val="nil"/>
              <w:left w:val="nil"/>
              <w:bottom w:val="nil"/>
              <w:right w:val="nil"/>
            </w:tcBorders>
            <w:shd w:val="clear" w:color="auto" w:fill="auto"/>
            <w:vAlign w:val="bottom"/>
          </w:tcPr>
          <w:p w14:paraId="2CA2EFF7" w14:textId="2C28F9F8"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(0.004)</w:t>
            </w:r>
          </w:p>
        </w:tc>
        <w:tc>
          <w:tcPr>
            <w:tcW w:w="1497" w:type="dxa"/>
            <w:tcBorders>
              <w:top w:val="nil"/>
              <w:left w:val="nil"/>
              <w:bottom w:val="nil"/>
              <w:right w:val="nil"/>
            </w:tcBorders>
            <w:shd w:val="clear" w:color="auto" w:fill="auto"/>
            <w:vAlign w:val="bottom"/>
          </w:tcPr>
          <w:p w14:paraId="606D58E5" w14:textId="19DCF0DF"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(0.009)</w:t>
            </w:r>
          </w:p>
        </w:tc>
        <w:tc>
          <w:tcPr>
            <w:tcW w:w="1498" w:type="dxa"/>
            <w:tcBorders>
              <w:top w:val="nil"/>
              <w:left w:val="nil"/>
              <w:bottom w:val="nil"/>
              <w:right w:val="nil"/>
            </w:tcBorders>
            <w:shd w:val="clear" w:color="auto" w:fill="auto"/>
            <w:vAlign w:val="bottom"/>
          </w:tcPr>
          <w:p w14:paraId="5DF84559" w14:textId="52471D30"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(0.010)</w:t>
            </w:r>
          </w:p>
        </w:tc>
      </w:tr>
      <w:tr w:rsidR="00724CA2" w:rsidRPr="00724CA2" w14:paraId="3825E3EB" w14:textId="77777777" w:rsidTr="008A0AEC">
        <w:trPr>
          <w:trHeight w:val="251"/>
          <w:jc w:val="center"/>
        </w:trPr>
        <w:tc>
          <w:tcPr>
            <w:tcW w:w="2363" w:type="dxa"/>
            <w:noWrap/>
            <w:vAlign w:val="center"/>
            <w:hideMark/>
          </w:tcPr>
          <w:p w14:paraId="64766814" w14:textId="77777777"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Managerial ownership</w:t>
            </w:r>
          </w:p>
        </w:tc>
        <w:tc>
          <w:tcPr>
            <w:tcW w:w="1497" w:type="dxa"/>
            <w:tcBorders>
              <w:top w:val="nil"/>
              <w:left w:val="nil"/>
              <w:bottom w:val="nil"/>
              <w:right w:val="nil"/>
            </w:tcBorders>
            <w:shd w:val="clear" w:color="auto" w:fill="auto"/>
            <w:noWrap/>
            <w:vAlign w:val="bottom"/>
          </w:tcPr>
          <w:p w14:paraId="2D83A7A0" w14:textId="2B343774"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-0.668**</w:t>
            </w:r>
          </w:p>
        </w:tc>
        <w:tc>
          <w:tcPr>
            <w:tcW w:w="1497" w:type="dxa"/>
            <w:tcBorders>
              <w:top w:val="nil"/>
              <w:left w:val="nil"/>
              <w:bottom w:val="nil"/>
              <w:right w:val="nil"/>
            </w:tcBorders>
            <w:shd w:val="clear" w:color="auto" w:fill="auto"/>
            <w:noWrap/>
            <w:vAlign w:val="bottom"/>
          </w:tcPr>
          <w:p w14:paraId="2EC26F3B" w14:textId="7205FE50"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-2.464</w:t>
            </w:r>
          </w:p>
        </w:tc>
        <w:tc>
          <w:tcPr>
            <w:tcW w:w="1497" w:type="dxa"/>
            <w:tcBorders>
              <w:top w:val="nil"/>
              <w:left w:val="nil"/>
              <w:bottom w:val="nil"/>
              <w:right w:val="nil"/>
            </w:tcBorders>
            <w:shd w:val="clear" w:color="auto" w:fill="auto"/>
            <w:vAlign w:val="bottom"/>
          </w:tcPr>
          <w:p w14:paraId="06FC2A6B" w14:textId="1B051B48"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-0.418***</w:t>
            </w:r>
          </w:p>
        </w:tc>
        <w:tc>
          <w:tcPr>
            <w:tcW w:w="1497" w:type="dxa"/>
            <w:tcBorders>
              <w:top w:val="nil"/>
              <w:left w:val="nil"/>
              <w:bottom w:val="nil"/>
              <w:right w:val="nil"/>
            </w:tcBorders>
            <w:shd w:val="clear" w:color="auto" w:fill="auto"/>
            <w:vAlign w:val="bottom"/>
          </w:tcPr>
          <w:p w14:paraId="7431F68F" w14:textId="126B9AA9"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-0.386***</w:t>
            </w:r>
          </w:p>
        </w:tc>
        <w:tc>
          <w:tcPr>
            <w:tcW w:w="1498" w:type="dxa"/>
            <w:tcBorders>
              <w:top w:val="nil"/>
              <w:left w:val="nil"/>
              <w:bottom w:val="nil"/>
              <w:right w:val="nil"/>
            </w:tcBorders>
            <w:shd w:val="clear" w:color="auto" w:fill="auto"/>
            <w:vAlign w:val="bottom"/>
          </w:tcPr>
          <w:p w14:paraId="3BCCBAC5" w14:textId="6CF5F351"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-0.490***</w:t>
            </w:r>
          </w:p>
        </w:tc>
      </w:tr>
      <w:tr w:rsidR="00724CA2" w:rsidRPr="00724CA2" w14:paraId="3C1CFF9A" w14:textId="77777777" w:rsidTr="008A0AEC">
        <w:trPr>
          <w:trHeight w:val="251"/>
          <w:jc w:val="center"/>
        </w:trPr>
        <w:tc>
          <w:tcPr>
            <w:tcW w:w="2363" w:type="dxa"/>
            <w:noWrap/>
            <w:vAlign w:val="center"/>
            <w:hideMark/>
          </w:tcPr>
          <w:p w14:paraId="20A58BBC" w14:textId="77777777" w:rsidR="003D0AD5" w:rsidRPr="00724CA2" w:rsidRDefault="003D0AD5" w:rsidP="003D0AD5">
            <w:pPr>
              <w:jc w:val="both"/>
              <w:rPr>
                <w:rFonts w:ascii="Times New Roman" w:hAnsi="Times New Roman" w:cs="Times New Roman"/>
                <w:color w:val="000000" w:themeColor="text1"/>
                <w:lang w:val="en-US"/>
              </w:rPr>
            </w:pPr>
          </w:p>
        </w:tc>
        <w:tc>
          <w:tcPr>
            <w:tcW w:w="1497" w:type="dxa"/>
            <w:tcBorders>
              <w:top w:val="nil"/>
              <w:left w:val="nil"/>
              <w:bottom w:val="nil"/>
              <w:right w:val="nil"/>
            </w:tcBorders>
            <w:shd w:val="clear" w:color="auto" w:fill="auto"/>
            <w:noWrap/>
            <w:vAlign w:val="bottom"/>
          </w:tcPr>
          <w:p w14:paraId="09EE6B37" w14:textId="18CE2459"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(0.241)</w:t>
            </w:r>
          </w:p>
        </w:tc>
        <w:tc>
          <w:tcPr>
            <w:tcW w:w="1497" w:type="dxa"/>
            <w:tcBorders>
              <w:top w:val="nil"/>
              <w:left w:val="nil"/>
              <w:bottom w:val="nil"/>
              <w:right w:val="nil"/>
            </w:tcBorders>
            <w:shd w:val="clear" w:color="auto" w:fill="auto"/>
            <w:noWrap/>
            <w:vAlign w:val="bottom"/>
          </w:tcPr>
          <w:p w14:paraId="1A93CE23" w14:textId="5825F734"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(2.271)</w:t>
            </w:r>
          </w:p>
        </w:tc>
        <w:tc>
          <w:tcPr>
            <w:tcW w:w="1497" w:type="dxa"/>
            <w:tcBorders>
              <w:top w:val="nil"/>
              <w:left w:val="nil"/>
              <w:bottom w:val="nil"/>
              <w:right w:val="nil"/>
            </w:tcBorders>
            <w:shd w:val="clear" w:color="auto" w:fill="auto"/>
            <w:vAlign w:val="bottom"/>
          </w:tcPr>
          <w:p w14:paraId="3540A732" w14:textId="0CB6863B"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(0.099)</w:t>
            </w:r>
          </w:p>
        </w:tc>
        <w:tc>
          <w:tcPr>
            <w:tcW w:w="1497" w:type="dxa"/>
            <w:tcBorders>
              <w:top w:val="nil"/>
              <w:left w:val="nil"/>
              <w:bottom w:val="nil"/>
              <w:right w:val="nil"/>
            </w:tcBorders>
            <w:shd w:val="clear" w:color="auto" w:fill="auto"/>
            <w:vAlign w:val="bottom"/>
          </w:tcPr>
          <w:p w14:paraId="3357CE30" w14:textId="5D82145F"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(0.127)</w:t>
            </w:r>
          </w:p>
        </w:tc>
        <w:tc>
          <w:tcPr>
            <w:tcW w:w="1498" w:type="dxa"/>
            <w:tcBorders>
              <w:top w:val="nil"/>
              <w:left w:val="nil"/>
              <w:bottom w:val="nil"/>
              <w:right w:val="nil"/>
            </w:tcBorders>
            <w:shd w:val="clear" w:color="auto" w:fill="auto"/>
            <w:vAlign w:val="bottom"/>
          </w:tcPr>
          <w:p w14:paraId="4A8DC720" w14:textId="5BB8C23C"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(0.131)</w:t>
            </w:r>
          </w:p>
        </w:tc>
      </w:tr>
      <w:tr w:rsidR="00724CA2" w:rsidRPr="00724CA2" w14:paraId="6E3CB2EF" w14:textId="77777777" w:rsidTr="008A0AEC">
        <w:trPr>
          <w:trHeight w:val="251"/>
          <w:jc w:val="center"/>
        </w:trPr>
        <w:tc>
          <w:tcPr>
            <w:tcW w:w="2363" w:type="dxa"/>
            <w:noWrap/>
            <w:vAlign w:val="center"/>
            <w:hideMark/>
          </w:tcPr>
          <w:p w14:paraId="3F867CC7" w14:textId="77777777"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Z Index</w:t>
            </w:r>
          </w:p>
        </w:tc>
        <w:tc>
          <w:tcPr>
            <w:tcW w:w="1497" w:type="dxa"/>
            <w:tcBorders>
              <w:top w:val="nil"/>
              <w:left w:val="nil"/>
              <w:bottom w:val="nil"/>
              <w:right w:val="nil"/>
            </w:tcBorders>
            <w:shd w:val="clear" w:color="auto" w:fill="auto"/>
            <w:noWrap/>
            <w:vAlign w:val="bottom"/>
          </w:tcPr>
          <w:p w14:paraId="256DC339" w14:textId="590C4E9A"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-0.001</w:t>
            </w:r>
          </w:p>
        </w:tc>
        <w:tc>
          <w:tcPr>
            <w:tcW w:w="1497" w:type="dxa"/>
            <w:tcBorders>
              <w:top w:val="nil"/>
              <w:left w:val="nil"/>
              <w:bottom w:val="nil"/>
              <w:right w:val="nil"/>
            </w:tcBorders>
            <w:shd w:val="clear" w:color="auto" w:fill="auto"/>
            <w:noWrap/>
            <w:vAlign w:val="bottom"/>
          </w:tcPr>
          <w:p w14:paraId="7EE72EE1" w14:textId="000C9788"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0.002</w:t>
            </w:r>
          </w:p>
        </w:tc>
        <w:tc>
          <w:tcPr>
            <w:tcW w:w="1497" w:type="dxa"/>
            <w:tcBorders>
              <w:top w:val="nil"/>
              <w:left w:val="nil"/>
              <w:bottom w:val="nil"/>
              <w:right w:val="nil"/>
            </w:tcBorders>
            <w:shd w:val="clear" w:color="auto" w:fill="auto"/>
            <w:vAlign w:val="bottom"/>
          </w:tcPr>
          <w:p w14:paraId="1B98F313" w14:textId="5B01BFDF"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-0.001</w:t>
            </w:r>
          </w:p>
        </w:tc>
        <w:tc>
          <w:tcPr>
            <w:tcW w:w="1497" w:type="dxa"/>
            <w:tcBorders>
              <w:top w:val="nil"/>
              <w:left w:val="nil"/>
              <w:bottom w:val="nil"/>
              <w:right w:val="nil"/>
            </w:tcBorders>
            <w:shd w:val="clear" w:color="auto" w:fill="auto"/>
            <w:vAlign w:val="bottom"/>
          </w:tcPr>
          <w:p w14:paraId="05FE7164" w14:textId="1B6D05BA"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0.010***</w:t>
            </w:r>
          </w:p>
        </w:tc>
        <w:tc>
          <w:tcPr>
            <w:tcW w:w="1498" w:type="dxa"/>
            <w:tcBorders>
              <w:top w:val="nil"/>
              <w:left w:val="nil"/>
              <w:bottom w:val="nil"/>
              <w:right w:val="nil"/>
            </w:tcBorders>
            <w:shd w:val="clear" w:color="auto" w:fill="auto"/>
            <w:vAlign w:val="bottom"/>
          </w:tcPr>
          <w:p w14:paraId="0D50C25A" w14:textId="428B4821"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0.009***</w:t>
            </w:r>
          </w:p>
        </w:tc>
      </w:tr>
      <w:tr w:rsidR="00724CA2" w:rsidRPr="00724CA2" w14:paraId="79FC0FFB" w14:textId="77777777" w:rsidTr="008A0AEC">
        <w:trPr>
          <w:trHeight w:val="251"/>
          <w:jc w:val="center"/>
        </w:trPr>
        <w:tc>
          <w:tcPr>
            <w:tcW w:w="2363" w:type="dxa"/>
            <w:noWrap/>
            <w:vAlign w:val="center"/>
            <w:hideMark/>
          </w:tcPr>
          <w:p w14:paraId="29A97C87" w14:textId="77777777" w:rsidR="003D0AD5" w:rsidRPr="00724CA2" w:rsidRDefault="003D0AD5" w:rsidP="003D0AD5">
            <w:pPr>
              <w:jc w:val="both"/>
              <w:rPr>
                <w:rFonts w:ascii="Times New Roman" w:hAnsi="Times New Roman" w:cs="Times New Roman"/>
                <w:color w:val="000000" w:themeColor="text1"/>
                <w:lang w:val="en-US"/>
              </w:rPr>
            </w:pPr>
          </w:p>
        </w:tc>
        <w:tc>
          <w:tcPr>
            <w:tcW w:w="1497" w:type="dxa"/>
            <w:tcBorders>
              <w:top w:val="nil"/>
              <w:left w:val="nil"/>
              <w:bottom w:val="nil"/>
              <w:right w:val="nil"/>
            </w:tcBorders>
            <w:shd w:val="clear" w:color="auto" w:fill="auto"/>
            <w:noWrap/>
            <w:vAlign w:val="bottom"/>
          </w:tcPr>
          <w:p w14:paraId="661B0AB4" w14:textId="61571187"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(0.001)</w:t>
            </w:r>
          </w:p>
        </w:tc>
        <w:tc>
          <w:tcPr>
            <w:tcW w:w="1497" w:type="dxa"/>
            <w:tcBorders>
              <w:top w:val="nil"/>
              <w:left w:val="nil"/>
              <w:bottom w:val="nil"/>
              <w:right w:val="nil"/>
            </w:tcBorders>
            <w:shd w:val="clear" w:color="auto" w:fill="auto"/>
            <w:noWrap/>
            <w:vAlign w:val="bottom"/>
          </w:tcPr>
          <w:p w14:paraId="3676760E" w14:textId="483311CD"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(0.002)</w:t>
            </w:r>
          </w:p>
        </w:tc>
        <w:tc>
          <w:tcPr>
            <w:tcW w:w="1497" w:type="dxa"/>
            <w:tcBorders>
              <w:top w:val="nil"/>
              <w:left w:val="nil"/>
              <w:bottom w:val="nil"/>
              <w:right w:val="nil"/>
            </w:tcBorders>
            <w:shd w:val="clear" w:color="auto" w:fill="auto"/>
            <w:vAlign w:val="bottom"/>
          </w:tcPr>
          <w:p w14:paraId="25330D61" w14:textId="0443F17B"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(0.004)</w:t>
            </w:r>
          </w:p>
        </w:tc>
        <w:tc>
          <w:tcPr>
            <w:tcW w:w="1497" w:type="dxa"/>
            <w:tcBorders>
              <w:top w:val="nil"/>
              <w:left w:val="nil"/>
              <w:bottom w:val="nil"/>
              <w:right w:val="nil"/>
            </w:tcBorders>
            <w:shd w:val="clear" w:color="auto" w:fill="auto"/>
            <w:vAlign w:val="bottom"/>
          </w:tcPr>
          <w:p w14:paraId="799BC8AE" w14:textId="64661891"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(0.003)</w:t>
            </w:r>
          </w:p>
        </w:tc>
        <w:tc>
          <w:tcPr>
            <w:tcW w:w="1498" w:type="dxa"/>
            <w:tcBorders>
              <w:top w:val="nil"/>
              <w:left w:val="nil"/>
              <w:bottom w:val="nil"/>
              <w:right w:val="nil"/>
            </w:tcBorders>
            <w:shd w:val="clear" w:color="auto" w:fill="auto"/>
            <w:vAlign w:val="bottom"/>
          </w:tcPr>
          <w:p w14:paraId="686EB3FE" w14:textId="371E57E2"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(0.003)</w:t>
            </w:r>
          </w:p>
        </w:tc>
      </w:tr>
      <w:tr w:rsidR="00724CA2" w:rsidRPr="00724CA2" w14:paraId="4C0FF252" w14:textId="77777777" w:rsidTr="008A0AEC">
        <w:trPr>
          <w:trHeight w:val="251"/>
          <w:jc w:val="center"/>
        </w:trPr>
        <w:tc>
          <w:tcPr>
            <w:tcW w:w="2363" w:type="dxa"/>
            <w:noWrap/>
            <w:vAlign w:val="center"/>
            <w:hideMark/>
          </w:tcPr>
          <w:p w14:paraId="55FE01EC" w14:textId="77777777"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Stock returns</w:t>
            </w:r>
          </w:p>
        </w:tc>
        <w:tc>
          <w:tcPr>
            <w:tcW w:w="1497" w:type="dxa"/>
            <w:tcBorders>
              <w:top w:val="nil"/>
              <w:left w:val="nil"/>
              <w:bottom w:val="nil"/>
              <w:right w:val="nil"/>
            </w:tcBorders>
            <w:shd w:val="clear" w:color="auto" w:fill="auto"/>
            <w:noWrap/>
            <w:vAlign w:val="bottom"/>
          </w:tcPr>
          <w:p w14:paraId="0C9CB0C0" w14:textId="7C3EE8D0"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0.007</w:t>
            </w:r>
          </w:p>
        </w:tc>
        <w:tc>
          <w:tcPr>
            <w:tcW w:w="1497" w:type="dxa"/>
            <w:tcBorders>
              <w:top w:val="nil"/>
              <w:left w:val="nil"/>
              <w:bottom w:val="nil"/>
              <w:right w:val="nil"/>
            </w:tcBorders>
            <w:shd w:val="clear" w:color="auto" w:fill="auto"/>
            <w:noWrap/>
            <w:vAlign w:val="bottom"/>
          </w:tcPr>
          <w:p w14:paraId="72356C72" w14:textId="1C80D7C4"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0.033</w:t>
            </w:r>
          </w:p>
        </w:tc>
        <w:tc>
          <w:tcPr>
            <w:tcW w:w="1497" w:type="dxa"/>
            <w:tcBorders>
              <w:top w:val="nil"/>
              <w:left w:val="nil"/>
              <w:bottom w:val="nil"/>
              <w:right w:val="nil"/>
            </w:tcBorders>
            <w:shd w:val="clear" w:color="auto" w:fill="auto"/>
            <w:vAlign w:val="bottom"/>
          </w:tcPr>
          <w:p w14:paraId="187515B7" w14:textId="246BF671"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0.003</w:t>
            </w:r>
          </w:p>
        </w:tc>
        <w:tc>
          <w:tcPr>
            <w:tcW w:w="1497" w:type="dxa"/>
            <w:tcBorders>
              <w:top w:val="nil"/>
              <w:left w:val="nil"/>
              <w:bottom w:val="nil"/>
              <w:right w:val="nil"/>
            </w:tcBorders>
            <w:shd w:val="clear" w:color="auto" w:fill="auto"/>
            <w:vAlign w:val="bottom"/>
          </w:tcPr>
          <w:p w14:paraId="068E422F" w14:textId="339D9DD8"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0.457***</w:t>
            </w:r>
          </w:p>
        </w:tc>
        <w:tc>
          <w:tcPr>
            <w:tcW w:w="1498" w:type="dxa"/>
            <w:tcBorders>
              <w:top w:val="nil"/>
              <w:left w:val="nil"/>
              <w:bottom w:val="nil"/>
              <w:right w:val="nil"/>
            </w:tcBorders>
            <w:shd w:val="clear" w:color="auto" w:fill="auto"/>
            <w:vAlign w:val="bottom"/>
          </w:tcPr>
          <w:p w14:paraId="1A8DC6CA" w14:textId="3565BD8E"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0.450***</w:t>
            </w:r>
          </w:p>
        </w:tc>
      </w:tr>
      <w:tr w:rsidR="00724CA2" w:rsidRPr="00724CA2" w14:paraId="54A62B70" w14:textId="77777777" w:rsidTr="008A0AEC">
        <w:trPr>
          <w:trHeight w:val="251"/>
          <w:jc w:val="center"/>
        </w:trPr>
        <w:tc>
          <w:tcPr>
            <w:tcW w:w="2363" w:type="dxa"/>
            <w:noWrap/>
            <w:vAlign w:val="center"/>
            <w:hideMark/>
          </w:tcPr>
          <w:p w14:paraId="1AD023CF" w14:textId="77777777" w:rsidR="003D0AD5" w:rsidRPr="00724CA2" w:rsidRDefault="003D0AD5" w:rsidP="003D0AD5">
            <w:pPr>
              <w:jc w:val="both"/>
              <w:rPr>
                <w:rFonts w:ascii="Times New Roman" w:hAnsi="Times New Roman" w:cs="Times New Roman"/>
                <w:color w:val="000000" w:themeColor="text1"/>
                <w:lang w:val="en-US"/>
              </w:rPr>
            </w:pPr>
          </w:p>
        </w:tc>
        <w:tc>
          <w:tcPr>
            <w:tcW w:w="1497" w:type="dxa"/>
            <w:tcBorders>
              <w:top w:val="nil"/>
              <w:left w:val="nil"/>
              <w:bottom w:val="nil"/>
              <w:right w:val="nil"/>
            </w:tcBorders>
            <w:shd w:val="clear" w:color="auto" w:fill="auto"/>
            <w:noWrap/>
            <w:vAlign w:val="bottom"/>
          </w:tcPr>
          <w:p w14:paraId="3DFA84E1" w14:textId="1443A43B"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(0.022)</w:t>
            </w:r>
          </w:p>
        </w:tc>
        <w:tc>
          <w:tcPr>
            <w:tcW w:w="1497" w:type="dxa"/>
            <w:tcBorders>
              <w:top w:val="nil"/>
              <w:left w:val="nil"/>
              <w:bottom w:val="nil"/>
              <w:right w:val="nil"/>
            </w:tcBorders>
            <w:shd w:val="clear" w:color="auto" w:fill="auto"/>
            <w:noWrap/>
            <w:vAlign w:val="bottom"/>
          </w:tcPr>
          <w:p w14:paraId="4EC88CEB" w14:textId="58868FA3"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(0.050)</w:t>
            </w:r>
          </w:p>
        </w:tc>
        <w:tc>
          <w:tcPr>
            <w:tcW w:w="1497" w:type="dxa"/>
            <w:tcBorders>
              <w:top w:val="nil"/>
              <w:left w:val="nil"/>
              <w:bottom w:val="nil"/>
              <w:right w:val="nil"/>
            </w:tcBorders>
            <w:shd w:val="clear" w:color="auto" w:fill="auto"/>
            <w:vAlign w:val="bottom"/>
          </w:tcPr>
          <w:p w14:paraId="3DA4DEFA" w14:textId="0AAAB046"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(0.103)</w:t>
            </w:r>
          </w:p>
        </w:tc>
        <w:tc>
          <w:tcPr>
            <w:tcW w:w="1497" w:type="dxa"/>
            <w:tcBorders>
              <w:top w:val="nil"/>
              <w:left w:val="nil"/>
              <w:bottom w:val="nil"/>
              <w:right w:val="nil"/>
            </w:tcBorders>
            <w:shd w:val="clear" w:color="auto" w:fill="auto"/>
            <w:vAlign w:val="bottom"/>
          </w:tcPr>
          <w:p w14:paraId="7ED303C3" w14:textId="16D5BFC9"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(0.034)</w:t>
            </w:r>
          </w:p>
        </w:tc>
        <w:tc>
          <w:tcPr>
            <w:tcW w:w="1498" w:type="dxa"/>
            <w:tcBorders>
              <w:top w:val="nil"/>
              <w:left w:val="nil"/>
              <w:bottom w:val="nil"/>
              <w:right w:val="nil"/>
            </w:tcBorders>
            <w:shd w:val="clear" w:color="auto" w:fill="auto"/>
            <w:vAlign w:val="bottom"/>
          </w:tcPr>
          <w:p w14:paraId="00443B5E" w14:textId="129050B9"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(0.036)</w:t>
            </w:r>
          </w:p>
        </w:tc>
      </w:tr>
      <w:tr w:rsidR="00724CA2" w:rsidRPr="00724CA2" w14:paraId="438DFB89" w14:textId="77777777" w:rsidTr="008A0AEC">
        <w:trPr>
          <w:trHeight w:val="251"/>
          <w:jc w:val="center"/>
        </w:trPr>
        <w:tc>
          <w:tcPr>
            <w:tcW w:w="2363" w:type="dxa"/>
            <w:noWrap/>
            <w:vAlign w:val="center"/>
            <w:hideMark/>
          </w:tcPr>
          <w:p w14:paraId="05DD3A90" w14:textId="77777777"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Tobin Q</w:t>
            </w:r>
          </w:p>
        </w:tc>
        <w:tc>
          <w:tcPr>
            <w:tcW w:w="1497" w:type="dxa"/>
            <w:tcBorders>
              <w:top w:val="nil"/>
              <w:left w:val="nil"/>
              <w:bottom w:val="nil"/>
              <w:right w:val="nil"/>
            </w:tcBorders>
            <w:shd w:val="clear" w:color="auto" w:fill="auto"/>
            <w:noWrap/>
            <w:vAlign w:val="bottom"/>
          </w:tcPr>
          <w:p w14:paraId="131C6422" w14:textId="4ABDEEE5"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-0.045</w:t>
            </w:r>
          </w:p>
        </w:tc>
        <w:tc>
          <w:tcPr>
            <w:tcW w:w="1497" w:type="dxa"/>
            <w:tcBorders>
              <w:top w:val="nil"/>
              <w:left w:val="nil"/>
              <w:bottom w:val="nil"/>
              <w:right w:val="nil"/>
            </w:tcBorders>
            <w:shd w:val="clear" w:color="auto" w:fill="auto"/>
            <w:noWrap/>
            <w:vAlign w:val="bottom"/>
          </w:tcPr>
          <w:p w14:paraId="433A1A35" w14:textId="78202247"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-0.258***</w:t>
            </w:r>
          </w:p>
        </w:tc>
        <w:tc>
          <w:tcPr>
            <w:tcW w:w="1497" w:type="dxa"/>
            <w:tcBorders>
              <w:top w:val="nil"/>
              <w:left w:val="nil"/>
              <w:bottom w:val="nil"/>
              <w:right w:val="nil"/>
            </w:tcBorders>
            <w:shd w:val="clear" w:color="auto" w:fill="auto"/>
            <w:vAlign w:val="bottom"/>
          </w:tcPr>
          <w:p w14:paraId="3440E798" w14:textId="5D4471E6"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-0.040</w:t>
            </w:r>
          </w:p>
        </w:tc>
        <w:tc>
          <w:tcPr>
            <w:tcW w:w="1497" w:type="dxa"/>
            <w:tcBorders>
              <w:top w:val="nil"/>
              <w:left w:val="nil"/>
              <w:bottom w:val="nil"/>
              <w:right w:val="nil"/>
            </w:tcBorders>
            <w:shd w:val="clear" w:color="auto" w:fill="auto"/>
            <w:vAlign w:val="bottom"/>
          </w:tcPr>
          <w:p w14:paraId="270C4364" w14:textId="15EE92AA"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-0.448***</w:t>
            </w:r>
          </w:p>
        </w:tc>
        <w:tc>
          <w:tcPr>
            <w:tcW w:w="1498" w:type="dxa"/>
            <w:tcBorders>
              <w:top w:val="nil"/>
              <w:left w:val="nil"/>
              <w:bottom w:val="nil"/>
              <w:right w:val="nil"/>
            </w:tcBorders>
            <w:shd w:val="clear" w:color="auto" w:fill="auto"/>
            <w:vAlign w:val="bottom"/>
          </w:tcPr>
          <w:p w14:paraId="1C820888" w14:textId="6ACB29D2"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-0.448***</w:t>
            </w:r>
          </w:p>
        </w:tc>
      </w:tr>
      <w:tr w:rsidR="00724CA2" w:rsidRPr="00724CA2" w14:paraId="741CD788" w14:textId="77777777" w:rsidTr="008A0AEC">
        <w:trPr>
          <w:trHeight w:val="251"/>
          <w:jc w:val="center"/>
        </w:trPr>
        <w:tc>
          <w:tcPr>
            <w:tcW w:w="2363" w:type="dxa"/>
            <w:noWrap/>
            <w:vAlign w:val="center"/>
            <w:hideMark/>
          </w:tcPr>
          <w:p w14:paraId="38F77E1A" w14:textId="77777777" w:rsidR="003D0AD5" w:rsidRPr="00724CA2" w:rsidRDefault="003D0AD5" w:rsidP="003D0AD5">
            <w:pPr>
              <w:jc w:val="both"/>
              <w:rPr>
                <w:rFonts w:ascii="Times New Roman" w:hAnsi="Times New Roman" w:cs="Times New Roman"/>
                <w:color w:val="000000" w:themeColor="text1"/>
                <w:lang w:val="en-US"/>
              </w:rPr>
            </w:pPr>
          </w:p>
        </w:tc>
        <w:tc>
          <w:tcPr>
            <w:tcW w:w="1497" w:type="dxa"/>
            <w:tcBorders>
              <w:top w:val="nil"/>
              <w:left w:val="nil"/>
              <w:bottom w:val="nil"/>
              <w:right w:val="nil"/>
            </w:tcBorders>
            <w:shd w:val="clear" w:color="auto" w:fill="auto"/>
            <w:noWrap/>
            <w:vAlign w:val="bottom"/>
          </w:tcPr>
          <w:p w14:paraId="09AD824A" w14:textId="7EBAA0BA"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(0.025)</w:t>
            </w:r>
          </w:p>
        </w:tc>
        <w:tc>
          <w:tcPr>
            <w:tcW w:w="1497" w:type="dxa"/>
            <w:tcBorders>
              <w:top w:val="nil"/>
              <w:left w:val="nil"/>
              <w:bottom w:val="nil"/>
              <w:right w:val="nil"/>
            </w:tcBorders>
            <w:shd w:val="clear" w:color="auto" w:fill="auto"/>
            <w:noWrap/>
            <w:vAlign w:val="bottom"/>
          </w:tcPr>
          <w:p w14:paraId="606C185D" w14:textId="34323054"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(0.044)</w:t>
            </w:r>
          </w:p>
        </w:tc>
        <w:tc>
          <w:tcPr>
            <w:tcW w:w="1497" w:type="dxa"/>
            <w:tcBorders>
              <w:top w:val="nil"/>
              <w:left w:val="nil"/>
              <w:bottom w:val="nil"/>
              <w:right w:val="nil"/>
            </w:tcBorders>
            <w:shd w:val="clear" w:color="auto" w:fill="auto"/>
            <w:vAlign w:val="bottom"/>
          </w:tcPr>
          <w:p w14:paraId="09F6FDAE" w14:textId="11238801"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(0.069)</w:t>
            </w:r>
          </w:p>
        </w:tc>
        <w:tc>
          <w:tcPr>
            <w:tcW w:w="1497" w:type="dxa"/>
            <w:tcBorders>
              <w:top w:val="nil"/>
              <w:left w:val="nil"/>
              <w:bottom w:val="nil"/>
              <w:right w:val="nil"/>
            </w:tcBorders>
            <w:shd w:val="clear" w:color="auto" w:fill="auto"/>
            <w:vAlign w:val="bottom"/>
          </w:tcPr>
          <w:p w14:paraId="2DEF8C91" w14:textId="7F530729"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(0.044)</w:t>
            </w:r>
          </w:p>
        </w:tc>
        <w:tc>
          <w:tcPr>
            <w:tcW w:w="1498" w:type="dxa"/>
            <w:tcBorders>
              <w:top w:val="nil"/>
              <w:left w:val="nil"/>
              <w:bottom w:val="nil"/>
              <w:right w:val="nil"/>
            </w:tcBorders>
            <w:shd w:val="clear" w:color="auto" w:fill="auto"/>
            <w:vAlign w:val="bottom"/>
          </w:tcPr>
          <w:p w14:paraId="59F055EA" w14:textId="47A78C57"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(0.042)</w:t>
            </w:r>
          </w:p>
        </w:tc>
      </w:tr>
      <w:tr w:rsidR="00724CA2" w:rsidRPr="00724CA2" w14:paraId="49E70745" w14:textId="77777777" w:rsidTr="008A0AEC">
        <w:trPr>
          <w:trHeight w:val="251"/>
          <w:jc w:val="center"/>
        </w:trPr>
        <w:tc>
          <w:tcPr>
            <w:tcW w:w="2363" w:type="dxa"/>
            <w:noWrap/>
            <w:vAlign w:val="center"/>
            <w:hideMark/>
          </w:tcPr>
          <w:p w14:paraId="11858155" w14:textId="77777777"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Firm age</w:t>
            </w:r>
          </w:p>
        </w:tc>
        <w:tc>
          <w:tcPr>
            <w:tcW w:w="1497" w:type="dxa"/>
            <w:tcBorders>
              <w:top w:val="nil"/>
              <w:left w:val="nil"/>
              <w:bottom w:val="nil"/>
              <w:right w:val="nil"/>
            </w:tcBorders>
            <w:shd w:val="clear" w:color="auto" w:fill="auto"/>
            <w:noWrap/>
            <w:vAlign w:val="bottom"/>
          </w:tcPr>
          <w:p w14:paraId="49BF5659" w14:textId="35AFD81C"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-0.006</w:t>
            </w:r>
          </w:p>
        </w:tc>
        <w:tc>
          <w:tcPr>
            <w:tcW w:w="1497" w:type="dxa"/>
            <w:tcBorders>
              <w:top w:val="nil"/>
              <w:left w:val="nil"/>
              <w:bottom w:val="nil"/>
              <w:right w:val="nil"/>
            </w:tcBorders>
            <w:shd w:val="clear" w:color="auto" w:fill="auto"/>
            <w:noWrap/>
            <w:vAlign w:val="bottom"/>
          </w:tcPr>
          <w:p w14:paraId="4C605E36" w14:textId="19E2AC04"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-0.017</w:t>
            </w:r>
          </w:p>
        </w:tc>
        <w:tc>
          <w:tcPr>
            <w:tcW w:w="1497" w:type="dxa"/>
            <w:tcBorders>
              <w:top w:val="nil"/>
              <w:left w:val="nil"/>
              <w:bottom w:val="nil"/>
              <w:right w:val="nil"/>
            </w:tcBorders>
            <w:shd w:val="clear" w:color="auto" w:fill="auto"/>
            <w:vAlign w:val="bottom"/>
          </w:tcPr>
          <w:p w14:paraId="26D595F1" w14:textId="6BEB39F8"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-0.015**</w:t>
            </w:r>
          </w:p>
        </w:tc>
        <w:tc>
          <w:tcPr>
            <w:tcW w:w="1497" w:type="dxa"/>
            <w:tcBorders>
              <w:top w:val="nil"/>
              <w:left w:val="nil"/>
              <w:bottom w:val="nil"/>
              <w:right w:val="nil"/>
            </w:tcBorders>
            <w:shd w:val="clear" w:color="auto" w:fill="auto"/>
            <w:vAlign w:val="bottom"/>
          </w:tcPr>
          <w:p w14:paraId="280B1B34" w14:textId="5A243A6D"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-0.019**</w:t>
            </w:r>
          </w:p>
        </w:tc>
        <w:tc>
          <w:tcPr>
            <w:tcW w:w="1498" w:type="dxa"/>
            <w:tcBorders>
              <w:top w:val="nil"/>
              <w:left w:val="nil"/>
              <w:bottom w:val="nil"/>
              <w:right w:val="nil"/>
            </w:tcBorders>
            <w:shd w:val="clear" w:color="auto" w:fill="auto"/>
            <w:vAlign w:val="bottom"/>
          </w:tcPr>
          <w:p w14:paraId="4D1F6EB5" w14:textId="14515EBC"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-0.018</w:t>
            </w:r>
          </w:p>
        </w:tc>
      </w:tr>
      <w:tr w:rsidR="00724CA2" w:rsidRPr="00724CA2" w14:paraId="0DA11EE7" w14:textId="77777777" w:rsidTr="008A0AEC">
        <w:trPr>
          <w:trHeight w:val="251"/>
          <w:jc w:val="center"/>
        </w:trPr>
        <w:tc>
          <w:tcPr>
            <w:tcW w:w="2363" w:type="dxa"/>
            <w:noWrap/>
            <w:vAlign w:val="center"/>
            <w:hideMark/>
          </w:tcPr>
          <w:p w14:paraId="3F0EC306" w14:textId="77777777" w:rsidR="003D0AD5" w:rsidRPr="00724CA2" w:rsidRDefault="003D0AD5" w:rsidP="003D0AD5">
            <w:pPr>
              <w:jc w:val="both"/>
              <w:rPr>
                <w:rFonts w:ascii="Times New Roman" w:hAnsi="Times New Roman" w:cs="Times New Roman"/>
                <w:color w:val="000000" w:themeColor="text1"/>
                <w:lang w:val="en-US"/>
              </w:rPr>
            </w:pPr>
          </w:p>
        </w:tc>
        <w:tc>
          <w:tcPr>
            <w:tcW w:w="1497" w:type="dxa"/>
            <w:tcBorders>
              <w:top w:val="nil"/>
              <w:left w:val="nil"/>
              <w:bottom w:val="nil"/>
              <w:right w:val="nil"/>
            </w:tcBorders>
            <w:shd w:val="clear" w:color="auto" w:fill="auto"/>
            <w:noWrap/>
            <w:vAlign w:val="bottom"/>
          </w:tcPr>
          <w:p w14:paraId="345C98AB" w14:textId="330A273B"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(0.005)</w:t>
            </w:r>
          </w:p>
        </w:tc>
        <w:tc>
          <w:tcPr>
            <w:tcW w:w="1497" w:type="dxa"/>
            <w:tcBorders>
              <w:top w:val="nil"/>
              <w:left w:val="nil"/>
              <w:bottom w:val="nil"/>
              <w:right w:val="nil"/>
            </w:tcBorders>
            <w:shd w:val="clear" w:color="auto" w:fill="auto"/>
            <w:noWrap/>
            <w:vAlign w:val="bottom"/>
          </w:tcPr>
          <w:p w14:paraId="5F59A9A4" w14:textId="543BE406"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(0.012)</w:t>
            </w:r>
          </w:p>
        </w:tc>
        <w:tc>
          <w:tcPr>
            <w:tcW w:w="1497" w:type="dxa"/>
            <w:tcBorders>
              <w:top w:val="nil"/>
              <w:left w:val="nil"/>
              <w:bottom w:val="nil"/>
              <w:right w:val="nil"/>
            </w:tcBorders>
            <w:shd w:val="clear" w:color="auto" w:fill="auto"/>
            <w:vAlign w:val="bottom"/>
          </w:tcPr>
          <w:p w14:paraId="14B62EDF" w14:textId="72339AF9"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(0.007)</w:t>
            </w:r>
          </w:p>
        </w:tc>
        <w:tc>
          <w:tcPr>
            <w:tcW w:w="1497" w:type="dxa"/>
            <w:tcBorders>
              <w:top w:val="nil"/>
              <w:left w:val="nil"/>
              <w:bottom w:val="nil"/>
              <w:right w:val="nil"/>
            </w:tcBorders>
            <w:shd w:val="clear" w:color="auto" w:fill="auto"/>
            <w:vAlign w:val="bottom"/>
          </w:tcPr>
          <w:p w14:paraId="0DCDEA66" w14:textId="1D52416B"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(0.008)</w:t>
            </w:r>
          </w:p>
        </w:tc>
        <w:tc>
          <w:tcPr>
            <w:tcW w:w="1498" w:type="dxa"/>
            <w:tcBorders>
              <w:top w:val="nil"/>
              <w:left w:val="nil"/>
              <w:bottom w:val="nil"/>
              <w:right w:val="nil"/>
            </w:tcBorders>
            <w:shd w:val="clear" w:color="auto" w:fill="auto"/>
            <w:vAlign w:val="bottom"/>
          </w:tcPr>
          <w:p w14:paraId="2FA5FB29" w14:textId="780A113B"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(0.011)</w:t>
            </w:r>
          </w:p>
        </w:tc>
      </w:tr>
      <w:tr w:rsidR="00724CA2" w:rsidRPr="00724CA2" w14:paraId="59AAB0F7" w14:textId="77777777" w:rsidTr="008A0AEC">
        <w:trPr>
          <w:trHeight w:val="251"/>
          <w:jc w:val="center"/>
        </w:trPr>
        <w:tc>
          <w:tcPr>
            <w:tcW w:w="2363" w:type="dxa"/>
            <w:noWrap/>
            <w:vAlign w:val="center"/>
            <w:hideMark/>
          </w:tcPr>
          <w:p w14:paraId="792B3092" w14:textId="77777777"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Leverage</w:t>
            </w:r>
          </w:p>
        </w:tc>
        <w:tc>
          <w:tcPr>
            <w:tcW w:w="1497" w:type="dxa"/>
            <w:tcBorders>
              <w:top w:val="nil"/>
              <w:left w:val="nil"/>
              <w:bottom w:val="nil"/>
              <w:right w:val="nil"/>
            </w:tcBorders>
            <w:shd w:val="clear" w:color="auto" w:fill="auto"/>
            <w:noWrap/>
            <w:vAlign w:val="bottom"/>
          </w:tcPr>
          <w:p w14:paraId="08F35B23" w14:textId="0EAEE4BD"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0.029</w:t>
            </w:r>
          </w:p>
        </w:tc>
        <w:tc>
          <w:tcPr>
            <w:tcW w:w="1497" w:type="dxa"/>
            <w:tcBorders>
              <w:top w:val="nil"/>
              <w:left w:val="nil"/>
              <w:bottom w:val="nil"/>
              <w:right w:val="nil"/>
            </w:tcBorders>
            <w:shd w:val="clear" w:color="auto" w:fill="auto"/>
            <w:noWrap/>
            <w:vAlign w:val="bottom"/>
          </w:tcPr>
          <w:p w14:paraId="7AFBF832" w14:textId="538A8AFA"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0.227</w:t>
            </w:r>
          </w:p>
        </w:tc>
        <w:tc>
          <w:tcPr>
            <w:tcW w:w="1497" w:type="dxa"/>
            <w:tcBorders>
              <w:top w:val="nil"/>
              <w:left w:val="nil"/>
              <w:bottom w:val="nil"/>
              <w:right w:val="nil"/>
            </w:tcBorders>
            <w:shd w:val="clear" w:color="auto" w:fill="auto"/>
            <w:vAlign w:val="bottom"/>
          </w:tcPr>
          <w:p w14:paraId="67F89538" w14:textId="4D178AFC"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0.032</w:t>
            </w:r>
          </w:p>
        </w:tc>
        <w:tc>
          <w:tcPr>
            <w:tcW w:w="1497" w:type="dxa"/>
            <w:tcBorders>
              <w:top w:val="nil"/>
              <w:left w:val="nil"/>
              <w:bottom w:val="nil"/>
              <w:right w:val="nil"/>
            </w:tcBorders>
            <w:shd w:val="clear" w:color="auto" w:fill="auto"/>
            <w:vAlign w:val="bottom"/>
          </w:tcPr>
          <w:p w14:paraId="2F6D95FE" w14:textId="5E43E979"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0.587***</w:t>
            </w:r>
          </w:p>
        </w:tc>
        <w:tc>
          <w:tcPr>
            <w:tcW w:w="1498" w:type="dxa"/>
            <w:tcBorders>
              <w:top w:val="nil"/>
              <w:left w:val="nil"/>
              <w:bottom w:val="nil"/>
              <w:right w:val="nil"/>
            </w:tcBorders>
            <w:shd w:val="clear" w:color="auto" w:fill="auto"/>
            <w:vAlign w:val="bottom"/>
          </w:tcPr>
          <w:p w14:paraId="1A20069F" w14:textId="0C25225D"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0.599***</w:t>
            </w:r>
          </w:p>
        </w:tc>
      </w:tr>
      <w:tr w:rsidR="00724CA2" w:rsidRPr="00724CA2" w14:paraId="7DD84223" w14:textId="77777777" w:rsidTr="008A0AEC">
        <w:trPr>
          <w:trHeight w:val="251"/>
          <w:jc w:val="center"/>
        </w:trPr>
        <w:tc>
          <w:tcPr>
            <w:tcW w:w="2363" w:type="dxa"/>
            <w:noWrap/>
            <w:vAlign w:val="center"/>
            <w:hideMark/>
          </w:tcPr>
          <w:p w14:paraId="0453DE35" w14:textId="77777777" w:rsidR="003D0AD5" w:rsidRPr="00724CA2" w:rsidRDefault="003D0AD5" w:rsidP="003D0AD5">
            <w:pPr>
              <w:jc w:val="both"/>
              <w:rPr>
                <w:rFonts w:ascii="Times New Roman" w:hAnsi="Times New Roman" w:cs="Times New Roman"/>
                <w:color w:val="000000" w:themeColor="text1"/>
                <w:lang w:val="en-US"/>
              </w:rPr>
            </w:pPr>
          </w:p>
        </w:tc>
        <w:tc>
          <w:tcPr>
            <w:tcW w:w="1497" w:type="dxa"/>
            <w:tcBorders>
              <w:top w:val="nil"/>
              <w:left w:val="nil"/>
              <w:bottom w:val="nil"/>
              <w:right w:val="nil"/>
            </w:tcBorders>
            <w:shd w:val="clear" w:color="auto" w:fill="auto"/>
            <w:noWrap/>
            <w:vAlign w:val="bottom"/>
          </w:tcPr>
          <w:p w14:paraId="20804F01" w14:textId="381E11B0"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(0.113)</w:t>
            </w:r>
          </w:p>
        </w:tc>
        <w:tc>
          <w:tcPr>
            <w:tcW w:w="1497" w:type="dxa"/>
            <w:tcBorders>
              <w:top w:val="nil"/>
              <w:left w:val="nil"/>
              <w:bottom w:val="nil"/>
              <w:right w:val="nil"/>
            </w:tcBorders>
            <w:shd w:val="clear" w:color="auto" w:fill="auto"/>
            <w:noWrap/>
            <w:vAlign w:val="bottom"/>
          </w:tcPr>
          <w:p w14:paraId="7563923B" w14:textId="393FD20A"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(0.201)</w:t>
            </w:r>
          </w:p>
        </w:tc>
        <w:tc>
          <w:tcPr>
            <w:tcW w:w="1497" w:type="dxa"/>
            <w:tcBorders>
              <w:top w:val="nil"/>
              <w:left w:val="nil"/>
              <w:bottom w:val="nil"/>
              <w:right w:val="nil"/>
            </w:tcBorders>
            <w:shd w:val="clear" w:color="auto" w:fill="auto"/>
            <w:vAlign w:val="bottom"/>
          </w:tcPr>
          <w:p w14:paraId="6EA0038D" w14:textId="4D94C2F1"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(0.078)</w:t>
            </w:r>
          </w:p>
        </w:tc>
        <w:tc>
          <w:tcPr>
            <w:tcW w:w="1497" w:type="dxa"/>
            <w:tcBorders>
              <w:top w:val="nil"/>
              <w:left w:val="nil"/>
              <w:bottom w:val="nil"/>
              <w:right w:val="nil"/>
            </w:tcBorders>
            <w:shd w:val="clear" w:color="auto" w:fill="auto"/>
            <w:vAlign w:val="bottom"/>
          </w:tcPr>
          <w:p w14:paraId="07EDDC78" w14:textId="3CA40ED8"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(0.130)</w:t>
            </w:r>
          </w:p>
        </w:tc>
        <w:tc>
          <w:tcPr>
            <w:tcW w:w="1498" w:type="dxa"/>
            <w:tcBorders>
              <w:top w:val="nil"/>
              <w:left w:val="nil"/>
              <w:bottom w:val="nil"/>
              <w:right w:val="nil"/>
            </w:tcBorders>
            <w:shd w:val="clear" w:color="auto" w:fill="auto"/>
            <w:vAlign w:val="bottom"/>
          </w:tcPr>
          <w:p w14:paraId="4B2FA4F6" w14:textId="5D5A059D"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(0.143)</w:t>
            </w:r>
          </w:p>
        </w:tc>
      </w:tr>
      <w:tr w:rsidR="00724CA2" w:rsidRPr="00724CA2" w14:paraId="5EB4C54D" w14:textId="77777777" w:rsidTr="009C7C8B">
        <w:trPr>
          <w:trHeight w:val="251"/>
          <w:jc w:val="center"/>
        </w:trPr>
        <w:tc>
          <w:tcPr>
            <w:tcW w:w="2363" w:type="dxa"/>
            <w:noWrap/>
            <w:vAlign w:val="center"/>
          </w:tcPr>
          <w:p w14:paraId="6C6E3192" w14:textId="77777777"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Year FE</w:t>
            </w:r>
          </w:p>
        </w:tc>
        <w:tc>
          <w:tcPr>
            <w:tcW w:w="1497" w:type="dxa"/>
            <w:noWrap/>
            <w:vAlign w:val="center"/>
          </w:tcPr>
          <w:p w14:paraId="5A70ADCA" w14:textId="77777777"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Yes</w:t>
            </w:r>
          </w:p>
        </w:tc>
        <w:tc>
          <w:tcPr>
            <w:tcW w:w="1497" w:type="dxa"/>
            <w:noWrap/>
            <w:vAlign w:val="center"/>
          </w:tcPr>
          <w:p w14:paraId="2FC8130C" w14:textId="77777777"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Yes</w:t>
            </w:r>
          </w:p>
        </w:tc>
        <w:tc>
          <w:tcPr>
            <w:tcW w:w="1497" w:type="dxa"/>
            <w:vAlign w:val="center"/>
          </w:tcPr>
          <w:p w14:paraId="3FCA1BCC" w14:textId="4075B23B"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Yes</w:t>
            </w:r>
          </w:p>
        </w:tc>
        <w:tc>
          <w:tcPr>
            <w:tcW w:w="1497" w:type="dxa"/>
            <w:vAlign w:val="center"/>
          </w:tcPr>
          <w:p w14:paraId="298F8615" w14:textId="0BB527F2" w:rsidR="003D0AD5" w:rsidRPr="00724CA2" w:rsidRDefault="003D0AD5" w:rsidP="003D0AD5">
            <w:pPr>
              <w:jc w:val="both"/>
              <w:rPr>
                <w:rFonts w:ascii="Times New Roman" w:hAnsi="Times New Roman" w:cs="Times New Roman"/>
                <w:color w:val="000000" w:themeColor="text1"/>
              </w:rPr>
            </w:pPr>
            <w:r w:rsidRPr="00724CA2">
              <w:rPr>
                <w:rFonts w:ascii="Times New Roman" w:hAnsi="Times New Roman" w:cs="Times New Roman"/>
                <w:color w:val="000000" w:themeColor="text1"/>
                <w:lang w:val="en-US"/>
              </w:rPr>
              <w:t>Yes</w:t>
            </w:r>
          </w:p>
        </w:tc>
        <w:tc>
          <w:tcPr>
            <w:tcW w:w="1498" w:type="dxa"/>
            <w:vAlign w:val="center"/>
          </w:tcPr>
          <w:p w14:paraId="02179B7D" w14:textId="77777777" w:rsidR="003D0AD5" w:rsidRPr="00724CA2" w:rsidRDefault="003D0AD5" w:rsidP="003D0AD5">
            <w:pPr>
              <w:jc w:val="both"/>
              <w:rPr>
                <w:rFonts w:ascii="Times New Roman" w:hAnsi="Times New Roman" w:cs="Times New Roman"/>
                <w:color w:val="000000" w:themeColor="text1"/>
              </w:rPr>
            </w:pPr>
            <w:r w:rsidRPr="00724CA2">
              <w:rPr>
                <w:rFonts w:ascii="Times New Roman" w:hAnsi="Times New Roman" w:cs="Times New Roman"/>
                <w:color w:val="000000" w:themeColor="text1"/>
                <w:lang w:val="en-US"/>
              </w:rPr>
              <w:t>Yes</w:t>
            </w:r>
          </w:p>
        </w:tc>
      </w:tr>
      <w:tr w:rsidR="00724CA2" w:rsidRPr="00724CA2" w14:paraId="5C9998FC" w14:textId="77777777" w:rsidTr="003D0AD5">
        <w:trPr>
          <w:trHeight w:val="251"/>
          <w:jc w:val="center"/>
        </w:trPr>
        <w:tc>
          <w:tcPr>
            <w:tcW w:w="2363" w:type="dxa"/>
            <w:noWrap/>
            <w:vAlign w:val="center"/>
          </w:tcPr>
          <w:p w14:paraId="58021256" w14:textId="77777777"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Industry FE</w:t>
            </w:r>
          </w:p>
        </w:tc>
        <w:tc>
          <w:tcPr>
            <w:tcW w:w="1497" w:type="dxa"/>
            <w:tcBorders>
              <w:bottom w:val="nil"/>
            </w:tcBorders>
            <w:noWrap/>
            <w:vAlign w:val="center"/>
          </w:tcPr>
          <w:p w14:paraId="62864548" w14:textId="77777777"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Yes</w:t>
            </w:r>
          </w:p>
        </w:tc>
        <w:tc>
          <w:tcPr>
            <w:tcW w:w="1497" w:type="dxa"/>
            <w:tcBorders>
              <w:bottom w:val="nil"/>
            </w:tcBorders>
            <w:noWrap/>
            <w:vAlign w:val="center"/>
          </w:tcPr>
          <w:p w14:paraId="541CC567" w14:textId="77777777"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Yes</w:t>
            </w:r>
          </w:p>
        </w:tc>
        <w:tc>
          <w:tcPr>
            <w:tcW w:w="1497" w:type="dxa"/>
            <w:tcBorders>
              <w:bottom w:val="nil"/>
            </w:tcBorders>
            <w:vAlign w:val="center"/>
          </w:tcPr>
          <w:p w14:paraId="5B54FB02" w14:textId="7E436443"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Yes</w:t>
            </w:r>
          </w:p>
        </w:tc>
        <w:tc>
          <w:tcPr>
            <w:tcW w:w="1497" w:type="dxa"/>
            <w:tcBorders>
              <w:bottom w:val="nil"/>
            </w:tcBorders>
            <w:vAlign w:val="center"/>
          </w:tcPr>
          <w:p w14:paraId="6ECDEFFC" w14:textId="47993361" w:rsidR="003D0AD5" w:rsidRPr="00724CA2" w:rsidRDefault="003D0AD5" w:rsidP="003D0AD5">
            <w:pPr>
              <w:jc w:val="both"/>
              <w:rPr>
                <w:rFonts w:ascii="Times New Roman" w:hAnsi="Times New Roman" w:cs="Times New Roman"/>
                <w:color w:val="000000" w:themeColor="text1"/>
              </w:rPr>
            </w:pPr>
            <w:r w:rsidRPr="00724CA2">
              <w:rPr>
                <w:rFonts w:ascii="Times New Roman" w:hAnsi="Times New Roman" w:cs="Times New Roman"/>
                <w:color w:val="000000" w:themeColor="text1"/>
                <w:lang w:val="en-US"/>
              </w:rPr>
              <w:t>Yes</w:t>
            </w:r>
          </w:p>
        </w:tc>
        <w:tc>
          <w:tcPr>
            <w:tcW w:w="1498" w:type="dxa"/>
            <w:tcBorders>
              <w:bottom w:val="nil"/>
            </w:tcBorders>
            <w:vAlign w:val="center"/>
          </w:tcPr>
          <w:p w14:paraId="6D7C8224" w14:textId="77777777" w:rsidR="003D0AD5" w:rsidRPr="00724CA2" w:rsidRDefault="003D0AD5" w:rsidP="003D0AD5">
            <w:pPr>
              <w:jc w:val="both"/>
              <w:rPr>
                <w:rFonts w:ascii="Times New Roman" w:hAnsi="Times New Roman" w:cs="Times New Roman"/>
                <w:color w:val="000000" w:themeColor="text1"/>
              </w:rPr>
            </w:pPr>
            <w:r w:rsidRPr="00724CA2">
              <w:rPr>
                <w:rFonts w:ascii="Times New Roman" w:hAnsi="Times New Roman" w:cs="Times New Roman"/>
                <w:color w:val="000000" w:themeColor="text1"/>
                <w:lang w:val="en-US"/>
              </w:rPr>
              <w:t>Yes</w:t>
            </w:r>
          </w:p>
        </w:tc>
      </w:tr>
      <w:tr w:rsidR="00724CA2" w:rsidRPr="00724CA2" w14:paraId="0E3D4C36" w14:textId="77777777" w:rsidTr="00E52888">
        <w:trPr>
          <w:trHeight w:val="251"/>
          <w:jc w:val="center"/>
        </w:trPr>
        <w:tc>
          <w:tcPr>
            <w:tcW w:w="2363" w:type="dxa"/>
            <w:noWrap/>
            <w:vAlign w:val="center"/>
          </w:tcPr>
          <w:p w14:paraId="0B8EE9C5" w14:textId="77777777"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Observations</w:t>
            </w:r>
          </w:p>
        </w:tc>
        <w:tc>
          <w:tcPr>
            <w:tcW w:w="1497" w:type="dxa"/>
            <w:tcBorders>
              <w:top w:val="nil"/>
              <w:left w:val="nil"/>
              <w:bottom w:val="nil"/>
              <w:right w:val="nil"/>
            </w:tcBorders>
            <w:shd w:val="clear" w:color="auto" w:fill="auto"/>
            <w:noWrap/>
            <w:vAlign w:val="bottom"/>
          </w:tcPr>
          <w:p w14:paraId="04AAE577" w14:textId="7E4584A4"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225</w:t>
            </w:r>
          </w:p>
        </w:tc>
        <w:tc>
          <w:tcPr>
            <w:tcW w:w="1497" w:type="dxa"/>
            <w:tcBorders>
              <w:top w:val="nil"/>
              <w:left w:val="nil"/>
              <w:bottom w:val="nil"/>
              <w:right w:val="nil"/>
            </w:tcBorders>
            <w:shd w:val="clear" w:color="auto" w:fill="auto"/>
            <w:noWrap/>
            <w:vAlign w:val="bottom"/>
          </w:tcPr>
          <w:p w14:paraId="2B31B0DE" w14:textId="7ED41397"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224</w:t>
            </w:r>
          </w:p>
        </w:tc>
        <w:tc>
          <w:tcPr>
            <w:tcW w:w="1497" w:type="dxa"/>
            <w:tcBorders>
              <w:top w:val="nil"/>
              <w:left w:val="nil"/>
              <w:bottom w:val="nil"/>
              <w:right w:val="nil"/>
            </w:tcBorders>
            <w:shd w:val="clear" w:color="auto" w:fill="auto"/>
            <w:vAlign w:val="bottom"/>
          </w:tcPr>
          <w:p w14:paraId="1F6695DE" w14:textId="1284EF3D"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6,560</w:t>
            </w:r>
          </w:p>
        </w:tc>
        <w:tc>
          <w:tcPr>
            <w:tcW w:w="1497" w:type="dxa"/>
            <w:tcBorders>
              <w:top w:val="nil"/>
              <w:left w:val="nil"/>
              <w:bottom w:val="nil"/>
              <w:right w:val="nil"/>
            </w:tcBorders>
            <w:shd w:val="clear" w:color="auto" w:fill="auto"/>
            <w:vAlign w:val="bottom"/>
          </w:tcPr>
          <w:p w14:paraId="2C5AF5B0" w14:textId="31DF0939"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6,560</w:t>
            </w:r>
          </w:p>
        </w:tc>
        <w:tc>
          <w:tcPr>
            <w:tcW w:w="1498" w:type="dxa"/>
            <w:tcBorders>
              <w:top w:val="nil"/>
              <w:left w:val="nil"/>
              <w:bottom w:val="nil"/>
              <w:right w:val="nil"/>
            </w:tcBorders>
            <w:shd w:val="clear" w:color="auto" w:fill="auto"/>
            <w:vAlign w:val="bottom"/>
          </w:tcPr>
          <w:p w14:paraId="38902DE4" w14:textId="23A83DE4"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6,560</w:t>
            </w:r>
          </w:p>
        </w:tc>
      </w:tr>
      <w:tr w:rsidR="00724CA2" w:rsidRPr="00724CA2" w14:paraId="53E03A08" w14:textId="77777777" w:rsidTr="003D0AD5">
        <w:trPr>
          <w:trHeight w:val="251"/>
          <w:jc w:val="center"/>
        </w:trPr>
        <w:tc>
          <w:tcPr>
            <w:tcW w:w="2363" w:type="dxa"/>
            <w:noWrap/>
            <w:vAlign w:val="center"/>
          </w:tcPr>
          <w:p w14:paraId="60A178ED" w14:textId="77777777" w:rsidR="003D0AD5" w:rsidRPr="00724CA2" w:rsidRDefault="003D0AD5" w:rsidP="003D0AD5">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Adjusted R-squared</w:t>
            </w:r>
          </w:p>
        </w:tc>
        <w:tc>
          <w:tcPr>
            <w:tcW w:w="1497" w:type="dxa"/>
            <w:tcBorders>
              <w:top w:val="nil"/>
              <w:left w:val="nil"/>
              <w:bottom w:val="single" w:sz="12" w:space="0" w:color="auto"/>
              <w:right w:val="nil"/>
            </w:tcBorders>
            <w:shd w:val="clear" w:color="auto" w:fill="auto"/>
            <w:noWrap/>
            <w:vAlign w:val="bottom"/>
          </w:tcPr>
          <w:p w14:paraId="2DA8F69D" w14:textId="2BFF75CA"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0.352</w:t>
            </w:r>
          </w:p>
        </w:tc>
        <w:tc>
          <w:tcPr>
            <w:tcW w:w="1497" w:type="dxa"/>
            <w:tcBorders>
              <w:top w:val="nil"/>
              <w:left w:val="nil"/>
              <w:bottom w:val="single" w:sz="12" w:space="0" w:color="auto"/>
              <w:right w:val="nil"/>
            </w:tcBorders>
            <w:shd w:val="clear" w:color="auto" w:fill="auto"/>
            <w:noWrap/>
            <w:vAlign w:val="bottom"/>
          </w:tcPr>
          <w:p w14:paraId="4609A8B2" w14:textId="4B3D16B4" w:rsidR="003D0AD5" w:rsidRPr="00724CA2" w:rsidRDefault="003D0AD5" w:rsidP="003D0AD5">
            <w:pPr>
              <w:jc w:val="both"/>
              <w:rPr>
                <w:rFonts w:ascii="Times New Roman" w:hAnsi="Times New Roman" w:cs="Times New Roman"/>
                <w:color w:val="000000" w:themeColor="text1"/>
                <w:sz w:val="20"/>
                <w:szCs w:val="20"/>
                <w:lang w:val="en-US"/>
              </w:rPr>
            </w:pPr>
            <w:r w:rsidRPr="00724CA2">
              <w:rPr>
                <w:rFonts w:ascii="Times New Roman" w:hAnsi="Times New Roman" w:cs="Times New Roman"/>
                <w:color w:val="000000" w:themeColor="text1"/>
                <w:sz w:val="20"/>
                <w:szCs w:val="20"/>
              </w:rPr>
              <w:t>0.436</w:t>
            </w:r>
          </w:p>
        </w:tc>
        <w:tc>
          <w:tcPr>
            <w:tcW w:w="1497" w:type="dxa"/>
            <w:tcBorders>
              <w:top w:val="nil"/>
              <w:left w:val="nil"/>
              <w:bottom w:val="single" w:sz="12" w:space="0" w:color="auto"/>
              <w:right w:val="nil"/>
            </w:tcBorders>
            <w:shd w:val="clear" w:color="auto" w:fill="auto"/>
            <w:vAlign w:val="bottom"/>
          </w:tcPr>
          <w:p w14:paraId="6153966B" w14:textId="7A94B044"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0.181</w:t>
            </w:r>
          </w:p>
        </w:tc>
        <w:tc>
          <w:tcPr>
            <w:tcW w:w="1497" w:type="dxa"/>
            <w:tcBorders>
              <w:top w:val="nil"/>
              <w:left w:val="nil"/>
              <w:bottom w:val="single" w:sz="12" w:space="0" w:color="auto"/>
              <w:right w:val="nil"/>
            </w:tcBorders>
            <w:shd w:val="clear" w:color="auto" w:fill="auto"/>
            <w:vAlign w:val="bottom"/>
          </w:tcPr>
          <w:p w14:paraId="7B998F53" w14:textId="373F4F05"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0.186</w:t>
            </w:r>
          </w:p>
        </w:tc>
        <w:tc>
          <w:tcPr>
            <w:tcW w:w="1498" w:type="dxa"/>
            <w:tcBorders>
              <w:top w:val="nil"/>
              <w:left w:val="nil"/>
              <w:bottom w:val="single" w:sz="12" w:space="0" w:color="auto"/>
              <w:right w:val="nil"/>
            </w:tcBorders>
            <w:shd w:val="clear" w:color="auto" w:fill="auto"/>
            <w:vAlign w:val="bottom"/>
          </w:tcPr>
          <w:p w14:paraId="4D1C5B1D" w14:textId="7EE3A818" w:rsidR="003D0AD5" w:rsidRPr="00724CA2" w:rsidRDefault="003D0AD5" w:rsidP="003D0AD5">
            <w:pPr>
              <w:jc w:val="both"/>
              <w:rPr>
                <w:rFonts w:ascii="Times New Roman" w:hAnsi="Times New Roman" w:cs="Times New Roman"/>
                <w:color w:val="000000" w:themeColor="text1"/>
                <w:sz w:val="20"/>
                <w:szCs w:val="20"/>
              </w:rPr>
            </w:pPr>
            <w:r w:rsidRPr="00724CA2">
              <w:rPr>
                <w:rFonts w:ascii="Times New Roman" w:hAnsi="Times New Roman" w:cs="Times New Roman"/>
                <w:color w:val="000000" w:themeColor="text1"/>
                <w:sz w:val="20"/>
                <w:szCs w:val="20"/>
              </w:rPr>
              <w:t>0.173</w:t>
            </w:r>
          </w:p>
        </w:tc>
      </w:tr>
    </w:tbl>
    <w:p w14:paraId="5C1F1E38" w14:textId="0F376AC2" w:rsidR="003D0AD5" w:rsidRPr="00724CA2" w:rsidRDefault="00374F6B" w:rsidP="00486C4A">
      <w:pPr>
        <w:jc w:val="both"/>
        <w:rPr>
          <w:rFonts w:ascii="Times New Roman" w:hAnsi="Times New Roman" w:cs="Times New Roman"/>
          <w:color w:val="000000" w:themeColor="text1"/>
        </w:rPr>
      </w:pPr>
      <w:r w:rsidRPr="00724CA2">
        <w:rPr>
          <w:rFonts w:ascii="Times New Roman" w:hAnsi="Times New Roman" w:cs="Times New Roman"/>
          <w:color w:val="000000" w:themeColor="text1"/>
        </w:rPr>
        <w:t>In Model 1, e</w:t>
      </w:r>
      <w:r w:rsidR="00486C4A" w:rsidRPr="00724CA2">
        <w:rPr>
          <w:rFonts w:ascii="Times New Roman" w:hAnsi="Times New Roman" w:cs="Times New Roman"/>
          <w:color w:val="000000" w:themeColor="text1"/>
        </w:rPr>
        <w:t xml:space="preserve">nvironment score refers to the environmental management score (0-100 points) compiled by the Sustainalytics database. The score assesses how a company manages its environmental performance through environmental policies, programs, targets, certifications, etc., based on company operations, suppliers, contractors, and products and services. </w:t>
      </w:r>
      <w:r w:rsidRPr="00724CA2">
        <w:rPr>
          <w:rFonts w:ascii="Times New Roman" w:hAnsi="Times New Roman" w:cs="Times New Roman"/>
          <w:color w:val="000000" w:themeColor="text1"/>
        </w:rPr>
        <w:t>In Model 2, e</w:t>
      </w:r>
      <w:r w:rsidR="00486C4A" w:rsidRPr="00724CA2">
        <w:rPr>
          <w:rFonts w:ascii="Times New Roman" w:hAnsi="Times New Roman" w:cs="Times New Roman"/>
          <w:color w:val="000000" w:themeColor="text1"/>
        </w:rPr>
        <w:t xml:space="preserve">nvironmental policy is an index that measures the extent to which a firm has a strong and detailed environmental policy to guides its environmental activities (Graafland </w:t>
      </w:r>
      <w:r w:rsidR="00641023">
        <w:rPr>
          <w:rFonts w:ascii="Times New Roman" w:hAnsi="Times New Roman" w:cs="Times New Roman"/>
          <w:color w:val="000000" w:themeColor="text1"/>
        </w:rPr>
        <w:t>and</w:t>
      </w:r>
      <w:r w:rsidR="00486C4A" w:rsidRPr="00724CA2">
        <w:rPr>
          <w:rFonts w:ascii="Times New Roman" w:hAnsi="Times New Roman" w:cs="Times New Roman"/>
          <w:color w:val="000000" w:themeColor="text1"/>
        </w:rPr>
        <w:t xml:space="preserve"> Smid, 2013). </w:t>
      </w:r>
      <w:r w:rsidRPr="00724CA2">
        <w:rPr>
          <w:rFonts w:ascii="Times New Roman" w:hAnsi="Times New Roman" w:cs="Times New Roman"/>
          <w:color w:val="000000" w:themeColor="text1"/>
        </w:rPr>
        <w:t xml:space="preserve">In Model 3, the dependent variable is replaced </w:t>
      </w:r>
      <w:r w:rsidR="007C697F" w:rsidRPr="00724CA2">
        <w:rPr>
          <w:rFonts w:ascii="Times New Roman" w:hAnsi="Times New Roman" w:cs="Times New Roman"/>
          <w:color w:val="000000" w:themeColor="text1"/>
        </w:rPr>
        <w:t xml:space="preserve">with the </w:t>
      </w:r>
      <w:r w:rsidR="00D27F74" w:rsidRPr="00724CA2">
        <w:rPr>
          <w:rFonts w:ascii="Times New Roman" w:hAnsi="Times New Roman" w:cs="Times New Roman"/>
          <w:color w:val="000000" w:themeColor="text1"/>
        </w:rPr>
        <w:t>environmental spending</w:t>
      </w:r>
      <w:r w:rsidRPr="00724CA2">
        <w:rPr>
          <w:rFonts w:ascii="Times New Roman" w:hAnsi="Times New Roman" w:cs="Times New Roman"/>
          <w:color w:val="000000" w:themeColor="text1"/>
        </w:rPr>
        <w:t xml:space="preserve"> to total assets. In Model 4, </w:t>
      </w:r>
      <w:r w:rsidR="00604648">
        <w:rPr>
          <w:rFonts w:ascii="Times New Roman" w:hAnsi="Times New Roman" w:cs="Times New Roman"/>
          <w:color w:val="000000" w:themeColor="text1"/>
          <w:lang w:eastAsia="zh-CN"/>
        </w:rPr>
        <w:t>‘</w:t>
      </w:r>
      <w:r w:rsidR="00604648">
        <w:rPr>
          <w:rFonts w:ascii="Times New Roman" w:hAnsi="Times New Roman" w:cs="Times New Roman" w:hint="eastAsia"/>
          <w:color w:val="000000" w:themeColor="text1"/>
          <w:lang w:eastAsia="zh-CN"/>
        </w:rPr>
        <w:t>B</w:t>
      </w:r>
      <w:r w:rsidR="00486C4A" w:rsidRPr="00724CA2">
        <w:rPr>
          <w:rFonts w:ascii="Times New Roman" w:hAnsi="Times New Roman" w:cs="Times New Roman"/>
          <w:color w:val="000000" w:themeColor="text1"/>
        </w:rPr>
        <w:t>ig auditor</w:t>
      </w:r>
      <w:r w:rsidR="00604648">
        <w:rPr>
          <w:rFonts w:ascii="Times New Roman" w:hAnsi="Times New Roman" w:cs="Times New Roman"/>
          <w:color w:val="000000" w:themeColor="text1"/>
          <w:lang w:eastAsia="zh-CN"/>
        </w:rPr>
        <w:t>’</w:t>
      </w:r>
      <w:r w:rsidR="00486C4A" w:rsidRPr="00724CA2">
        <w:rPr>
          <w:rFonts w:ascii="Times New Roman" w:hAnsi="Times New Roman" w:cs="Times New Roman"/>
          <w:color w:val="000000" w:themeColor="text1"/>
        </w:rPr>
        <w:t xml:space="preserve"> is a dummy variable, which equals one if a firm’s annual report is audited by one of the top </w:t>
      </w:r>
      <w:r w:rsidR="00AA04B1">
        <w:rPr>
          <w:rFonts w:ascii="Times New Roman" w:hAnsi="Times New Roman" w:cs="Times New Roman" w:hint="eastAsia"/>
          <w:color w:val="000000" w:themeColor="text1"/>
          <w:lang w:eastAsia="zh-CN"/>
        </w:rPr>
        <w:t>four</w:t>
      </w:r>
      <w:r w:rsidR="00486C4A" w:rsidRPr="00724CA2">
        <w:rPr>
          <w:rFonts w:ascii="Times New Roman" w:hAnsi="Times New Roman" w:cs="Times New Roman"/>
          <w:color w:val="000000" w:themeColor="text1"/>
        </w:rPr>
        <w:t xml:space="preserve"> accounting firms and zero otherwise. </w:t>
      </w:r>
      <w:r w:rsidRPr="00724CA2">
        <w:rPr>
          <w:rFonts w:ascii="Times New Roman" w:hAnsi="Times New Roman" w:cs="Times New Roman"/>
          <w:color w:val="000000" w:themeColor="text1"/>
        </w:rPr>
        <w:t>In Model 5, g</w:t>
      </w:r>
      <w:r w:rsidR="00486C4A" w:rsidRPr="00724CA2">
        <w:rPr>
          <w:rFonts w:ascii="Times New Roman" w:hAnsi="Times New Roman" w:cs="Times New Roman"/>
          <w:color w:val="000000" w:themeColor="text1"/>
        </w:rPr>
        <w:t xml:space="preserve">rey investors refer to the number of shares held by </w:t>
      </w:r>
      <w:r w:rsidR="008E3CB1" w:rsidRPr="00724CA2">
        <w:rPr>
          <w:rFonts w:ascii="Times New Roman" w:hAnsi="Times New Roman" w:cs="Times New Roman"/>
          <w:color w:val="000000" w:themeColor="text1"/>
        </w:rPr>
        <w:t xml:space="preserve">securities firms, </w:t>
      </w:r>
      <w:r w:rsidR="00486C4A" w:rsidRPr="00724CA2">
        <w:rPr>
          <w:rFonts w:ascii="Times New Roman" w:hAnsi="Times New Roman" w:cs="Times New Roman"/>
          <w:color w:val="000000" w:themeColor="text1"/>
        </w:rPr>
        <w:t>insurance firms, pension funds, and trusts firms to the total firm outstanding shares. Year and industry fixed effects are included in all specifications. *, **, and *** represent significance at the 0.10, 0.05, and 0.01 levels, respectively. The definitions of the variables are summarized in Table 1.</w:t>
      </w:r>
      <w:r w:rsidR="003D0AD5" w:rsidRPr="00724CA2">
        <w:rPr>
          <w:rFonts w:ascii="Times New Roman" w:hAnsi="Times New Roman" w:cs="Times New Roman"/>
          <w:color w:val="000000" w:themeColor="text1"/>
        </w:rPr>
        <w:br w:type="page"/>
      </w:r>
    </w:p>
    <w:p w14:paraId="46323EDF" w14:textId="77777777" w:rsidR="00E6301A" w:rsidRPr="00724CA2" w:rsidRDefault="00E6301A" w:rsidP="00E6301A">
      <w:pPr>
        <w:spacing w:afterLines="30" w:after="72"/>
        <w:jc w:val="both"/>
        <w:rPr>
          <w:rFonts w:ascii="Times New Roman" w:hAnsi="Times New Roman" w:cs="Times New Roman"/>
          <w:color w:val="000000" w:themeColor="text1"/>
        </w:rPr>
      </w:pPr>
      <w:r w:rsidRPr="00724CA2">
        <w:rPr>
          <w:rFonts w:ascii="Times New Roman" w:hAnsi="Times New Roman" w:cs="Times New Roman"/>
          <w:b/>
          <w:color w:val="000000" w:themeColor="text1"/>
        </w:rPr>
        <w:t xml:space="preserve">Table 10 </w:t>
      </w:r>
      <w:r w:rsidRPr="00724CA2">
        <w:rPr>
          <w:rFonts w:ascii="Times New Roman" w:hAnsi="Times New Roman" w:cs="Times New Roman"/>
          <w:bCs/>
          <w:color w:val="000000" w:themeColor="text1"/>
        </w:rPr>
        <w:t>Robustness tests: Qualified foreign institutional investors (QFII)</w:t>
      </w:r>
    </w:p>
    <w:tbl>
      <w:tblPr>
        <w:tblStyle w:val="TableGrid"/>
        <w:tblW w:w="8421" w:type="dxa"/>
        <w:jc w:val="center"/>
        <w:tblBorders>
          <w:top w:val="single" w:sz="12" w:space="0" w:color="auto"/>
          <w:bottom w:val="single" w:sz="12" w:space="0" w:color="auto"/>
          <w:insideH w:val="none" w:sz="0" w:space="0" w:color="auto"/>
          <w:insideV w:val="none" w:sz="0" w:space="0" w:color="auto"/>
        </w:tblBorders>
        <w:tblLayout w:type="fixed"/>
        <w:tblLook w:val="04A0" w:firstRow="1" w:lastRow="0" w:firstColumn="1" w:lastColumn="0" w:noHBand="0" w:noVBand="1"/>
      </w:tblPr>
      <w:tblGrid>
        <w:gridCol w:w="4452"/>
        <w:gridCol w:w="1323"/>
        <w:gridCol w:w="1323"/>
        <w:gridCol w:w="1323"/>
      </w:tblGrid>
      <w:tr w:rsidR="00724CA2" w:rsidRPr="00724CA2" w14:paraId="65266719" w14:textId="77777777" w:rsidTr="003006AA">
        <w:trPr>
          <w:trHeight w:val="290"/>
          <w:jc w:val="center"/>
        </w:trPr>
        <w:tc>
          <w:tcPr>
            <w:tcW w:w="4452" w:type="dxa"/>
            <w:tcBorders>
              <w:top w:val="single" w:sz="12" w:space="0" w:color="auto"/>
              <w:bottom w:val="single" w:sz="4" w:space="0" w:color="auto"/>
            </w:tcBorders>
            <w:noWrap/>
            <w:vAlign w:val="center"/>
            <w:hideMark/>
          </w:tcPr>
          <w:p w14:paraId="10A2BDBE"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Variables</w:t>
            </w:r>
          </w:p>
        </w:tc>
        <w:tc>
          <w:tcPr>
            <w:tcW w:w="1323" w:type="dxa"/>
            <w:tcBorders>
              <w:top w:val="single" w:sz="12" w:space="0" w:color="auto"/>
              <w:bottom w:val="single" w:sz="4" w:space="0" w:color="auto"/>
            </w:tcBorders>
            <w:noWrap/>
            <w:vAlign w:val="center"/>
            <w:hideMark/>
          </w:tcPr>
          <w:p w14:paraId="4E55D580"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Model 1</w:t>
            </w:r>
          </w:p>
        </w:tc>
        <w:tc>
          <w:tcPr>
            <w:tcW w:w="1323" w:type="dxa"/>
            <w:tcBorders>
              <w:top w:val="single" w:sz="12" w:space="0" w:color="auto"/>
              <w:bottom w:val="single" w:sz="4" w:space="0" w:color="auto"/>
            </w:tcBorders>
            <w:noWrap/>
            <w:vAlign w:val="center"/>
            <w:hideMark/>
          </w:tcPr>
          <w:p w14:paraId="4DEC612C"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Model 2</w:t>
            </w:r>
          </w:p>
        </w:tc>
        <w:tc>
          <w:tcPr>
            <w:tcW w:w="1323" w:type="dxa"/>
            <w:tcBorders>
              <w:top w:val="single" w:sz="12" w:space="0" w:color="auto"/>
              <w:bottom w:val="single" w:sz="4" w:space="0" w:color="auto"/>
            </w:tcBorders>
            <w:noWrap/>
            <w:vAlign w:val="center"/>
            <w:hideMark/>
          </w:tcPr>
          <w:p w14:paraId="0058AE61"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Model 3</w:t>
            </w:r>
          </w:p>
        </w:tc>
      </w:tr>
      <w:tr w:rsidR="00724CA2" w:rsidRPr="00724CA2" w14:paraId="50E630DB" w14:textId="77777777" w:rsidTr="003006AA">
        <w:trPr>
          <w:trHeight w:val="290"/>
          <w:jc w:val="center"/>
        </w:trPr>
        <w:tc>
          <w:tcPr>
            <w:tcW w:w="4452" w:type="dxa"/>
            <w:tcBorders>
              <w:top w:val="single" w:sz="4" w:space="0" w:color="auto"/>
            </w:tcBorders>
            <w:noWrap/>
            <w:vAlign w:val="center"/>
            <w:hideMark/>
          </w:tcPr>
          <w:p w14:paraId="0D4E1C34"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rPr>
              <w:t>QFII</w:t>
            </w:r>
          </w:p>
        </w:tc>
        <w:tc>
          <w:tcPr>
            <w:tcW w:w="1323" w:type="dxa"/>
            <w:tcBorders>
              <w:top w:val="nil"/>
              <w:left w:val="nil"/>
              <w:bottom w:val="nil"/>
              <w:right w:val="nil"/>
            </w:tcBorders>
            <w:shd w:val="clear" w:color="auto" w:fill="auto"/>
            <w:noWrap/>
          </w:tcPr>
          <w:p w14:paraId="089CAAE5"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6.801**</w:t>
            </w:r>
          </w:p>
        </w:tc>
        <w:tc>
          <w:tcPr>
            <w:tcW w:w="1323" w:type="dxa"/>
            <w:tcBorders>
              <w:top w:val="nil"/>
              <w:left w:val="nil"/>
              <w:bottom w:val="nil"/>
              <w:right w:val="nil"/>
            </w:tcBorders>
            <w:shd w:val="clear" w:color="auto" w:fill="auto"/>
            <w:noWrap/>
          </w:tcPr>
          <w:p w14:paraId="7D54C8E9"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7.964***</w:t>
            </w:r>
          </w:p>
        </w:tc>
        <w:tc>
          <w:tcPr>
            <w:tcW w:w="1323" w:type="dxa"/>
            <w:tcBorders>
              <w:top w:val="nil"/>
              <w:left w:val="nil"/>
              <w:bottom w:val="nil"/>
              <w:right w:val="nil"/>
            </w:tcBorders>
            <w:shd w:val="clear" w:color="auto" w:fill="auto"/>
            <w:noWrap/>
          </w:tcPr>
          <w:p w14:paraId="38AC9BEA"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2.545***</w:t>
            </w:r>
          </w:p>
        </w:tc>
      </w:tr>
      <w:tr w:rsidR="00724CA2" w:rsidRPr="00724CA2" w14:paraId="4F898220" w14:textId="77777777" w:rsidTr="003006AA">
        <w:trPr>
          <w:trHeight w:val="290"/>
          <w:jc w:val="center"/>
        </w:trPr>
        <w:tc>
          <w:tcPr>
            <w:tcW w:w="4452" w:type="dxa"/>
            <w:noWrap/>
            <w:vAlign w:val="center"/>
            <w:hideMark/>
          </w:tcPr>
          <w:p w14:paraId="29ED1B06"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08328A60"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(2.530)</w:t>
            </w:r>
          </w:p>
        </w:tc>
        <w:tc>
          <w:tcPr>
            <w:tcW w:w="1323" w:type="dxa"/>
            <w:tcBorders>
              <w:top w:val="nil"/>
              <w:left w:val="nil"/>
              <w:bottom w:val="nil"/>
              <w:right w:val="nil"/>
            </w:tcBorders>
            <w:shd w:val="clear" w:color="auto" w:fill="auto"/>
            <w:noWrap/>
          </w:tcPr>
          <w:p w14:paraId="15F34C82"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(2.296)</w:t>
            </w:r>
          </w:p>
        </w:tc>
        <w:tc>
          <w:tcPr>
            <w:tcW w:w="1323" w:type="dxa"/>
            <w:tcBorders>
              <w:top w:val="nil"/>
              <w:left w:val="nil"/>
              <w:bottom w:val="nil"/>
              <w:right w:val="nil"/>
            </w:tcBorders>
            <w:shd w:val="clear" w:color="auto" w:fill="auto"/>
            <w:noWrap/>
          </w:tcPr>
          <w:p w14:paraId="31CAE394"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(5.951)</w:t>
            </w:r>
          </w:p>
        </w:tc>
      </w:tr>
      <w:tr w:rsidR="00724CA2" w:rsidRPr="00724CA2" w14:paraId="2BC0471B" w14:textId="77777777" w:rsidTr="003006AA">
        <w:trPr>
          <w:trHeight w:val="290"/>
          <w:jc w:val="center"/>
        </w:trPr>
        <w:tc>
          <w:tcPr>
            <w:tcW w:w="4452" w:type="dxa"/>
            <w:noWrap/>
            <w:vAlign w:val="center"/>
            <w:hideMark/>
          </w:tcPr>
          <w:p w14:paraId="6951EBE6"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QFII*SOEs</w:t>
            </w:r>
          </w:p>
        </w:tc>
        <w:tc>
          <w:tcPr>
            <w:tcW w:w="1323" w:type="dxa"/>
            <w:noWrap/>
          </w:tcPr>
          <w:p w14:paraId="06D3D470"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07898629"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2.683*</w:t>
            </w:r>
          </w:p>
        </w:tc>
        <w:tc>
          <w:tcPr>
            <w:tcW w:w="1323" w:type="dxa"/>
            <w:noWrap/>
          </w:tcPr>
          <w:p w14:paraId="41EC9295" w14:textId="77777777" w:rsidR="00E6301A" w:rsidRPr="00724CA2" w:rsidRDefault="00E6301A" w:rsidP="003006AA">
            <w:pPr>
              <w:jc w:val="both"/>
              <w:rPr>
                <w:rFonts w:ascii="Times New Roman" w:hAnsi="Times New Roman" w:cs="Times New Roman"/>
                <w:color w:val="000000" w:themeColor="text1"/>
                <w:lang w:val="en-US"/>
              </w:rPr>
            </w:pPr>
          </w:p>
        </w:tc>
      </w:tr>
      <w:tr w:rsidR="00724CA2" w:rsidRPr="00724CA2" w14:paraId="2AAAB0B3" w14:textId="77777777" w:rsidTr="003006AA">
        <w:trPr>
          <w:trHeight w:val="290"/>
          <w:jc w:val="center"/>
        </w:trPr>
        <w:tc>
          <w:tcPr>
            <w:tcW w:w="4452" w:type="dxa"/>
            <w:noWrap/>
            <w:vAlign w:val="center"/>
            <w:hideMark/>
          </w:tcPr>
          <w:p w14:paraId="0A749CA5"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noWrap/>
          </w:tcPr>
          <w:p w14:paraId="36AA2482"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38475C67"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(1.161)</w:t>
            </w:r>
          </w:p>
        </w:tc>
        <w:tc>
          <w:tcPr>
            <w:tcW w:w="1323" w:type="dxa"/>
            <w:noWrap/>
          </w:tcPr>
          <w:p w14:paraId="24B0B8B5" w14:textId="77777777" w:rsidR="00E6301A" w:rsidRPr="00724CA2" w:rsidRDefault="00E6301A" w:rsidP="003006AA">
            <w:pPr>
              <w:jc w:val="both"/>
              <w:rPr>
                <w:rFonts w:ascii="Times New Roman" w:hAnsi="Times New Roman" w:cs="Times New Roman"/>
                <w:color w:val="000000" w:themeColor="text1"/>
                <w:lang w:val="en-US"/>
              </w:rPr>
            </w:pPr>
          </w:p>
        </w:tc>
      </w:tr>
      <w:tr w:rsidR="00724CA2" w:rsidRPr="00724CA2" w14:paraId="11EBB695" w14:textId="77777777" w:rsidTr="003006AA">
        <w:trPr>
          <w:trHeight w:val="290"/>
          <w:jc w:val="center"/>
        </w:trPr>
        <w:tc>
          <w:tcPr>
            <w:tcW w:w="4452" w:type="dxa"/>
            <w:noWrap/>
            <w:vAlign w:val="center"/>
            <w:hideMark/>
          </w:tcPr>
          <w:p w14:paraId="71499EA9"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QFII* Legal environment</w:t>
            </w:r>
          </w:p>
        </w:tc>
        <w:tc>
          <w:tcPr>
            <w:tcW w:w="1323" w:type="dxa"/>
            <w:noWrap/>
          </w:tcPr>
          <w:p w14:paraId="3058BF38"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noWrap/>
          </w:tcPr>
          <w:p w14:paraId="57AC8AB4"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vAlign w:val="bottom"/>
          </w:tcPr>
          <w:p w14:paraId="1152008C"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3.180***</w:t>
            </w:r>
          </w:p>
        </w:tc>
      </w:tr>
      <w:tr w:rsidR="00724CA2" w:rsidRPr="00724CA2" w14:paraId="78F84267" w14:textId="77777777" w:rsidTr="003006AA">
        <w:trPr>
          <w:trHeight w:val="290"/>
          <w:jc w:val="center"/>
        </w:trPr>
        <w:tc>
          <w:tcPr>
            <w:tcW w:w="4452" w:type="dxa"/>
            <w:noWrap/>
            <w:vAlign w:val="center"/>
            <w:hideMark/>
          </w:tcPr>
          <w:p w14:paraId="1AC81CB1"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noWrap/>
          </w:tcPr>
          <w:p w14:paraId="0A016C60"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noWrap/>
          </w:tcPr>
          <w:p w14:paraId="73A74995"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vAlign w:val="bottom"/>
          </w:tcPr>
          <w:p w14:paraId="73BEC77F"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(0.317)</w:t>
            </w:r>
          </w:p>
        </w:tc>
      </w:tr>
      <w:tr w:rsidR="00724CA2" w:rsidRPr="00724CA2" w14:paraId="143D1757" w14:textId="77777777" w:rsidTr="003006AA">
        <w:trPr>
          <w:trHeight w:val="290"/>
          <w:jc w:val="center"/>
        </w:trPr>
        <w:tc>
          <w:tcPr>
            <w:tcW w:w="4452" w:type="dxa"/>
            <w:noWrap/>
            <w:vAlign w:val="center"/>
          </w:tcPr>
          <w:p w14:paraId="67185F94"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SOEs</w:t>
            </w:r>
          </w:p>
        </w:tc>
        <w:tc>
          <w:tcPr>
            <w:tcW w:w="1323" w:type="dxa"/>
            <w:tcBorders>
              <w:top w:val="nil"/>
              <w:left w:val="nil"/>
              <w:bottom w:val="nil"/>
              <w:right w:val="nil"/>
            </w:tcBorders>
            <w:shd w:val="clear" w:color="auto" w:fill="auto"/>
            <w:noWrap/>
          </w:tcPr>
          <w:p w14:paraId="2D179BD7"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7DC2503B"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0.008**</w:t>
            </w:r>
          </w:p>
        </w:tc>
        <w:tc>
          <w:tcPr>
            <w:tcW w:w="1323" w:type="dxa"/>
            <w:tcBorders>
              <w:top w:val="nil"/>
              <w:left w:val="nil"/>
              <w:bottom w:val="nil"/>
              <w:right w:val="nil"/>
            </w:tcBorders>
            <w:shd w:val="clear" w:color="auto" w:fill="auto"/>
            <w:noWrap/>
          </w:tcPr>
          <w:p w14:paraId="228CF26D" w14:textId="77777777" w:rsidR="00E6301A" w:rsidRPr="00724CA2" w:rsidRDefault="00E6301A" w:rsidP="003006AA">
            <w:pPr>
              <w:jc w:val="both"/>
              <w:rPr>
                <w:rFonts w:ascii="Times New Roman" w:hAnsi="Times New Roman" w:cs="Times New Roman"/>
                <w:color w:val="000000" w:themeColor="text1"/>
                <w:lang w:val="en-US"/>
              </w:rPr>
            </w:pPr>
          </w:p>
        </w:tc>
      </w:tr>
      <w:tr w:rsidR="00724CA2" w:rsidRPr="00724CA2" w14:paraId="478B7050" w14:textId="77777777" w:rsidTr="003006AA">
        <w:trPr>
          <w:trHeight w:val="290"/>
          <w:jc w:val="center"/>
        </w:trPr>
        <w:tc>
          <w:tcPr>
            <w:tcW w:w="4452" w:type="dxa"/>
            <w:noWrap/>
            <w:vAlign w:val="center"/>
          </w:tcPr>
          <w:p w14:paraId="06B532FC"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7071A0DF"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5235751C"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(0.003)</w:t>
            </w:r>
          </w:p>
        </w:tc>
        <w:tc>
          <w:tcPr>
            <w:tcW w:w="1323" w:type="dxa"/>
            <w:tcBorders>
              <w:top w:val="nil"/>
              <w:left w:val="nil"/>
              <w:bottom w:val="nil"/>
              <w:right w:val="nil"/>
            </w:tcBorders>
            <w:shd w:val="clear" w:color="auto" w:fill="auto"/>
            <w:noWrap/>
          </w:tcPr>
          <w:p w14:paraId="67DA94CD" w14:textId="77777777" w:rsidR="00E6301A" w:rsidRPr="00724CA2" w:rsidRDefault="00E6301A" w:rsidP="003006AA">
            <w:pPr>
              <w:jc w:val="both"/>
              <w:rPr>
                <w:rFonts w:ascii="Times New Roman" w:hAnsi="Times New Roman" w:cs="Times New Roman"/>
                <w:color w:val="000000" w:themeColor="text1"/>
                <w:lang w:val="en-US"/>
              </w:rPr>
            </w:pPr>
          </w:p>
        </w:tc>
      </w:tr>
      <w:tr w:rsidR="00724CA2" w:rsidRPr="00724CA2" w14:paraId="09BA4DC1" w14:textId="77777777" w:rsidTr="003006AA">
        <w:trPr>
          <w:trHeight w:val="290"/>
          <w:jc w:val="center"/>
        </w:trPr>
        <w:tc>
          <w:tcPr>
            <w:tcW w:w="4452" w:type="dxa"/>
            <w:noWrap/>
            <w:vAlign w:val="center"/>
          </w:tcPr>
          <w:p w14:paraId="4B607FDC"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Legal environment</w:t>
            </w:r>
          </w:p>
        </w:tc>
        <w:tc>
          <w:tcPr>
            <w:tcW w:w="1323" w:type="dxa"/>
            <w:tcBorders>
              <w:top w:val="nil"/>
              <w:left w:val="nil"/>
              <w:bottom w:val="nil"/>
              <w:right w:val="nil"/>
            </w:tcBorders>
            <w:shd w:val="clear" w:color="auto" w:fill="auto"/>
            <w:noWrap/>
          </w:tcPr>
          <w:p w14:paraId="5015E9BF"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73B52185"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06D3E30E"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0.043***</w:t>
            </w:r>
          </w:p>
        </w:tc>
      </w:tr>
      <w:tr w:rsidR="00724CA2" w:rsidRPr="00724CA2" w14:paraId="1A9DCC98" w14:textId="77777777" w:rsidTr="003006AA">
        <w:trPr>
          <w:trHeight w:val="290"/>
          <w:jc w:val="center"/>
        </w:trPr>
        <w:tc>
          <w:tcPr>
            <w:tcW w:w="4452" w:type="dxa"/>
            <w:noWrap/>
            <w:vAlign w:val="center"/>
          </w:tcPr>
          <w:p w14:paraId="4B45AB65"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4ACD2A11"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3BD3A8FD"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4206D172"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(0.008)</w:t>
            </w:r>
          </w:p>
        </w:tc>
      </w:tr>
      <w:tr w:rsidR="00724CA2" w:rsidRPr="00724CA2" w14:paraId="08F1F9BD" w14:textId="77777777" w:rsidTr="003006AA">
        <w:trPr>
          <w:trHeight w:val="290"/>
          <w:jc w:val="center"/>
        </w:trPr>
        <w:tc>
          <w:tcPr>
            <w:tcW w:w="4452" w:type="dxa"/>
            <w:noWrap/>
            <w:vAlign w:val="center"/>
          </w:tcPr>
          <w:p w14:paraId="32BEB651"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hint="eastAsia"/>
                <w:color w:val="000000" w:themeColor="text1"/>
                <w:lang w:val="en-US"/>
              </w:rPr>
              <w:t>S</w:t>
            </w:r>
            <w:r w:rsidRPr="00724CA2">
              <w:rPr>
                <w:rFonts w:ascii="Times New Roman" w:hAnsi="Times New Roman" w:cs="Times New Roman"/>
                <w:color w:val="000000" w:themeColor="text1"/>
                <w:lang w:val="en-US"/>
              </w:rPr>
              <w:t>ociety</w:t>
            </w:r>
          </w:p>
        </w:tc>
        <w:tc>
          <w:tcPr>
            <w:tcW w:w="1323" w:type="dxa"/>
            <w:tcBorders>
              <w:top w:val="nil"/>
              <w:left w:val="nil"/>
              <w:bottom w:val="nil"/>
              <w:right w:val="nil"/>
            </w:tcBorders>
            <w:shd w:val="clear" w:color="auto" w:fill="auto"/>
            <w:noWrap/>
          </w:tcPr>
          <w:p w14:paraId="596505C2"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0.003*</w:t>
            </w:r>
          </w:p>
        </w:tc>
        <w:tc>
          <w:tcPr>
            <w:tcW w:w="1323" w:type="dxa"/>
            <w:tcBorders>
              <w:top w:val="nil"/>
              <w:left w:val="nil"/>
              <w:bottom w:val="nil"/>
              <w:right w:val="nil"/>
            </w:tcBorders>
            <w:shd w:val="clear" w:color="auto" w:fill="auto"/>
            <w:noWrap/>
          </w:tcPr>
          <w:p w14:paraId="139AD67F"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0.003*</w:t>
            </w:r>
          </w:p>
        </w:tc>
        <w:tc>
          <w:tcPr>
            <w:tcW w:w="1323" w:type="dxa"/>
            <w:tcBorders>
              <w:top w:val="nil"/>
              <w:left w:val="nil"/>
              <w:bottom w:val="nil"/>
              <w:right w:val="nil"/>
            </w:tcBorders>
            <w:shd w:val="clear" w:color="auto" w:fill="auto"/>
            <w:noWrap/>
          </w:tcPr>
          <w:p w14:paraId="362372A5"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0.003*</w:t>
            </w:r>
          </w:p>
        </w:tc>
      </w:tr>
      <w:tr w:rsidR="00724CA2" w:rsidRPr="00724CA2" w14:paraId="5C20B5D3" w14:textId="77777777" w:rsidTr="003006AA">
        <w:trPr>
          <w:trHeight w:val="290"/>
          <w:jc w:val="center"/>
        </w:trPr>
        <w:tc>
          <w:tcPr>
            <w:tcW w:w="4452" w:type="dxa"/>
            <w:noWrap/>
            <w:vAlign w:val="center"/>
          </w:tcPr>
          <w:p w14:paraId="46067A50"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018F20D0"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(0.001)</w:t>
            </w:r>
          </w:p>
        </w:tc>
        <w:tc>
          <w:tcPr>
            <w:tcW w:w="1323" w:type="dxa"/>
            <w:tcBorders>
              <w:top w:val="nil"/>
              <w:left w:val="nil"/>
              <w:bottom w:val="nil"/>
              <w:right w:val="nil"/>
            </w:tcBorders>
            <w:shd w:val="clear" w:color="auto" w:fill="auto"/>
            <w:noWrap/>
          </w:tcPr>
          <w:p w14:paraId="6AEA858E"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(0.001)</w:t>
            </w:r>
          </w:p>
        </w:tc>
        <w:tc>
          <w:tcPr>
            <w:tcW w:w="1323" w:type="dxa"/>
            <w:tcBorders>
              <w:top w:val="nil"/>
              <w:left w:val="nil"/>
              <w:bottom w:val="nil"/>
              <w:right w:val="nil"/>
            </w:tcBorders>
            <w:shd w:val="clear" w:color="auto" w:fill="auto"/>
            <w:noWrap/>
          </w:tcPr>
          <w:p w14:paraId="4212890E"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(0.001)</w:t>
            </w:r>
          </w:p>
        </w:tc>
      </w:tr>
      <w:tr w:rsidR="00724CA2" w:rsidRPr="00724CA2" w14:paraId="61E55FEC" w14:textId="77777777" w:rsidTr="003006AA">
        <w:trPr>
          <w:trHeight w:val="290"/>
          <w:jc w:val="center"/>
        </w:trPr>
        <w:tc>
          <w:tcPr>
            <w:tcW w:w="4452" w:type="dxa"/>
            <w:noWrap/>
            <w:vAlign w:val="center"/>
          </w:tcPr>
          <w:p w14:paraId="6DEC5463"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hint="eastAsia"/>
                <w:color w:val="000000" w:themeColor="text1"/>
                <w:lang w:val="en-US"/>
              </w:rPr>
              <w:t>G</w:t>
            </w:r>
            <w:r w:rsidRPr="00724CA2">
              <w:rPr>
                <w:rFonts w:ascii="Times New Roman" w:hAnsi="Times New Roman" w:cs="Times New Roman"/>
                <w:color w:val="000000" w:themeColor="text1"/>
                <w:lang w:val="en-US"/>
              </w:rPr>
              <w:t>overnance</w:t>
            </w:r>
          </w:p>
        </w:tc>
        <w:tc>
          <w:tcPr>
            <w:tcW w:w="1323" w:type="dxa"/>
            <w:tcBorders>
              <w:top w:val="nil"/>
              <w:left w:val="nil"/>
              <w:bottom w:val="nil"/>
              <w:right w:val="nil"/>
            </w:tcBorders>
            <w:shd w:val="clear" w:color="auto" w:fill="auto"/>
            <w:noWrap/>
          </w:tcPr>
          <w:p w14:paraId="1E6E5A05"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0.026***</w:t>
            </w:r>
          </w:p>
        </w:tc>
        <w:tc>
          <w:tcPr>
            <w:tcW w:w="1323" w:type="dxa"/>
            <w:tcBorders>
              <w:top w:val="nil"/>
              <w:left w:val="nil"/>
              <w:bottom w:val="nil"/>
              <w:right w:val="nil"/>
            </w:tcBorders>
            <w:shd w:val="clear" w:color="auto" w:fill="auto"/>
            <w:noWrap/>
          </w:tcPr>
          <w:p w14:paraId="0A8035A1"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0.025***</w:t>
            </w:r>
          </w:p>
        </w:tc>
        <w:tc>
          <w:tcPr>
            <w:tcW w:w="1323" w:type="dxa"/>
            <w:tcBorders>
              <w:top w:val="nil"/>
              <w:left w:val="nil"/>
              <w:bottom w:val="nil"/>
              <w:right w:val="nil"/>
            </w:tcBorders>
            <w:shd w:val="clear" w:color="auto" w:fill="auto"/>
            <w:noWrap/>
          </w:tcPr>
          <w:p w14:paraId="739623B9"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0.025***</w:t>
            </w:r>
          </w:p>
        </w:tc>
      </w:tr>
      <w:tr w:rsidR="00724CA2" w:rsidRPr="00724CA2" w14:paraId="5C6F7A2A" w14:textId="77777777" w:rsidTr="003006AA">
        <w:trPr>
          <w:trHeight w:val="290"/>
          <w:jc w:val="center"/>
        </w:trPr>
        <w:tc>
          <w:tcPr>
            <w:tcW w:w="4452" w:type="dxa"/>
            <w:noWrap/>
            <w:vAlign w:val="center"/>
          </w:tcPr>
          <w:p w14:paraId="379DDA58"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3DCE343E"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(0.008)</w:t>
            </w:r>
          </w:p>
        </w:tc>
        <w:tc>
          <w:tcPr>
            <w:tcW w:w="1323" w:type="dxa"/>
            <w:tcBorders>
              <w:top w:val="nil"/>
              <w:left w:val="nil"/>
              <w:bottom w:val="nil"/>
              <w:right w:val="nil"/>
            </w:tcBorders>
            <w:shd w:val="clear" w:color="auto" w:fill="auto"/>
            <w:noWrap/>
          </w:tcPr>
          <w:p w14:paraId="2AB6F2EF"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(0.008)</w:t>
            </w:r>
          </w:p>
        </w:tc>
        <w:tc>
          <w:tcPr>
            <w:tcW w:w="1323" w:type="dxa"/>
            <w:tcBorders>
              <w:top w:val="nil"/>
              <w:left w:val="nil"/>
              <w:bottom w:val="nil"/>
              <w:right w:val="nil"/>
            </w:tcBorders>
            <w:shd w:val="clear" w:color="auto" w:fill="auto"/>
            <w:noWrap/>
          </w:tcPr>
          <w:p w14:paraId="47928E72"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(0.008)</w:t>
            </w:r>
          </w:p>
        </w:tc>
      </w:tr>
      <w:tr w:rsidR="00724CA2" w:rsidRPr="00724CA2" w14:paraId="0E856008" w14:textId="77777777" w:rsidTr="003006AA">
        <w:trPr>
          <w:trHeight w:val="290"/>
          <w:jc w:val="center"/>
        </w:trPr>
        <w:tc>
          <w:tcPr>
            <w:tcW w:w="4452" w:type="dxa"/>
            <w:noWrap/>
            <w:vAlign w:val="center"/>
            <w:hideMark/>
          </w:tcPr>
          <w:p w14:paraId="3BAE736D"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Duality</w:t>
            </w:r>
          </w:p>
        </w:tc>
        <w:tc>
          <w:tcPr>
            <w:tcW w:w="1323" w:type="dxa"/>
            <w:tcBorders>
              <w:top w:val="nil"/>
              <w:left w:val="nil"/>
              <w:bottom w:val="nil"/>
              <w:right w:val="nil"/>
            </w:tcBorders>
            <w:shd w:val="clear" w:color="auto" w:fill="auto"/>
            <w:noWrap/>
          </w:tcPr>
          <w:p w14:paraId="2E8EF218"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0.153</w:t>
            </w:r>
          </w:p>
        </w:tc>
        <w:tc>
          <w:tcPr>
            <w:tcW w:w="1323" w:type="dxa"/>
            <w:tcBorders>
              <w:top w:val="nil"/>
              <w:left w:val="nil"/>
              <w:bottom w:val="nil"/>
              <w:right w:val="nil"/>
            </w:tcBorders>
            <w:shd w:val="clear" w:color="auto" w:fill="auto"/>
            <w:noWrap/>
          </w:tcPr>
          <w:p w14:paraId="3CEA3FDC"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0.142</w:t>
            </w:r>
          </w:p>
        </w:tc>
        <w:tc>
          <w:tcPr>
            <w:tcW w:w="1323" w:type="dxa"/>
            <w:tcBorders>
              <w:top w:val="nil"/>
              <w:left w:val="nil"/>
              <w:bottom w:val="nil"/>
              <w:right w:val="nil"/>
            </w:tcBorders>
            <w:shd w:val="clear" w:color="auto" w:fill="auto"/>
            <w:noWrap/>
          </w:tcPr>
          <w:p w14:paraId="01A0BD28"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0.117</w:t>
            </w:r>
          </w:p>
        </w:tc>
      </w:tr>
      <w:tr w:rsidR="00724CA2" w:rsidRPr="00724CA2" w14:paraId="480C9785" w14:textId="77777777" w:rsidTr="003006AA">
        <w:trPr>
          <w:trHeight w:val="290"/>
          <w:jc w:val="center"/>
        </w:trPr>
        <w:tc>
          <w:tcPr>
            <w:tcW w:w="4452" w:type="dxa"/>
            <w:noWrap/>
            <w:vAlign w:val="center"/>
            <w:hideMark/>
          </w:tcPr>
          <w:p w14:paraId="2DC1C4BC"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7DA53D9E"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(0.126)</w:t>
            </w:r>
          </w:p>
        </w:tc>
        <w:tc>
          <w:tcPr>
            <w:tcW w:w="1323" w:type="dxa"/>
            <w:tcBorders>
              <w:top w:val="nil"/>
              <w:left w:val="nil"/>
              <w:bottom w:val="nil"/>
              <w:right w:val="nil"/>
            </w:tcBorders>
            <w:shd w:val="clear" w:color="auto" w:fill="auto"/>
            <w:noWrap/>
          </w:tcPr>
          <w:p w14:paraId="4739CC5F"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(0.115)</w:t>
            </w:r>
          </w:p>
        </w:tc>
        <w:tc>
          <w:tcPr>
            <w:tcW w:w="1323" w:type="dxa"/>
            <w:tcBorders>
              <w:top w:val="nil"/>
              <w:left w:val="nil"/>
              <w:bottom w:val="nil"/>
              <w:right w:val="nil"/>
            </w:tcBorders>
            <w:shd w:val="clear" w:color="auto" w:fill="auto"/>
            <w:noWrap/>
          </w:tcPr>
          <w:p w14:paraId="0F624563"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(0.109)</w:t>
            </w:r>
          </w:p>
        </w:tc>
      </w:tr>
      <w:tr w:rsidR="00724CA2" w:rsidRPr="00724CA2" w14:paraId="74ABBA44" w14:textId="77777777" w:rsidTr="003006AA">
        <w:trPr>
          <w:trHeight w:val="290"/>
          <w:jc w:val="center"/>
        </w:trPr>
        <w:tc>
          <w:tcPr>
            <w:tcW w:w="4452" w:type="dxa"/>
            <w:noWrap/>
            <w:vAlign w:val="center"/>
            <w:hideMark/>
          </w:tcPr>
          <w:p w14:paraId="261D97C5"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Independence</w:t>
            </w:r>
          </w:p>
        </w:tc>
        <w:tc>
          <w:tcPr>
            <w:tcW w:w="1323" w:type="dxa"/>
            <w:tcBorders>
              <w:top w:val="nil"/>
              <w:left w:val="nil"/>
              <w:bottom w:val="nil"/>
              <w:right w:val="nil"/>
            </w:tcBorders>
            <w:shd w:val="clear" w:color="auto" w:fill="auto"/>
            <w:noWrap/>
          </w:tcPr>
          <w:p w14:paraId="58541ADC"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-0.030</w:t>
            </w:r>
          </w:p>
        </w:tc>
        <w:tc>
          <w:tcPr>
            <w:tcW w:w="1323" w:type="dxa"/>
            <w:tcBorders>
              <w:top w:val="nil"/>
              <w:left w:val="nil"/>
              <w:bottom w:val="nil"/>
              <w:right w:val="nil"/>
            </w:tcBorders>
            <w:shd w:val="clear" w:color="auto" w:fill="auto"/>
            <w:noWrap/>
          </w:tcPr>
          <w:p w14:paraId="2D974FE7"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-0.063</w:t>
            </w:r>
          </w:p>
        </w:tc>
        <w:tc>
          <w:tcPr>
            <w:tcW w:w="1323" w:type="dxa"/>
            <w:tcBorders>
              <w:top w:val="nil"/>
              <w:left w:val="nil"/>
              <w:bottom w:val="nil"/>
              <w:right w:val="nil"/>
            </w:tcBorders>
            <w:shd w:val="clear" w:color="auto" w:fill="auto"/>
            <w:noWrap/>
          </w:tcPr>
          <w:p w14:paraId="20E10C90"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-0.159</w:t>
            </w:r>
          </w:p>
        </w:tc>
      </w:tr>
      <w:tr w:rsidR="00724CA2" w:rsidRPr="00724CA2" w14:paraId="568C613D" w14:textId="77777777" w:rsidTr="003006AA">
        <w:trPr>
          <w:trHeight w:val="290"/>
          <w:jc w:val="center"/>
        </w:trPr>
        <w:tc>
          <w:tcPr>
            <w:tcW w:w="4452" w:type="dxa"/>
            <w:noWrap/>
            <w:vAlign w:val="center"/>
            <w:hideMark/>
          </w:tcPr>
          <w:p w14:paraId="7B15A741"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08BE5FD4"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(0.787)</w:t>
            </w:r>
          </w:p>
        </w:tc>
        <w:tc>
          <w:tcPr>
            <w:tcW w:w="1323" w:type="dxa"/>
            <w:tcBorders>
              <w:top w:val="nil"/>
              <w:left w:val="nil"/>
              <w:bottom w:val="nil"/>
              <w:right w:val="nil"/>
            </w:tcBorders>
            <w:shd w:val="clear" w:color="auto" w:fill="auto"/>
            <w:noWrap/>
          </w:tcPr>
          <w:p w14:paraId="0A6EFB32"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(0.805)</w:t>
            </w:r>
          </w:p>
        </w:tc>
        <w:tc>
          <w:tcPr>
            <w:tcW w:w="1323" w:type="dxa"/>
            <w:tcBorders>
              <w:top w:val="nil"/>
              <w:left w:val="nil"/>
              <w:bottom w:val="nil"/>
              <w:right w:val="nil"/>
            </w:tcBorders>
            <w:shd w:val="clear" w:color="auto" w:fill="auto"/>
            <w:noWrap/>
          </w:tcPr>
          <w:p w14:paraId="5EA762F6"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(0.730)</w:t>
            </w:r>
          </w:p>
        </w:tc>
      </w:tr>
      <w:tr w:rsidR="00724CA2" w:rsidRPr="00724CA2" w14:paraId="3567FD0D" w14:textId="77777777" w:rsidTr="003006AA">
        <w:trPr>
          <w:trHeight w:val="290"/>
          <w:jc w:val="center"/>
        </w:trPr>
        <w:tc>
          <w:tcPr>
            <w:tcW w:w="4452" w:type="dxa"/>
            <w:noWrap/>
            <w:vAlign w:val="center"/>
            <w:hideMark/>
          </w:tcPr>
          <w:p w14:paraId="627B5440"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Board meeting</w:t>
            </w:r>
          </w:p>
        </w:tc>
        <w:tc>
          <w:tcPr>
            <w:tcW w:w="1323" w:type="dxa"/>
            <w:tcBorders>
              <w:top w:val="nil"/>
              <w:left w:val="nil"/>
              <w:bottom w:val="nil"/>
              <w:right w:val="nil"/>
            </w:tcBorders>
            <w:shd w:val="clear" w:color="auto" w:fill="auto"/>
            <w:noWrap/>
          </w:tcPr>
          <w:p w14:paraId="305BF517"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0.038***</w:t>
            </w:r>
          </w:p>
        </w:tc>
        <w:tc>
          <w:tcPr>
            <w:tcW w:w="1323" w:type="dxa"/>
            <w:tcBorders>
              <w:top w:val="nil"/>
              <w:left w:val="nil"/>
              <w:bottom w:val="nil"/>
              <w:right w:val="nil"/>
            </w:tcBorders>
            <w:shd w:val="clear" w:color="auto" w:fill="auto"/>
            <w:noWrap/>
          </w:tcPr>
          <w:p w14:paraId="52D64507"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0.039***</w:t>
            </w:r>
          </w:p>
        </w:tc>
        <w:tc>
          <w:tcPr>
            <w:tcW w:w="1323" w:type="dxa"/>
            <w:tcBorders>
              <w:top w:val="nil"/>
              <w:left w:val="nil"/>
              <w:bottom w:val="nil"/>
              <w:right w:val="nil"/>
            </w:tcBorders>
            <w:shd w:val="clear" w:color="auto" w:fill="auto"/>
            <w:noWrap/>
          </w:tcPr>
          <w:p w14:paraId="0122F6F0"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0.038***</w:t>
            </w:r>
          </w:p>
        </w:tc>
      </w:tr>
      <w:tr w:rsidR="00724CA2" w:rsidRPr="00724CA2" w14:paraId="538CA8CD" w14:textId="77777777" w:rsidTr="003006AA">
        <w:trPr>
          <w:trHeight w:val="290"/>
          <w:jc w:val="center"/>
        </w:trPr>
        <w:tc>
          <w:tcPr>
            <w:tcW w:w="4452" w:type="dxa"/>
            <w:noWrap/>
            <w:vAlign w:val="center"/>
            <w:hideMark/>
          </w:tcPr>
          <w:p w14:paraId="7163A779"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171CCAC4"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(0.010)</w:t>
            </w:r>
          </w:p>
        </w:tc>
        <w:tc>
          <w:tcPr>
            <w:tcW w:w="1323" w:type="dxa"/>
            <w:tcBorders>
              <w:top w:val="nil"/>
              <w:left w:val="nil"/>
              <w:bottom w:val="nil"/>
              <w:right w:val="nil"/>
            </w:tcBorders>
            <w:shd w:val="clear" w:color="auto" w:fill="auto"/>
            <w:noWrap/>
          </w:tcPr>
          <w:p w14:paraId="469B73C8"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(0.009)</w:t>
            </w:r>
          </w:p>
        </w:tc>
        <w:tc>
          <w:tcPr>
            <w:tcW w:w="1323" w:type="dxa"/>
            <w:tcBorders>
              <w:top w:val="nil"/>
              <w:left w:val="nil"/>
              <w:bottom w:val="nil"/>
              <w:right w:val="nil"/>
            </w:tcBorders>
            <w:shd w:val="clear" w:color="auto" w:fill="auto"/>
            <w:noWrap/>
          </w:tcPr>
          <w:p w14:paraId="54B58A6F"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(0.010)</w:t>
            </w:r>
          </w:p>
        </w:tc>
      </w:tr>
      <w:tr w:rsidR="00724CA2" w:rsidRPr="00724CA2" w14:paraId="4DF656AD" w14:textId="77777777" w:rsidTr="003006AA">
        <w:trPr>
          <w:trHeight w:val="290"/>
          <w:jc w:val="center"/>
        </w:trPr>
        <w:tc>
          <w:tcPr>
            <w:tcW w:w="4452" w:type="dxa"/>
            <w:noWrap/>
            <w:vAlign w:val="center"/>
            <w:hideMark/>
          </w:tcPr>
          <w:p w14:paraId="5634B090"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Managerial ownership</w:t>
            </w:r>
          </w:p>
        </w:tc>
        <w:tc>
          <w:tcPr>
            <w:tcW w:w="1323" w:type="dxa"/>
            <w:tcBorders>
              <w:top w:val="nil"/>
              <w:left w:val="nil"/>
              <w:bottom w:val="nil"/>
              <w:right w:val="nil"/>
            </w:tcBorders>
            <w:shd w:val="clear" w:color="auto" w:fill="auto"/>
            <w:noWrap/>
          </w:tcPr>
          <w:p w14:paraId="3E667A53"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-0.444</w:t>
            </w:r>
          </w:p>
        </w:tc>
        <w:tc>
          <w:tcPr>
            <w:tcW w:w="1323" w:type="dxa"/>
            <w:tcBorders>
              <w:top w:val="nil"/>
              <w:left w:val="nil"/>
              <w:bottom w:val="nil"/>
              <w:right w:val="nil"/>
            </w:tcBorders>
            <w:shd w:val="clear" w:color="auto" w:fill="auto"/>
            <w:noWrap/>
          </w:tcPr>
          <w:p w14:paraId="7C6F9F36"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-0.561</w:t>
            </w:r>
          </w:p>
        </w:tc>
        <w:tc>
          <w:tcPr>
            <w:tcW w:w="1323" w:type="dxa"/>
            <w:tcBorders>
              <w:top w:val="nil"/>
              <w:left w:val="nil"/>
              <w:bottom w:val="nil"/>
              <w:right w:val="nil"/>
            </w:tcBorders>
            <w:shd w:val="clear" w:color="auto" w:fill="auto"/>
            <w:noWrap/>
          </w:tcPr>
          <w:p w14:paraId="613BCB62"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-0.547</w:t>
            </w:r>
          </w:p>
        </w:tc>
      </w:tr>
      <w:tr w:rsidR="00724CA2" w:rsidRPr="00724CA2" w14:paraId="7F8CF399" w14:textId="77777777" w:rsidTr="003006AA">
        <w:trPr>
          <w:trHeight w:val="290"/>
          <w:jc w:val="center"/>
        </w:trPr>
        <w:tc>
          <w:tcPr>
            <w:tcW w:w="4452" w:type="dxa"/>
            <w:noWrap/>
            <w:vAlign w:val="center"/>
            <w:hideMark/>
          </w:tcPr>
          <w:p w14:paraId="7E681026"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794071D2"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(0.460)</w:t>
            </w:r>
          </w:p>
        </w:tc>
        <w:tc>
          <w:tcPr>
            <w:tcW w:w="1323" w:type="dxa"/>
            <w:tcBorders>
              <w:top w:val="nil"/>
              <w:left w:val="nil"/>
              <w:bottom w:val="nil"/>
              <w:right w:val="nil"/>
            </w:tcBorders>
            <w:shd w:val="clear" w:color="auto" w:fill="auto"/>
            <w:noWrap/>
          </w:tcPr>
          <w:p w14:paraId="385B7469"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(0.370)</w:t>
            </w:r>
          </w:p>
        </w:tc>
        <w:tc>
          <w:tcPr>
            <w:tcW w:w="1323" w:type="dxa"/>
            <w:tcBorders>
              <w:top w:val="nil"/>
              <w:left w:val="nil"/>
              <w:bottom w:val="nil"/>
              <w:right w:val="nil"/>
            </w:tcBorders>
            <w:shd w:val="clear" w:color="auto" w:fill="auto"/>
            <w:noWrap/>
          </w:tcPr>
          <w:p w14:paraId="278DA202"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(0.477)</w:t>
            </w:r>
          </w:p>
        </w:tc>
      </w:tr>
      <w:tr w:rsidR="00724CA2" w:rsidRPr="00724CA2" w14:paraId="490F10A2" w14:textId="77777777" w:rsidTr="003006AA">
        <w:trPr>
          <w:trHeight w:val="290"/>
          <w:jc w:val="center"/>
        </w:trPr>
        <w:tc>
          <w:tcPr>
            <w:tcW w:w="4452" w:type="dxa"/>
            <w:noWrap/>
            <w:vAlign w:val="center"/>
            <w:hideMark/>
          </w:tcPr>
          <w:p w14:paraId="5D6A42B8"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Z Index</w:t>
            </w:r>
          </w:p>
        </w:tc>
        <w:tc>
          <w:tcPr>
            <w:tcW w:w="1323" w:type="dxa"/>
            <w:tcBorders>
              <w:top w:val="nil"/>
              <w:left w:val="nil"/>
              <w:bottom w:val="nil"/>
              <w:right w:val="nil"/>
            </w:tcBorders>
            <w:shd w:val="clear" w:color="auto" w:fill="auto"/>
            <w:noWrap/>
          </w:tcPr>
          <w:p w14:paraId="508E7CB6"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0.009**</w:t>
            </w:r>
          </w:p>
        </w:tc>
        <w:tc>
          <w:tcPr>
            <w:tcW w:w="1323" w:type="dxa"/>
            <w:tcBorders>
              <w:top w:val="nil"/>
              <w:left w:val="nil"/>
              <w:bottom w:val="nil"/>
              <w:right w:val="nil"/>
            </w:tcBorders>
            <w:shd w:val="clear" w:color="auto" w:fill="auto"/>
            <w:noWrap/>
          </w:tcPr>
          <w:p w14:paraId="0553333A"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0.010***</w:t>
            </w:r>
          </w:p>
        </w:tc>
        <w:tc>
          <w:tcPr>
            <w:tcW w:w="1323" w:type="dxa"/>
            <w:tcBorders>
              <w:top w:val="nil"/>
              <w:left w:val="nil"/>
              <w:bottom w:val="nil"/>
              <w:right w:val="nil"/>
            </w:tcBorders>
            <w:shd w:val="clear" w:color="auto" w:fill="auto"/>
            <w:noWrap/>
          </w:tcPr>
          <w:p w14:paraId="63E0FB21"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0.009**</w:t>
            </w:r>
          </w:p>
        </w:tc>
      </w:tr>
      <w:tr w:rsidR="00724CA2" w:rsidRPr="00724CA2" w14:paraId="1CC3E90C" w14:textId="77777777" w:rsidTr="003006AA">
        <w:trPr>
          <w:trHeight w:val="290"/>
          <w:jc w:val="center"/>
        </w:trPr>
        <w:tc>
          <w:tcPr>
            <w:tcW w:w="4452" w:type="dxa"/>
            <w:noWrap/>
            <w:vAlign w:val="center"/>
            <w:hideMark/>
          </w:tcPr>
          <w:p w14:paraId="61FDE30D"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63FC5F82"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(0.003)</w:t>
            </w:r>
          </w:p>
        </w:tc>
        <w:tc>
          <w:tcPr>
            <w:tcW w:w="1323" w:type="dxa"/>
            <w:tcBorders>
              <w:top w:val="nil"/>
              <w:left w:val="nil"/>
              <w:bottom w:val="nil"/>
              <w:right w:val="nil"/>
            </w:tcBorders>
            <w:shd w:val="clear" w:color="auto" w:fill="auto"/>
            <w:noWrap/>
          </w:tcPr>
          <w:p w14:paraId="63E8ECBE"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(0.003)</w:t>
            </w:r>
          </w:p>
        </w:tc>
        <w:tc>
          <w:tcPr>
            <w:tcW w:w="1323" w:type="dxa"/>
            <w:tcBorders>
              <w:top w:val="nil"/>
              <w:left w:val="nil"/>
              <w:bottom w:val="nil"/>
              <w:right w:val="nil"/>
            </w:tcBorders>
            <w:shd w:val="clear" w:color="auto" w:fill="auto"/>
            <w:noWrap/>
          </w:tcPr>
          <w:p w14:paraId="79CF3227"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(0.003)</w:t>
            </w:r>
          </w:p>
        </w:tc>
      </w:tr>
      <w:tr w:rsidR="00724CA2" w:rsidRPr="00724CA2" w14:paraId="1BBE6BF3" w14:textId="77777777" w:rsidTr="003006AA">
        <w:trPr>
          <w:trHeight w:val="290"/>
          <w:jc w:val="center"/>
        </w:trPr>
        <w:tc>
          <w:tcPr>
            <w:tcW w:w="4452" w:type="dxa"/>
            <w:noWrap/>
            <w:vAlign w:val="center"/>
            <w:hideMark/>
          </w:tcPr>
          <w:p w14:paraId="22D033F9"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Stock returns</w:t>
            </w:r>
          </w:p>
        </w:tc>
        <w:tc>
          <w:tcPr>
            <w:tcW w:w="1323" w:type="dxa"/>
            <w:tcBorders>
              <w:top w:val="nil"/>
              <w:left w:val="nil"/>
              <w:bottom w:val="nil"/>
              <w:right w:val="nil"/>
            </w:tcBorders>
            <w:shd w:val="clear" w:color="auto" w:fill="auto"/>
            <w:noWrap/>
          </w:tcPr>
          <w:p w14:paraId="28669D4B"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0.232***</w:t>
            </w:r>
          </w:p>
        </w:tc>
        <w:tc>
          <w:tcPr>
            <w:tcW w:w="1323" w:type="dxa"/>
            <w:tcBorders>
              <w:top w:val="nil"/>
              <w:left w:val="nil"/>
              <w:bottom w:val="nil"/>
              <w:right w:val="nil"/>
            </w:tcBorders>
            <w:shd w:val="clear" w:color="auto" w:fill="auto"/>
            <w:noWrap/>
          </w:tcPr>
          <w:p w14:paraId="03AD04D1"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0.238***</w:t>
            </w:r>
          </w:p>
        </w:tc>
        <w:tc>
          <w:tcPr>
            <w:tcW w:w="1323" w:type="dxa"/>
            <w:tcBorders>
              <w:top w:val="nil"/>
              <w:left w:val="nil"/>
              <w:bottom w:val="nil"/>
              <w:right w:val="nil"/>
            </w:tcBorders>
            <w:shd w:val="clear" w:color="auto" w:fill="auto"/>
            <w:noWrap/>
          </w:tcPr>
          <w:p w14:paraId="1F9E6CBE"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0.229***</w:t>
            </w:r>
          </w:p>
        </w:tc>
      </w:tr>
      <w:tr w:rsidR="00724CA2" w:rsidRPr="00724CA2" w14:paraId="590A02F6" w14:textId="77777777" w:rsidTr="003006AA">
        <w:trPr>
          <w:trHeight w:val="290"/>
          <w:jc w:val="center"/>
        </w:trPr>
        <w:tc>
          <w:tcPr>
            <w:tcW w:w="4452" w:type="dxa"/>
            <w:noWrap/>
            <w:vAlign w:val="center"/>
            <w:hideMark/>
          </w:tcPr>
          <w:p w14:paraId="73400238"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79A22057"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(0.060)</w:t>
            </w:r>
          </w:p>
        </w:tc>
        <w:tc>
          <w:tcPr>
            <w:tcW w:w="1323" w:type="dxa"/>
            <w:tcBorders>
              <w:top w:val="nil"/>
              <w:left w:val="nil"/>
              <w:bottom w:val="nil"/>
              <w:right w:val="nil"/>
            </w:tcBorders>
            <w:shd w:val="clear" w:color="auto" w:fill="auto"/>
            <w:noWrap/>
          </w:tcPr>
          <w:p w14:paraId="5BBFAF80"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(0.060)</w:t>
            </w:r>
          </w:p>
        </w:tc>
        <w:tc>
          <w:tcPr>
            <w:tcW w:w="1323" w:type="dxa"/>
            <w:tcBorders>
              <w:top w:val="nil"/>
              <w:left w:val="nil"/>
              <w:bottom w:val="nil"/>
              <w:right w:val="nil"/>
            </w:tcBorders>
            <w:shd w:val="clear" w:color="auto" w:fill="auto"/>
            <w:noWrap/>
          </w:tcPr>
          <w:p w14:paraId="63BCB21E"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(0.058)</w:t>
            </w:r>
          </w:p>
        </w:tc>
      </w:tr>
      <w:tr w:rsidR="00724CA2" w:rsidRPr="00724CA2" w14:paraId="584C12B2" w14:textId="77777777" w:rsidTr="003006AA">
        <w:trPr>
          <w:trHeight w:val="290"/>
          <w:jc w:val="center"/>
        </w:trPr>
        <w:tc>
          <w:tcPr>
            <w:tcW w:w="4452" w:type="dxa"/>
            <w:noWrap/>
            <w:vAlign w:val="center"/>
            <w:hideMark/>
          </w:tcPr>
          <w:p w14:paraId="70207DF1"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Tobin Q</w:t>
            </w:r>
          </w:p>
        </w:tc>
        <w:tc>
          <w:tcPr>
            <w:tcW w:w="1323" w:type="dxa"/>
            <w:tcBorders>
              <w:top w:val="nil"/>
              <w:left w:val="nil"/>
              <w:bottom w:val="nil"/>
              <w:right w:val="nil"/>
            </w:tcBorders>
            <w:shd w:val="clear" w:color="auto" w:fill="auto"/>
            <w:noWrap/>
          </w:tcPr>
          <w:p w14:paraId="298C79F1"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-0.291***</w:t>
            </w:r>
          </w:p>
        </w:tc>
        <w:tc>
          <w:tcPr>
            <w:tcW w:w="1323" w:type="dxa"/>
            <w:tcBorders>
              <w:top w:val="nil"/>
              <w:left w:val="nil"/>
              <w:bottom w:val="nil"/>
              <w:right w:val="nil"/>
            </w:tcBorders>
            <w:shd w:val="clear" w:color="auto" w:fill="auto"/>
            <w:noWrap/>
          </w:tcPr>
          <w:p w14:paraId="0D2EE1E7"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-0.285***</w:t>
            </w:r>
          </w:p>
        </w:tc>
        <w:tc>
          <w:tcPr>
            <w:tcW w:w="1323" w:type="dxa"/>
            <w:tcBorders>
              <w:top w:val="nil"/>
              <w:left w:val="nil"/>
              <w:bottom w:val="nil"/>
              <w:right w:val="nil"/>
            </w:tcBorders>
            <w:shd w:val="clear" w:color="auto" w:fill="auto"/>
            <w:noWrap/>
          </w:tcPr>
          <w:p w14:paraId="5A9D1C1B"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-0.286***</w:t>
            </w:r>
          </w:p>
        </w:tc>
      </w:tr>
      <w:tr w:rsidR="00724CA2" w:rsidRPr="00724CA2" w14:paraId="0170466B" w14:textId="77777777" w:rsidTr="003006AA">
        <w:trPr>
          <w:trHeight w:val="290"/>
          <w:jc w:val="center"/>
        </w:trPr>
        <w:tc>
          <w:tcPr>
            <w:tcW w:w="4452" w:type="dxa"/>
            <w:noWrap/>
            <w:vAlign w:val="center"/>
            <w:hideMark/>
          </w:tcPr>
          <w:p w14:paraId="79761D2A"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4349C0AE"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(0.030)</w:t>
            </w:r>
          </w:p>
        </w:tc>
        <w:tc>
          <w:tcPr>
            <w:tcW w:w="1323" w:type="dxa"/>
            <w:tcBorders>
              <w:top w:val="nil"/>
              <w:left w:val="nil"/>
              <w:bottom w:val="nil"/>
              <w:right w:val="nil"/>
            </w:tcBorders>
            <w:shd w:val="clear" w:color="auto" w:fill="auto"/>
            <w:noWrap/>
          </w:tcPr>
          <w:p w14:paraId="7F71A6C1"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(0.026)</w:t>
            </w:r>
          </w:p>
        </w:tc>
        <w:tc>
          <w:tcPr>
            <w:tcW w:w="1323" w:type="dxa"/>
            <w:tcBorders>
              <w:top w:val="nil"/>
              <w:left w:val="nil"/>
              <w:bottom w:val="nil"/>
              <w:right w:val="nil"/>
            </w:tcBorders>
            <w:shd w:val="clear" w:color="auto" w:fill="auto"/>
            <w:noWrap/>
          </w:tcPr>
          <w:p w14:paraId="46172842"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(0.028)</w:t>
            </w:r>
          </w:p>
        </w:tc>
      </w:tr>
      <w:tr w:rsidR="00724CA2" w:rsidRPr="00724CA2" w14:paraId="55EA53E3" w14:textId="77777777" w:rsidTr="003006AA">
        <w:trPr>
          <w:trHeight w:val="290"/>
          <w:jc w:val="center"/>
        </w:trPr>
        <w:tc>
          <w:tcPr>
            <w:tcW w:w="4452" w:type="dxa"/>
            <w:noWrap/>
            <w:vAlign w:val="center"/>
            <w:hideMark/>
          </w:tcPr>
          <w:p w14:paraId="4B4A3390"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Firm age</w:t>
            </w:r>
          </w:p>
        </w:tc>
        <w:tc>
          <w:tcPr>
            <w:tcW w:w="1323" w:type="dxa"/>
            <w:tcBorders>
              <w:top w:val="nil"/>
              <w:left w:val="nil"/>
              <w:bottom w:val="nil"/>
              <w:right w:val="nil"/>
            </w:tcBorders>
            <w:shd w:val="clear" w:color="auto" w:fill="auto"/>
            <w:noWrap/>
          </w:tcPr>
          <w:p w14:paraId="78A8FA18"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-0.001</w:t>
            </w:r>
          </w:p>
        </w:tc>
        <w:tc>
          <w:tcPr>
            <w:tcW w:w="1323" w:type="dxa"/>
            <w:tcBorders>
              <w:top w:val="nil"/>
              <w:left w:val="nil"/>
              <w:bottom w:val="nil"/>
              <w:right w:val="nil"/>
            </w:tcBorders>
            <w:shd w:val="clear" w:color="auto" w:fill="auto"/>
            <w:noWrap/>
          </w:tcPr>
          <w:p w14:paraId="058F6DC6"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-0.001</w:t>
            </w:r>
          </w:p>
        </w:tc>
        <w:tc>
          <w:tcPr>
            <w:tcW w:w="1323" w:type="dxa"/>
            <w:tcBorders>
              <w:top w:val="nil"/>
              <w:left w:val="nil"/>
              <w:bottom w:val="nil"/>
              <w:right w:val="nil"/>
            </w:tcBorders>
            <w:shd w:val="clear" w:color="auto" w:fill="auto"/>
            <w:noWrap/>
          </w:tcPr>
          <w:p w14:paraId="6A72EC91"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-0.003</w:t>
            </w:r>
          </w:p>
        </w:tc>
      </w:tr>
      <w:tr w:rsidR="00724CA2" w:rsidRPr="00724CA2" w14:paraId="721B31FF" w14:textId="77777777" w:rsidTr="003006AA">
        <w:trPr>
          <w:trHeight w:val="290"/>
          <w:jc w:val="center"/>
        </w:trPr>
        <w:tc>
          <w:tcPr>
            <w:tcW w:w="4452" w:type="dxa"/>
            <w:noWrap/>
            <w:vAlign w:val="center"/>
            <w:hideMark/>
          </w:tcPr>
          <w:p w14:paraId="19A103CF"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511BD598"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(0.020)</w:t>
            </w:r>
          </w:p>
        </w:tc>
        <w:tc>
          <w:tcPr>
            <w:tcW w:w="1323" w:type="dxa"/>
            <w:tcBorders>
              <w:top w:val="nil"/>
              <w:left w:val="nil"/>
              <w:bottom w:val="nil"/>
              <w:right w:val="nil"/>
            </w:tcBorders>
            <w:shd w:val="clear" w:color="auto" w:fill="auto"/>
            <w:noWrap/>
          </w:tcPr>
          <w:p w14:paraId="33DE074E"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(0.020)</w:t>
            </w:r>
          </w:p>
        </w:tc>
        <w:tc>
          <w:tcPr>
            <w:tcW w:w="1323" w:type="dxa"/>
            <w:tcBorders>
              <w:top w:val="nil"/>
              <w:left w:val="nil"/>
              <w:bottom w:val="nil"/>
              <w:right w:val="nil"/>
            </w:tcBorders>
            <w:shd w:val="clear" w:color="auto" w:fill="auto"/>
            <w:noWrap/>
          </w:tcPr>
          <w:p w14:paraId="67CB0211"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(0.018)</w:t>
            </w:r>
          </w:p>
        </w:tc>
      </w:tr>
      <w:tr w:rsidR="00724CA2" w:rsidRPr="00724CA2" w14:paraId="192AE2BD" w14:textId="77777777" w:rsidTr="003006AA">
        <w:trPr>
          <w:trHeight w:val="290"/>
          <w:jc w:val="center"/>
        </w:trPr>
        <w:tc>
          <w:tcPr>
            <w:tcW w:w="4452" w:type="dxa"/>
            <w:noWrap/>
            <w:vAlign w:val="center"/>
            <w:hideMark/>
          </w:tcPr>
          <w:p w14:paraId="1859EC17"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Leverage</w:t>
            </w:r>
          </w:p>
        </w:tc>
        <w:tc>
          <w:tcPr>
            <w:tcW w:w="1323" w:type="dxa"/>
            <w:tcBorders>
              <w:top w:val="nil"/>
              <w:left w:val="nil"/>
              <w:bottom w:val="nil"/>
              <w:right w:val="nil"/>
            </w:tcBorders>
            <w:shd w:val="clear" w:color="auto" w:fill="auto"/>
            <w:noWrap/>
          </w:tcPr>
          <w:p w14:paraId="4CC2E9EC"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1.077***</w:t>
            </w:r>
          </w:p>
        </w:tc>
        <w:tc>
          <w:tcPr>
            <w:tcW w:w="1323" w:type="dxa"/>
            <w:tcBorders>
              <w:top w:val="nil"/>
              <w:left w:val="nil"/>
              <w:bottom w:val="nil"/>
              <w:right w:val="nil"/>
            </w:tcBorders>
            <w:shd w:val="clear" w:color="auto" w:fill="auto"/>
            <w:noWrap/>
          </w:tcPr>
          <w:p w14:paraId="6C94EC15"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1.122***</w:t>
            </w:r>
          </w:p>
        </w:tc>
        <w:tc>
          <w:tcPr>
            <w:tcW w:w="1323" w:type="dxa"/>
            <w:tcBorders>
              <w:top w:val="nil"/>
              <w:left w:val="nil"/>
              <w:bottom w:val="nil"/>
              <w:right w:val="nil"/>
            </w:tcBorders>
            <w:shd w:val="clear" w:color="auto" w:fill="auto"/>
            <w:noWrap/>
          </w:tcPr>
          <w:p w14:paraId="2831CA4E"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1.174***</w:t>
            </w:r>
          </w:p>
        </w:tc>
      </w:tr>
      <w:tr w:rsidR="00724CA2" w:rsidRPr="00724CA2" w14:paraId="00CAB876" w14:textId="77777777" w:rsidTr="003006AA">
        <w:trPr>
          <w:trHeight w:val="290"/>
          <w:jc w:val="center"/>
        </w:trPr>
        <w:tc>
          <w:tcPr>
            <w:tcW w:w="4452" w:type="dxa"/>
            <w:noWrap/>
            <w:vAlign w:val="center"/>
            <w:hideMark/>
          </w:tcPr>
          <w:p w14:paraId="1D491C51" w14:textId="77777777" w:rsidR="00E6301A" w:rsidRPr="00724CA2" w:rsidRDefault="00E6301A" w:rsidP="003006AA">
            <w:pPr>
              <w:jc w:val="both"/>
              <w:rPr>
                <w:rFonts w:ascii="Times New Roman" w:hAnsi="Times New Roman" w:cs="Times New Roman"/>
                <w:color w:val="000000" w:themeColor="text1"/>
                <w:lang w:val="en-US"/>
              </w:rPr>
            </w:pPr>
          </w:p>
        </w:tc>
        <w:tc>
          <w:tcPr>
            <w:tcW w:w="1323" w:type="dxa"/>
            <w:tcBorders>
              <w:top w:val="nil"/>
              <w:left w:val="nil"/>
              <w:bottom w:val="nil"/>
              <w:right w:val="nil"/>
            </w:tcBorders>
            <w:shd w:val="clear" w:color="auto" w:fill="auto"/>
            <w:noWrap/>
          </w:tcPr>
          <w:p w14:paraId="18D016FC"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(0.183)</w:t>
            </w:r>
          </w:p>
        </w:tc>
        <w:tc>
          <w:tcPr>
            <w:tcW w:w="1323" w:type="dxa"/>
            <w:tcBorders>
              <w:top w:val="nil"/>
              <w:left w:val="nil"/>
              <w:bottom w:val="nil"/>
              <w:right w:val="nil"/>
            </w:tcBorders>
            <w:shd w:val="clear" w:color="auto" w:fill="auto"/>
            <w:noWrap/>
          </w:tcPr>
          <w:p w14:paraId="020E86EF"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(0.218)</w:t>
            </w:r>
          </w:p>
        </w:tc>
        <w:tc>
          <w:tcPr>
            <w:tcW w:w="1323" w:type="dxa"/>
            <w:tcBorders>
              <w:top w:val="nil"/>
              <w:left w:val="nil"/>
              <w:bottom w:val="nil"/>
              <w:right w:val="nil"/>
            </w:tcBorders>
            <w:shd w:val="clear" w:color="auto" w:fill="auto"/>
            <w:noWrap/>
          </w:tcPr>
          <w:p w14:paraId="025B39F2"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(0.176)</w:t>
            </w:r>
          </w:p>
        </w:tc>
      </w:tr>
      <w:tr w:rsidR="00724CA2" w:rsidRPr="00724CA2" w14:paraId="70742F2C" w14:textId="77777777" w:rsidTr="003006AA">
        <w:trPr>
          <w:trHeight w:val="290"/>
          <w:jc w:val="center"/>
        </w:trPr>
        <w:tc>
          <w:tcPr>
            <w:tcW w:w="4452" w:type="dxa"/>
            <w:noWrap/>
            <w:vAlign w:val="center"/>
          </w:tcPr>
          <w:p w14:paraId="7C132C2C"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Year FE</w:t>
            </w:r>
          </w:p>
        </w:tc>
        <w:tc>
          <w:tcPr>
            <w:tcW w:w="1323" w:type="dxa"/>
            <w:noWrap/>
            <w:vAlign w:val="center"/>
          </w:tcPr>
          <w:p w14:paraId="06929E19"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Yes</w:t>
            </w:r>
          </w:p>
        </w:tc>
        <w:tc>
          <w:tcPr>
            <w:tcW w:w="1323" w:type="dxa"/>
            <w:noWrap/>
            <w:vAlign w:val="center"/>
          </w:tcPr>
          <w:p w14:paraId="41C7CB85"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Yes</w:t>
            </w:r>
          </w:p>
        </w:tc>
        <w:tc>
          <w:tcPr>
            <w:tcW w:w="1323" w:type="dxa"/>
            <w:noWrap/>
            <w:vAlign w:val="center"/>
          </w:tcPr>
          <w:p w14:paraId="28D78E20"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Yes</w:t>
            </w:r>
          </w:p>
        </w:tc>
      </w:tr>
      <w:tr w:rsidR="00724CA2" w:rsidRPr="00724CA2" w14:paraId="1B9FE9AA" w14:textId="77777777" w:rsidTr="003006AA">
        <w:trPr>
          <w:trHeight w:val="290"/>
          <w:jc w:val="center"/>
        </w:trPr>
        <w:tc>
          <w:tcPr>
            <w:tcW w:w="4452" w:type="dxa"/>
            <w:noWrap/>
            <w:vAlign w:val="center"/>
          </w:tcPr>
          <w:p w14:paraId="3442AB1D"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Industry FE</w:t>
            </w:r>
          </w:p>
        </w:tc>
        <w:tc>
          <w:tcPr>
            <w:tcW w:w="1323" w:type="dxa"/>
            <w:noWrap/>
            <w:vAlign w:val="center"/>
          </w:tcPr>
          <w:p w14:paraId="7CAB4263"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Yes</w:t>
            </w:r>
          </w:p>
        </w:tc>
        <w:tc>
          <w:tcPr>
            <w:tcW w:w="1323" w:type="dxa"/>
            <w:noWrap/>
            <w:vAlign w:val="center"/>
          </w:tcPr>
          <w:p w14:paraId="511EBB69"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Yes</w:t>
            </w:r>
          </w:p>
        </w:tc>
        <w:tc>
          <w:tcPr>
            <w:tcW w:w="1323" w:type="dxa"/>
            <w:noWrap/>
            <w:vAlign w:val="center"/>
          </w:tcPr>
          <w:p w14:paraId="23089745"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Yes</w:t>
            </w:r>
          </w:p>
        </w:tc>
      </w:tr>
      <w:tr w:rsidR="00724CA2" w:rsidRPr="00724CA2" w14:paraId="3A67EA8B" w14:textId="77777777" w:rsidTr="00471603">
        <w:trPr>
          <w:trHeight w:val="290"/>
          <w:jc w:val="center"/>
        </w:trPr>
        <w:tc>
          <w:tcPr>
            <w:tcW w:w="4452" w:type="dxa"/>
            <w:tcBorders>
              <w:bottom w:val="nil"/>
            </w:tcBorders>
            <w:noWrap/>
            <w:vAlign w:val="center"/>
          </w:tcPr>
          <w:p w14:paraId="60D3F00E"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Observations</w:t>
            </w:r>
          </w:p>
        </w:tc>
        <w:tc>
          <w:tcPr>
            <w:tcW w:w="1323" w:type="dxa"/>
            <w:tcBorders>
              <w:bottom w:val="nil"/>
            </w:tcBorders>
            <w:noWrap/>
            <w:vAlign w:val="bottom"/>
          </w:tcPr>
          <w:p w14:paraId="3DAD25FF"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6,560</w:t>
            </w:r>
          </w:p>
        </w:tc>
        <w:tc>
          <w:tcPr>
            <w:tcW w:w="1323" w:type="dxa"/>
            <w:tcBorders>
              <w:bottom w:val="nil"/>
            </w:tcBorders>
            <w:noWrap/>
            <w:vAlign w:val="bottom"/>
          </w:tcPr>
          <w:p w14:paraId="36978A78"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6,560</w:t>
            </w:r>
          </w:p>
        </w:tc>
        <w:tc>
          <w:tcPr>
            <w:tcW w:w="1323" w:type="dxa"/>
            <w:tcBorders>
              <w:bottom w:val="nil"/>
            </w:tcBorders>
            <w:noWrap/>
            <w:vAlign w:val="bottom"/>
          </w:tcPr>
          <w:p w14:paraId="6EA7E778"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6,560</w:t>
            </w:r>
          </w:p>
        </w:tc>
      </w:tr>
      <w:tr w:rsidR="00724CA2" w:rsidRPr="00724CA2" w14:paraId="124C588F" w14:textId="77777777" w:rsidTr="00471603">
        <w:trPr>
          <w:trHeight w:val="290"/>
          <w:jc w:val="center"/>
        </w:trPr>
        <w:tc>
          <w:tcPr>
            <w:tcW w:w="4452" w:type="dxa"/>
            <w:tcBorders>
              <w:top w:val="nil"/>
              <w:bottom w:val="single" w:sz="12" w:space="0" w:color="auto"/>
            </w:tcBorders>
            <w:noWrap/>
            <w:vAlign w:val="center"/>
          </w:tcPr>
          <w:p w14:paraId="3F9DAB64"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Adjusted R-squared</w:t>
            </w:r>
          </w:p>
        </w:tc>
        <w:tc>
          <w:tcPr>
            <w:tcW w:w="1323" w:type="dxa"/>
            <w:tcBorders>
              <w:top w:val="nil"/>
              <w:bottom w:val="single" w:sz="12" w:space="0" w:color="auto"/>
            </w:tcBorders>
            <w:noWrap/>
            <w:vAlign w:val="bottom"/>
          </w:tcPr>
          <w:p w14:paraId="1EC4ED74"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0.178</w:t>
            </w:r>
          </w:p>
        </w:tc>
        <w:tc>
          <w:tcPr>
            <w:tcW w:w="1323" w:type="dxa"/>
            <w:tcBorders>
              <w:top w:val="nil"/>
              <w:bottom w:val="single" w:sz="12" w:space="0" w:color="auto"/>
            </w:tcBorders>
            <w:noWrap/>
            <w:vAlign w:val="bottom"/>
          </w:tcPr>
          <w:p w14:paraId="03D6319E"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0.182</w:t>
            </w:r>
          </w:p>
        </w:tc>
        <w:tc>
          <w:tcPr>
            <w:tcW w:w="1323" w:type="dxa"/>
            <w:tcBorders>
              <w:top w:val="nil"/>
              <w:bottom w:val="single" w:sz="12" w:space="0" w:color="auto"/>
            </w:tcBorders>
            <w:noWrap/>
            <w:vAlign w:val="bottom"/>
          </w:tcPr>
          <w:p w14:paraId="4B3A2FE6" w14:textId="77777777" w:rsidR="00E6301A" w:rsidRPr="00724CA2" w:rsidRDefault="00E6301A" w:rsidP="003006AA">
            <w:pPr>
              <w:jc w:val="both"/>
              <w:rPr>
                <w:rFonts w:ascii="Times New Roman" w:hAnsi="Times New Roman" w:cs="Times New Roman"/>
                <w:color w:val="000000" w:themeColor="text1"/>
                <w:lang w:val="en-US"/>
              </w:rPr>
            </w:pPr>
            <w:r w:rsidRPr="00724CA2">
              <w:rPr>
                <w:rFonts w:ascii="Times New Roman" w:hAnsi="Times New Roman" w:cs="Times New Roman"/>
                <w:color w:val="000000" w:themeColor="text1"/>
                <w:lang w:val="en-US"/>
              </w:rPr>
              <w:t>0.182</w:t>
            </w:r>
          </w:p>
        </w:tc>
      </w:tr>
    </w:tbl>
    <w:p w14:paraId="775B950B" w14:textId="77777777" w:rsidR="00383777" w:rsidRDefault="00E6301A" w:rsidP="005D0ACF">
      <w:pPr>
        <w:jc w:val="both"/>
        <w:rPr>
          <w:rFonts w:ascii="Times New Roman" w:hAnsi="Times New Roman" w:cs="Times New Roman"/>
          <w:color w:val="000000" w:themeColor="text1"/>
          <w:szCs w:val="20"/>
        </w:rPr>
      </w:pPr>
      <w:r w:rsidRPr="00724CA2">
        <w:rPr>
          <w:rFonts w:ascii="Times New Roman" w:hAnsi="Times New Roman" w:cs="Times New Roman"/>
          <w:color w:val="000000" w:themeColor="text1"/>
          <w:szCs w:val="20"/>
        </w:rPr>
        <w:t>QFII refers to the total shares held by the qualified foreign institutional investors to the firm total outstanding shares. Year and industry fixed effects are included in all specifications. Robust standard errors, clustered at the industry level, are reported in parentheses. *, **, and *** represent significance at the 0.10, 0.05, and 0.01 levels, respectively. The definitions of the variables are summarized in Table 1.</w:t>
      </w:r>
    </w:p>
    <w:p w14:paraId="1A7B06B5" w14:textId="77777777" w:rsidR="005920C4" w:rsidRDefault="005920C4" w:rsidP="005D0ACF">
      <w:pPr>
        <w:jc w:val="both"/>
        <w:rPr>
          <w:rFonts w:ascii="Times New Roman" w:hAnsi="Times New Roman" w:cs="Times New Roman"/>
          <w:color w:val="000000" w:themeColor="text1"/>
          <w:szCs w:val="20"/>
        </w:rPr>
      </w:pPr>
    </w:p>
    <w:p w14:paraId="7DD038F8" w14:textId="77777777" w:rsidR="005920C4" w:rsidRDefault="005920C4" w:rsidP="005D0ACF">
      <w:pPr>
        <w:jc w:val="both"/>
        <w:rPr>
          <w:rFonts w:ascii="Times New Roman" w:hAnsi="Times New Roman" w:cs="Times New Roman"/>
          <w:color w:val="000000" w:themeColor="text1"/>
          <w:szCs w:val="20"/>
        </w:rPr>
      </w:pPr>
    </w:p>
    <w:p w14:paraId="468FF268" w14:textId="7FEBAFE0" w:rsidR="005920C4" w:rsidRPr="00724CA2" w:rsidRDefault="005920C4" w:rsidP="005920C4">
      <w:pPr>
        <w:spacing w:after="0" w:line="240" w:lineRule="auto"/>
        <w:jc w:val="both"/>
        <w:rPr>
          <w:rFonts w:ascii="Times New Roman" w:hAnsi="Times New Roman" w:cs="Times New Roman"/>
          <w:b/>
          <w:bCs/>
          <w:color w:val="000000" w:themeColor="text1"/>
          <w:sz w:val="24"/>
          <w:szCs w:val="24"/>
        </w:rPr>
      </w:pPr>
      <w:r w:rsidRPr="00724CA2">
        <w:rPr>
          <w:rFonts w:ascii="Times New Roman" w:hAnsi="Times New Roman" w:cs="Times New Roman"/>
          <w:b/>
          <w:bCs/>
          <w:color w:val="000000" w:themeColor="text1"/>
          <w:sz w:val="24"/>
          <w:szCs w:val="24"/>
        </w:rPr>
        <w:t>Appendix</w:t>
      </w:r>
      <w:r>
        <w:rPr>
          <w:rFonts w:ascii="Times New Roman" w:hAnsi="Times New Roman" w:cs="Times New Roman" w:hint="eastAsia"/>
          <w:b/>
          <w:bCs/>
          <w:color w:val="000000" w:themeColor="text1"/>
          <w:sz w:val="24"/>
          <w:szCs w:val="24"/>
          <w:lang w:eastAsia="zh-CN"/>
        </w:rPr>
        <w:t xml:space="preserve"> 1.</w:t>
      </w:r>
      <w:r w:rsidRPr="00724CA2">
        <w:rPr>
          <w:rFonts w:ascii="Times New Roman" w:hAnsi="Times New Roman" w:cs="Times New Roman"/>
          <w:b/>
          <w:bCs/>
          <w:color w:val="000000" w:themeColor="text1"/>
          <w:sz w:val="24"/>
          <w:szCs w:val="24"/>
        </w:rPr>
        <w:tab/>
      </w:r>
      <w:r>
        <w:rPr>
          <w:rFonts w:ascii="Times New Roman" w:hAnsi="Times New Roman" w:cs="Times New Roman" w:hint="eastAsia"/>
          <w:color w:val="000000" w:themeColor="text1"/>
          <w:sz w:val="24"/>
          <w:szCs w:val="24"/>
          <w:lang w:eastAsia="zh-CN"/>
        </w:rPr>
        <w:t>P</w:t>
      </w:r>
      <w:r w:rsidRPr="005920C4">
        <w:rPr>
          <w:rFonts w:ascii="Times New Roman" w:hAnsi="Times New Roman" w:cs="Times New Roman"/>
          <w:color w:val="000000" w:themeColor="text1"/>
          <w:sz w:val="24"/>
          <w:szCs w:val="24"/>
        </w:rPr>
        <w:t xml:space="preserve">ast studies examining </w:t>
      </w:r>
      <w:r w:rsidR="002C5294">
        <w:rPr>
          <w:rFonts w:ascii="Times New Roman" w:hAnsi="Times New Roman" w:cs="Times New Roman" w:hint="eastAsia"/>
          <w:color w:val="000000" w:themeColor="text1"/>
          <w:sz w:val="24"/>
          <w:szCs w:val="24"/>
          <w:lang w:eastAsia="zh-CN"/>
        </w:rPr>
        <w:t>ESG</w:t>
      </w:r>
      <w:r w:rsidRPr="005920C4">
        <w:rPr>
          <w:rFonts w:ascii="Times New Roman" w:hAnsi="Times New Roman" w:cs="Times New Roman"/>
          <w:color w:val="000000" w:themeColor="text1"/>
          <w:sz w:val="24"/>
          <w:szCs w:val="24"/>
        </w:rPr>
        <w:t xml:space="preserve"> performance and institutional investment</w:t>
      </w:r>
      <w:r w:rsidRPr="00724CA2">
        <w:rPr>
          <w:rFonts w:ascii="Times New Roman" w:hAnsi="Times New Roman" w:cs="Times New Roman"/>
          <w:b/>
          <w:bCs/>
          <w:color w:val="000000" w:themeColor="text1"/>
          <w:sz w:val="24"/>
          <w:szCs w:val="24"/>
        </w:rPr>
        <w:t xml:space="preserve"> </w:t>
      </w:r>
    </w:p>
    <w:tbl>
      <w:tblPr>
        <w:tblStyle w:val="TableGrid"/>
        <w:tblW w:w="9214" w:type="dxa"/>
        <w:jc w:val="center"/>
        <w:tblBorders>
          <w:top w:val="single" w:sz="12" w:space="0" w:color="auto"/>
          <w:bottom w:val="single" w:sz="12" w:space="0" w:color="auto"/>
        </w:tblBorders>
        <w:tblLook w:val="04A0" w:firstRow="1" w:lastRow="0" w:firstColumn="1" w:lastColumn="0" w:noHBand="0" w:noVBand="1"/>
      </w:tblPr>
      <w:tblGrid>
        <w:gridCol w:w="2574"/>
        <w:gridCol w:w="2055"/>
        <w:gridCol w:w="1941"/>
        <w:gridCol w:w="2644"/>
      </w:tblGrid>
      <w:tr w:rsidR="005920C4" w:rsidRPr="00724CA2" w14:paraId="6826347C" w14:textId="77777777" w:rsidTr="00F84966">
        <w:trPr>
          <w:trHeight w:val="438"/>
          <w:jc w:val="center"/>
        </w:trPr>
        <w:tc>
          <w:tcPr>
            <w:tcW w:w="9214" w:type="dxa"/>
            <w:gridSpan w:val="4"/>
            <w:vAlign w:val="center"/>
          </w:tcPr>
          <w:p w14:paraId="1B535D12" w14:textId="77777777" w:rsidR="005920C4" w:rsidRPr="00724CA2" w:rsidRDefault="005920C4" w:rsidP="00F84966">
            <w:pPr>
              <w:rPr>
                <w:rFonts w:ascii="Times New Roman" w:hAnsi="Times New Roman" w:cs="Times New Roman"/>
                <w:b/>
                <w:bCs/>
                <w:color w:val="000000" w:themeColor="text1"/>
              </w:rPr>
            </w:pPr>
            <w:r w:rsidRPr="00724CA2">
              <w:rPr>
                <w:rFonts w:ascii="Times New Roman" w:hAnsi="Times New Roman" w:cs="Times New Roman"/>
                <w:b/>
                <w:bCs/>
                <w:color w:val="000000" w:themeColor="text1"/>
              </w:rPr>
              <w:t>Past Assessments using CSR/ESG Indices</w:t>
            </w:r>
          </w:p>
        </w:tc>
      </w:tr>
      <w:tr w:rsidR="005920C4" w:rsidRPr="00724CA2" w14:paraId="711D7FE0" w14:textId="77777777" w:rsidTr="00F84966">
        <w:trPr>
          <w:jc w:val="center"/>
        </w:trPr>
        <w:tc>
          <w:tcPr>
            <w:tcW w:w="2574" w:type="dxa"/>
            <w:vAlign w:val="center"/>
          </w:tcPr>
          <w:p w14:paraId="1CB854B0"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Authors</w:t>
            </w:r>
          </w:p>
        </w:tc>
        <w:tc>
          <w:tcPr>
            <w:tcW w:w="2055" w:type="dxa"/>
            <w:vAlign w:val="center"/>
          </w:tcPr>
          <w:p w14:paraId="66959D08"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 xml:space="preserve">Area </w:t>
            </w:r>
          </w:p>
        </w:tc>
        <w:tc>
          <w:tcPr>
            <w:tcW w:w="1941" w:type="dxa"/>
            <w:vAlign w:val="center"/>
          </w:tcPr>
          <w:p w14:paraId="14B6257C"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Institutional investors (II)</w:t>
            </w:r>
          </w:p>
        </w:tc>
        <w:tc>
          <w:tcPr>
            <w:tcW w:w="2644" w:type="dxa"/>
            <w:vAlign w:val="center"/>
          </w:tcPr>
          <w:p w14:paraId="2AC8B6E7"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Relationship: investment and ESG/CRS indices</w:t>
            </w:r>
          </w:p>
        </w:tc>
      </w:tr>
      <w:tr w:rsidR="005920C4" w:rsidRPr="00724CA2" w14:paraId="50C7A9C6" w14:textId="77777777" w:rsidTr="00F84966">
        <w:trPr>
          <w:jc w:val="center"/>
        </w:trPr>
        <w:tc>
          <w:tcPr>
            <w:tcW w:w="2574" w:type="dxa"/>
            <w:vAlign w:val="center"/>
          </w:tcPr>
          <w:p w14:paraId="13BFAAEA"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 xml:space="preserve">Alda, 2018. </w:t>
            </w:r>
          </w:p>
          <w:p w14:paraId="3B0C9445" w14:textId="77777777" w:rsidR="005920C4" w:rsidRPr="00724CA2" w:rsidRDefault="005920C4" w:rsidP="00F84966">
            <w:pPr>
              <w:rPr>
                <w:rFonts w:ascii="Times New Roman" w:hAnsi="Times New Roman" w:cs="Times New Roman"/>
                <w:color w:val="000000" w:themeColor="text1"/>
              </w:rPr>
            </w:pPr>
          </w:p>
        </w:tc>
        <w:tc>
          <w:tcPr>
            <w:tcW w:w="2055" w:type="dxa"/>
            <w:vAlign w:val="center"/>
          </w:tcPr>
          <w:p w14:paraId="6CA0FCEC"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UK</w:t>
            </w:r>
          </w:p>
        </w:tc>
        <w:tc>
          <w:tcPr>
            <w:tcW w:w="1941" w:type="dxa"/>
            <w:vAlign w:val="center"/>
          </w:tcPr>
          <w:p w14:paraId="7713CC1D"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Domestic equity/pension funds</w:t>
            </w:r>
          </w:p>
        </w:tc>
        <w:tc>
          <w:tcPr>
            <w:tcW w:w="2644" w:type="dxa"/>
            <w:vAlign w:val="center"/>
          </w:tcPr>
          <w:p w14:paraId="4D8A6168"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‘+’ve relationship</w:t>
            </w:r>
          </w:p>
        </w:tc>
      </w:tr>
      <w:tr w:rsidR="005920C4" w:rsidRPr="00724CA2" w14:paraId="3CDF99C2" w14:textId="77777777" w:rsidTr="00F84966">
        <w:trPr>
          <w:jc w:val="center"/>
        </w:trPr>
        <w:tc>
          <w:tcPr>
            <w:tcW w:w="2574" w:type="dxa"/>
            <w:vAlign w:val="center"/>
          </w:tcPr>
          <w:p w14:paraId="16C8E65A"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 xml:space="preserve">Aluchna et al 2022. </w:t>
            </w:r>
          </w:p>
        </w:tc>
        <w:tc>
          <w:tcPr>
            <w:tcW w:w="2055" w:type="dxa"/>
            <w:vAlign w:val="center"/>
          </w:tcPr>
          <w:p w14:paraId="3439C0DF"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Poland</w:t>
            </w:r>
          </w:p>
        </w:tc>
        <w:tc>
          <w:tcPr>
            <w:tcW w:w="1941" w:type="dxa"/>
            <w:vAlign w:val="center"/>
          </w:tcPr>
          <w:p w14:paraId="26A8EB01"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II</w:t>
            </w:r>
          </w:p>
        </w:tc>
        <w:tc>
          <w:tcPr>
            <w:tcW w:w="2644" w:type="dxa"/>
            <w:vAlign w:val="center"/>
          </w:tcPr>
          <w:p w14:paraId="394C3D7C"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w:t>
            </w:r>
            <w:r>
              <w:rPr>
                <w:rFonts w:ascii="Times New Roman" w:hAnsi="Times New Roman" w:cs="Times New Roman"/>
                <w:color w:val="000000" w:themeColor="text1"/>
              </w:rPr>
              <w:t>’</w:t>
            </w:r>
            <w:r w:rsidRPr="00724CA2">
              <w:rPr>
                <w:rFonts w:ascii="Times New Roman" w:hAnsi="Times New Roman" w:cs="Times New Roman"/>
                <w:color w:val="000000" w:themeColor="text1"/>
              </w:rPr>
              <w:t>ve relationship</w:t>
            </w:r>
          </w:p>
        </w:tc>
      </w:tr>
      <w:tr w:rsidR="005920C4" w:rsidRPr="00724CA2" w14:paraId="1B071147" w14:textId="77777777" w:rsidTr="00F84966">
        <w:trPr>
          <w:jc w:val="center"/>
        </w:trPr>
        <w:tc>
          <w:tcPr>
            <w:tcW w:w="2574" w:type="dxa"/>
            <w:vAlign w:val="center"/>
          </w:tcPr>
          <w:p w14:paraId="691A8DE7"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 xml:space="preserve">Cheng et al., 2022. </w:t>
            </w:r>
          </w:p>
          <w:p w14:paraId="3AC2BC5F" w14:textId="77777777" w:rsidR="005920C4" w:rsidRPr="00724CA2" w:rsidRDefault="005920C4" w:rsidP="00F84966">
            <w:pPr>
              <w:rPr>
                <w:rFonts w:ascii="Times New Roman" w:hAnsi="Times New Roman" w:cs="Times New Roman"/>
                <w:color w:val="000000" w:themeColor="text1"/>
              </w:rPr>
            </w:pPr>
          </w:p>
        </w:tc>
        <w:tc>
          <w:tcPr>
            <w:tcW w:w="2055" w:type="dxa"/>
            <w:vAlign w:val="center"/>
          </w:tcPr>
          <w:p w14:paraId="5BC1601A"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North America</w:t>
            </w:r>
          </w:p>
        </w:tc>
        <w:tc>
          <w:tcPr>
            <w:tcW w:w="1941" w:type="dxa"/>
            <w:vAlign w:val="center"/>
          </w:tcPr>
          <w:p w14:paraId="2490AC40"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II</w:t>
            </w:r>
          </w:p>
        </w:tc>
        <w:tc>
          <w:tcPr>
            <w:tcW w:w="2644" w:type="dxa"/>
            <w:vAlign w:val="center"/>
          </w:tcPr>
          <w:p w14:paraId="5D2CCED1"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w:t>
            </w:r>
            <w:r>
              <w:rPr>
                <w:rFonts w:ascii="Times New Roman" w:hAnsi="Times New Roman" w:cs="Times New Roman"/>
                <w:color w:val="000000" w:themeColor="text1"/>
              </w:rPr>
              <w:t>’</w:t>
            </w:r>
            <w:r w:rsidRPr="00724CA2">
              <w:rPr>
                <w:rFonts w:ascii="Times New Roman" w:hAnsi="Times New Roman" w:cs="Times New Roman"/>
                <w:color w:val="000000" w:themeColor="text1"/>
              </w:rPr>
              <w:t>ve relationship</w:t>
            </w:r>
          </w:p>
        </w:tc>
      </w:tr>
      <w:tr w:rsidR="005920C4" w:rsidRPr="00724CA2" w14:paraId="0A0CA118" w14:textId="77777777" w:rsidTr="00F84966">
        <w:trPr>
          <w:jc w:val="center"/>
        </w:trPr>
        <w:tc>
          <w:tcPr>
            <w:tcW w:w="2574" w:type="dxa"/>
            <w:vAlign w:val="center"/>
          </w:tcPr>
          <w:p w14:paraId="792E931A"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Erhemjamts and Haung, 2019.</w:t>
            </w:r>
          </w:p>
        </w:tc>
        <w:tc>
          <w:tcPr>
            <w:tcW w:w="2055" w:type="dxa"/>
            <w:vAlign w:val="center"/>
          </w:tcPr>
          <w:p w14:paraId="0ACE4323"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USA</w:t>
            </w:r>
          </w:p>
        </w:tc>
        <w:tc>
          <w:tcPr>
            <w:tcW w:w="1941" w:type="dxa"/>
            <w:vAlign w:val="center"/>
          </w:tcPr>
          <w:p w14:paraId="25F23E67"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II</w:t>
            </w:r>
          </w:p>
        </w:tc>
        <w:tc>
          <w:tcPr>
            <w:tcW w:w="2644" w:type="dxa"/>
            <w:vAlign w:val="center"/>
          </w:tcPr>
          <w:p w14:paraId="5950C118"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‘+’ve relationship for long term investors.</w:t>
            </w:r>
          </w:p>
        </w:tc>
      </w:tr>
      <w:tr w:rsidR="005920C4" w:rsidRPr="00724CA2" w14:paraId="7415087F" w14:textId="77777777" w:rsidTr="00F84966">
        <w:trPr>
          <w:jc w:val="center"/>
        </w:trPr>
        <w:tc>
          <w:tcPr>
            <w:tcW w:w="2574" w:type="dxa"/>
            <w:vAlign w:val="center"/>
          </w:tcPr>
          <w:p w14:paraId="218CD45C"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Harjoto et al., 2017.</w:t>
            </w:r>
          </w:p>
        </w:tc>
        <w:tc>
          <w:tcPr>
            <w:tcW w:w="2055" w:type="dxa"/>
            <w:vAlign w:val="center"/>
          </w:tcPr>
          <w:p w14:paraId="32BBA191"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USA</w:t>
            </w:r>
          </w:p>
        </w:tc>
        <w:tc>
          <w:tcPr>
            <w:tcW w:w="1941" w:type="dxa"/>
            <w:vAlign w:val="center"/>
          </w:tcPr>
          <w:p w14:paraId="633210D7"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II</w:t>
            </w:r>
          </w:p>
        </w:tc>
        <w:tc>
          <w:tcPr>
            <w:tcW w:w="2644" w:type="dxa"/>
            <w:vAlign w:val="center"/>
          </w:tcPr>
          <w:p w14:paraId="12BCE7CB"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indeterminant relationship</w:t>
            </w:r>
          </w:p>
        </w:tc>
      </w:tr>
      <w:tr w:rsidR="005920C4" w:rsidRPr="00724CA2" w14:paraId="36329521" w14:textId="77777777" w:rsidTr="00F84966">
        <w:trPr>
          <w:jc w:val="center"/>
        </w:trPr>
        <w:tc>
          <w:tcPr>
            <w:tcW w:w="2574" w:type="dxa"/>
            <w:vAlign w:val="center"/>
          </w:tcPr>
          <w:p w14:paraId="65F3E15A"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Jia et al., 2022.</w:t>
            </w:r>
          </w:p>
        </w:tc>
        <w:tc>
          <w:tcPr>
            <w:tcW w:w="2055" w:type="dxa"/>
            <w:vAlign w:val="center"/>
          </w:tcPr>
          <w:p w14:paraId="58192537"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China</w:t>
            </w:r>
          </w:p>
        </w:tc>
        <w:tc>
          <w:tcPr>
            <w:tcW w:w="1941" w:type="dxa"/>
            <w:vAlign w:val="center"/>
          </w:tcPr>
          <w:p w14:paraId="57B5A1EB"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II</w:t>
            </w:r>
          </w:p>
        </w:tc>
        <w:tc>
          <w:tcPr>
            <w:tcW w:w="2644" w:type="dxa"/>
            <w:vAlign w:val="center"/>
          </w:tcPr>
          <w:p w14:paraId="6E11A6A2"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‘+’ve relationship</w:t>
            </w:r>
          </w:p>
        </w:tc>
      </w:tr>
      <w:tr w:rsidR="005920C4" w:rsidRPr="00724CA2" w14:paraId="55907DDF" w14:textId="77777777" w:rsidTr="00F84966">
        <w:trPr>
          <w:jc w:val="center"/>
        </w:trPr>
        <w:tc>
          <w:tcPr>
            <w:tcW w:w="2574" w:type="dxa"/>
            <w:vAlign w:val="center"/>
          </w:tcPr>
          <w:p w14:paraId="4D8FEBA1"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 xml:space="preserve">Li et al., 2021. </w:t>
            </w:r>
          </w:p>
        </w:tc>
        <w:tc>
          <w:tcPr>
            <w:tcW w:w="2055" w:type="dxa"/>
            <w:vAlign w:val="center"/>
          </w:tcPr>
          <w:p w14:paraId="254F54C2"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USA</w:t>
            </w:r>
          </w:p>
        </w:tc>
        <w:tc>
          <w:tcPr>
            <w:tcW w:w="1941" w:type="dxa"/>
            <w:vAlign w:val="center"/>
          </w:tcPr>
          <w:p w14:paraId="6F736513"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Mutual funds</w:t>
            </w:r>
          </w:p>
        </w:tc>
        <w:tc>
          <w:tcPr>
            <w:tcW w:w="2644" w:type="dxa"/>
            <w:vAlign w:val="center"/>
          </w:tcPr>
          <w:p w14:paraId="38F9787F"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‘+’ve relationship</w:t>
            </w:r>
          </w:p>
        </w:tc>
      </w:tr>
      <w:tr w:rsidR="005920C4" w:rsidRPr="00724CA2" w14:paraId="44621096" w14:textId="77777777" w:rsidTr="00F84966">
        <w:trPr>
          <w:jc w:val="center"/>
        </w:trPr>
        <w:tc>
          <w:tcPr>
            <w:tcW w:w="2574" w:type="dxa"/>
            <w:vAlign w:val="center"/>
          </w:tcPr>
          <w:p w14:paraId="2339B6C5"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McGuniness et al., 2017.</w:t>
            </w:r>
          </w:p>
        </w:tc>
        <w:tc>
          <w:tcPr>
            <w:tcW w:w="2055" w:type="dxa"/>
            <w:vAlign w:val="center"/>
          </w:tcPr>
          <w:p w14:paraId="78256679"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International</w:t>
            </w:r>
          </w:p>
        </w:tc>
        <w:tc>
          <w:tcPr>
            <w:tcW w:w="1941" w:type="dxa"/>
            <w:vAlign w:val="center"/>
          </w:tcPr>
          <w:p w14:paraId="4DD93807"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Foreign II</w:t>
            </w:r>
          </w:p>
        </w:tc>
        <w:tc>
          <w:tcPr>
            <w:tcW w:w="2644" w:type="dxa"/>
            <w:vAlign w:val="center"/>
          </w:tcPr>
          <w:p w14:paraId="214738FD"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‘+’ve relationship</w:t>
            </w:r>
          </w:p>
        </w:tc>
      </w:tr>
      <w:tr w:rsidR="005920C4" w:rsidRPr="00724CA2" w14:paraId="334380E9" w14:textId="77777777" w:rsidTr="00F84966">
        <w:trPr>
          <w:jc w:val="center"/>
        </w:trPr>
        <w:tc>
          <w:tcPr>
            <w:tcW w:w="2574" w:type="dxa"/>
            <w:vAlign w:val="center"/>
          </w:tcPr>
          <w:p w14:paraId="012319B2"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 xml:space="preserve">Nofsinger et al., 2019.  </w:t>
            </w:r>
          </w:p>
        </w:tc>
        <w:tc>
          <w:tcPr>
            <w:tcW w:w="2055" w:type="dxa"/>
            <w:vAlign w:val="center"/>
          </w:tcPr>
          <w:p w14:paraId="3A9D74EA"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USA</w:t>
            </w:r>
          </w:p>
        </w:tc>
        <w:tc>
          <w:tcPr>
            <w:tcW w:w="1941" w:type="dxa"/>
            <w:vAlign w:val="center"/>
          </w:tcPr>
          <w:p w14:paraId="459B1824"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II</w:t>
            </w:r>
          </w:p>
        </w:tc>
        <w:tc>
          <w:tcPr>
            <w:tcW w:w="2644" w:type="dxa"/>
            <w:vAlign w:val="center"/>
          </w:tcPr>
          <w:p w14:paraId="69F9E7EE"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indeterminant relationship</w:t>
            </w:r>
          </w:p>
        </w:tc>
      </w:tr>
      <w:tr w:rsidR="005920C4" w:rsidRPr="00724CA2" w14:paraId="01BBF64F" w14:textId="77777777" w:rsidTr="00F84966">
        <w:trPr>
          <w:jc w:val="center"/>
        </w:trPr>
        <w:tc>
          <w:tcPr>
            <w:tcW w:w="2574" w:type="dxa"/>
            <w:vAlign w:val="center"/>
          </w:tcPr>
          <w:p w14:paraId="3FB53041"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 xml:space="preserve">Utza et al., 2015.   </w:t>
            </w:r>
          </w:p>
        </w:tc>
        <w:tc>
          <w:tcPr>
            <w:tcW w:w="2055" w:type="dxa"/>
            <w:vAlign w:val="center"/>
          </w:tcPr>
          <w:p w14:paraId="2508FDA3"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USA</w:t>
            </w:r>
          </w:p>
        </w:tc>
        <w:tc>
          <w:tcPr>
            <w:tcW w:w="1941" w:type="dxa"/>
            <w:vAlign w:val="center"/>
          </w:tcPr>
          <w:p w14:paraId="64F72FC1"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Mutual funds</w:t>
            </w:r>
          </w:p>
        </w:tc>
        <w:tc>
          <w:tcPr>
            <w:tcW w:w="2644" w:type="dxa"/>
            <w:vAlign w:val="center"/>
          </w:tcPr>
          <w:p w14:paraId="79EFDB46"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‘+’ve relationship</w:t>
            </w:r>
          </w:p>
        </w:tc>
      </w:tr>
      <w:tr w:rsidR="005920C4" w:rsidRPr="00724CA2" w14:paraId="47DE90AA" w14:textId="77777777" w:rsidTr="00F84966">
        <w:trPr>
          <w:jc w:val="center"/>
        </w:trPr>
        <w:tc>
          <w:tcPr>
            <w:tcW w:w="2574" w:type="dxa"/>
            <w:vAlign w:val="center"/>
          </w:tcPr>
          <w:p w14:paraId="22E4DB24"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 xml:space="preserve">Wang et al 2023. </w:t>
            </w:r>
          </w:p>
        </w:tc>
        <w:tc>
          <w:tcPr>
            <w:tcW w:w="2055" w:type="dxa"/>
            <w:vAlign w:val="center"/>
          </w:tcPr>
          <w:p w14:paraId="40B7AE86"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China</w:t>
            </w:r>
          </w:p>
        </w:tc>
        <w:tc>
          <w:tcPr>
            <w:tcW w:w="1941" w:type="dxa"/>
            <w:vAlign w:val="center"/>
          </w:tcPr>
          <w:p w14:paraId="61AF2F3B"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II</w:t>
            </w:r>
          </w:p>
        </w:tc>
        <w:tc>
          <w:tcPr>
            <w:tcW w:w="2644" w:type="dxa"/>
            <w:vAlign w:val="center"/>
          </w:tcPr>
          <w:p w14:paraId="18B3E17F"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‘+’ve relationship</w:t>
            </w:r>
          </w:p>
        </w:tc>
      </w:tr>
      <w:tr w:rsidR="005920C4" w:rsidRPr="00724CA2" w14:paraId="0D225129" w14:textId="77777777" w:rsidTr="00F84966">
        <w:trPr>
          <w:jc w:val="center"/>
        </w:trPr>
        <w:tc>
          <w:tcPr>
            <w:tcW w:w="2574" w:type="dxa"/>
            <w:vAlign w:val="center"/>
          </w:tcPr>
          <w:p w14:paraId="4060A732"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 xml:space="preserve">Yahia et al., 2023. </w:t>
            </w:r>
          </w:p>
          <w:p w14:paraId="56FAF00C" w14:textId="77777777" w:rsidR="005920C4" w:rsidRPr="00724CA2" w:rsidRDefault="005920C4" w:rsidP="00F84966">
            <w:pPr>
              <w:rPr>
                <w:rFonts w:ascii="Times New Roman" w:hAnsi="Times New Roman" w:cs="Times New Roman"/>
                <w:color w:val="000000" w:themeColor="text1"/>
              </w:rPr>
            </w:pPr>
          </w:p>
        </w:tc>
        <w:tc>
          <w:tcPr>
            <w:tcW w:w="2055" w:type="dxa"/>
            <w:vAlign w:val="center"/>
          </w:tcPr>
          <w:p w14:paraId="73D7CFC0"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International</w:t>
            </w:r>
          </w:p>
        </w:tc>
        <w:tc>
          <w:tcPr>
            <w:tcW w:w="1941" w:type="dxa"/>
            <w:vAlign w:val="center"/>
          </w:tcPr>
          <w:p w14:paraId="3949FF52"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Foreign II</w:t>
            </w:r>
          </w:p>
        </w:tc>
        <w:tc>
          <w:tcPr>
            <w:tcW w:w="2644" w:type="dxa"/>
            <w:vAlign w:val="center"/>
          </w:tcPr>
          <w:p w14:paraId="66D4CF51"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‘+’ve relationship</w:t>
            </w:r>
          </w:p>
        </w:tc>
      </w:tr>
      <w:tr w:rsidR="005920C4" w:rsidRPr="00724CA2" w14:paraId="5B095009" w14:textId="77777777" w:rsidTr="00F84966">
        <w:trPr>
          <w:jc w:val="center"/>
        </w:trPr>
        <w:tc>
          <w:tcPr>
            <w:tcW w:w="2574" w:type="dxa"/>
            <w:vAlign w:val="center"/>
          </w:tcPr>
          <w:p w14:paraId="78905999"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 xml:space="preserve">Yan et al., 2021.  </w:t>
            </w:r>
          </w:p>
        </w:tc>
        <w:tc>
          <w:tcPr>
            <w:tcW w:w="2055" w:type="dxa"/>
            <w:vAlign w:val="center"/>
          </w:tcPr>
          <w:p w14:paraId="54CA3C44"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International</w:t>
            </w:r>
          </w:p>
        </w:tc>
        <w:tc>
          <w:tcPr>
            <w:tcW w:w="1941" w:type="dxa"/>
            <w:vAlign w:val="center"/>
          </w:tcPr>
          <w:p w14:paraId="6D76D5F1"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Green II.</w:t>
            </w:r>
          </w:p>
        </w:tc>
        <w:tc>
          <w:tcPr>
            <w:tcW w:w="2644" w:type="dxa"/>
            <w:vAlign w:val="center"/>
          </w:tcPr>
          <w:p w14:paraId="02FA6535"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‘+’ve relationship</w:t>
            </w:r>
          </w:p>
        </w:tc>
      </w:tr>
      <w:tr w:rsidR="005920C4" w:rsidRPr="00724CA2" w14:paraId="5E41A923" w14:textId="77777777" w:rsidTr="00F84966">
        <w:trPr>
          <w:jc w:val="center"/>
        </w:trPr>
        <w:tc>
          <w:tcPr>
            <w:tcW w:w="9214" w:type="dxa"/>
            <w:gridSpan w:val="4"/>
            <w:vAlign w:val="center"/>
          </w:tcPr>
          <w:p w14:paraId="0F504271" w14:textId="77777777" w:rsidR="005920C4" w:rsidRPr="00724CA2" w:rsidRDefault="005920C4" w:rsidP="00F84966">
            <w:pPr>
              <w:rPr>
                <w:rFonts w:ascii="Times New Roman" w:hAnsi="Times New Roman" w:cs="Times New Roman"/>
                <w:b/>
                <w:bCs/>
                <w:color w:val="000000" w:themeColor="text1"/>
                <w:sz w:val="24"/>
                <w:szCs w:val="24"/>
              </w:rPr>
            </w:pPr>
          </w:p>
          <w:p w14:paraId="15119303" w14:textId="77777777" w:rsidR="005920C4" w:rsidRPr="00724CA2" w:rsidRDefault="005920C4" w:rsidP="00F84966">
            <w:pPr>
              <w:rPr>
                <w:rFonts w:ascii="Times New Roman" w:hAnsi="Times New Roman" w:cs="Times New Roman"/>
                <w:b/>
                <w:bCs/>
                <w:color w:val="000000" w:themeColor="text1"/>
                <w:sz w:val="24"/>
                <w:szCs w:val="24"/>
              </w:rPr>
            </w:pPr>
            <w:r w:rsidRPr="00724CA2">
              <w:rPr>
                <w:rFonts w:ascii="Times New Roman" w:hAnsi="Times New Roman" w:cs="Times New Roman"/>
                <w:b/>
                <w:bCs/>
                <w:color w:val="000000" w:themeColor="text1"/>
                <w:sz w:val="24"/>
                <w:szCs w:val="24"/>
              </w:rPr>
              <w:t>Past Assessments using alternative metrics</w:t>
            </w:r>
          </w:p>
        </w:tc>
      </w:tr>
      <w:tr w:rsidR="005920C4" w:rsidRPr="00724CA2" w14:paraId="6090ADD0" w14:textId="77777777" w:rsidTr="00F84966">
        <w:trPr>
          <w:jc w:val="center"/>
        </w:trPr>
        <w:tc>
          <w:tcPr>
            <w:tcW w:w="2574" w:type="dxa"/>
            <w:vAlign w:val="center"/>
          </w:tcPr>
          <w:p w14:paraId="180295C2"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Authors</w:t>
            </w:r>
          </w:p>
        </w:tc>
        <w:tc>
          <w:tcPr>
            <w:tcW w:w="2055" w:type="dxa"/>
            <w:vAlign w:val="center"/>
          </w:tcPr>
          <w:p w14:paraId="3637F87D"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 xml:space="preserve">Area </w:t>
            </w:r>
          </w:p>
        </w:tc>
        <w:tc>
          <w:tcPr>
            <w:tcW w:w="1941" w:type="dxa"/>
            <w:vAlign w:val="center"/>
          </w:tcPr>
          <w:p w14:paraId="1C44920D"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Institutional investors (II)</w:t>
            </w:r>
          </w:p>
        </w:tc>
        <w:tc>
          <w:tcPr>
            <w:tcW w:w="2644" w:type="dxa"/>
            <w:vAlign w:val="center"/>
          </w:tcPr>
          <w:p w14:paraId="0DA3D0DF"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 xml:space="preserve">Metrics, links with investment, relationship. </w:t>
            </w:r>
          </w:p>
        </w:tc>
      </w:tr>
      <w:tr w:rsidR="005920C4" w:rsidRPr="00724CA2" w14:paraId="16EFE111" w14:textId="77777777" w:rsidTr="00F84966">
        <w:trPr>
          <w:jc w:val="center"/>
        </w:trPr>
        <w:tc>
          <w:tcPr>
            <w:tcW w:w="2574" w:type="dxa"/>
            <w:vAlign w:val="center"/>
          </w:tcPr>
          <w:p w14:paraId="2968E43F" w14:textId="77777777" w:rsidR="005920C4" w:rsidRPr="00724CA2" w:rsidRDefault="005920C4" w:rsidP="00F84966">
            <w:pPr>
              <w:autoSpaceDE w:val="0"/>
              <w:autoSpaceDN w:val="0"/>
              <w:adjustRightInd w:val="0"/>
              <w:rPr>
                <w:rFonts w:ascii="Times New Roman" w:hAnsi="Times New Roman" w:cs="Times New Roman"/>
                <w:color w:val="000000" w:themeColor="text1"/>
              </w:rPr>
            </w:pPr>
            <w:r w:rsidRPr="00724CA2">
              <w:rPr>
                <w:rFonts w:ascii="Times New Roman" w:hAnsi="Times New Roman" w:cs="Times New Roman"/>
                <w:color w:val="000000" w:themeColor="text1"/>
              </w:rPr>
              <w:t xml:space="preserve">Choy et al., 2023. </w:t>
            </w:r>
          </w:p>
        </w:tc>
        <w:tc>
          <w:tcPr>
            <w:tcW w:w="2055" w:type="dxa"/>
            <w:vAlign w:val="center"/>
          </w:tcPr>
          <w:p w14:paraId="38091D01"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International</w:t>
            </w:r>
          </w:p>
        </w:tc>
        <w:tc>
          <w:tcPr>
            <w:tcW w:w="1941" w:type="dxa"/>
            <w:vAlign w:val="center"/>
          </w:tcPr>
          <w:p w14:paraId="50AA7A37" w14:textId="77777777" w:rsidR="005920C4" w:rsidRPr="00724CA2" w:rsidRDefault="005920C4" w:rsidP="00F84966">
            <w:pPr>
              <w:rPr>
                <w:rFonts w:ascii="Times New Roman" w:hAnsi="Times New Roman" w:cs="Times New Roman"/>
                <w:color w:val="000000" w:themeColor="text1"/>
              </w:rPr>
            </w:pPr>
            <w:r>
              <w:rPr>
                <w:rFonts w:ascii="Times New Roman" w:hAnsi="Times New Roman" w:cs="Times New Roman"/>
                <w:color w:val="000000" w:themeColor="text1"/>
              </w:rPr>
              <w:t>M</w:t>
            </w:r>
            <w:r w:rsidRPr="00724CA2">
              <w:rPr>
                <w:rFonts w:ascii="Times New Roman" w:hAnsi="Times New Roman" w:cs="Times New Roman"/>
                <w:color w:val="000000" w:themeColor="text1"/>
              </w:rPr>
              <w:t>utual funds</w:t>
            </w:r>
          </w:p>
        </w:tc>
        <w:tc>
          <w:tcPr>
            <w:tcW w:w="2644" w:type="dxa"/>
            <w:vAlign w:val="center"/>
          </w:tcPr>
          <w:p w14:paraId="371F7B6E" w14:textId="77777777" w:rsidR="005920C4"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 xml:space="preserve">Social capital. </w:t>
            </w:r>
          </w:p>
          <w:p w14:paraId="4DCEF092"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‘+’ve relationship</w:t>
            </w:r>
          </w:p>
        </w:tc>
      </w:tr>
      <w:tr w:rsidR="005920C4" w:rsidRPr="00724CA2" w14:paraId="2F5E73FC" w14:textId="77777777" w:rsidTr="00F84966">
        <w:trPr>
          <w:jc w:val="center"/>
        </w:trPr>
        <w:tc>
          <w:tcPr>
            <w:tcW w:w="2574" w:type="dxa"/>
            <w:vAlign w:val="center"/>
          </w:tcPr>
          <w:p w14:paraId="0B99FC5B"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Drobetz et al., 202</w:t>
            </w:r>
            <w:r>
              <w:rPr>
                <w:rFonts w:ascii="Times New Roman" w:hAnsi="Times New Roman" w:cs="Times New Roman"/>
                <w:color w:val="000000" w:themeColor="text1"/>
              </w:rPr>
              <w:t>4</w:t>
            </w:r>
            <w:r w:rsidRPr="00724CA2">
              <w:rPr>
                <w:rFonts w:ascii="Times New Roman" w:hAnsi="Times New Roman" w:cs="Times New Roman"/>
                <w:color w:val="000000" w:themeColor="text1"/>
              </w:rPr>
              <w:t>.</w:t>
            </w:r>
          </w:p>
        </w:tc>
        <w:tc>
          <w:tcPr>
            <w:tcW w:w="2055" w:type="dxa"/>
            <w:vAlign w:val="center"/>
          </w:tcPr>
          <w:p w14:paraId="2D72E4DC"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International</w:t>
            </w:r>
          </w:p>
        </w:tc>
        <w:tc>
          <w:tcPr>
            <w:tcW w:w="1941" w:type="dxa"/>
            <w:vAlign w:val="center"/>
          </w:tcPr>
          <w:p w14:paraId="2BC28F6F"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II</w:t>
            </w:r>
          </w:p>
        </w:tc>
        <w:tc>
          <w:tcPr>
            <w:tcW w:w="2644" w:type="dxa"/>
            <w:vAlign w:val="center"/>
          </w:tcPr>
          <w:p w14:paraId="6205620D" w14:textId="77777777" w:rsidR="005920C4"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 xml:space="preserve">Corporate environmental spending. </w:t>
            </w:r>
          </w:p>
          <w:p w14:paraId="038F6691"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w:t>
            </w:r>
            <w:r>
              <w:rPr>
                <w:rFonts w:ascii="Times New Roman" w:hAnsi="Times New Roman" w:cs="Times New Roman"/>
                <w:color w:val="000000" w:themeColor="text1"/>
              </w:rPr>
              <w:t>’</w:t>
            </w:r>
            <w:r w:rsidRPr="00724CA2">
              <w:rPr>
                <w:rFonts w:ascii="Times New Roman" w:hAnsi="Times New Roman" w:cs="Times New Roman"/>
                <w:color w:val="000000" w:themeColor="text1"/>
              </w:rPr>
              <w:t>ve relationship’</w:t>
            </w:r>
          </w:p>
        </w:tc>
      </w:tr>
      <w:tr w:rsidR="005920C4" w:rsidRPr="00724CA2" w14:paraId="3D5A0738" w14:textId="77777777" w:rsidTr="00F84966">
        <w:trPr>
          <w:jc w:val="center"/>
        </w:trPr>
        <w:tc>
          <w:tcPr>
            <w:tcW w:w="2574" w:type="dxa"/>
            <w:vAlign w:val="center"/>
          </w:tcPr>
          <w:p w14:paraId="559463EF" w14:textId="77777777" w:rsidR="005920C4" w:rsidRPr="00724CA2" w:rsidRDefault="005920C4" w:rsidP="00F84966">
            <w:pPr>
              <w:spacing w:after="160"/>
              <w:rPr>
                <w:rFonts w:ascii="Times New Roman" w:hAnsi="Times New Roman" w:cs="Times New Roman"/>
                <w:color w:val="000000" w:themeColor="text1"/>
              </w:rPr>
            </w:pPr>
            <w:r w:rsidRPr="00724CA2">
              <w:rPr>
                <w:rFonts w:ascii="Times New Roman" w:hAnsi="Times New Roman" w:cs="Times New Roman"/>
                <w:color w:val="000000" w:themeColor="text1"/>
              </w:rPr>
              <w:t>García-Sánchez et al., 2020.</w:t>
            </w:r>
          </w:p>
        </w:tc>
        <w:tc>
          <w:tcPr>
            <w:tcW w:w="2055" w:type="dxa"/>
            <w:vAlign w:val="center"/>
          </w:tcPr>
          <w:p w14:paraId="38CABC6A"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International</w:t>
            </w:r>
          </w:p>
        </w:tc>
        <w:tc>
          <w:tcPr>
            <w:tcW w:w="1941" w:type="dxa"/>
            <w:vAlign w:val="center"/>
          </w:tcPr>
          <w:p w14:paraId="54AAFA42"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International II</w:t>
            </w:r>
          </w:p>
        </w:tc>
        <w:tc>
          <w:tcPr>
            <w:tcW w:w="2644" w:type="dxa"/>
            <w:vAlign w:val="center"/>
          </w:tcPr>
          <w:p w14:paraId="3E4FA851" w14:textId="77777777" w:rsidR="005920C4"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Firms</w:t>
            </w:r>
            <w:r>
              <w:rPr>
                <w:rFonts w:ascii="Times New Roman" w:hAnsi="Times New Roman" w:cs="Times New Roman"/>
                <w:color w:val="000000" w:themeColor="text1"/>
              </w:rPr>
              <w:t xml:space="preserve">’ </w:t>
            </w:r>
            <w:r w:rsidRPr="00724CA2">
              <w:rPr>
                <w:rFonts w:ascii="Times New Roman" w:hAnsi="Times New Roman" w:cs="Times New Roman"/>
                <w:color w:val="000000" w:themeColor="text1"/>
              </w:rPr>
              <w:t xml:space="preserve">sustainability reports. </w:t>
            </w:r>
          </w:p>
          <w:p w14:paraId="10F90C50"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‘+’ve relationship</w:t>
            </w:r>
          </w:p>
        </w:tc>
      </w:tr>
      <w:tr w:rsidR="005920C4" w:rsidRPr="00724CA2" w14:paraId="46613A47" w14:textId="77777777" w:rsidTr="00F84966">
        <w:trPr>
          <w:jc w:val="center"/>
        </w:trPr>
        <w:tc>
          <w:tcPr>
            <w:tcW w:w="2574" w:type="dxa"/>
            <w:vAlign w:val="center"/>
          </w:tcPr>
          <w:p w14:paraId="41D3C4FD" w14:textId="77777777" w:rsidR="005920C4" w:rsidRPr="00724CA2" w:rsidRDefault="005920C4" w:rsidP="00F84966">
            <w:pPr>
              <w:autoSpaceDE w:val="0"/>
              <w:autoSpaceDN w:val="0"/>
              <w:adjustRightInd w:val="0"/>
              <w:rPr>
                <w:rFonts w:ascii="Times New Roman" w:hAnsi="Times New Roman" w:cs="Times New Roman"/>
                <w:color w:val="000000" w:themeColor="text1"/>
              </w:rPr>
            </w:pPr>
            <w:r w:rsidRPr="00724CA2">
              <w:rPr>
                <w:rFonts w:ascii="Times New Roman" w:hAnsi="Times New Roman" w:cs="Times New Roman"/>
                <w:color w:val="000000" w:themeColor="text1"/>
              </w:rPr>
              <w:t xml:space="preserve">Jiang et al., 2022. </w:t>
            </w:r>
          </w:p>
        </w:tc>
        <w:tc>
          <w:tcPr>
            <w:tcW w:w="2055" w:type="dxa"/>
            <w:vAlign w:val="center"/>
          </w:tcPr>
          <w:p w14:paraId="7438E8FC"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China</w:t>
            </w:r>
          </w:p>
        </w:tc>
        <w:tc>
          <w:tcPr>
            <w:tcW w:w="1941" w:type="dxa"/>
            <w:vAlign w:val="center"/>
          </w:tcPr>
          <w:p w14:paraId="464F0BE6"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 xml:space="preserve">II </w:t>
            </w:r>
          </w:p>
        </w:tc>
        <w:tc>
          <w:tcPr>
            <w:tcW w:w="2644" w:type="dxa"/>
            <w:vAlign w:val="center"/>
          </w:tcPr>
          <w:p w14:paraId="6188563D"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Corporate site visits by II ‘+’ve relationship</w:t>
            </w:r>
          </w:p>
        </w:tc>
      </w:tr>
      <w:tr w:rsidR="005920C4" w:rsidRPr="00724CA2" w14:paraId="34407E28" w14:textId="77777777" w:rsidTr="00F84966">
        <w:trPr>
          <w:jc w:val="center"/>
        </w:trPr>
        <w:tc>
          <w:tcPr>
            <w:tcW w:w="2574" w:type="dxa"/>
            <w:vAlign w:val="center"/>
          </w:tcPr>
          <w:p w14:paraId="1B0580A6" w14:textId="77777777" w:rsidR="005920C4" w:rsidRPr="00724CA2" w:rsidRDefault="005920C4" w:rsidP="00F84966">
            <w:pPr>
              <w:autoSpaceDE w:val="0"/>
              <w:autoSpaceDN w:val="0"/>
              <w:adjustRightInd w:val="0"/>
              <w:spacing w:before="240"/>
              <w:rPr>
                <w:rFonts w:ascii="Times New Roman" w:hAnsi="Times New Roman" w:cs="Times New Roman"/>
                <w:color w:val="000000" w:themeColor="text1"/>
              </w:rPr>
            </w:pPr>
            <w:r w:rsidRPr="00724CA2">
              <w:rPr>
                <w:rFonts w:ascii="Times New Roman" w:hAnsi="Times New Roman" w:cs="Times New Roman"/>
                <w:color w:val="000000" w:themeColor="text1"/>
              </w:rPr>
              <w:t xml:space="preserve">Matallín-Salez et al., 2019. </w:t>
            </w:r>
          </w:p>
        </w:tc>
        <w:tc>
          <w:tcPr>
            <w:tcW w:w="2055" w:type="dxa"/>
            <w:vAlign w:val="center"/>
          </w:tcPr>
          <w:p w14:paraId="3D252564"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 xml:space="preserve">International </w:t>
            </w:r>
          </w:p>
        </w:tc>
        <w:tc>
          <w:tcPr>
            <w:tcW w:w="1941" w:type="dxa"/>
            <w:vAlign w:val="center"/>
          </w:tcPr>
          <w:p w14:paraId="551832F0"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Mutual funds</w:t>
            </w:r>
          </w:p>
        </w:tc>
        <w:tc>
          <w:tcPr>
            <w:tcW w:w="2644" w:type="dxa"/>
            <w:vAlign w:val="center"/>
          </w:tcPr>
          <w:p w14:paraId="1C66F137"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Voluntary corporate social performance. Indeterminant</w:t>
            </w:r>
            <w:r>
              <w:rPr>
                <w:rFonts w:ascii="Times New Roman" w:hAnsi="Times New Roman" w:cs="Times New Roman"/>
                <w:color w:val="000000" w:themeColor="text1"/>
              </w:rPr>
              <w:t xml:space="preserve"> </w:t>
            </w:r>
            <w:r w:rsidRPr="00724CA2">
              <w:rPr>
                <w:rFonts w:ascii="Times New Roman" w:hAnsi="Times New Roman" w:cs="Times New Roman"/>
                <w:color w:val="000000" w:themeColor="text1"/>
              </w:rPr>
              <w:t xml:space="preserve">relationship. </w:t>
            </w:r>
          </w:p>
        </w:tc>
      </w:tr>
      <w:tr w:rsidR="005920C4" w:rsidRPr="00724CA2" w14:paraId="2F54710E" w14:textId="77777777" w:rsidTr="00F84966">
        <w:trPr>
          <w:jc w:val="center"/>
        </w:trPr>
        <w:tc>
          <w:tcPr>
            <w:tcW w:w="2574" w:type="dxa"/>
            <w:vAlign w:val="center"/>
          </w:tcPr>
          <w:p w14:paraId="2934A0B2" w14:textId="77777777" w:rsidR="005920C4" w:rsidRPr="00724CA2" w:rsidRDefault="005920C4" w:rsidP="00F84966">
            <w:pPr>
              <w:autoSpaceDE w:val="0"/>
              <w:autoSpaceDN w:val="0"/>
              <w:adjustRightInd w:val="0"/>
              <w:spacing w:before="240"/>
              <w:rPr>
                <w:rFonts w:ascii="Times New Roman" w:hAnsi="Times New Roman" w:cs="Times New Roman"/>
                <w:color w:val="000000" w:themeColor="text1"/>
              </w:rPr>
            </w:pPr>
            <w:r w:rsidRPr="00724CA2">
              <w:rPr>
                <w:rFonts w:ascii="Times New Roman" w:hAnsi="Times New Roman" w:cs="Times New Roman"/>
                <w:color w:val="000000" w:themeColor="text1"/>
              </w:rPr>
              <w:t xml:space="preserve">McCahery et al., 2022. </w:t>
            </w:r>
          </w:p>
        </w:tc>
        <w:tc>
          <w:tcPr>
            <w:tcW w:w="2055" w:type="dxa"/>
            <w:vAlign w:val="center"/>
          </w:tcPr>
          <w:p w14:paraId="6305902C"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USA</w:t>
            </w:r>
          </w:p>
        </w:tc>
        <w:tc>
          <w:tcPr>
            <w:tcW w:w="1941" w:type="dxa"/>
            <w:vAlign w:val="center"/>
          </w:tcPr>
          <w:p w14:paraId="6778DB12"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 xml:space="preserve">Private and venture capital  </w:t>
            </w:r>
          </w:p>
        </w:tc>
        <w:tc>
          <w:tcPr>
            <w:tcW w:w="2644" w:type="dxa"/>
            <w:vAlign w:val="center"/>
          </w:tcPr>
          <w:p w14:paraId="227941BE" w14:textId="77777777" w:rsidR="005920C4" w:rsidRDefault="005920C4" w:rsidP="00F84966">
            <w:pPr>
              <w:rPr>
                <w:rFonts w:ascii="Times New Roman" w:hAnsi="Times New Roman" w:cs="Times New Roman"/>
                <w:color w:val="000000" w:themeColor="text1"/>
              </w:rPr>
            </w:pPr>
            <w:r>
              <w:rPr>
                <w:rFonts w:ascii="Times New Roman" w:hAnsi="Times New Roman" w:cs="Times New Roman"/>
                <w:color w:val="000000" w:themeColor="text1"/>
              </w:rPr>
              <w:t>U</w:t>
            </w:r>
            <w:r w:rsidRPr="00724CA2">
              <w:rPr>
                <w:rFonts w:ascii="Times New Roman" w:hAnsi="Times New Roman" w:cs="Times New Roman"/>
                <w:color w:val="000000" w:themeColor="text1"/>
              </w:rPr>
              <w:t xml:space="preserve">sing interview data. </w:t>
            </w:r>
          </w:p>
          <w:p w14:paraId="20DBE7B3"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‘+’ve relationship.</w:t>
            </w:r>
          </w:p>
        </w:tc>
      </w:tr>
      <w:tr w:rsidR="005920C4" w:rsidRPr="00724CA2" w14:paraId="256040B3" w14:textId="77777777" w:rsidTr="00F84966">
        <w:trPr>
          <w:jc w:val="center"/>
        </w:trPr>
        <w:tc>
          <w:tcPr>
            <w:tcW w:w="2574" w:type="dxa"/>
            <w:shd w:val="clear" w:color="auto" w:fill="auto"/>
            <w:vAlign w:val="center"/>
          </w:tcPr>
          <w:p w14:paraId="5581F44F"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 xml:space="preserve">Raghunandan </w:t>
            </w:r>
            <w:r>
              <w:rPr>
                <w:rFonts w:ascii="Times New Roman" w:hAnsi="Times New Roman" w:cs="Times New Roman"/>
                <w:color w:val="000000" w:themeColor="text1"/>
              </w:rPr>
              <w:t>and</w:t>
            </w:r>
            <w:r w:rsidRPr="00724CA2">
              <w:rPr>
                <w:rFonts w:ascii="Times New Roman" w:hAnsi="Times New Roman" w:cs="Times New Roman"/>
                <w:color w:val="000000" w:themeColor="text1"/>
              </w:rPr>
              <w:t xml:space="preserve"> Rajgopal, 2022.  </w:t>
            </w:r>
          </w:p>
        </w:tc>
        <w:tc>
          <w:tcPr>
            <w:tcW w:w="2055" w:type="dxa"/>
            <w:shd w:val="clear" w:color="auto" w:fill="auto"/>
            <w:vAlign w:val="center"/>
          </w:tcPr>
          <w:p w14:paraId="75866CD0"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USA</w:t>
            </w:r>
          </w:p>
        </w:tc>
        <w:tc>
          <w:tcPr>
            <w:tcW w:w="1941" w:type="dxa"/>
            <w:shd w:val="clear" w:color="auto" w:fill="auto"/>
            <w:vAlign w:val="center"/>
          </w:tcPr>
          <w:p w14:paraId="410959E7"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Mutual funds</w:t>
            </w:r>
          </w:p>
        </w:tc>
        <w:tc>
          <w:tcPr>
            <w:tcW w:w="2644" w:type="dxa"/>
            <w:shd w:val="clear" w:color="auto" w:fill="auto"/>
            <w:vAlign w:val="center"/>
          </w:tcPr>
          <w:p w14:paraId="1ECAD3F4" w14:textId="77777777" w:rsidR="005920C4"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Compliance violations</w:t>
            </w:r>
            <w:r>
              <w:rPr>
                <w:rFonts w:ascii="Times New Roman" w:hAnsi="Times New Roman" w:cs="Times New Roman"/>
                <w:color w:val="000000" w:themeColor="text1"/>
              </w:rPr>
              <w:t>.</w:t>
            </w:r>
          </w:p>
          <w:p w14:paraId="6631F3BB"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‘-’ve relationship</w:t>
            </w:r>
          </w:p>
        </w:tc>
      </w:tr>
      <w:tr w:rsidR="005920C4" w:rsidRPr="00724CA2" w14:paraId="3F602F86" w14:textId="77777777" w:rsidTr="00F84966">
        <w:trPr>
          <w:jc w:val="center"/>
        </w:trPr>
        <w:tc>
          <w:tcPr>
            <w:tcW w:w="2574" w:type="dxa"/>
            <w:vAlign w:val="center"/>
          </w:tcPr>
          <w:p w14:paraId="789EDEDA" w14:textId="77777777" w:rsidR="005920C4" w:rsidRPr="00724CA2" w:rsidRDefault="005920C4" w:rsidP="00F84966">
            <w:pPr>
              <w:autoSpaceDE w:val="0"/>
              <w:autoSpaceDN w:val="0"/>
              <w:adjustRightInd w:val="0"/>
              <w:spacing w:before="240"/>
              <w:rPr>
                <w:rFonts w:ascii="Times New Roman" w:hAnsi="Times New Roman" w:cs="Times New Roman"/>
                <w:color w:val="000000" w:themeColor="text1"/>
              </w:rPr>
            </w:pPr>
            <w:r w:rsidRPr="00724CA2">
              <w:rPr>
                <w:rFonts w:ascii="Times New Roman" w:hAnsi="Times New Roman" w:cs="Times New Roman"/>
                <w:color w:val="000000" w:themeColor="text1"/>
              </w:rPr>
              <w:t>Wang and Chen, 2017.</w:t>
            </w:r>
          </w:p>
        </w:tc>
        <w:tc>
          <w:tcPr>
            <w:tcW w:w="2055" w:type="dxa"/>
            <w:vAlign w:val="center"/>
          </w:tcPr>
          <w:p w14:paraId="01D84A82"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China</w:t>
            </w:r>
          </w:p>
        </w:tc>
        <w:tc>
          <w:tcPr>
            <w:tcW w:w="1941" w:type="dxa"/>
            <w:vAlign w:val="center"/>
          </w:tcPr>
          <w:p w14:paraId="61AF13B3" w14:textId="77777777" w:rsidR="005920C4" w:rsidRPr="00724CA2" w:rsidRDefault="005920C4" w:rsidP="00F84966">
            <w:pPr>
              <w:rPr>
                <w:rFonts w:ascii="Times New Roman" w:hAnsi="Times New Roman" w:cs="Times New Roman"/>
                <w:color w:val="000000" w:themeColor="text1"/>
              </w:rPr>
            </w:pPr>
            <w:r>
              <w:rPr>
                <w:rFonts w:ascii="Times New Roman" w:hAnsi="Times New Roman" w:cs="Times New Roman"/>
                <w:color w:val="000000" w:themeColor="text1"/>
              </w:rPr>
              <w:t>F</w:t>
            </w:r>
            <w:r w:rsidRPr="00724CA2">
              <w:rPr>
                <w:rFonts w:ascii="Times New Roman" w:hAnsi="Times New Roman" w:cs="Times New Roman"/>
                <w:color w:val="000000" w:themeColor="text1"/>
              </w:rPr>
              <w:t>oreign II</w:t>
            </w:r>
          </w:p>
        </w:tc>
        <w:tc>
          <w:tcPr>
            <w:tcW w:w="2644" w:type="dxa"/>
            <w:vAlign w:val="center"/>
          </w:tcPr>
          <w:p w14:paraId="149395E5" w14:textId="77777777" w:rsidR="005920C4" w:rsidRDefault="005920C4" w:rsidP="00F84966">
            <w:pPr>
              <w:rPr>
                <w:rFonts w:ascii="Times New Roman" w:hAnsi="Times New Roman" w:cs="Times New Roman"/>
                <w:color w:val="000000" w:themeColor="text1"/>
              </w:rPr>
            </w:pPr>
            <w:r>
              <w:rPr>
                <w:rFonts w:ascii="Times New Roman" w:hAnsi="Times New Roman" w:cs="Times New Roman"/>
                <w:color w:val="000000" w:themeColor="text1"/>
              </w:rPr>
              <w:t>S</w:t>
            </w:r>
            <w:r w:rsidRPr="00724CA2">
              <w:rPr>
                <w:rFonts w:ascii="Times New Roman" w:hAnsi="Times New Roman" w:cs="Times New Roman"/>
                <w:color w:val="000000" w:themeColor="text1"/>
              </w:rPr>
              <w:t xml:space="preserve">ustainability reports </w:t>
            </w:r>
          </w:p>
          <w:p w14:paraId="7CEA30D4" w14:textId="77777777" w:rsidR="005920C4" w:rsidRPr="00724CA2" w:rsidRDefault="005920C4" w:rsidP="00F84966">
            <w:pPr>
              <w:rPr>
                <w:rFonts w:ascii="Times New Roman" w:hAnsi="Times New Roman" w:cs="Times New Roman"/>
                <w:color w:val="000000" w:themeColor="text1"/>
              </w:rPr>
            </w:pPr>
            <w:r w:rsidRPr="00724CA2">
              <w:rPr>
                <w:rFonts w:ascii="Times New Roman" w:hAnsi="Times New Roman" w:cs="Times New Roman"/>
                <w:color w:val="000000" w:themeColor="text1"/>
              </w:rPr>
              <w:t>‘+</w:t>
            </w:r>
            <w:r>
              <w:rPr>
                <w:rFonts w:ascii="Times New Roman" w:hAnsi="Times New Roman" w:cs="Times New Roman"/>
                <w:color w:val="000000" w:themeColor="text1"/>
              </w:rPr>
              <w:t>’</w:t>
            </w:r>
            <w:r w:rsidRPr="00724CA2">
              <w:rPr>
                <w:rFonts w:ascii="Times New Roman" w:hAnsi="Times New Roman" w:cs="Times New Roman"/>
                <w:color w:val="000000" w:themeColor="text1"/>
              </w:rPr>
              <w:t>ve relationship</w:t>
            </w:r>
          </w:p>
        </w:tc>
      </w:tr>
      <w:tr w:rsidR="005920C4" w:rsidRPr="00724CA2" w14:paraId="0BCAF1E3" w14:textId="77777777" w:rsidTr="00F84966">
        <w:trPr>
          <w:jc w:val="center"/>
        </w:trPr>
        <w:tc>
          <w:tcPr>
            <w:tcW w:w="2574" w:type="dxa"/>
            <w:vAlign w:val="center"/>
          </w:tcPr>
          <w:p w14:paraId="680C00EB" w14:textId="77777777" w:rsidR="005920C4" w:rsidRPr="00724CA2" w:rsidRDefault="005920C4" w:rsidP="00F84966">
            <w:pPr>
              <w:spacing w:line="276" w:lineRule="auto"/>
              <w:rPr>
                <w:rFonts w:ascii="Times New Roman" w:hAnsi="Times New Roman" w:cs="Times New Roman"/>
                <w:color w:val="000000" w:themeColor="text1"/>
              </w:rPr>
            </w:pPr>
            <w:r w:rsidRPr="00724CA2">
              <w:rPr>
                <w:rFonts w:ascii="Times New Roman" w:hAnsi="Times New Roman" w:cs="Times New Roman"/>
                <w:color w:val="000000" w:themeColor="text1"/>
              </w:rPr>
              <w:t xml:space="preserve">Xu et al., 2023. </w:t>
            </w:r>
          </w:p>
        </w:tc>
        <w:tc>
          <w:tcPr>
            <w:tcW w:w="2055" w:type="dxa"/>
            <w:vAlign w:val="center"/>
          </w:tcPr>
          <w:p w14:paraId="2F8C1E06" w14:textId="77777777" w:rsidR="005920C4" w:rsidRPr="00724CA2" w:rsidRDefault="005920C4" w:rsidP="00F84966">
            <w:pPr>
              <w:spacing w:line="276" w:lineRule="auto"/>
              <w:rPr>
                <w:rFonts w:ascii="Times New Roman" w:hAnsi="Times New Roman" w:cs="Times New Roman"/>
                <w:color w:val="000000" w:themeColor="text1"/>
              </w:rPr>
            </w:pPr>
            <w:r w:rsidRPr="00724CA2">
              <w:rPr>
                <w:rFonts w:ascii="Times New Roman" w:hAnsi="Times New Roman" w:cs="Times New Roman"/>
                <w:color w:val="000000" w:themeColor="text1"/>
              </w:rPr>
              <w:t>China</w:t>
            </w:r>
          </w:p>
        </w:tc>
        <w:tc>
          <w:tcPr>
            <w:tcW w:w="1941" w:type="dxa"/>
            <w:vAlign w:val="center"/>
          </w:tcPr>
          <w:p w14:paraId="2D68A02D" w14:textId="77777777" w:rsidR="005920C4" w:rsidRPr="00724CA2" w:rsidRDefault="005920C4" w:rsidP="00F84966">
            <w:pPr>
              <w:spacing w:line="276" w:lineRule="auto"/>
              <w:rPr>
                <w:rFonts w:ascii="Times New Roman" w:hAnsi="Times New Roman" w:cs="Times New Roman"/>
                <w:color w:val="000000" w:themeColor="text1"/>
              </w:rPr>
            </w:pPr>
            <w:r w:rsidRPr="00724CA2">
              <w:rPr>
                <w:rFonts w:ascii="Times New Roman" w:hAnsi="Times New Roman" w:cs="Times New Roman"/>
                <w:color w:val="000000" w:themeColor="text1"/>
              </w:rPr>
              <w:t>II</w:t>
            </w:r>
          </w:p>
        </w:tc>
        <w:tc>
          <w:tcPr>
            <w:tcW w:w="2644" w:type="dxa"/>
            <w:vAlign w:val="center"/>
          </w:tcPr>
          <w:p w14:paraId="21D5A994" w14:textId="77777777" w:rsidR="005920C4" w:rsidRDefault="005920C4" w:rsidP="00F84966">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P</w:t>
            </w:r>
            <w:r w:rsidRPr="00724CA2">
              <w:rPr>
                <w:rFonts w:ascii="Times New Roman" w:hAnsi="Times New Roman" w:cs="Times New Roman"/>
                <w:color w:val="000000" w:themeColor="text1"/>
              </w:rPr>
              <w:t xml:space="preserve">atent data </w:t>
            </w:r>
          </w:p>
          <w:p w14:paraId="1CD75455" w14:textId="77777777" w:rsidR="005920C4" w:rsidRPr="00724CA2" w:rsidRDefault="005920C4" w:rsidP="00F84966">
            <w:pPr>
              <w:spacing w:line="276" w:lineRule="auto"/>
              <w:rPr>
                <w:rFonts w:ascii="Times New Roman" w:hAnsi="Times New Roman" w:cs="Times New Roman"/>
                <w:color w:val="000000" w:themeColor="text1"/>
              </w:rPr>
            </w:pPr>
            <w:r w:rsidRPr="00724CA2">
              <w:rPr>
                <w:rFonts w:ascii="Times New Roman" w:hAnsi="Times New Roman" w:cs="Times New Roman"/>
                <w:color w:val="000000" w:themeColor="text1"/>
              </w:rPr>
              <w:t>‘+</w:t>
            </w:r>
            <w:r>
              <w:rPr>
                <w:rFonts w:ascii="Times New Roman" w:hAnsi="Times New Roman" w:cs="Times New Roman"/>
                <w:color w:val="000000" w:themeColor="text1"/>
              </w:rPr>
              <w:t>’</w:t>
            </w:r>
            <w:r w:rsidRPr="00724CA2">
              <w:rPr>
                <w:rFonts w:ascii="Times New Roman" w:hAnsi="Times New Roman" w:cs="Times New Roman"/>
                <w:color w:val="000000" w:themeColor="text1"/>
              </w:rPr>
              <w:t>ve relationship</w:t>
            </w:r>
          </w:p>
        </w:tc>
      </w:tr>
    </w:tbl>
    <w:p w14:paraId="03AE3D01" w14:textId="77777777" w:rsidR="005920C4" w:rsidRPr="00724CA2" w:rsidRDefault="005920C4" w:rsidP="005920C4">
      <w:pPr>
        <w:rPr>
          <w:rFonts w:ascii="Times New Roman" w:hAnsi="Times New Roman" w:cs="Times New Roman"/>
          <w:b/>
          <w:bCs/>
          <w:color w:val="000000" w:themeColor="text1"/>
          <w:szCs w:val="20"/>
        </w:rPr>
      </w:pPr>
    </w:p>
    <w:p w14:paraId="1D208F09" w14:textId="77777777" w:rsidR="00CE66CE" w:rsidRDefault="00CE66CE" w:rsidP="005D0ACF">
      <w:pPr>
        <w:jc w:val="both"/>
        <w:rPr>
          <w:rFonts w:ascii="Times New Roman" w:hAnsi="Times New Roman" w:cs="Times New Roman"/>
          <w:color w:val="000000" w:themeColor="text1"/>
          <w:szCs w:val="20"/>
        </w:rPr>
        <w:sectPr w:rsidR="00CE66CE" w:rsidSect="00112174">
          <w:footerReference w:type="default" r:id="rId14"/>
          <w:footnotePr>
            <w:pos w:val="beneathText"/>
          </w:footnotePr>
          <w:type w:val="continuous"/>
          <w:pgSz w:w="11906" w:h="16838"/>
          <w:pgMar w:top="1440" w:right="1440" w:bottom="1440" w:left="1440" w:header="708" w:footer="708" w:gutter="0"/>
          <w:cols w:space="708"/>
          <w:docGrid w:linePitch="360"/>
        </w:sectPr>
      </w:pPr>
    </w:p>
    <w:p w14:paraId="07D34A2E" w14:textId="1EBFAC44" w:rsidR="00CE66CE" w:rsidRPr="00724CA2" w:rsidRDefault="00CE66CE" w:rsidP="00CE66CE">
      <w:pPr>
        <w:spacing w:after="0" w:line="240" w:lineRule="auto"/>
        <w:jc w:val="both"/>
        <w:rPr>
          <w:rFonts w:ascii="Times New Roman" w:hAnsi="Times New Roman" w:cs="Times New Roman"/>
          <w:color w:val="000000" w:themeColor="text1"/>
          <w:sz w:val="24"/>
          <w:lang w:eastAsia="zh-CN"/>
        </w:rPr>
      </w:pPr>
      <w:r>
        <w:rPr>
          <w:rFonts w:ascii="Times New Roman" w:hAnsi="Times New Roman" w:cs="Times New Roman"/>
          <w:color w:val="000000" w:themeColor="text1"/>
          <w:szCs w:val="20"/>
        </w:rPr>
        <w:tab/>
      </w:r>
      <w:r w:rsidRPr="00724CA2">
        <w:rPr>
          <w:rFonts w:ascii="Times New Roman" w:hAnsi="Times New Roman" w:cs="Times New Roman" w:hint="eastAsia"/>
          <w:b/>
          <w:bCs/>
          <w:color w:val="000000" w:themeColor="text1"/>
          <w:sz w:val="24"/>
          <w:lang w:eastAsia="zh-CN"/>
        </w:rPr>
        <w:t>A</w:t>
      </w:r>
      <w:r w:rsidRPr="00724CA2">
        <w:rPr>
          <w:rFonts w:ascii="Times New Roman" w:hAnsi="Times New Roman" w:cs="Times New Roman"/>
          <w:b/>
          <w:bCs/>
          <w:color w:val="000000" w:themeColor="text1"/>
          <w:sz w:val="24"/>
          <w:lang w:eastAsia="zh-CN"/>
        </w:rPr>
        <w:t>ppendix</w:t>
      </w:r>
      <w:r w:rsidRPr="00EB5213">
        <w:rPr>
          <w:rFonts w:ascii="Times New Roman" w:hAnsi="Times New Roman" w:cs="Times New Roman"/>
          <w:b/>
          <w:bCs/>
          <w:color w:val="000000" w:themeColor="text1"/>
          <w:sz w:val="24"/>
          <w:lang w:eastAsia="zh-CN"/>
        </w:rPr>
        <w:t xml:space="preserve"> </w:t>
      </w:r>
      <w:r>
        <w:rPr>
          <w:rFonts w:ascii="Times New Roman" w:hAnsi="Times New Roman" w:cs="Times New Roman" w:hint="eastAsia"/>
          <w:b/>
          <w:bCs/>
          <w:color w:val="000000" w:themeColor="text1"/>
          <w:sz w:val="24"/>
          <w:lang w:eastAsia="zh-CN"/>
        </w:rPr>
        <w:t>2.</w:t>
      </w:r>
      <w:r>
        <w:rPr>
          <w:rFonts w:ascii="Times New Roman" w:hAnsi="Times New Roman" w:cs="Times New Roman" w:hint="eastAsia"/>
          <w:color w:val="000000" w:themeColor="text1"/>
          <w:sz w:val="24"/>
          <w:lang w:eastAsia="zh-CN"/>
        </w:rPr>
        <w:t xml:space="preserve"> </w:t>
      </w:r>
      <w:r w:rsidRPr="00724CA2">
        <w:rPr>
          <w:rFonts w:ascii="Times New Roman" w:hAnsi="Times New Roman" w:cs="Times New Roman"/>
          <w:color w:val="000000" w:themeColor="text1"/>
          <w:sz w:val="24"/>
          <w:lang w:eastAsia="zh-CN"/>
        </w:rPr>
        <w:t>Correlation matrix</w:t>
      </w:r>
    </w:p>
    <w:p w14:paraId="4FD18BA5" w14:textId="77777777" w:rsidR="00CE66CE" w:rsidRPr="00724CA2" w:rsidRDefault="00CE66CE" w:rsidP="00CE66CE">
      <w:pPr>
        <w:spacing w:after="0" w:line="240" w:lineRule="auto"/>
        <w:jc w:val="both"/>
        <w:rPr>
          <w:rFonts w:ascii="Times New Roman" w:hAnsi="Times New Roman" w:cs="Times New Roman"/>
          <w:color w:val="000000" w:themeColor="text1"/>
          <w:szCs w:val="20"/>
          <w:lang w:eastAsia="zh-CN"/>
        </w:rPr>
      </w:pPr>
    </w:p>
    <w:tbl>
      <w:tblPr>
        <w:tblStyle w:val="TableGrid"/>
        <w:tblW w:w="14193" w:type="dxa"/>
        <w:jc w:val="center"/>
        <w:tblBorders>
          <w:top w:val="single" w:sz="12" w:space="0" w:color="auto"/>
          <w:bottom w:val="single" w:sz="12" w:space="0" w:color="auto"/>
        </w:tblBorders>
        <w:tblLayout w:type="fixed"/>
        <w:tblLook w:val="04A0" w:firstRow="1" w:lastRow="0" w:firstColumn="1" w:lastColumn="0" w:noHBand="0" w:noVBand="1"/>
      </w:tblPr>
      <w:tblGrid>
        <w:gridCol w:w="1573"/>
        <w:gridCol w:w="788"/>
        <w:gridCol w:w="789"/>
        <w:gridCol w:w="789"/>
        <w:gridCol w:w="789"/>
        <w:gridCol w:w="788"/>
        <w:gridCol w:w="789"/>
        <w:gridCol w:w="789"/>
        <w:gridCol w:w="789"/>
        <w:gridCol w:w="788"/>
        <w:gridCol w:w="789"/>
        <w:gridCol w:w="789"/>
        <w:gridCol w:w="789"/>
        <w:gridCol w:w="788"/>
        <w:gridCol w:w="789"/>
        <w:gridCol w:w="789"/>
        <w:gridCol w:w="789"/>
      </w:tblGrid>
      <w:tr w:rsidR="00CE66CE" w:rsidRPr="00724CA2" w14:paraId="533614E6" w14:textId="77777777" w:rsidTr="00F84966">
        <w:trPr>
          <w:trHeight w:val="284"/>
          <w:jc w:val="center"/>
        </w:trPr>
        <w:tc>
          <w:tcPr>
            <w:tcW w:w="1573" w:type="dxa"/>
            <w:noWrap/>
            <w:vAlign w:val="center"/>
            <w:hideMark/>
          </w:tcPr>
          <w:p w14:paraId="34E7227B"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22228946"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hint="eastAsia"/>
                <w:color w:val="000000" w:themeColor="text1"/>
                <w:sz w:val="18"/>
                <w:szCs w:val="18"/>
              </w:rPr>
              <w:t>(</w:t>
            </w:r>
            <w:r w:rsidRPr="00724CA2">
              <w:rPr>
                <w:rFonts w:ascii="Times New Roman" w:hAnsi="Times New Roman" w:cs="Times New Roman"/>
                <w:color w:val="000000" w:themeColor="text1"/>
                <w:sz w:val="18"/>
                <w:szCs w:val="18"/>
              </w:rPr>
              <w:t>1)</w:t>
            </w:r>
          </w:p>
        </w:tc>
        <w:tc>
          <w:tcPr>
            <w:tcW w:w="789" w:type="dxa"/>
            <w:noWrap/>
            <w:vAlign w:val="center"/>
            <w:hideMark/>
          </w:tcPr>
          <w:p w14:paraId="21F90BF0"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(2)</w:t>
            </w:r>
          </w:p>
        </w:tc>
        <w:tc>
          <w:tcPr>
            <w:tcW w:w="789" w:type="dxa"/>
            <w:noWrap/>
            <w:vAlign w:val="center"/>
            <w:hideMark/>
          </w:tcPr>
          <w:p w14:paraId="6A4BB0EE"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(3)</w:t>
            </w:r>
          </w:p>
        </w:tc>
        <w:tc>
          <w:tcPr>
            <w:tcW w:w="789" w:type="dxa"/>
            <w:noWrap/>
            <w:vAlign w:val="center"/>
            <w:hideMark/>
          </w:tcPr>
          <w:p w14:paraId="74CF83E2"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(4)</w:t>
            </w:r>
          </w:p>
        </w:tc>
        <w:tc>
          <w:tcPr>
            <w:tcW w:w="788" w:type="dxa"/>
            <w:noWrap/>
            <w:vAlign w:val="center"/>
            <w:hideMark/>
          </w:tcPr>
          <w:p w14:paraId="580364BE"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(5)</w:t>
            </w:r>
          </w:p>
        </w:tc>
        <w:tc>
          <w:tcPr>
            <w:tcW w:w="789" w:type="dxa"/>
            <w:noWrap/>
            <w:vAlign w:val="center"/>
            <w:hideMark/>
          </w:tcPr>
          <w:p w14:paraId="153CBFBE"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hint="eastAsia"/>
                <w:color w:val="000000" w:themeColor="text1"/>
                <w:sz w:val="18"/>
                <w:szCs w:val="18"/>
              </w:rPr>
              <w:t>(</w:t>
            </w:r>
            <w:r w:rsidRPr="00724CA2">
              <w:rPr>
                <w:rFonts w:ascii="Times New Roman" w:hAnsi="Times New Roman" w:cs="Times New Roman"/>
                <w:color w:val="000000" w:themeColor="text1"/>
                <w:sz w:val="18"/>
                <w:szCs w:val="18"/>
              </w:rPr>
              <w:t>6)</w:t>
            </w:r>
          </w:p>
        </w:tc>
        <w:tc>
          <w:tcPr>
            <w:tcW w:w="789" w:type="dxa"/>
            <w:noWrap/>
            <w:vAlign w:val="center"/>
            <w:hideMark/>
          </w:tcPr>
          <w:p w14:paraId="56949305"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(7)</w:t>
            </w:r>
          </w:p>
        </w:tc>
        <w:tc>
          <w:tcPr>
            <w:tcW w:w="789" w:type="dxa"/>
            <w:noWrap/>
            <w:vAlign w:val="center"/>
            <w:hideMark/>
          </w:tcPr>
          <w:p w14:paraId="1CD90D19"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(8)</w:t>
            </w:r>
          </w:p>
        </w:tc>
        <w:tc>
          <w:tcPr>
            <w:tcW w:w="788" w:type="dxa"/>
            <w:noWrap/>
            <w:vAlign w:val="center"/>
            <w:hideMark/>
          </w:tcPr>
          <w:p w14:paraId="4DD8293C"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(9)</w:t>
            </w:r>
          </w:p>
        </w:tc>
        <w:tc>
          <w:tcPr>
            <w:tcW w:w="789" w:type="dxa"/>
            <w:noWrap/>
            <w:vAlign w:val="center"/>
            <w:hideMark/>
          </w:tcPr>
          <w:p w14:paraId="78B2C2A1"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(10)</w:t>
            </w:r>
          </w:p>
        </w:tc>
        <w:tc>
          <w:tcPr>
            <w:tcW w:w="789" w:type="dxa"/>
            <w:noWrap/>
            <w:vAlign w:val="center"/>
            <w:hideMark/>
          </w:tcPr>
          <w:p w14:paraId="7CE1808A"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(11)</w:t>
            </w:r>
          </w:p>
        </w:tc>
        <w:tc>
          <w:tcPr>
            <w:tcW w:w="789" w:type="dxa"/>
            <w:noWrap/>
            <w:vAlign w:val="center"/>
            <w:hideMark/>
          </w:tcPr>
          <w:p w14:paraId="720D1741"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(12)</w:t>
            </w:r>
          </w:p>
        </w:tc>
        <w:tc>
          <w:tcPr>
            <w:tcW w:w="788" w:type="dxa"/>
            <w:noWrap/>
            <w:vAlign w:val="center"/>
            <w:hideMark/>
          </w:tcPr>
          <w:p w14:paraId="7B4212D1"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(13)</w:t>
            </w:r>
          </w:p>
        </w:tc>
        <w:tc>
          <w:tcPr>
            <w:tcW w:w="789" w:type="dxa"/>
            <w:noWrap/>
            <w:vAlign w:val="center"/>
            <w:hideMark/>
          </w:tcPr>
          <w:p w14:paraId="30D8E605"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hint="eastAsia"/>
                <w:color w:val="000000" w:themeColor="text1"/>
                <w:sz w:val="18"/>
                <w:szCs w:val="18"/>
              </w:rPr>
              <w:t>(</w:t>
            </w:r>
            <w:r w:rsidRPr="00724CA2">
              <w:rPr>
                <w:rFonts w:ascii="Times New Roman" w:hAnsi="Times New Roman" w:cs="Times New Roman"/>
                <w:color w:val="000000" w:themeColor="text1"/>
                <w:sz w:val="18"/>
                <w:szCs w:val="18"/>
              </w:rPr>
              <w:t>14)</w:t>
            </w:r>
          </w:p>
        </w:tc>
        <w:tc>
          <w:tcPr>
            <w:tcW w:w="789" w:type="dxa"/>
            <w:noWrap/>
            <w:vAlign w:val="center"/>
            <w:hideMark/>
          </w:tcPr>
          <w:p w14:paraId="0BFD1EAB"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(15)</w:t>
            </w:r>
          </w:p>
        </w:tc>
        <w:tc>
          <w:tcPr>
            <w:tcW w:w="789" w:type="dxa"/>
            <w:noWrap/>
            <w:vAlign w:val="center"/>
            <w:hideMark/>
          </w:tcPr>
          <w:p w14:paraId="088E393A"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(16)</w:t>
            </w:r>
          </w:p>
        </w:tc>
      </w:tr>
      <w:tr w:rsidR="00CE66CE" w:rsidRPr="00724CA2" w14:paraId="588C8FAC" w14:textId="77777777" w:rsidTr="00F84966">
        <w:trPr>
          <w:trHeight w:val="284"/>
          <w:jc w:val="center"/>
        </w:trPr>
        <w:tc>
          <w:tcPr>
            <w:tcW w:w="1573" w:type="dxa"/>
            <w:noWrap/>
            <w:vAlign w:val="center"/>
            <w:hideMark/>
          </w:tcPr>
          <w:p w14:paraId="5CCCA98C" w14:textId="77777777" w:rsidR="00CE66CE" w:rsidRPr="00724CA2" w:rsidRDefault="00CE66CE" w:rsidP="00F84966">
            <w:pPr>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w:t>
            </w:r>
            <w:r w:rsidRPr="00724CA2">
              <w:rPr>
                <w:color w:val="000000" w:themeColor="text1"/>
              </w:rPr>
              <w:t xml:space="preserve"> </w:t>
            </w:r>
            <w:r w:rsidRPr="00724CA2">
              <w:rPr>
                <w:rFonts w:ascii="Times New Roman" w:hAnsi="Times New Roman" w:cs="Times New Roman"/>
                <w:color w:val="000000" w:themeColor="text1"/>
                <w:sz w:val="18"/>
                <w:szCs w:val="18"/>
              </w:rPr>
              <w:t>Mutual fund</w:t>
            </w:r>
          </w:p>
        </w:tc>
        <w:tc>
          <w:tcPr>
            <w:tcW w:w="788" w:type="dxa"/>
            <w:noWrap/>
            <w:vAlign w:val="center"/>
            <w:hideMark/>
          </w:tcPr>
          <w:p w14:paraId="32915293"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1.000</w:t>
            </w:r>
          </w:p>
        </w:tc>
        <w:tc>
          <w:tcPr>
            <w:tcW w:w="789" w:type="dxa"/>
            <w:noWrap/>
            <w:vAlign w:val="center"/>
            <w:hideMark/>
          </w:tcPr>
          <w:p w14:paraId="0C19AEC4"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5052551E"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0198376B"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4792BD57"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637698A8"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57CB5978"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2F3434C6"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00D96427"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2EE3E5F0"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77F903BF"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2711C0BE"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6F1C0F1D"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227CC06D"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26EED6DD"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33B597C8" w14:textId="77777777" w:rsidR="00CE66CE" w:rsidRPr="00724CA2" w:rsidRDefault="00CE66CE" w:rsidP="00F84966">
            <w:pPr>
              <w:jc w:val="both"/>
              <w:rPr>
                <w:rFonts w:ascii="Times New Roman" w:hAnsi="Times New Roman" w:cs="Times New Roman"/>
                <w:color w:val="000000" w:themeColor="text1"/>
                <w:sz w:val="18"/>
                <w:szCs w:val="18"/>
              </w:rPr>
            </w:pPr>
          </w:p>
        </w:tc>
      </w:tr>
      <w:tr w:rsidR="00CE66CE" w:rsidRPr="00724CA2" w14:paraId="418B5293" w14:textId="77777777" w:rsidTr="00F84966">
        <w:trPr>
          <w:trHeight w:val="284"/>
          <w:jc w:val="center"/>
        </w:trPr>
        <w:tc>
          <w:tcPr>
            <w:tcW w:w="1573" w:type="dxa"/>
            <w:noWrap/>
            <w:vAlign w:val="center"/>
            <w:hideMark/>
          </w:tcPr>
          <w:p w14:paraId="2370A648" w14:textId="77777777" w:rsidR="00CE66CE" w:rsidRPr="00724CA2" w:rsidRDefault="00CE66CE" w:rsidP="00F84966">
            <w:pPr>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(2) SOEs</w:t>
            </w:r>
          </w:p>
        </w:tc>
        <w:tc>
          <w:tcPr>
            <w:tcW w:w="788" w:type="dxa"/>
            <w:noWrap/>
            <w:vAlign w:val="center"/>
            <w:hideMark/>
          </w:tcPr>
          <w:p w14:paraId="33A7E81B"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-0.015</w:t>
            </w:r>
          </w:p>
        </w:tc>
        <w:tc>
          <w:tcPr>
            <w:tcW w:w="789" w:type="dxa"/>
            <w:noWrap/>
            <w:vAlign w:val="center"/>
            <w:hideMark/>
          </w:tcPr>
          <w:p w14:paraId="4B802661"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1.000</w:t>
            </w:r>
          </w:p>
        </w:tc>
        <w:tc>
          <w:tcPr>
            <w:tcW w:w="789" w:type="dxa"/>
            <w:noWrap/>
            <w:vAlign w:val="center"/>
            <w:hideMark/>
          </w:tcPr>
          <w:p w14:paraId="0E4D3786"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4357D2D1"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1B3F6C2D"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6B25C26D"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22A0C5C3"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0CCF8E8D"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119C805B"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3BF4E153"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3C7504D2"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7046B3B1"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63689179"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3DA1B8AE"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0036D05E"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51E461DE" w14:textId="77777777" w:rsidR="00CE66CE" w:rsidRPr="00724CA2" w:rsidRDefault="00CE66CE" w:rsidP="00F84966">
            <w:pPr>
              <w:jc w:val="both"/>
              <w:rPr>
                <w:rFonts w:ascii="Times New Roman" w:hAnsi="Times New Roman" w:cs="Times New Roman"/>
                <w:color w:val="000000" w:themeColor="text1"/>
                <w:sz w:val="18"/>
                <w:szCs w:val="18"/>
              </w:rPr>
            </w:pPr>
          </w:p>
        </w:tc>
      </w:tr>
      <w:tr w:rsidR="00CE66CE" w:rsidRPr="00724CA2" w14:paraId="699FF7B1" w14:textId="77777777" w:rsidTr="00F84966">
        <w:trPr>
          <w:trHeight w:val="284"/>
          <w:jc w:val="center"/>
        </w:trPr>
        <w:tc>
          <w:tcPr>
            <w:tcW w:w="1573" w:type="dxa"/>
            <w:noWrap/>
            <w:vAlign w:val="center"/>
            <w:hideMark/>
          </w:tcPr>
          <w:p w14:paraId="18EB99DC" w14:textId="77777777" w:rsidR="00CE66CE" w:rsidRPr="00724CA2" w:rsidRDefault="00CE66CE" w:rsidP="00F84966">
            <w:pPr>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(3) Legal environment</w:t>
            </w:r>
          </w:p>
        </w:tc>
        <w:tc>
          <w:tcPr>
            <w:tcW w:w="788" w:type="dxa"/>
            <w:noWrap/>
            <w:vAlign w:val="center"/>
            <w:hideMark/>
          </w:tcPr>
          <w:p w14:paraId="217A5933"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0.009</w:t>
            </w:r>
          </w:p>
        </w:tc>
        <w:tc>
          <w:tcPr>
            <w:tcW w:w="789" w:type="dxa"/>
            <w:noWrap/>
            <w:vAlign w:val="center"/>
            <w:hideMark/>
          </w:tcPr>
          <w:p w14:paraId="6DBCCFEB"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-0.224</w:t>
            </w:r>
          </w:p>
        </w:tc>
        <w:tc>
          <w:tcPr>
            <w:tcW w:w="789" w:type="dxa"/>
            <w:noWrap/>
            <w:vAlign w:val="center"/>
            <w:hideMark/>
          </w:tcPr>
          <w:p w14:paraId="7F8154C4"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1.000</w:t>
            </w:r>
          </w:p>
        </w:tc>
        <w:tc>
          <w:tcPr>
            <w:tcW w:w="789" w:type="dxa"/>
            <w:noWrap/>
            <w:vAlign w:val="center"/>
            <w:hideMark/>
          </w:tcPr>
          <w:p w14:paraId="1F9DE0B6"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06C26330"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6A63DD56"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142F0F3A"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6C67D585"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66774B05"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0985FAD4"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73F43BBA"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7BA44EEB"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6974936A"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38484810"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48015FA2"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77BEB12D" w14:textId="77777777" w:rsidR="00CE66CE" w:rsidRPr="00724CA2" w:rsidRDefault="00CE66CE" w:rsidP="00F84966">
            <w:pPr>
              <w:jc w:val="both"/>
              <w:rPr>
                <w:rFonts w:ascii="Times New Roman" w:hAnsi="Times New Roman" w:cs="Times New Roman"/>
                <w:color w:val="000000" w:themeColor="text1"/>
                <w:sz w:val="18"/>
                <w:szCs w:val="18"/>
              </w:rPr>
            </w:pPr>
          </w:p>
        </w:tc>
      </w:tr>
      <w:tr w:rsidR="00CE66CE" w:rsidRPr="00724CA2" w14:paraId="65685283" w14:textId="77777777" w:rsidTr="00F84966">
        <w:trPr>
          <w:trHeight w:val="284"/>
          <w:jc w:val="center"/>
        </w:trPr>
        <w:tc>
          <w:tcPr>
            <w:tcW w:w="1573" w:type="dxa"/>
            <w:noWrap/>
            <w:vAlign w:val="center"/>
            <w:hideMark/>
          </w:tcPr>
          <w:p w14:paraId="38EE3451" w14:textId="77777777" w:rsidR="00CE66CE" w:rsidRPr="00724CA2" w:rsidRDefault="00CE66CE" w:rsidP="00F84966">
            <w:pPr>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(4) Green questions</w:t>
            </w:r>
          </w:p>
        </w:tc>
        <w:tc>
          <w:tcPr>
            <w:tcW w:w="788" w:type="dxa"/>
            <w:noWrap/>
            <w:vAlign w:val="center"/>
            <w:hideMark/>
          </w:tcPr>
          <w:p w14:paraId="2559DA4C"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-0.021</w:t>
            </w:r>
          </w:p>
        </w:tc>
        <w:tc>
          <w:tcPr>
            <w:tcW w:w="789" w:type="dxa"/>
            <w:noWrap/>
            <w:vAlign w:val="center"/>
            <w:hideMark/>
          </w:tcPr>
          <w:p w14:paraId="03186B68"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-0.241</w:t>
            </w:r>
          </w:p>
        </w:tc>
        <w:tc>
          <w:tcPr>
            <w:tcW w:w="789" w:type="dxa"/>
            <w:noWrap/>
            <w:vAlign w:val="center"/>
            <w:hideMark/>
          </w:tcPr>
          <w:p w14:paraId="5ADD276E"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0.132</w:t>
            </w:r>
          </w:p>
        </w:tc>
        <w:tc>
          <w:tcPr>
            <w:tcW w:w="789" w:type="dxa"/>
            <w:noWrap/>
            <w:vAlign w:val="center"/>
            <w:hideMark/>
          </w:tcPr>
          <w:p w14:paraId="713E9F12"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1.000</w:t>
            </w:r>
          </w:p>
        </w:tc>
        <w:tc>
          <w:tcPr>
            <w:tcW w:w="788" w:type="dxa"/>
            <w:noWrap/>
            <w:vAlign w:val="center"/>
            <w:hideMark/>
          </w:tcPr>
          <w:p w14:paraId="0A696CE7"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09839B09"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18DF55D4"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4AEC6A46"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6AB5EB79"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60177E4F"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0055987C"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6EC78338"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7701E1B2"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1E3C568A"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0BD09CC4"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5D1ABA42" w14:textId="77777777" w:rsidR="00CE66CE" w:rsidRPr="00724CA2" w:rsidRDefault="00CE66CE" w:rsidP="00F84966">
            <w:pPr>
              <w:jc w:val="both"/>
              <w:rPr>
                <w:rFonts w:ascii="Times New Roman" w:hAnsi="Times New Roman" w:cs="Times New Roman"/>
                <w:color w:val="000000" w:themeColor="text1"/>
                <w:sz w:val="18"/>
                <w:szCs w:val="18"/>
              </w:rPr>
            </w:pPr>
          </w:p>
        </w:tc>
      </w:tr>
      <w:tr w:rsidR="00CE66CE" w:rsidRPr="00724CA2" w14:paraId="637DBB5A" w14:textId="77777777" w:rsidTr="00F84966">
        <w:trPr>
          <w:trHeight w:val="284"/>
          <w:jc w:val="center"/>
        </w:trPr>
        <w:tc>
          <w:tcPr>
            <w:tcW w:w="1573" w:type="dxa"/>
            <w:noWrap/>
            <w:vAlign w:val="center"/>
            <w:hideMark/>
          </w:tcPr>
          <w:p w14:paraId="6E3251F0" w14:textId="77777777" w:rsidR="00CE66CE" w:rsidRPr="00724CA2" w:rsidRDefault="00CE66CE" w:rsidP="00F84966">
            <w:pPr>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(5) Green board</w:t>
            </w:r>
          </w:p>
        </w:tc>
        <w:tc>
          <w:tcPr>
            <w:tcW w:w="788" w:type="dxa"/>
            <w:noWrap/>
            <w:vAlign w:val="center"/>
            <w:hideMark/>
          </w:tcPr>
          <w:p w14:paraId="1B7E690A"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-0.032</w:t>
            </w:r>
          </w:p>
        </w:tc>
        <w:tc>
          <w:tcPr>
            <w:tcW w:w="789" w:type="dxa"/>
            <w:noWrap/>
            <w:vAlign w:val="center"/>
            <w:hideMark/>
          </w:tcPr>
          <w:p w14:paraId="5B905A0E"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0.075</w:t>
            </w:r>
          </w:p>
        </w:tc>
        <w:tc>
          <w:tcPr>
            <w:tcW w:w="789" w:type="dxa"/>
            <w:noWrap/>
            <w:vAlign w:val="center"/>
            <w:hideMark/>
          </w:tcPr>
          <w:p w14:paraId="4BDBB87B"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0.008</w:t>
            </w:r>
          </w:p>
        </w:tc>
        <w:tc>
          <w:tcPr>
            <w:tcW w:w="789" w:type="dxa"/>
            <w:noWrap/>
            <w:vAlign w:val="center"/>
            <w:hideMark/>
          </w:tcPr>
          <w:p w14:paraId="47412804"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0.024</w:t>
            </w:r>
          </w:p>
        </w:tc>
        <w:tc>
          <w:tcPr>
            <w:tcW w:w="788" w:type="dxa"/>
            <w:noWrap/>
            <w:vAlign w:val="center"/>
            <w:hideMark/>
          </w:tcPr>
          <w:p w14:paraId="29A8F96C"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1.000</w:t>
            </w:r>
          </w:p>
        </w:tc>
        <w:tc>
          <w:tcPr>
            <w:tcW w:w="789" w:type="dxa"/>
            <w:noWrap/>
            <w:vAlign w:val="center"/>
            <w:hideMark/>
          </w:tcPr>
          <w:p w14:paraId="52756126"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7C1CE27E"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7B29E6FE"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118F9BC8"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4D5804B9"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44BA0878"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2FE3C693"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5045CD38"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20DEB2B0"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1A79DF82"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50804256" w14:textId="77777777" w:rsidR="00CE66CE" w:rsidRPr="00724CA2" w:rsidRDefault="00CE66CE" w:rsidP="00F84966">
            <w:pPr>
              <w:jc w:val="both"/>
              <w:rPr>
                <w:rFonts w:ascii="Times New Roman" w:hAnsi="Times New Roman" w:cs="Times New Roman"/>
                <w:color w:val="000000" w:themeColor="text1"/>
                <w:sz w:val="18"/>
                <w:szCs w:val="18"/>
              </w:rPr>
            </w:pPr>
          </w:p>
        </w:tc>
      </w:tr>
      <w:tr w:rsidR="00CE66CE" w:rsidRPr="00724CA2" w14:paraId="7A599B65" w14:textId="77777777" w:rsidTr="00F84966">
        <w:trPr>
          <w:trHeight w:val="284"/>
          <w:jc w:val="center"/>
        </w:trPr>
        <w:tc>
          <w:tcPr>
            <w:tcW w:w="1573" w:type="dxa"/>
            <w:noWrap/>
            <w:vAlign w:val="center"/>
            <w:hideMark/>
          </w:tcPr>
          <w:p w14:paraId="69894AED" w14:textId="77777777" w:rsidR="00CE66CE" w:rsidRPr="00724CA2" w:rsidRDefault="00CE66CE" w:rsidP="00F84966">
            <w:pPr>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(6) Society</w:t>
            </w:r>
          </w:p>
        </w:tc>
        <w:tc>
          <w:tcPr>
            <w:tcW w:w="788" w:type="dxa"/>
            <w:noWrap/>
            <w:vAlign w:val="center"/>
            <w:hideMark/>
          </w:tcPr>
          <w:p w14:paraId="530C6121"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0.123</w:t>
            </w:r>
          </w:p>
        </w:tc>
        <w:tc>
          <w:tcPr>
            <w:tcW w:w="789" w:type="dxa"/>
            <w:noWrap/>
            <w:vAlign w:val="center"/>
            <w:hideMark/>
          </w:tcPr>
          <w:p w14:paraId="1CF71292"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-0.070</w:t>
            </w:r>
          </w:p>
        </w:tc>
        <w:tc>
          <w:tcPr>
            <w:tcW w:w="789" w:type="dxa"/>
            <w:noWrap/>
            <w:vAlign w:val="center"/>
            <w:hideMark/>
          </w:tcPr>
          <w:p w14:paraId="4D902DE0"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0.094</w:t>
            </w:r>
          </w:p>
        </w:tc>
        <w:tc>
          <w:tcPr>
            <w:tcW w:w="789" w:type="dxa"/>
            <w:noWrap/>
            <w:vAlign w:val="center"/>
            <w:hideMark/>
          </w:tcPr>
          <w:p w14:paraId="2F3CC51D"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0.038</w:t>
            </w:r>
          </w:p>
        </w:tc>
        <w:tc>
          <w:tcPr>
            <w:tcW w:w="788" w:type="dxa"/>
            <w:noWrap/>
            <w:vAlign w:val="center"/>
            <w:hideMark/>
          </w:tcPr>
          <w:p w14:paraId="4962C21A"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0.015</w:t>
            </w:r>
          </w:p>
        </w:tc>
        <w:tc>
          <w:tcPr>
            <w:tcW w:w="789" w:type="dxa"/>
            <w:noWrap/>
            <w:vAlign w:val="center"/>
            <w:hideMark/>
          </w:tcPr>
          <w:p w14:paraId="6CBD2DBE"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1.000</w:t>
            </w:r>
          </w:p>
        </w:tc>
        <w:tc>
          <w:tcPr>
            <w:tcW w:w="789" w:type="dxa"/>
            <w:noWrap/>
            <w:vAlign w:val="center"/>
            <w:hideMark/>
          </w:tcPr>
          <w:p w14:paraId="3090CB1C"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3DCCB907"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71E322CC"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31BAE379"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69B55A11"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6D4D3875"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467BCB20"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162C76C0"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42D45B59"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67C136A1" w14:textId="77777777" w:rsidR="00CE66CE" w:rsidRPr="00724CA2" w:rsidRDefault="00CE66CE" w:rsidP="00F84966">
            <w:pPr>
              <w:jc w:val="both"/>
              <w:rPr>
                <w:rFonts w:ascii="Times New Roman" w:hAnsi="Times New Roman" w:cs="Times New Roman"/>
                <w:color w:val="000000" w:themeColor="text1"/>
                <w:sz w:val="18"/>
                <w:szCs w:val="18"/>
              </w:rPr>
            </w:pPr>
          </w:p>
        </w:tc>
      </w:tr>
      <w:tr w:rsidR="00CE66CE" w:rsidRPr="00724CA2" w14:paraId="2CD08C74" w14:textId="77777777" w:rsidTr="00F84966">
        <w:trPr>
          <w:trHeight w:val="284"/>
          <w:jc w:val="center"/>
        </w:trPr>
        <w:tc>
          <w:tcPr>
            <w:tcW w:w="1573" w:type="dxa"/>
            <w:noWrap/>
            <w:vAlign w:val="center"/>
            <w:hideMark/>
          </w:tcPr>
          <w:p w14:paraId="5AAB7AE2" w14:textId="77777777" w:rsidR="00CE66CE" w:rsidRPr="00724CA2" w:rsidRDefault="00CE66CE" w:rsidP="00F84966">
            <w:pPr>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(7) Governance</w:t>
            </w:r>
          </w:p>
        </w:tc>
        <w:tc>
          <w:tcPr>
            <w:tcW w:w="788" w:type="dxa"/>
            <w:noWrap/>
            <w:vAlign w:val="center"/>
            <w:hideMark/>
          </w:tcPr>
          <w:p w14:paraId="7F96206A"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0.104</w:t>
            </w:r>
          </w:p>
        </w:tc>
        <w:tc>
          <w:tcPr>
            <w:tcW w:w="789" w:type="dxa"/>
            <w:noWrap/>
            <w:vAlign w:val="center"/>
            <w:hideMark/>
          </w:tcPr>
          <w:p w14:paraId="3D668D6D"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0.178</w:t>
            </w:r>
          </w:p>
        </w:tc>
        <w:tc>
          <w:tcPr>
            <w:tcW w:w="789" w:type="dxa"/>
            <w:noWrap/>
            <w:vAlign w:val="center"/>
            <w:hideMark/>
          </w:tcPr>
          <w:p w14:paraId="224C5F73"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0.035</w:t>
            </w:r>
          </w:p>
        </w:tc>
        <w:tc>
          <w:tcPr>
            <w:tcW w:w="789" w:type="dxa"/>
            <w:noWrap/>
            <w:vAlign w:val="center"/>
            <w:hideMark/>
          </w:tcPr>
          <w:p w14:paraId="66F671E0"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-0.084</w:t>
            </w:r>
          </w:p>
        </w:tc>
        <w:tc>
          <w:tcPr>
            <w:tcW w:w="788" w:type="dxa"/>
            <w:noWrap/>
            <w:vAlign w:val="center"/>
            <w:hideMark/>
          </w:tcPr>
          <w:p w14:paraId="177B99EF"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-0.003</w:t>
            </w:r>
          </w:p>
        </w:tc>
        <w:tc>
          <w:tcPr>
            <w:tcW w:w="789" w:type="dxa"/>
            <w:noWrap/>
            <w:vAlign w:val="center"/>
            <w:hideMark/>
          </w:tcPr>
          <w:p w14:paraId="7BCD2D74"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0.079</w:t>
            </w:r>
          </w:p>
        </w:tc>
        <w:tc>
          <w:tcPr>
            <w:tcW w:w="789" w:type="dxa"/>
            <w:noWrap/>
            <w:vAlign w:val="center"/>
            <w:hideMark/>
          </w:tcPr>
          <w:p w14:paraId="0955ADDC"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1.000</w:t>
            </w:r>
          </w:p>
        </w:tc>
        <w:tc>
          <w:tcPr>
            <w:tcW w:w="789" w:type="dxa"/>
            <w:noWrap/>
            <w:vAlign w:val="center"/>
            <w:hideMark/>
          </w:tcPr>
          <w:p w14:paraId="36FB87FF"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6A9D0884"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255CA9B7"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6EE78B53"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43D8D1AF"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6FF0FB04"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0ADABD7F"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04A45A20"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30223ED0" w14:textId="77777777" w:rsidR="00CE66CE" w:rsidRPr="00724CA2" w:rsidRDefault="00CE66CE" w:rsidP="00F84966">
            <w:pPr>
              <w:jc w:val="both"/>
              <w:rPr>
                <w:rFonts w:ascii="Times New Roman" w:hAnsi="Times New Roman" w:cs="Times New Roman"/>
                <w:color w:val="000000" w:themeColor="text1"/>
                <w:sz w:val="18"/>
                <w:szCs w:val="18"/>
              </w:rPr>
            </w:pPr>
          </w:p>
        </w:tc>
      </w:tr>
      <w:tr w:rsidR="00CE66CE" w:rsidRPr="00724CA2" w14:paraId="7759169B" w14:textId="77777777" w:rsidTr="00F84966">
        <w:trPr>
          <w:trHeight w:val="284"/>
          <w:jc w:val="center"/>
        </w:trPr>
        <w:tc>
          <w:tcPr>
            <w:tcW w:w="1573" w:type="dxa"/>
            <w:noWrap/>
            <w:vAlign w:val="center"/>
            <w:hideMark/>
          </w:tcPr>
          <w:p w14:paraId="57A8FE47" w14:textId="77777777" w:rsidR="00CE66CE" w:rsidRPr="00724CA2" w:rsidRDefault="00CE66CE" w:rsidP="00F84966">
            <w:pPr>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(8) Duality</w:t>
            </w:r>
          </w:p>
        </w:tc>
        <w:tc>
          <w:tcPr>
            <w:tcW w:w="788" w:type="dxa"/>
            <w:noWrap/>
            <w:vAlign w:val="center"/>
            <w:hideMark/>
          </w:tcPr>
          <w:p w14:paraId="092FD638"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0.029</w:t>
            </w:r>
          </w:p>
        </w:tc>
        <w:tc>
          <w:tcPr>
            <w:tcW w:w="789" w:type="dxa"/>
            <w:noWrap/>
            <w:vAlign w:val="center"/>
            <w:hideMark/>
          </w:tcPr>
          <w:p w14:paraId="0B39CF74"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-0.238</w:t>
            </w:r>
          </w:p>
        </w:tc>
        <w:tc>
          <w:tcPr>
            <w:tcW w:w="789" w:type="dxa"/>
            <w:noWrap/>
            <w:vAlign w:val="center"/>
            <w:hideMark/>
          </w:tcPr>
          <w:p w14:paraId="43D855F4"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0.083</w:t>
            </w:r>
          </w:p>
        </w:tc>
        <w:tc>
          <w:tcPr>
            <w:tcW w:w="789" w:type="dxa"/>
            <w:noWrap/>
            <w:vAlign w:val="center"/>
            <w:hideMark/>
          </w:tcPr>
          <w:p w14:paraId="5D66500C"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0.060</w:t>
            </w:r>
          </w:p>
        </w:tc>
        <w:tc>
          <w:tcPr>
            <w:tcW w:w="788" w:type="dxa"/>
            <w:noWrap/>
            <w:vAlign w:val="center"/>
            <w:hideMark/>
          </w:tcPr>
          <w:p w14:paraId="3919D778"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-0.037</w:t>
            </w:r>
          </w:p>
        </w:tc>
        <w:tc>
          <w:tcPr>
            <w:tcW w:w="789" w:type="dxa"/>
            <w:noWrap/>
            <w:vAlign w:val="center"/>
            <w:hideMark/>
          </w:tcPr>
          <w:p w14:paraId="2F6BDAC8"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0.003</w:t>
            </w:r>
          </w:p>
        </w:tc>
        <w:tc>
          <w:tcPr>
            <w:tcW w:w="789" w:type="dxa"/>
            <w:noWrap/>
            <w:vAlign w:val="center"/>
            <w:hideMark/>
          </w:tcPr>
          <w:p w14:paraId="57B4E95F"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-0.046</w:t>
            </w:r>
          </w:p>
        </w:tc>
        <w:tc>
          <w:tcPr>
            <w:tcW w:w="789" w:type="dxa"/>
            <w:noWrap/>
            <w:vAlign w:val="center"/>
            <w:hideMark/>
          </w:tcPr>
          <w:p w14:paraId="5269BCA0"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1.000</w:t>
            </w:r>
          </w:p>
        </w:tc>
        <w:tc>
          <w:tcPr>
            <w:tcW w:w="788" w:type="dxa"/>
            <w:noWrap/>
            <w:vAlign w:val="center"/>
            <w:hideMark/>
          </w:tcPr>
          <w:p w14:paraId="3D761B2B"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76FD20AD"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67DB87CE"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6BF5C685"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4ECDD09B"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48C8A08D"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53C41DAF"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25B3A1F6" w14:textId="77777777" w:rsidR="00CE66CE" w:rsidRPr="00724CA2" w:rsidRDefault="00CE66CE" w:rsidP="00F84966">
            <w:pPr>
              <w:jc w:val="both"/>
              <w:rPr>
                <w:rFonts w:ascii="Times New Roman" w:hAnsi="Times New Roman" w:cs="Times New Roman"/>
                <w:color w:val="000000" w:themeColor="text1"/>
                <w:sz w:val="18"/>
                <w:szCs w:val="18"/>
              </w:rPr>
            </w:pPr>
          </w:p>
        </w:tc>
      </w:tr>
      <w:tr w:rsidR="00CE66CE" w:rsidRPr="00724CA2" w14:paraId="58CEE9A7" w14:textId="77777777" w:rsidTr="00F84966">
        <w:trPr>
          <w:trHeight w:val="284"/>
          <w:jc w:val="center"/>
        </w:trPr>
        <w:tc>
          <w:tcPr>
            <w:tcW w:w="1573" w:type="dxa"/>
            <w:noWrap/>
            <w:vAlign w:val="center"/>
            <w:hideMark/>
          </w:tcPr>
          <w:p w14:paraId="2FC53A03" w14:textId="77777777" w:rsidR="00CE66CE" w:rsidRPr="00724CA2" w:rsidRDefault="00CE66CE" w:rsidP="00F84966">
            <w:pPr>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(9) Independence</w:t>
            </w:r>
          </w:p>
        </w:tc>
        <w:tc>
          <w:tcPr>
            <w:tcW w:w="788" w:type="dxa"/>
            <w:noWrap/>
            <w:vAlign w:val="center"/>
            <w:hideMark/>
          </w:tcPr>
          <w:p w14:paraId="3C4F48C0"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0.017</w:t>
            </w:r>
          </w:p>
        </w:tc>
        <w:tc>
          <w:tcPr>
            <w:tcW w:w="789" w:type="dxa"/>
            <w:noWrap/>
            <w:vAlign w:val="center"/>
            <w:hideMark/>
          </w:tcPr>
          <w:p w14:paraId="48A6C86A"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-0.011</w:t>
            </w:r>
          </w:p>
        </w:tc>
        <w:tc>
          <w:tcPr>
            <w:tcW w:w="789" w:type="dxa"/>
            <w:noWrap/>
            <w:vAlign w:val="center"/>
            <w:hideMark/>
          </w:tcPr>
          <w:p w14:paraId="41635C1B"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0.008</w:t>
            </w:r>
          </w:p>
        </w:tc>
        <w:tc>
          <w:tcPr>
            <w:tcW w:w="789" w:type="dxa"/>
            <w:noWrap/>
            <w:vAlign w:val="center"/>
            <w:hideMark/>
          </w:tcPr>
          <w:p w14:paraId="1BD14A3B"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-0.008</w:t>
            </w:r>
          </w:p>
        </w:tc>
        <w:tc>
          <w:tcPr>
            <w:tcW w:w="788" w:type="dxa"/>
            <w:noWrap/>
            <w:vAlign w:val="center"/>
            <w:hideMark/>
          </w:tcPr>
          <w:p w14:paraId="47198BC8"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-0.047</w:t>
            </w:r>
          </w:p>
        </w:tc>
        <w:tc>
          <w:tcPr>
            <w:tcW w:w="789" w:type="dxa"/>
            <w:noWrap/>
            <w:vAlign w:val="center"/>
            <w:hideMark/>
          </w:tcPr>
          <w:p w14:paraId="3A144309"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0.010</w:t>
            </w:r>
          </w:p>
        </w:tc>
        <w:tc>
          <w:tcPr>
            <w:tcW w:w="789" w:type="dxa"/>
            <w:noWrap/>
            <w:vAlign w:val="center"/>
            <w:hideMark/>
          </w:tcPr>
          <w:p w14:paraId="365C7FC5"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0.135</w:t>
            </w:r>
          </w:p>
        </w:tc>
        <w:tc>
          <w:tcPr>
            <w:tcW w:w="789" w:type="dxa"/>
            <w:noWrap/>
            <w:vAlign w:val="center"/>
            <w:hideMark/>
          </w:tcPr>
          <w:p w14:paraId="159E77B2"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0.097</w:t>
            </w:r>
          </w:p>
        </w:tc>
        <w:tc>
          <w:tcPr>
            <w:tcW w:w="788" w:type="dxa"/>
            <w:noWrap/>
            <w:vAlign w:val="center"/>
            <w:hideMark/>
          </w:tcPr>
          <w:p w14:paraId="7B6293F2"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1.000</w:t>
            </w:r>
          </w:p>
        </w:tc>
        <w:tc>
          <w:tcPr>
            <w:tcW w:w="789" w:type="dxa"/>
            <w:noWrap/>
            <w:vAlign w:val="center"/>
            <w:hideMark/>
          </w:tcPr>
          <w:p w14:paraId="0FD2922B"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1C3E3ACA"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1A620F95"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3EFC8372"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784B8EB8"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05AF0EAD"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27D2B0A1" w14:textId="77777777" w:rsidR="00CE66CE" w:rsidRPr="00724CA2" w:rsidRDefault="00CE66CE" w:rsidP="00F84966">
            <w:pPr>
              <w:jc w:val="both"/>
              <w:rPr>
                <w:rFonts w:ascii="Times New Roman" w:hAnsi="Times New Roman" w:cs="Times New Roman"/>
                <w:color w:val="000000" w:themeColor="text1"/>
                <w:sz w:val="18"/>
                <w:szCs w:val="18"/>
              </w:rPr>
            </w:pPr>
          </w:p>
        </w:tc>
      </w:tr>
      <w:tr w:rsidR="00CE66CE" w:rsidRPr="00724CA2" w14:paraId="34C6C757" w14:textId="77777777" w:rsidTr="00F84966">
        <w:trPr>
          <w:trHeight w:val="284"/>
          <w:jc w:val="center"/>
        </w:trPr>
        <w:tc>
          <w:tcPr>
            <w:tcW w:w="1573" w:type="dxa"/>
            <w:noWrap/>
            <w:vAlign w:val="center"/>
            <w:hideMark/>
          </w:tcPr>
          <w:p w14:paraId="14E68B5B" w14:textId="77777777" w:rsidR="00CE66CE" w:rsidRPr="00724CA2" w:rsidRDefault="00CE66CE" w:rsidP="00F84966">
            <w:pPr>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(10) Board meeting</w:t>
            </w:r>
          </w:p>
        </w:tc>
        <w:tc>
          <w:tcPr>
            <w:tcW w:w="788" w:type="dxa"/>
            <w:noWrap/>
            <w:vAlign w:val="center"/>
            <w:hideMark/>
          </w:tcPr>
          <w:p w14:paraId="6B7CD3CF"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0.020</w:t>
            </w:r>
          </w:p>
        </w:tc>
        <w:tc>
          <w:tcPr>
            <w:tcW w:w="789" w:type="dxa"/>
            <w:noWrap/>
            <w:vAlign w:val="center"/>
            <w:hideMark/>
          </w:tcPr>
          <w:p w14:paraId="2ED69D6B"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-0.059</w:t>
            </w:r>
          </w:p>
        </w:tc>
        <w:tc>
          <w:tcPr>
            <w:tcW w:w="789" w:type="dxa"/>
            <w:noWrap/>
            <w:vAlign w:val="center"/>
            <w:hideMark/>
          </w:tcPr>
          <w:p w14:paraId="7A61D707"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-0.010</w:t>
            </w:r>
          </w:p>
        </w:tc>
        <w:tc>
          <w:tcPr>
            <w:tcW w:w="789" w:type="dxa"/>
            <w:noWrap/>
            <w:vAlign w:val="center"/>
            <w:hideMark/>
          </w:tcPr>
          <w:p w14:paraId="16831A7C"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0.022</w:t>
            </w:r>
          </w:p>
        </w:tc>
        <w:tc>
          <w:tcPr>
            <w:tcW w:w="788" w:type="dxa"/>
            <w:noWrap/>
            <w:vAlign w:val="center"/>
            <w:hideMark/>
          </w:tcPr>
          <w:p w14:paraId="3E9BD319"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0.067</w:t>
            </w:r>
          </w:p>
        </w:tc>
        <w:tc>
          <w:tcPr>
            <w:tcW w:w="789" w:type="dxa"/>
            <w:noWrap/>
            <w:vAlign w:val="center"/>
            <w:hideMark/>
          </w:tcPr>
          <w:p w14:paraId="7AFE4DEE"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0.062</w:t>
            </w:r>
          </w:p>
        </w:tc>
        <w:tc>
          <w:tcPr>
            <w:tcW w:w="789" w:type="dxa"/>
            <w:noWrap/>
            <w:vAlign w:val="center"/>
            <w:hideMark/>
          </w:tcPr>
          <w:p w14:paraId="09009A3A"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-0.100</w:t>
            </w:r>
          </w:p>
        </w:tc>
        <w:tc>
          <w:tcPr>
            <w:tcW w:w="789" w:type="dxa"/>
            <w:noWrap/>
            <w:vAlign w:val="center"/>
            <w:hideMark/>
          </w:tcPr>
          <w:p w14:paraId="772952CC"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0.034</w:t>
            </w:r>
          </w:p>
        </w:tc>
        <w:tc>
          <w:tcPr>
            <w:tcW w:w="788" w:type="dxa"/>
            <w:noWrap/>
            <w:vAlign w:val="center"/>
            <w:hideMark/>
          </w:tcPr>
          <w:p w14:paraId="075A5100"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0.037</w:t>
            </w:r>
          </w:p>
        </w:tc>
        <w:tc>
          <w:tcPr>
            <w:tcW w:w="789" w:type="dxa"/>
            <w:noWrap/>
            <w:vAlign w:val="center"/>
            <w:hideMark/>
          </w:tcPr>
          <w:p w14:paraId="2EE22E44"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1.000</w:t>
            </w:r>
          </w:p>
        </w:tc>
        <w:tc>
          <w:tcPr>
            <w:tcW w:w="789" w:type="dxa"/>
            <w:noWrap/>
            <w:vAlign w:val="center"/>
            <w:hideMark/>
          </w:tcPr>
          <w:p w14:paraId="3615A232"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76FC3A8B"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455ED34B"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61DCB431"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6AF9B4BC"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08977095" w14:textId="77777777" w:rsidR="00CE66CE" w:rsidRPr="00724CA2" w:rsidRDefault="00CE66CE" w:rsidP="00F84966">
            <w:pPr>
              <w:jc w:val="both"/>
              <w:rPr>
                <w:rFonts w:ascii="Times New Roman" w:hAnsi="Times New Roman" w:cs="Times New Roman"/>
                <w:color w:val="000000" w:themeColor="text1"/>
                <w:sz w:val="18"/>
                <w:szCs w:val="18"/>
              </w:rPr>
            </w:pPr>
          </w:p>
        </w:tc>
      </w:tr>
      <w:tr w:rsidR="00CE66CE" w:rsidRPr="00724CA2" w14:paraId="4168B1CB" w14:textId="77777777" w:rsidTr="00F84966">
        <w:trPr>
          <w:trHeight w:val="466"/>
          <w:jc w:val="center"/>
        </w:trPr>
        <w:tc>
          <w:tcPr>
            <w:tcW w:w="1573" w:type="dxa"/>
            <w:noWrap/>
            <w:vAlign w:val="center"/>
            <w:hideMark/>
          </w:tcPr>
          <w:p w14:paraId="48DA2BD2" w14:textId="77777777" w:rsidR="00CE66CE" w:rsidRPr="00724CA2" w:rsidRDefault="00CE66CE" w:rsidP="00F84966">
            <w:pPr>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(11) Managerial ownership</w:t>
            </w:r>
          </w:p>
        </w:tc>
        <w:tc>
          <w:tcPr>
            <w:tcW w:w="788" w:type="dxa"/>
            <w:noWrap/>
            <w:vAlign w:val="center"/>
            <w:hideMark/>
          </w:tcPr>
          <w:p w14:paraId="74D0019C"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0.009</w:t>
            </w:r>
          </w:p>
        </w:tc>
        <w:tc>
          <w:tcPr>
            <w:tcW w:w="789" w:type="dxa"/>
            <w:noWrap/>
            <w:vAlign w:val="center"/>
            <w:hideMark/>
          </w:tcPr>
          <w:p w14:paraId="6ADAB435"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-0.457</w:t>
            </w:r>
          </w:p>
        </w:tc>
        <w:tc>
          <w:tcPr>
            <w:tcW w:w="789" w:type="dxa"/>
            <w:noWrap/>
            <w:vAlign w:val="center"/>
            <w:hideMark/>
          </w:tcPr>
          <w:p w14:paraId="63403CE1"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0.174</w:t>
            </w:r>
          </w:p>
        </w:tc>
        <w:tc>
          <w:tcPr>
            <w:tcW w:w="789" w:type="dxa"/>
            <w:noWrap/>
            <w:vAlign w:val="center"/>
            <w:hideMark/>
          </w:tcPr>
          <w:p w14:paraId="326C65AC"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0.244</w:t>
            </w:r>
          </w:p>
        </w:tc>
        <w:tc>
          <w:tcPr>
            <w:tcW w:w="788" w:type="dxa"/>
            <w:noWrap/>
            <w:vAlign w:val="center"/>
            <w:hideMark/>
          </w:tcPr>
          <w:p w14:paraId="03853A79"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-0.055</w:t>
            </w:r>
          </w:p>
        </w:tc>
        <w:tc>
          <w:tcPr>
            <w:tcW w:w="789" w:type="dxa"/>
            <w:noWrap/>
            <w:vAlign w:val="center"/>
            <w:hideMark/>
          </w:tcPr>
          <w:p w14:paraId="2920F645"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0.091</w:t>
            </w:r>
          </w:p>
        </w:tc>
        <w:tc>
          <w:tcPr>
            <w:tcW w:w="789" w:type="dxa"/>
            <w:noWrap/>
            <w:vAlign w:val="center"/>
            <w:hideMark/>
          </w:tcPr>
          <w:p w14:paraId="70948563"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-0.020</w:t>
            </w:r>
          </w:p>
        </w:tc>
        <w:tc>
          <w:tcPr>
            <w:tcW w:w="789" w:type="dxa"/>
            <w:noWrap/>
            <w:vAlign w:val="center"/>
            <w:hideMark/>
          </w:tcPr>
          <w:p w14:paraId="0CCE1C62"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0.183</w:t>
            </w:r>
          </w:p>
        </w:tc>
        <w:tc>
          <w:tcPr>
            <w:tcW w:w="788" w:type="dxa"/>
            <w:noWrap/>
            <w:vAlign w:val="center"/>
            <w:hideMark/>
          </w:tcPr>
          <w:p w14:paraId="5A2380FD"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0.047</w:t>
            </w:r>
          </w:p>
        </w:tc>
        <w:tc>
          <w:tcPr>
            <w:tcW w:w="789" w:type="dxa"/>
            <w:noWrap/>
            <w:vAlign w:val="center"/>
            <w:hideMark/>
          </w:tcPr>
          <w:p w14:paraId="1F185C41"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-0.001</w:t>
            </w:r>
          </w:p>
        </w:tc>
        <w:tc>
          <w:tcPr>
            <w:tcW w:w="789" w:type="dxa"/>
            <w:noWrap/>
            <w:vAlign w:val="center"/>
            <w:hideMark/>
          </w:tcPr>
          <w:p w14:paraId="0497E423"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1.000</w:t>
            </w:r>
          </w:p>
        </w:tc>
        <w:tc>
          <w:tcPr>
            <w:tcW w:w="789" w:type="dxa"/>
            <w:noWrap/>
            <w:vAlign w:val="center"/>
            <w:hideMark/>
          </w:tcPr>
          <w:p w14:paraId="5217C0DF" w14:textId="77777777" w:rsidR="00CE66CE" w:rsidRPr="00724CA2" w:rsidRDefault="00CE66CE" w:rsidP="00F84966">
            <w:pPr>
              <w:jc w:val="both"/>
              <w:rPr>
                <w:rFonts w:ascii="Times New Roman" w:hAnsi="Times New Roman" w:cs="Times New Roman"/>
                <w:color w:val="000000" w:themeColor="text1"/>
                <w:sz w:val="18"/>
                <w:szCs w:val="18"/>
              </w:rPr>
            </w:pPr>
          </w:p>
        </w:tc>
        <w:tc>
          <w:tcPr>
            <w:tcW w:w="788" w:type="dxa"/>
            <w:noWrap/>
            <w:vAlign w:val="center"/>
            <w:hideMark/>
          </w:tcPr>
          <w:p w14:paraId="744F00A7"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15D8F81D"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3FB32450"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5684D83E" w14:textId="77777777" w:rsidR="00CE66CE" w:rsidRPr="00724CA2" w:rsidRDefault="00CE66CE" w:rsidP="00F84966">
            <w:pPr>
              <w:jc w:val="both"/>
              <w:rPr>
                <w:rFonts w:ascii="Times New Roman" w:hAnsi="Times New Roman" w:cs="Times New Roman"/>
                <w:color w:val="000000" w:themeColor="text1"/>
                <w:sz w:val="18"/>
                <w:szCs w:val="18"/>
              </w:rPr>
            </w:pPr>
          </w:p>
        </w:tc>
      </w:tr>
      <w:tr w:rsidR="00CE66CE" w:rsidRPr="00724CA2" w14:paraId="5B81519B" w14:textId="77777777" w:rsidTr="00F84966">
        <w:trPr>
          <w:trHeight w:val="284"/>
          <w:jc w:val="center"/>
        </w:trPr>
        <w:tc>
          <w:tcPr>
            <w:tcW w:w="1573" w:type="dxa"/>
            <w:noWrap/>
            <w:vAlign w:val="center"/>
            <w:hideMark/>
          </w:tcPr>
          <w:p w14:paraId="68798878" w14:textId="77777777" w:rsidR="00CE66CE" w:rsidRPr="00724CA2" w:rsidRDefault="00CE66CE" w:rsidP="00F84966">
            <w:pPr>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(12) Z index</w:t>
            </w:r>
          </w:p>
        </w:tc>
        <w:tc>
          <w:tcPr>
            <w:tcW w:w="788" w:type="dxa"/>
            <w:noWrap/>
            <w:vAlign w:val="center"/>
            <w:hideMark/>
          </w:tcPr>
          <w:p w14:paraId="197547A0"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-0.045</w:t>
            </w:r>
          </w:p>
        </w:tc>
        <w:tc>
          <w:tcPr>
            <w:tcW w:w="789" w:type="dxa"/>
            <w:noWrap/>
            <w:vAlign w:val="center"/>
            <w:hideMark/>
          </w:tcPr>
          <w:p w14:paraId="43498B68"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0.241</w:t>
            </w:r>
          </w:p>
        </w:tc>
        <w:tc>
          <w:tcPr>
            <w:tcW w:w="789" w:type="dxa"/>
            <w:noWrap/>
            <w:vAlign w:val="center"/>
            <w:hideMark/>
          </w:tcPr>
          <w:p w14:paraId="7775FD27"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-0.087</w:t>
            </w:r>
          </w:p>
        </w:tc>
        <w:tc>
          <w:tcPr>
            <w:tcW w:w="789" w:type="dxa"/>
            <w:noWrap/>
            <w:vAlign w:val="center"/>
            <w:hideMark/>
          </w:tcPr>
          <w:p w14:paraId="047DC259"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-0.102</w:t>
            </w:r>
          </w:p>
        </w:tc>
        <w:tc>
          <w:tcPr>
            <w:tcW w:w="788" w:type="dxa"/>
            <w:noWrap/>
            <w:vAlign w:val="center"/>
            <w:hideMark/>
          </w:tcPr>
          <w:p w14:paraId="67958980"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-0.034</w:t>
            </w:r>
          </w:p>
        </w:tc>
        <w:tc>
          <w:tcPr>
            <w:tcW w:w="789" w:type="dxa"/>
            <w:noWrap/>
            <w:vAlign w:val="center"/>
            <w:hideMark/>
          </w:tcPr>
          <w:p w14:paraId="6EC8E40A"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-0.067</w:t>
            </w:r>
          </w:p>
        </w:tc>
        <w:tc>
          <w:tcPr>
            <w:tcW w:w="789" w:type="dxa"/>
            <w:noWrap/>
            <w:vAlign w:val="center"/>
            <w:hideMark/>
          </w:tcPr>
          <w:p w14:paraId="2BE14D18"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0.042</w:t>
            </w:r>
          </w:p>
        </w:tc>
        <w:tc>
          <w:tcPr>
            <w:tcW w:w="789" w:type="dxa"/>
            <w:noWrap/>
            <w:vAlign w:val="center"/>
            <w:hideMark/>
          </w:tcPr>
          <w:p w14:paraId="7D575620"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-0.066</w:t>
            </w:r>
          </w:p>
        </w:tc>
        <w:tc>
          <w:tcPr>
            <w:tcW w:w="788" w:type="dxa"/>
            <w:noWrap/>
            <w:vAlign w:val="center"/>
            <w:hideMark/>
          </w:tcPr>
          <w:p w14:paraId="1A90039C"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0.019</w:t>
            </w:r>
          </w:p>
        </w:tc>
        <w:tc>
          <w:tcPr>
            <w:tcW w:w="789" w:type="dxa"/>
            <w:noWrap/>
            <w:vAlign w:val="center"/>
            <w:hideMark/>
          </w:tcPr>
          <w:p w14:paraId="21E7466C"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-0.086</w:t>
            </w:r>
          </w:p>
        </w:tc>
        <w:tc>
          <w:tcPr>
            <w:tcW w:w="789" w:type="dxa"/>
            <w:noWrap/>
            <w:vAlign w:val="center"/>
            <w:hideMark/>
          </w:tcPr>
          <w:p w14:paraId="40857367"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-0.177</w:t>
            </w:r>
          </w:p>
        </w:tc>
        <w:tc>
          <w:tcPr>
            <w:tcW w:w="789" w:type="dxa"/>
            <w:noWrap/>
            <w:vAlign w:val="center"/>
            <w:hideMark/>
          </w:tcPr>
          <w:p w14:paraId="5AA90BE9"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1.000</w:t>
            </w:r>
          </w:p>
        </w:tc>
        <w:tc>
          <w:tcPr>
            <w:tcW w:w="788" w:type="dxa"/>
            <w:noWrap/>
            <w:vAlign w:val="center"/>
            <w:hideMark/>
          </w:tcPr>
          <w:p w14:paraId="223ACD27"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44DD0D09"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6F49F120"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02B4572F" w14:textId="77777777" w:rsidR="00CE66CE" w:rsidRPr="00724CA2" w:rsidRDefault="00CE66CE" w:rsidP="00F84966">
            <w:pPr>
              <w:jc w:val="both"/>
              <w:rPr>
                <w:rFonts w:ascii="Times New Roman" w:hAnsi="Times New Roman" w:cs="Times New Roman"/>
                <w:color w:val="000000" w:themeColor="text1"/>
                <w:sz w:val="18"/>
                <w:szCs w:val="18"/>
              </w:rPr>
            </w:pPr>
          </w:p>
        </w:tc>
      </w:tr>
      <w:tr w:rsidR="00CE66CE" w:rsidRPr="00724CA2" w14:paraId="5D3A637D" w14:textId="77777777" w:rsidTr="00F84966">
        <w:trPr>
          <w:trHeight w:val="284"/>
          <w:jc w:val="center"/>
        </w:trPr>
        <w:tc>
          <w:tcPr>
            <w:tcW w:w="1573" w:type="dxa"/>
            <w:noWrap/>
            <w:vAlign w:val="center"/>
            <w:hideMark/>
          </w:tcPr>
          <w:p w14:paraId="0B24959C" w14:textId="77777777" w:rsidR="00CE66CE" w:rsidRPr="00724CA2" w:rsidRDefault="00CE66CE" w:rsidP="00F84966">
            <w:pPr>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(13) Stock returns</w:t>
            </w:r>
          </w:p>
        </w:tc>
        <w:tc>
          <w:tcPr>
            <w:tcW w:w="788" w:type="dxa"/>
            <w:noWrap/>
            <w:vAlign w:val="center"/>
            <w:hideMark/>
          </w:tcPr>
          <w:p w14:paraId="158C342D"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0.152</w:t>
            </w:r>
          </w:p>
        </w:tc>
        <w:tc>
          <w:tcPr>
            <w:tcW w:w="789" w:type="dxa"/>
            <w:noWrap/>
            <w:vAlign w:val="center"/>
            <w:hideMark/>
          </w:tcPr>
          <w:p w14:paraId="3EBA6628"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-0.043</w:t>
            </w:r>
          </w:p>
        </w:tc>
        <w:tc>
          <w:tcPr>
            <w:tcW w:w="789" w:type="dxa"/>
            <w:noWrap/>
            <w:vAlign w:val="center"/>
            <w:hideMark/>
          </w:tcPr>
          <w:p w14:paraId="0FEDF522"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0.033</w:t>
            </w:r>
          </w:p>
        </w:tc>
        <w:tc>
          <w:tcPr>
            <w:tcW w:w="789" w:type="dxa"/>
            <w:noWrap/>
            <w:vAlign w:val="center"/>
            <w:hideMark/>
          </w:tcPr>
          <w:p w14:paraId="36E1E2B5"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0.029</w:t>
            </w:r>
          </w:p>
        </w:tc>
        <w:tc>
          <w:tcPr>
            <w:tcW w:w="788" w:type="dxa"/>
            <w:noWrap/>
            <w:vAlign w:val="center"/>
            <w:hideMark/>
          </w:tcPr>
          <w:p w14:paraId="12C30CED"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-0.013</w:t>
            </w:r>
          </w:p>
        </w:tc>
        <w:tc>
          <w:tcPr>
            <w:tcW w:w="789" w:type="dxa"/>
            <w:noWrap/>
            <w:vAlign w:val="center"/>
            <w:hideMark/>
          </w:tcPr>
          <w:p w14:paraId="5FD3AB66"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-0.056</w:t>
            </w:r>
          </w:p>
        </w:tc>
        <w:tc>
          <w:tcPr>
            <w:tcW w:w="789" w:type="dxa"/>
            <w:noWrap/>
            <w:vAlign w:val="center"/>
            <w:hideMark/>
          </w:tcPr>
          <w:p w14:paraId="566356F3"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-0.014</w:t>
            </w:r>
          </w:p>
        </w:tc>
        <w:tc>
          <w:tcPr>
            <w:tcW w:w="789" w:type="dxa"/>
            <w:noWrap/>
            <w:vAlign w:val="center"/>
            <w:hideMark/>
          </w:tcPr>
          <w:p w14:paraId="3C0B7B86"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0.027</w:t>
            </w:r>
          </w:p>
        </w:tc>
        <w:tc>
          <w:tcPr>
            <w:tcW w:w="788" w:type="dxa"/>
            <w:noWrap/>
            <w:vAlign w:val="center"/>
            <w:hideMark/>
          </w:tcPr>
          <w:p w14:paraId="1F8E95F4"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0.004</w:t>
            </w:r>
          </w:p>
        </w:tc>
        <w:tc>
          <w:tcPr>
            <w:tcW w:w="789" w:type="dxa"/>
            <w:noWrap/>
            <w:vAlign w:val="center"/>
            <w:hideMark/>
          </w:tcPr>
          <w:p w14:paraId="3C1B760D"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0.019</w:t>
            </w:r>
          </w:p>
        </w:tc>
        <w:tc>
          <w:tcPr>
            <w:tcW w:w="789" w:type="dxa"/>
            <w:noWrap/>
            <w:vAlign w:val="center"/>
            <w:hideMark/>
          </w:tcPr>
          <w:p w14:paraId="048CA459"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0.008</w:t>
            </w:r>
          </w:p>
        </w:tc>
        <w:tc>
          <w:tcPr>
            <w:tcW w:w="789" w:type="dxa"/>
            <w:noWrap/>
            <w:vAlign w:val="center"/>
            <w:hideMark/>
          </w:tcPr>
          <w:p w14:paraId="228992B8"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0.003</w:t>
            </w:r>
          </w:p>
        </w:tc>
        <w:tc>
          <w:tcPr>
            <w:tcW w:w="788" w:type="dxa"/>
            <w:noWrap/>
            <w:vAlign w:val="center"/>
            <w:hideMark/>
          </w:tcPr>
          <w:p w14:paraId="12CE7304"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1.000</w:t>
            </w:r>
          </w:p>
        </w:tc>
        <w:tc>
          <w:tcPr>
            <w:tcW w:w="789" w:type="dxa"/>
            <w:noWrap/>
            <w:vAlign w:val="center"/>
            <w:hideMark/>
          </w:tcPr>
          <w:p w14:paraId="151F0F96"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63A5AAA2"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658FEB15" w14:textId="77777777" w:rsidR="00CE66CE" w:rsidRPr="00724CA2" w:rsidRDefault="00CE66CE" w:rsidP="00F84966">
            <w:pPr>
              <w:jc w:val="both"/>
              <w:rPr>
                <w:rFonts w:ascii="Times New Roman" w:hAnsi="Times New Roman" w:cs="Times New Roman"/>
                <w:color w:val="000000" w:themeColor="text1"/>
                <w:sz w:val="18"/>
                <w:szCs w:val="18"/>
              </w:rPr>
            </w:pPr>
          </w:p>
        </w:tc>
      </w:tr>
      <w:tr w:rsidR="00CE66CE" w:rsidRPr="00724CA2" w14:paraId="52DCD3B9" w14:textId="77777777" w:rsidTr="00F84966">
        <w:trPr>
          <w:trHeight w:val="284"/>
          <w:jc w:val="center"/>
        </w:trPr>
        <w:tc>
          <w:tcPr>
            <w:tcW w:w="1573" w:type="dxa"/>
            <w:noWrap/>
            <w:vAlign w:val="center"/>
            <w:hideMark/>
          </w:tcPr>
          <w:p w14:paraId="24078A9A" w14:textId="77777777" w:rsidR="00CE66CE" w:rsidRPr="00724CA2" w:rsidRDefault="00CE66CE" w:rsidP="00F84966">
            <w:pPr>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(14) Tobin Q</w:t>
            </w:r>
          </w:p>
        </w:tc>
        <w:tc>
          <w:tcPr>
            <w:tcW w:w="788" w:type="dxa"/>
            <w:noWrap/>
            <w:vAlign w:val="center"/>
            <w:hideMark/>
          </w:tcPr>
          <w:p w14:paraId="505D07C4"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0.120</w:t>
            </w:r>
          </w:p>
        </w:tc>
        <w:tc>
          <w:tcPr>
            <w:tcW w:w="789" w:type="dxa"/>
            <w:noWrap/>
            <w:vAlign w:val="center"/>
            <w:hideMark/>
          </w:tcPr>
          <w:p w14:paraId="1BFFD188"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-0.226</w:t>
            </w:r>
          </w:p>
        </w:tc>
        <w:tc>
          <w:tcPr>
            <w:tcW w:w="789" w:type="dxa"/>
            <w:noWrap/>
            <w:vAlign w:val="center"/>
            <w:hideMark/>
          </w:tcPr>
          <w:p w14:paraId="40161464"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0.036</w:t>
            </w:r>
          </w:p>
        </w:tc>
        <w:tc>
          <w:tcPr>
            <w:tcW w:w="789" w:type="dxa"/>
            <w:noWrap/>
            <w:vAlign w:val="center"/>
            <w:hideMark/>
          </w:tcPr>
          <w:p w14:paraId="2A190CD5"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0.034</w:t>
            </w:r>
          </w:p>
        </w:tc>
        <w:tc>
          <w:tcPr>
            <w:tcW w:w="788" w:type="dxa"/>
            <w:noWrap/>
            <w:vAlign w:val="center"/>
            <w:hideMark/>
          </w:tcPr>
          <w:p w14:paraId="1E0E0C51"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-0.091</w:t>
            </w:r>
          </w:p>
        </w:tc>
        <w:tc>
          <w:tcPr>
            <w:tcW w:w="789" w:type="dxa"/>
            <w:noWrap/>
            <w:vAlign w:val="center"/>
            <w:hideMark/>
          </w:tcPr>
          <w:p w14:paraId="1BFB371A"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-0.094</w:t>
            </w:r>
          </w:p>
        </w:tc>
        <w:tc>
          <w:tcPr>
            <w:tcW w:w="789" w:type="dxa"/>
            <w:noWrap/>
            <w:vAlign w:val="center"/>
            <w:hideMark/>
          </w:tcPr>
          <w:p w14:paraId="0F7D925A"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-0.068</w:t>
            </w:r>
          </w:p>
        </w:tc>
        <w:tc>
          <w:tcPr>
            <w:tcW w:w="789" w:type="dxa"/>
            <w:noWrap/>
            <w:vAlign w:val="center"/>
            <w:hideMark/>
          </w:tcPr>
          <w:p w14:paraId="5F64391F"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0.081</w:t>
            </w:r>
          </w:p>
        </w:tc>
        <w:tc>
          <w:tcPr>
            <w:tcW w:w="788" w:type="dxa"/>
            <w:noWrap/>
            <w:vAlign w:val="center"/>
            <w:hideMark/>
          </w:tcPr>
          <w:p w14:paraId="22F03D78"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0.032</w:t>
            </w:r>
          </w:p>
        </w:tc>
        <w:tc>
          <w:tcPr>
            <w:tcW w:w="789" w:type="dxa"/>
            <w:noWrap/>
            <w:vAlign w:val="center"/>
            <w:hideMark/>
          </w:tcPr>
          <w:p w14:paraId="7572EAF3"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-0.053</w:t>
            </w:r>
          </w:p>
        </w:tc>
        <w:tc>
          <w:tcPr>
            <w:tcW w:w="789" w:type="dxa"/>
            <w:noWrap/>
            <w:vAlign w:val="center"/>
            <w:hideMark/>
          </w:tcPr>
          <w:p w14:paraId="54AC5B9F"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0.147</w:t>
            </w:r>
          </w:p>
        </w:tc>
        <w:tc>
          <w:tcPr>
            <w:tcW w:w="789" w:type="dxa"/>
            <w:noWrap/>
            <w:vAlign w:val="center"/>
            <w:hideMark/>
          </w:tcPr>
          <w:p w14:paraId="7343B99A"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-0.103</w:t>
            </w:r>
          </w:p>
        </w:tc>
        <w:tc>
          <w:tcPr>
            <w:tcW w:w="788" w:type="dxa"/>
            <w:noWrap/>
            <w:vAlign w:val="center"/>
            <w:hideMark/>
          </w:tcPr>
          <w:p w14:paraId="083436CB"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0.283</w:t>
            </w:r>
          </w:p>
        </w:tc>
        <w:tc>
          <w:tcPr>
            <w:tcW w:w="789" w:type="dxa"/>
            <w:noWrap/>
            <w:vAlign w:val="center"/>
            <w:hideMark/>
          </w:tcPr>
          <w:p w14:paraId="5626C84F"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1.000</w:t>
            </w:r>
          </w:p>
        </w:tc>
        <w:tc>
          <w:tcPr>
            <w:tcW w:w="789" w:type="dxa"/>
            <w:noWrap/>
            <w:vAlign w:val="center"/>
            <w:hideMark/>
          </w:tcPr>
          <w:p w14:paraId="28DF723E" w14:textId="77777777" w:rsidR="00CE66CE" w:rsidRPr="00724CA2" w:rsidRDefault="00CE66CE" w:rsidP="00F84966">
            <w:pPr>
              <w:jc w:val="both"/>
              <w:rPr>
                <w:rFonts w:ascii="Times New Roman" w:hAnsi="Times New Roman" w:cs="Times New Roman"/>
                <w:color w:val="000000" w:themeColor="text1"/>
                <w:sz w:val="18"/>
                <w:szCs w:val="18"/>
              </w:rPr>
            </w:pPr>
          </w:p>
        </w:tc>
        <w:tc>
          <w:tcPr>
            <w:tcW w:w="789" w:type="dxa"/>
            <w:noWrap/>
            <w:vAlign w:val="center"/>
            <w:hideMark/>
          </w:tcPr>
          <w:p w14:paraId="1F2E6B73" w14:textId="77777777" w:rsidR="00CE66CE" w:rsidRPr="00724CA2" w:rsidRDefault="00CE66CE" w:rsidP="00F84966">
            <w:pPr>
              <w:jc w:val="both"/>
              <w:rPr>
                <w:rFonts w:ascii="Times New Roman" w:hAnsi="Times New Roman" w:cs="Times New Roman"/>
                <w:color w:val="000000" w:themeColor="text1"/>
                <w:sz w:val="18"/>
                <w:szCs w:val="18"/>
              </w:rPr>
            </w:pPr>
          </w:p>
        </w:tc>
      </w:tr>
      <w:tr w:rsidR="00CE66CE" w:rsidRPr="00724CA2" w14:paraId="16D12367" w14:textId="77777777" w:rsidTr="00F84966">
        <w:trPr>
          <w:trHeight w:val="284"/>
          <w:jc w:val="center"/>
        </w:trPr>
        <w:tc>
          <w:tcPr>
            <w:tcW w:w="1573" w:type="dxa"/>
            <w:noWrap/>
            <w:vAlign w:val="center"/>
            <w:hideMark/>
          </w:tcPr>
          <w:p w14:paraId="7CB33BD7" w14:textId="77777777" w:rsidR="00CE66CE" w:rsidRPr="00724CA2" w:rsidRDefault="00CE66CE" w:rsidP="00F84966">
            <w:pPr>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(15) Firm age</w:t>
            </w:r>
          </w:p>
        </w:tc>
        <w:tc>
          <w:tcPr>
            <w:tcW w:w="788" w:type="dxa"/>
            <w:noWrap/>
            <w:vAlign w:val="center"/>
            <w:hideMark/>
          </w:tcPr>
          <w:p w14:paraId="030BACEE"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-0.039</w:t>
            </w:r>
          </w:p>
        </w:tc>
        <w:tc>
          <w:tcPr>
            <w:tcW w:w="789" w:type="dxa"/>
            <w:noWrap/>
            <w:vAlign w:val="center"/>
            <w:hideMark/>
          </w:tcPr>
          <w:p w14:paraId="71F5E9D2"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0.151</w:t>
            </w:r>
          </w:p>
        </w:tc>
        <w:tc>
          <w:tcPr>
            <w:tcW w:w="789" w:type="dxa"/>
            <w:noWrap/>
            <w:vAlign w:val="center"/>
            <w:hideMark/>
          </w:tcPr>
          <w:p w14:paraId="02180273"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-0.099</w:t>
            </w:r>
          </w:p>
        </w:tc>
        <w:tc>
          <w:tcPr>
            <w:tcW w:w="789" w:type="dxa"/>
            <w:noWrap/>
            <w:vAlign w:val="center"/>
            <w:hideMark/>
          </w:tcPr>
          <w:p w14:paraId="6E22A235"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-0.203</w:t>
            </w:r>
          </w:p>
        </w:tc>
        <w:tc>
          <w:tcPr>
            <w:tcW w:w="788" w:type="dxa"/>
            <w:noWrap/>
            <w:vAlign w:val="center"/>
            <w:hideMark/>
          </w:tcPr>
          <w:p w14:paraId="41B5C072"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0.034</w:t>
            </w:r>
          </w:p>
        </w:tc>
        <w:tc>
          <w:tcPr>
            <w:tcW w:w="789" w:type="dxa"/>
            <w:noWrap/>
            <w:vAlign w:val="center"/>
            <w:hideMark/>
          </w:tcPr>
          <w:p w14:paraId="74A4A343"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0.005</w:t>
            </w:r>
          </w:p>
        </w:tc>
        <w:tc>
          <w:tcPr>
            <w:tcW w:w="789" w:type="dxa"/>
            <w:noWrap/>
            <w:vAlign w:val="center"/>
            <w:hideMark/>
          </w:tcPr>
          <w:p w14:paraId="6B1836FA"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-0.109</w:t>
            </w:r>
          </w:p>
        </w:tc>
        <w:tc>
          <w:tcPr>
            <w:tcW w:w="789" w:type="dxa"/>
            <w:noWrap/>
            <w:vAlign w:val="center"/>
            <w:hideMark/>
          </w:tcPr>
          <w:p w14:paraId="1B01F58E"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-0.057</w:t>
            </w:r>
          </w:p>
        </w:tc>
        <w:tc>
          <w:tcPr>
            <w:tcW w:w="788" w:type="dxa"/>
            <w:noWrap/>
            <w:vAlign w:val="center"/>
            <w:hideMark/>
          </w:tcPr>
          <w:p w14:paraId="35360F3F"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-0.022</w:t>
            </w:r>
          </w:p>
        </w:tc>
        <w:tc>
          <w:tcPr>
            <w:tcW w:w="789" w:type="dxa"/>
            <w:noWrap/>
            <w:vAlign w:val="center"/>
            <w:hideMark/>
          </w:tcPr>
          <w:p w14:paraId="75F3A260"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0.091</w:t>
            </w:r>
          </w:p>
        </w:tc>
        <w:tc>
          <w:tcPr>
            <w:tcW w:w="789" w:type="dxa"/>
            <w:noWrap/>
            <w:vAlign w:val="center"/>
            <w:hideMark/>
          </w:tcPr>
          <w:p w14:paraId="1EA92973"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-0.242</w:t>
            </w:r>
          </w:p>
        </w:tc>
        <w:tc>
          <w:tcPr>
            <w:tcW w:w="789" w:type="dxa"/>
            <w:noWrap/>
            <w:vAlign w:val="center"/>
            <w:hideMark/>
          </w:tcPr>
          <w:p w14:paraId="5AA7DBE5"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-0.020</w:t>
            </w:r>
          </w:p>
        </w:tc>
        <w:tc>
          <w:tcPr>
            <w:tcW w:w="788" w:type="dxa"/>
            <w:noWrap/>
            <w:vAlign w:val="center"/>
            <w:hideMark/>
          </w:tcPr>
          <w:p w14:paraId="74ABC617"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-0.056</w:t>
            </w:r>
          </w:p>
        </w:tc>
        <w:tc>
          <w:tcPr>
            <w:tcW w:w="789" w:type="dxa"/>
            <w:noWrap/>
            <w:vAlign w:val="center"/>
            <w:hideMark/>
          </w:tcPr>
          <w:p w14:paraId="7CDB61C1"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0.001</w:t>
            </w:r>
          </w:p>
        </w:tc>
        <w:tc>
          <w:tcPr>
            <w:tcW w:w="789" w:type="dxa"/>
            <w:noWrap/>
            <w:vAlign w:val="center"/>
            <w:hideMark/>
          </w:tcPr>
          <w:p w14:paraId="07421DA1"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1.000</w:t>
            </w:r>
          </w:p>
        </w:tc>
        <w:tc>
          <w:tcPr>
            <w:tcW w:w="789" w:type="dxa"/>
            <w:noWrap/>
            <w:vAlign w:val="center"/>
            <w:hideMark/>
          </w:tcPr>
          <w:p w14:paraId="0E776E5A" w14:textId="77777777" w:rsidR="00CE66CE" w:rsidRPr="00724CA2" w:rsidRDefault="00CE66CE" w:rsidP="00F84966">
            <w:pPr>
              <w:jc w:val="both"/>
              <w:rPr>
                <w:rFonts w:ascii="Times New Roman" w:hAnsi="Times New Roman" w:cs="Times New Roman"/>
                <w:color w:val="000000" w:themeColor="text1"/>
                <w:sz w:val="18"/>
                <w:szCs w:val="18"/>
              </w:rPr>
            </w:pPr>
          </w:p>
        </w:tc>
      </w:tr>
      <w:tr w:rsidR="00CE66CE" w:rsidRPr="00724CA2" w14:paraId="522915B7" w14:textId="77777777" w:rsidTr="00F84966">
        <w:trPr>
          <w:trHeight w:val="284"/>
          <w:jc w:val="center"/>
        </w:trPr>
        <w:tc>
          <w:tcPr>
            <w:tcW w:w="1573" w:type="dxa"/>
            <w:noWrap/>
            <w:vAlign w:val="center"/>
            <w:hideMark/>
          </w:tcPr>
          <w:p w14:paraId="7047DC70" w14:textId="77777777" w:rsidR="00CE66CE" w:rsidRPr="00724CA2" w:rsidRDefault="00CE66CE" w:rsidP="00F84966">
            <w:pPr>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 xml:space="preserve">(16) Leverage </w:t>
            </w:r>
          </w:p>
        </w:tc>
        <w:tc>
          <w:tcPr>
            <w:tcW w:w="788" w:type="dxa"/>
            <w:noWrap/>
            <w:vAlign w:val="center"/>
            <w:hideMark/>
          </w:tcPr>
          <w:p w14:paraId="0FE0B378"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-0.029</w:t>
            </w:r>
          </w:p>
        </w:tc>
        <w:tc>
          <w:tcPr>
            <w:tcW w:w="789" w:type="dxa"/>
            <w:noWrap/>
            <w:vAlign w:val="center"/>
            <w:hideMark/>
          </w:tcPr>
          <w:p w14:paraId="3A51C2F5"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0.210</w:t>
            </w:r>
          </w:p>
        </w:tc>
        <w:tc>
          <w:tcPr>
            <w:tcW w:w="789" w:type="dxa"/>
            <w:noWrap/>
            <w:vAlign w:val="center"/>
            <w:hideMark/>
          </w:tcPr>
          <w:p w14:paraId="6DB10BF7"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-0.092</w:t>
            </w:r>
          </w:p>
        </w:tc>
        <w:tc>
          <w:tcPr>
            <w:tcW w:w="789" w:type="dxa"/>
            <w:noWrap/>
            <w:vAlign w:val="center"/>
            <w:hideMark/>
          </w:tcPr>
          <w:p w14:paraId="3C24F034"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-0.078</w:t>
            </w:r>
          </w:p>
        </w:tc>
        <w:tc>
          <w:tcPr>
            <w:tcW w:w="788" w:type="dxa"/>
            <w:noWrap/>
            <w:vAlign w:val="center"/>
            <w:hideMark/>
          </w:tcPr>
          <w:p w14:paraId="701FBCE6"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0.076</w:t>
            </w:r>
          </w:p>
        </w:tc>
        <w:tc>
          <w:tcPr>
            <w:tcW w:w="789" w:type="dxa"/>
            <w:noWrap/>
            <w:vAlign w:val="center"/>
            <w:hideMark/>
          </w:tcPr>
          <w:p w14:paraId="0C9EC4BC"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-0.021</w:t>
            </w:r>
          </w:p>
        </w:tc>
        <w:tc>
          <w:tcPr>
            <w:tcW w:w="789" w:type="dxa"/>
            <w:noWrap/>
            <w:vAlign w:val="center"/>
            <w:hideMark/>
          </w:tcPr>
          <w:p w14:paraId="41EE1978"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-0.160</w:t>
            </w:r>
          </w:p>
        </w:tc>
        <w:tc>
          <w:tcPr>
            <w:tcW w:w="789" w:type="dxa"/>
            <w:noWrap/>
            <w:vAlign w:val="center"/>
            <w:hideMark/>
          </w:tcPr>
          <w:p w14:paraId="6653DAC5"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-0.074</w:t>
            </w:r>
          </w:p>
        </w:tc>
        <w:tc>
          <w:tcPr>
            <w:tcW w:w="788" w:type="dxa"/>
            <w:noWrap/>
            <w:vAlign w:val="center"/>
            <w:hideMark/>
          </w:tcPr>
          <w:p w14:paraId="39FCB107"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-0.013</w:t>
            </w:r>
          </w:p>
        </w:tc>
        <w:tc>
          <w:tcPr>
            <w:tcW w:w="789" w:type="dxa"/>
            <w:noWrap/>
            <w:vAlign w:val="center"/>
            <w:hideMark/>
          </w:tcPr>
          <w:p w14:paraId="2E201DE1"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0.125</w:t>
            </w:r>
          </w:p>
        </w:tc>
        <w:tc>
          <w:tcPr>
            <w:tcW w:w="789" w:type="dxa"/>
            <w:noWrap/>
            <w:vAlign w:val="center"/>
            <w:hideMark/>
          </w:tcPr>
          <w:p w14:paraId="21270D64"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-0.197</w:t>
            </w:r>
          </w:p>
        </w:tc>
        <w:tc>
          <w:tcPr>
            <w:tcW w:w="789" w:type="dxa"/>
            <w:noWrap/>
            <w:vAlign w:val="center"/>
            <w:hideMark/>
          </w:tcPr>
          <w:p w14:paraId="72398832"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0.065</w:t>
            </w:r>
          </w:p>
        </w:tc>
        <w:tc>
          <w:tcPr>
            <w:tcW w:w="788" w:type="dxa"/>
            <w:noWrap/>
            <w:vAlign w:val="center"/>
            <w:hideMark/>
          </w:tcPr>
          <w:p w14:paraId="242AE253"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-0.005</w:t>
            </w:r>
          </w:p>
        </w:tc>
        <w:tc>
          <w:tcPr>
            <w:tcW w:w="789" w:type="dxa"/>
            <w:noWrap/>
            <w:vAlign w:val="center"/>
            <w:hideMark/>
          </w:tcPr>
          <w:p w14:paraId="1C393CE2"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-0.276</w:t>
            </w:r>
          </w:p>
        </w:tc>
        <w:tc>
          <w:tcPr>
            <w:tcW w:w="789" w:type="dxa"/>
            <w:noWrap/>
            <w:vAlign w:val="center"/>
            <w:hideMark/>
          </w:tcPr>
          <w:p w14:paraId="5AE15C74"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0.091</w:t>
            </w:r>
          </w:p>
        </w:tc>
        <w:tc>
          <w:tcPr>
            <w:tcW w:w="789" w:type="dxa"/>
            <w:noWrap/>
            <w:vAlign w:val="center"/>
            <w:hideMark/>
          </w:tcPr>
          <w:p w14:paraId="12A4AA61" w14:textId="77777777" w:rsidR="00CE66CE" w:rsidRPr="00724CA2" w:rsidRDefault="00CE66CE" w:rsidP="00F84966">
            <w:pPr>
              <w:jc w:val="both"/>
              <w:rPr>
                <w:rFonts w:ascii="Times New Roman" w:hAnsi="Times New Roman" w:cs="Times New Roman"/>
                <w:color w:val="000000" w:themeColor="text1"/>
                <w:sz w:val="18"/>
                <w:szCs w:val="18"/>
              </w:rPr>
            </w:pPr>
            <w:r w:rsidRPr="00724CA2">
              <w:rPr>
                <w:rFonts w:ascii="Times New Roman" w:hAnsi="Times New Roman" w:cs="Times New Roman"/>
                <w:color w:val="000000" w:themeColor="text1"/>
                <w:sz w:val="18"/>
                <w:szCs w:val="18"/>
              </w:rPr>
              <w:t>1.000</w:t>
            </w:r>
          </w:p>
        </w:tc>
      </w:tr>
    </w:tbl>
    <w:p w14:paraId="0D32FC74" w14:textId="77777777" w:rsidR="00CE66CE" w:rsidRPr="00724CA2" w:rsidRDefault="00CE66CE" w:rsidP="00CE66CE">
      <w:pPr>
        <w:jc w:val="both"/>
        <w:rPr>
          <w:rFonts w:ascii="Times New Roman" w:hAnsi="Times New Roman" w:cs="Times New Roman"/>
          <w:color w:val="000000" w:themeColor="text1"/>
          <w:szCs w:val="20"/>
        </w:rPr>
      </w:pPr>
    </w:p>
    <w:p w14:paraId="20FAD3DC" w14:textId="780BA1FD" w:rsidR="005920C4" w:rsidRDefault="005920C4" w:rsidP="00CE66CE">
      <w:pPr>
        <w:tabs>
          <w:tab w:val="left" w:pos="907"/>
        </w:tabs>
        <w:jc w:val="both"/>
        <w:rPr>
          <w:rFonts w:ascii="Times New Roman" w:hAnsi="Times New Roman" w:cs="Times New Roman"/>
          <w:color w:val="000000" w:themeColor="text1"/>
          <w:szCs w:val="20"/>
        </w:rPr>
      </w:pPr>
    </w:p>
    <w:sectPr w:rsidR="005920C4" w:rsidSect="00CE66CE">
      <w:footnotePr>
        <w:pos w:val="beneathText"/>
      </w:footnotePr>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2E020" w14:textId="77777777" w:rsidR="006538FD" w:rsidRDefault="006538FD" w:rsidP="005B2034">
      <w:pPr>
        <w:spacing w:after="0" w:line="240" w:lineRule="auto"/>
      </w:pPr>
      <w:r>
        <w:separator/>
      </w:r>
    </w:p>
  </w:endnote>
  <w:endnote w:type="continuationSeparator" w:id="0">
    <w:p w14:paraId="74301783" w14:textId="77777777" w:rsidR="006538FD" w:rsidRDefault="006538FD" w:rsidP="005B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CBOB F+ Gulliver">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TSY">
    <w:altName w:val="Malgun Gothic"/>
    <w:panose1 w:val="00000000000000000000"/>
    <w:charset w:val="81"/>
    <w:family w:val="auto"/>
    <w:notTrueType/>
    <w:pitch w:val="default"/>
    <w:sig w:usb0="00000001" w:usb1="09060000" w:usb2="00000010" w:usb3="00000000" w:csb0="00080000" w:csb1="00000000"/>
  </w:font>
  <w:font w:name="FNKGO K+ MTSY">
    <w:altName w:val="Arial Unicode MS"/>
    <w:charset w:val="81"/>
    <w:family w:val="swiss"/>
    <w:pitch w:val="default"/>
    <w:sig w:usb0="00000000" w:usb1="09060000" w:usb2="00000010" w:usb3="00000000" w:csb0="00080000" w:csb1="00000000"/>
  </w:font>
  <w:font w:name="AdvTTa9c1b374+20">
    <w:altName w:val="MS Gothic"/>
    <w:charset w:val="80"/>
    <w:family w:val="auto"/>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3751469"/>
      <w:docPartObj>
        <w:docPartGallery w:val="Page Numbers (Bottom of Page)"/>
        <w:docPartUnique/>
      </w:docPartObj>
    </w:sdtPr>
    <w:sdtEndPr>
      <w:rPr>
        <w:noProof/>
      </w:rPr>
    </w:sdtEndPr>
    <w:sdtContent>
      <w:p w14:paraId="64859C1C" w14:textId="77777777" w:rsidR="005940FC" w:rsidRDefault="005940FC">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74C2BB88" w14:textId="77777777" w:rsidR="005940FC" w:rsidRDefault="00594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38AAE" w14:textId="77777777" w:rsidR="006538FD" w:rsidRDefault="006538FD" w:rsidP="005B2034">
      <w:pPr>
        <w:spacing w:after="0" w:line="240" w:lineRule="auto"/>
      </w:pPr>
      <w:r>
        <w:separator/>
      </w:r>
    </w:p>
  </w:footnote>
  <w:footnote w:type="continuationSeparator" w:id="0">
    <w:p w14:paraId="3215A839" w14:textId="77777777" w:rsidR="006538FD" w:rsidRDefault="006538FD" w:rsidP="005B2034">
      <w:pPr>
        <w:spacing w:after="0" w:line="240" w:lineRule="auto"/>
      </w:pPr>
      <w:r>
        <w:continuationSeparator/>
      </w:r>
    </w:p>
  </w:footnote>
  <w:footnote w:id="1">
    <w:p w14:paraId="64CE6B5B" w14:textId="23526711" w:rsidR="005735F4" w:rsidRPr="005735F4" w:rsidRDefault="005735F4" w:rsidP="005735F4">
      <w:pPr>
        <w:pStyle w:val="FootnoteText"/>
        <w:jc w:val="both"/>
        <w:rPr>
          <w:rFonts w:ascii="Times New Roman" w:hAnsi="Times New Roman" w:cs="Times New Roman"/>
          <w:sz w:val="22"/>
          <w:szCs w:val="22"/>
        </w:rPr>
      </w:pPr>
      <w:r w:rsidRPr="005735F4">
        <w:rPr>
          <w:rStyle w:val="FootnoteReference"/>
          <w:rFonts w:ascii="Times New Roman" w:hAnsi="Times New Roman" w:cs="Times New Roman"/>
          <w:sz w:val="22"/>
          <w:szCs w:val="22"/>
        </w:rPr>
        <w:footnoteRef/>
      </w:r>
      <w:r w:rsidRPr="005735F4">
        <w:rPr>
          <w:rFonts w:ascii="Times New Roman" w:hAnsi="Times New Roman" w:cs="Times New Roman"/>
          <w:sz w:val="22"/>
          <w:szCs w:val="22"/>
        </w:rPr>
        <w:t xml:space="preserve"> Appendix 1 presents past studies </w:t>
      </w:r>
      <w:r>
        <w:rPr>
          <w:rFonts w:ascii="Times New Roman" w:hAnsi="Times New Roman" w:cs="Times New Roman" w:hint="eastAsia"/>
          <w:sz w:val="22"/>
          <w:szCs w:val="22"/>
        </w:rPr>
        <w:t xml:space="preserve">that </w:t>
      </w:r>
      <w:r w:rsidRPr="005735F4">
        <w:rPr>
          <w:rFonts w:ascii="Times New Roman" w:hAnsi="Times New Roman" w:cs="Times New Roman"/>
          <w:sz w:val="22"/>
          <w:szCs w:val="22"/>
        </w:rPr>
        <w:t>examin</w:t>
      </w:r>
      <w:r>
        <w:rPr>
          <w:rFonts w:ascii="Times New Roman" w:hAnsi="Times New Roman" w:cs="Times New Roman" w:hint="eastAsia"/>
          <w:sz w:val="22"/>
          <w:szCs w:val="22"/>
        </w:rPr>
        <w:t>e</w:t>
      </w:r>
      <w:r w:rsidRPr="005735F4">
        <w:rPr>
          <w:rFonts w:ascii="Times New Roman" w:hAnsi="Times New Roman" w:cs="Times New Roman"/>
          <w:sz w:val="22"/>
          <w:szCs w:val="22"/>
        </w:rPr>
        <w:t xml:space="preserve"> </w:t>
      </w:r>
      <w:r w:rsidR="008F0B71">
        <w:rPr>
          <w:rFonts w:ascii="Times New Roman" w:hAnsi="Times New Roman" w:cs="Times New Roman" w:hint="eastAsia"/>
          <w:sz w:val="22"/>
          <w:szCs w:val="22"/>
        </w:rPr>
        <w:t>ESG</w:t>
      </w:r>
      <w:r w:rsidRPr="005735F4">
        <w:rPr>
          <w:rFonts w:ascii="Times New Roman" w:hAnsi="Times New Roman" w:cs="Times New Roman"/>
          <w:sz w:val="22"/>
          <w:szCs w:val="22"/>
        </w:rPr>
        <w:t xml:space="preserve"> performance and institutional investment</w:t>
      </w:r>
      <w:r>
        <w:rPr>
          <w:rFonts w:ascii="Times New Roman" w:hAnsi="Times New Roman" w:cs="Times New Roman" w:hint="eastAsia"/>
          <w:sz w:val="22"/>
          <w:szCs w:val="22"/>
        </w:rPr>
        <w:t>.</w:t>
      </w:r>
    </w:p>
  </w:footnote>
  <w:footnote w:id="2">
    <w:p w14:paraId="65209EF8" w14:textId="529C5716" w:rsidR="00342004" w:rsidRPr="00342004" w:rsidRDefault="00342004" w:rsidP="00342004">
      <w:pPr>
        <w:pStyle w:val="FootnoteText"/>
        <w:jc w:val="both"/>
        <w:rPr>
          <w:rFonts w:ascii="Times New Roman" w:hAnsi="Times New Roman" w:cs="Times New Roman"/>
          <w:sz w:val="22"/>
          <w:szCs w:val="22"/>
        </w:rPr>
      </w:pPr>
      <w:r w:rsidRPr="00480DDD">
        <w:rPr>
          <w:rStyle w:val="FootnoteReference"/>
          <w:rFonts w:ascii="Times New Roman" w:hAnsi="Times New Roman" w:cs="Times New Roman"/>
          <w:color w:val="000000" w:themeColor="text1"/>
          <w:sz w:val="22"/>
          <w:szCs w:val="22"/>
        </w:rPr>
        <w:footnoteRef/>
      </w:r>
      <w:r w:rsidRPr="00480DDD">
        <w:rPr>
          <w:rFonts w:ascii="Times New Roman" w:hAnsi="Times New Roman" w:cs="Times New Roman"/>
          <w:color w:val="000000" w:themeColor="text1"/>
          <w:sz w:val="22"/>
          <w:szCs w:val="22"/>
        </w:rPr>
        <w:t xml:space="preserve"> </w:t>
      </w:r>
      <w:r w:rsidRPr="00480DDD">
        <w:rPr>
          <w:rFonts w:ascii="Times New Roman" w:eastAsia="SimSun" w:hAnsi="Times New Roman" w:cs="Times New Roman"/>
          <w:iCs/>
          <w:color w:val="000000" w:themeColor="text1"/>
          <w:sz w:val="22"/>
          <w:szCs w:val="22"/>
        </w:rPr>
        <w:t xml:space="preserve">Some of these expense items </w:t>
      </w:r>
      <w:r w:rsidR="00001E72">
        <w:rPr>
          <w:rFonts w:ascii="Times New Roman" w:eastAsia="SimSun" w:hAnsi="Times New Roman" w:cs="Times New Roman"/>
          <w:iCs/>
          <w:color w:val="000000" w:themeColor="text1"/>
          <w:sz w:val="22"/>
          <w:szCs w:val="22"/>
        </w:rPr>
        <w:t>are</w:t>
      </w:r>
      <w:r w:rsidRPr="00480DDD">
        <w:rPr>
          <w:rFonts w:ascii="Times New Roman" w:eastAsia="SimSun" w:hAnsi="Times New Roman" w:cs="Times New Roman"/>
          <w:iCs/>
          <w:color w:val="000000" w:themeColor="text1"/>
          <w:sz w:val="22"/>
          <w:szCs w:val="22"/>
        </w:rPr>
        <w:t xml:space="preserve"> found in the notes to the ‘general and administrative expenses’ within corporate annual reports.</w:t>
      </w:r>
    </w:p>
  </w:footnote>
  <w:footnote w:id="3">
    <w:p w14:paraId="553591C6" w14:textId="38A3746F" w:rsidR="00466A01" w:rsidRPr="00466A01" w:rsidRDefault="00466A01" w:rsidP="00466A01">
      <w:pPr>
        <w:pStyle w:val="FootnoteText"/>
        <w:jc w:val="both"/>
        <w:rPr>
          <w:rFonts w:ascii="Times New Roman" w:hAnsi="Times New Roman" w:cs="Times New Roman"/>
          <w:sz w:val="24"/>
          <w:szCs w:val="24"/>
          <w:lang w:val="en-GB"/>
        </w:rPr>
      </w:pPr>
      <w:r w:rsidRPr="00466A01">
        <w:rPr>
          <w:rStyle w:val="FootnoteReference"/>
          <w:rFonts w:ascii="Times New Roman" w:hAnsi="Times New Roman" w:cs="Times New Roman"/>
          <w:sz w:val="22"/>
          <w:szCs w:val="22"/>
        </w:rPr>
        <w:footnoteRef/>
      </w:r>
      <w:r w:rsidRPr="00466A01">
        <w:rPr>
          <w:rFonts w:ascii="Times New Roman" w:hAnsi="Times New Roman" w:cs="Times New Roman"/>
          <w:sz w:val="22"/>
          <w:szCs w:val="22"/>
        </w:rPr>
        <w:t xml:space="preserve"> </w:t>
      </w:r>
      <w:r w:rsidR="001F7E92">
        <w:rPr>
          <w:rFonts w:ascii="Times New Roman" w:hAnsi="Times New Roman" w:cs="Times New Roman"/>
          <w:sz w:val="22"/>
          <w:szCs w:val="22"/>
        </w:rPr>
        <w:t>A</w:t>
      </w:r>
      <w:r w:rsidRPr="00466A01">
        <w:rPr>
          <w:rFonts w:ascii="Times New Roman" w:hAnsi="Times New Roman" w:cs="Times New Roman"/>
          <w:sz w:val="22"/>
          <w:szCs w:val="22"/>
        </w:rPr>
        <w:t xml:space="preserve"> correlation matrix </w:t>
      </w:r>
      <w:r w:rsidR="001F7E92">
        <w:rPr>
          <w:rFonts w:ascii="Times New Roman" w:hAnsi="Times New Roman" w:cs="Times New Roman"/>
          <w:sz w:val="22"/>
          <w:szCs w:val="22"/>
        </w:rPr>
        <w:t xml:space="preserve">is presented </w:t>
      </w:r>
      <w:r w:rsidRPr="00466A01">
        <w:rPr>
          <w:rFonts w:ascii="Times New Roman" w:hAnsi="Times New Roman" w:cs="Times New Roman"/>
          <w:sz w:val="22"/>
          <w:szCs w:val="22"/>
        </w:rPr>
        <w:t>in the Appendix</w:t>
      </w:r>
      <w:r w:rsidR="00DE3049">
        <w:rPr>
          <w:rFonts w:ascii="Times New Roman" w:hAnsi="Times New Roman" w:cs="Times New Roman" w:hint="eastAsia"/>
          <w:sz w:val="22"/>
          <w:szCs w:val="22"/>
        </w:rPr>
        <w:t xml:space="preserve"> 2</w:t>
      </w:r>
      <w:r w:rsidRPr="00466A01">
        <w:rPr>
          <w:rFonts w:ascii="Times New Roman" w:hAnsi="Times New Roman" w:cs="Times New Roman"/>
          <w:sz w:val="22"/>
          <w:szCs w:val="22"/>
        </w:rPr>
        <w:t xml:space="preserve">. </w:t>
      </w:r>
      <w:r w:rsidR="001F7E92">
        <w:rPr>
          <w:rFonts w:ascii="Times New Roman" w:hAnsi="Times New Roman" w:cs="Times New Roman"/>
          <w:sz w:val="22"/>
          <w:szCs w:val="22"/>
        </w:rPr>
        <w:t>T</w:t>
      </w:r>
      <w:r w:rsidRPr="00466A01">
        <w:rPr>
          <w:rFonts w:ascii="Times New Roman" w:hAnsi="Times New Roman" w:cs="Times New Roman"/>
          <w:sz w:val="22"/>
          <w:szCs w:val="22"/>
        </w:rPr>
        <w:t xml:space="preserve">he correlation coefficients among all variables are less than 0.46, indicating that multicollinearity is not a concern for our </w:t>
      </w:r>
      <w:r w:rsidR="00484EBD">
        <w:rPr>
          <w:rFonts w:ascii="Times New Roman" w:hAnsi="Times New Roman" w:cs="Times New Roman"/>
          <w:sz w:val="22"/>
          <w:szCs w:val="22"/>
        </w:rPr>
        <w:t>analysis</w:t>
      </w:r>
      <w:r w:rsidRPr="00466A01">
        <w:rPr>
          <w:rFonts w:ascii="Times New Roman" w:hAnsi="Times New Roman" w:cs="Times New Roman"/>
          <w:sz w:val="22"/>
          <w:szCs w:val="22"/>
        </w:rPr>
        <w:t>.</w:t>
      </w:r>
    </w:p>
  </w:footnote>
  <w:footnote w:id="4">
    <w:p w14:paraId="6E54B673" w14:textId="39E142E4" w:rsidR="005940FC" w:rsidRPr="00904257" w:rsidRDefault="005940FC" w:rsidP="00906C11">
      <w:pPr>
        <w:pStyle w:val="FootnoteText"/>
        <w:spacing w:after="120"/>
        <w:jc w:val="both"/>
        <w:rPr>
          <w:rFonts w:ascii="Times New Roman" w:hAnsi="Times New Roman" w:cs="Times New Roman"/>
          <w:color w:val="000000" w:themeColor="text1"/>
        </w:rPr>
      </w:pPr>
      <w:r w:rsidRPr="00904257">
        <w:rPr>
          <w:rStyle w:val="FootnoteReference"/>
          <w:rFonts w:ascii="Times New Roman" w:hAnsi="Times New Roman" w:cs="Times New Roman"/>
          <w:color w:val="000000" w:themeColor="text1"/>
        </w:rPr>
        <w:footnoteRef/>
      </w:r>
      <w:r w:rsidRPr="00904257">
        <w:rPr>
          <w:rFonts w:ascii="Times New Roman" w:hAnsi="Times New Roman" w:cs="Times New Roman"/>
          <w:color w:val="000000" w:themeColor="text1"/>
        </w:rPr>
        <w:t xml:space="preserve"> </w:t>
      </w:r>
      <w:r w:rsidR="00904257" w:rsidRPr="00904257">
        <w:rPr>
          <w:rFonts w:ascii="Times New Roman" w:hAnsi="Times New Roman" w:cs="Times New Roman"/>
          <w:color w:val="000000" w:themeColor="text1"/>
          <w:sz w:val="22"/>
          <w:szCs w:val="22"/>
        </w:rPr>
        <w:t>The dependent variable in the second stage is corporate environmental spending. For brevity, the standalone coefficients for the interaction variables in the second stage are controlled but not reported. These results are available upon request</w:t>
      </w:r>
      <w:r w:rsidR="00E17F2F" w:rsidRPr="00904257">
        <w:rPr>
          <w:rFonts w:ascii="Times New Roman" w:hAnsi="Times New Roman" w:cs="Times New Roman"/>
          <w:color w:val="000000" w:themeColor="text1"/>
          <w:sz w:val="22"/>
          <w:szCs w:val="22"/>
        </w:rPr>
        <w:t>.</w:t>
      </w:r>
    </w:p>
  </w:footnote>
  <w:footnote w:id="5">
    <w:p w14:paraId="1199EFB4" w14:textId="142327BC" w:rsidR="005940FC" w:rsidRPr="00C46060" w:rsidRDefault="005940FC" w:rsidP="00DC7168">
      <w:pPr>
        <w:pStyle w:val="FootnoteText"/>
        <w:jc w:val="both"/>
        <w:rPr>
          <w:rFonts w:ascii="Times New Roman" w:hAnsi="Times New Roman" w:cs="Times New Roman"/>
          <w:sz w:val="22"/>
          <w:szCs w:val="22"/>
        </w:rPr>
      </w:pPr>
      <w:r w:rsidRPr="00CD2287">
        <w:rPr>
          <w:rStyle w:val="FootnoteReference"/>
          <w:rFonts w:ascii="Times New Roman" w:hAnsi="Times New Roman" w:cs="Times New Roman"/>
          <w:color w:val="000000" w:themeColor="text1"/>
          <w:sz w:val="22"/>
          <w:szCs w:val="22"/>
        </w:rPr>
        <w:footnoteRef/>
      </w:r>
      <w:r w:rsidRPr="00CD2287">
        <w:rPr>
          <w:rFonts w:ascii="Times New Roman" w:hAnsi="Times New Roman" w:cs="Times New Roman"/>
          <w:color w:val="000000" w:themeColor="text1"/>
          <w:sz w:val="22"/>
          <w:szCs w:val="22"/>
        </w:rPr>
        <w:t xml:space="preserve"> The CSI 300 is a capitalization-weighted for the top 300 stocks of the Shanghai Stock Exchange and the Shenzhen Stock Exchange. CSI 300 index is defined as a dummy variable that equals one if a firm’s stock is included in the CSI 300 index and zero otherwise.</w:t>
      </w:r>
    </w:p>
  </w:footnote>
  <w:footnote w:id="6">
    <w:p w14:paraId="68491303" w14:textId="13D4E4D0" w:rsidR="005940FC" w:rsidRPr="003B6BB5" w:rsidRDefault="005940FC" w:rsidP="003B6BB5">
      <w:pPr>
        <w:pStyle w:val="FootnoteText"/>
        <w:jc w:val="both"/>
        <w:rPr>
          <w:rFonts w:ascii="Times New Roman" w:hAnsi="Times New Roman" w:cs="Times New Roman"/>
          <w:sz w:val="22"/>
          <w:szCs w:val="22"/>
        </w:rPr>
      </w:pPr>
      <w:r w:rsidRPr="00DB4985">
        <w:rPr>
          <w:rStyle w:val="FootnoteReference"/>
          <w:rFonts w:ascii="Times New Roman" w:hAnsi="Times New Roman" w:cs="Times New Roman"/>
          <w:color w:val="000000" w:themeColor="text1"/>
          <w:sz w:val="22"/>
          <w:szCs w:val="22"/>
        </w:rPr>
        <w:footnoteRef/>
      </w:r>
      <w:r w:rsidRPr="00DB4985">
        <w:rPr>
          <w:rFonts w:ascii="Times New Roman" w:hAnsi="Times New Roman" w:cs="Times New Roman"/>
          <w:color w:val="000000" w:themeColor="text1"/>
          <w:sz w:val="22"/>
          <w:szCs w:val="22"/>
        </w:rPr>
        <w:t xml:space="preserve"> For brevity, the first-stage regression results </w:t>
      </w:r>
      <w:r w:rsidR="00B343E9">
        <w:rPr>
          <w:rFonts w:ascii="Times New Roman" w:hAnsi="Times New Roman" w:cs="Times New Roman" w:hint="eastAsia"/>
          <w:color w:val="000000" w:themeColor="text1"/>
          <w:sz w:val="22"/>
          <w:szCs w:val="22"/>
        </w:rPr>
        <w:t xml:space="preserve">in Tables 5-6 </w:t>
      </w:r>
      <w:r w:rsidRPr="00DB4985">
        <w:rPr>
          <w:rFonts w:ascii="Times New Roman" w:hAnsi="Times New Roman" w:cs="Times New Roman"/>
          <w:color w:val="000000" w:themeColor="text1"/>
          <w:sz w:val="22"/>
          <w:szCs w:val="22"/>
        </w:rPr>
        <w:t xml:space="preserve">are available upon request. All three instruments are positively and significantly related to the mutual fund ownership at the 1% level.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42BB3"/>
    <w:multiLevelType w:val="hybridMultilevel"/>
    <w:tmpl w:val="428AFFA6"/>
    <w:lvl w:ilvl="0" w:tplc="3192FD46">
      <w:start w:val="1"/>
      <w:numFmt w:val="bullet"/>
      <w:lvlText w:val=""/>
      <w:lvlJc w:val="left"/>
      <w:pPr>
        <w:tabs>
          <w:tab w:val="num" w:pos="720"/>
        </w:tabs>
        <w:ind w:left="720" w:hanging="360"/>
      </w:pPr>
      <w:rPr>
        <w:rFonts w:ascii="Wingdings" w:hAnsi="Wingdings" w:hint="default"/>
      </w:rPr>
    </w:lvl>
    <w:lvl w:ilvl="1" w:tplc="1A463944" w:tentative="1">
      <w:start w:val="1"/>
      <w:numFmt w:val="bullet"/>
      <w:lvlText w:val=""/>
      <w:lvlJc w:val="left"/>
      <w:pPr>
        <w:tabs>
          <w:tab w:val="num" w:pos="1440"/>
        </w:tabs>
        <w:ind w:left="1440" w:hanging="360"/>
      </w:pPr>
      <w:rPr>
        <w:rFonts w:ascii="Wingdings" w:hAnsi="Wingdings" w:hint="default"/>
      </w:rPr>
    </w:lvl>
    <w:lvl w:ilvl="2" w:tplc="60D65D38" w:tentative="1">
      <w:start w:val="1"/>
      <w:numFmt w:val="bullet"/>
      <w:lvlText w:val=""/>
      <w:lvlJc w:val="left"/>
      <w:pPr>
        <w:tabs>
          <w:tab w:val="num" w:pos="2160"/>
        </w:tabs>
        <w:ind w:left="2160" w:hanging="360"/>
      </w:pPr>
      <w:rPr>
        <w:rFonts w:ascii="Wingdings" w:hAnsi="Wingdings" w:hint="default"/>
      </w:rPr>
    </w:lvl>
    <w:lvl w:ilvl="3" w:tplc="94BC603E" w:tentative="1">
      <w:start w:val="1"/>
      <w:numFmt w:val="bullet"/>
      <w:lvlText w:val=""/>
      <w:lvlJc w:val="left"/>
      <w:pPr>
        <w:tabs>
          <w:tab w:val="num" w:pos="2880"/>
        </w:tabs>
        <w:ind w:left="2880" w:hanging="360"/>
      </w:pPr>
      <w:rPr>
        <w:rFonts w:ascii="Wingdings" w:hAnsi="Wingdings" w:hint="default"/>
      </w:rPr>
    </w:lvl>
    <w:lvl w:ilvl="4" w:tplc="A44C6CB4" w:tentative="1">
      <w:start w:val="1"/>
      <w:numFmt w:val="bullet"/>
      <w:lvlText w:val=""/>
      <w:lvlJc w:val="left"/>
      <w:pPr>
        <w:tabs>
          <w:tab w:val="num" w:pos="3600"/>
        </w:tabs>
        <w:ind w:left="3600" w:hanging="360"/>
      </w:pPr>
      <w:rPr>
        <w:rFonts w:ascii="Wingdings" w:hAnsi="Wingdings" w:hint="default"/>
      </w:rPr>
    </w:lvl>
    <w:lvl w:ilvl="5" w:tplc="CB54FF32" w:tentative="1">
      <w:start w:val="1"/>
      <w:numFmt w:val="bullet"/>
      <w:lvlText w:val=""/>
      <w:lvlJc w:val="left"/>
      <w:pPr>
        <w:tabs>
          <w:tab w:val="num" w:pos="4320"/>
        </w:tabs>
        <w:ind w:left="4320" w:hanging="360"/>
      </w:pPr>
      <w:rPr>
        <w:rFonts w:ascii="Wingdings" w:hAnsi="Wingdings" w:hint="default"/>
      </w:rPr>
    </w:lvl>
    <w:lvl w:ilvl="6" w:tplc="D242AE98" w:tentative="1">
      <w:start w:val="1"/>
      <w:numFmt w:val="bullet"/>
      <w:lvlText w:val=""/>
      <w:lvlJc w:val="left"/>
      <w:pPr>
        <w:tabs>
          <w:tab w:val="num" w:pos="5040"/>
        </w:tabs>
        <w:ind w:left="5040" w:hanging="360"/>
      </w:pPr>
      <w:rPr>
        <w:rFonts w:ascii="Wingdings" w:hAnsi="Wingdings" w:hint="default"/>
      </w:rPr>
    </w:lvl>
    <w:lvl w:ilvl="7" w:tplc="6A64F426" w:tentative="1">
      <w:start w:val="1"/>
      <w:numFmt w:val="bullet"/>
      <w:lvlText w:val=""/>
      <w:lvlJc w:val="left"/>
      <w:pPr>
        <w:tabs>
          <w:tab w:val="num" w:pos="5760"/>
        </w:tabs>
        <w:ind w:left="5760" w:hanging="360"/>
      </w:pPr>
      <w:rPr>
        <w:rFonts w:ascii="Wingdings" w:hAnsi="Wingdings" w:hint="default"/>
      </w:rPr>
    </w:lvl>
    <w:lvl w:ilvl="8" w:tplc="ECD4012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246F9"/>
    <w:multiLevelType w:val="hybridMultilevel"/>
    <w:tmpl w:val="64A6D406"/>
    <w:lvl w:ilvl="0" w:tplc="BA62F478">
      <w:start w:val="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E1272C"/>
    <w:multiLevelType w:val="hybridMultilevel"/>
    <w:tmpl w:val="2D521D16"/>
    <w:lvl w:ilvl="0" w:tplc="B3A8BB26">
      <w:start w:val="1"/>
      <w:numFmt w:val="decimal"/>
      <w:lvlText w:val="%1."/>
      <w:lvlJc w:val="left"/>
      <w:pPr>
        <w:ind w:left="360" w:hanging="360"/>
      </w:pPr>
      <w:rPr>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F165F2"/>
    <w:multiLevelType w:val="multilevel"/>
    <w:tmpl w:val="72024B96"/>
    <w:lvl w:ilvl="0">
      <w:start w:val="1"/>
      <w:numFmt w:val="decimal"/>
      <w:lvlText w:val="%1."/>
      <w:lvlJc w:val="left"/>
      <w:pPr>
        <w:ind w:left="720" w:hanging="360"/>
      </w:pPr>
    </w:lvl>
    <w:lvl w:ilvl="1">
      <w:start w:val="1"/>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361A47AD"/>
    <w:multiLevelType w:val="hybridMultilevel"/>
    <w:tmpl w:val="264CAE28"/>
    <w:lvl w:ilvl="0" w:tplc="E5347FF4">
      <w:start w:val="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610E96"/>
    <w:multiLevelType w:val="hybridMultilevel"/>
    <w:tmpl w:val="A0F0A736"/>
    <w:lvl w:ilvl="0" w:tplc="4F8060D4">
      <w:start w:val="1"/>
      <w:numFmt w:val="bullet"/>
      <w:lvlText w:val=""/>
      <w:lvlJc w:val="left"/>
      <w:pPr>
        <w:tabs>
          <w:tab w:val="num" w:pos="720"/>
        </w:tabs>
        <w:ind w:left="720" w:hanging="360"/>
      </w:pPr>
      <w:rPr>
        <w:rFonts w:ascii="Wingdings" w:hAnsi="Wingdings" w:hint="default"/>
      </w:rPr>
    </w:lvl>
    <w:lvl w:ilvl="1" w:tplc="13785938" w:tentative="1">
      <w:start w:val="1"/>
      <w:numFmt w:val="bullet"/>
      <w:lvlText w:val=""/>
      <w:lvlJc w:val="left"/>
      <w:pPr>
        <w:tabs>
          <w:tab w:val="num" w:pos="1440"/>
        </w:tabs>
        <w:ind w:left="1440" w:hanging="360"/>
      </w:pPr>
      <w:rPr>
        <w:rFonts w:ascii="Wingdings" w:hAnsi="Wingdings" w:hint="default"/>
      </w:rPr>
    </w:lvl>
    <w:lvl w:ilvl="2" w:tplc="10981034" w:tentative="1">
      <w:start w:val="1"/>
      <w:numFmt w:val="bullet"/>
      <w:lvlText w:val=""/>
      <w:lvlJc w:val="left"/>
      <w:pPr>
        <w:tabs>
          <w:tab w:val="num" w:pos="2160"/>
        </w:tabs>
        <w:ind w:left="2160" w:hanging="360"/>
      </w:pPr>
      <w:rPr>
        <w:rFonts w:ascii="Wingdings" w:hAnsi="Wingdings" w:hint="default"/>
      </w:rPr>
    </w:lvl>
    <w:lvl w:ilvl="3" w:tplc="EAB25ACE" w:tentative="1">
      <w:start w:val="1"/>
      <w:numFmt w:val="bullet"/>
      <w:lvlText w:val=""/>
      <w:lvlJc w:val="left"/>
      <w:pPr>
        <w:tabs>
          <w:tab w:val="num" w:pos="2880"/>
        </w:tabs>
        <w:ind w:left="2880" w:hanging="360"/>
      </w:pPr>
      <w:rPr>
        <w:rFonts w:ascii="Wingdings" w:hAnsi="Wingdings" w:hint="default"/>
      </w:rPr>
    </w:lvl>
    <w:lvl w:ilvl="4" w:tplc="04EAED68" w:tentative="1">
      <w:start w:val="1"/>
      <w:numFmt w:val="bullet"/>
      <w:lvlText w:val=""/>
      <w:lvlJc w:val="left"/>
      <w:pPr>
        <w:tabs>
          <w:tab w:val="num" w:pos="3600"/>
        </w:tabs>
        <w:ind w:left="3600" w:hanging="360"/>
      </w:pPr>
      <w:rPr>
        <w:rFonts w:ascii="Wingdings" w:hAnsi="Wingdings" w:hint="default"/>
      </w:rPr>
    </w:lvl>
    <w:lvl w:ilvl="5" w:tplc="3DEA8560" w:tentative="1">
      <w:start w:val="1"/>
      <w:numFmt w:val="bullet"/>
      <w:lvlText w:val=""/>
      <w:lvlJc w:val="left"/>
      <w:pPr>
        <w:tabs>
          <w:tab w:val="num" w:pos="4320"/>
        </w:tabs>
        <w:ind w:left="4320" w:hanging="360"/>
      </w:pPr>
      <w:rPr>
        <w:rFonts w:ascii="Wingdings" w:hAnsi="Wingdings" w:hint="default"/>
      </w:rPr>
    </w:lvl>
    <w:lvl w:ilvl="6" w:tplc="12C4486C" w:tentative="1">
      <w:start w:val="1"/>
      <w:numFmt w:val="bullet"/>
      <w:lvlText w:val=""/>
      <w:lvlJc w:val="left"/>
      <w:pPr>
        <w:tabs>
          <w:tab w:val="num" w:pos="5040"/>
        </w:tabs>
        <w:ind w:left="5040" w:hanging="360"/>
      </w:pPr>
      <w:rPr>
        <w:rFonts w:ascii="Wingdings" w:hAnsi="Wingdings" w:hint="default"/>
      </w:rPr>
    </w:lvl>
    <w:lvl w:ilvl="7" w:tplc="D1B6AF20" w:tentative="1">
      <w:start w:val="1"/>
      <w:numFmt w:val="bullet"/>
      <w:lvlText w:val=""/>
      <w:lvlJc w:val="left"/>
      <w:pPr>
        <w:tabs>
          <w:tab w:val="num" w:pos="5760"/>
        </w:tabs>
        <w:ind w:left="5760" w:hanging="360"/>
      </w:pPr>
      <w:rPr>
        <w:rFonts w:ascii="Wingdings" w:hAnsi="Wingdings" w:hint="default"/>
      </w:rPr>
    </w:lvl>
    <w:lvl w:ilvl="8" w:tplc="0820019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877816"/>
    <w:multiLevelType w:val="hybridMultilevel"/>
    <w:tmpl w:val="8EFCE78E"/>
    <w:lvl w:ilvl="0" w:tplc="ED1286C6">
      <w:start w:val="1"/>
      <w:numFmt w:val="bullet"/>
      <w:lvlText w:val="•"/>
      <w:lvlJc w:val="left"/>
      <w:pPr>
        <w:tabs>
          <w:tab w:val="num" w:pos="720"/>
        </w:tabs>
        <w:ind w:left="720" w:hanging="360"/>
      </w:pPr>
      <w:rPr>
        <w:rFonts w:ascii="Arial" w:hAnsi="Arial" w:hint="default"/>
      </w:rPr>
    </w:lvl>
    <w:lvl w:ilvl="1" w:tplc="F0242C38" w:tentative="1">
      <w:start w:val="1"/>
      <w:numFmt w:val="bullet"/>
      <w:lvlText w:val="•"/>
      <w:lvlJc w:val="left"/>
      <w:pPr>
        <w:tabs>
          <w:tab w:val="num" w:pos="1440"/>
        </w:tabs>
        <w:ind w:left="1440" w:hanging="360"/>
      </w:pPr>
      <w:rPr>
        <w:rFonts w:ascii="Arial" w:hAnsi="Arial" w:hint="default"/>
      </w:rPr>
    </w:lvl>
    <w:lvl w:ilvl="2" w:tplc="A88218C8" w:tentative="1">
      <w:start w:val="1"/>
      <w:numFmt w:val="bullet"/>
      <w:lvlText w:val="•"/>
      <w:lvlJc w:val="left"/>
      <w:pPr>
        <w:tabs>
          <w:tab w:val="num" w:pos="2160"/>
        </w:tabs>
        <w:ind w:left="2160" w:hanging="360"/>
      </w:pPr>
      <w:rPr>
        <w:rFonts w:ascii="Arial" w:hAnsi="Arial" w:hint="default"/>
      </w:rPr>
    </w:lvl>
    <w:lvl w:ilvl="3" w:tplc="0A62BF5E" w:tentative="1">
      <w:start w:val="1"/>
      <w:numFmt w:val="bullet"/>
      <w:lvlText w:val="•"/>
      <w:lvlJc w:val="left"/>
      <w:pPr>
        <w:tabs>
          <w:tab w:val="num" w:pos="2880"/>
        </w:tabs>
        <w:ind w:left="2880" w:hanging="360"/>
      </w:pPr>
      <w:rPr>
        <w:rFonts w:ascii="Arial" w:hAnsi="Arial" w:hint="default"/>
      </w:rPr>
    </w:lvl>
    <w:lvl w:ilvl="4" w:tplc="017C6ED2" w:tentative="1">
      <w:start w:val="1"/>
      <w:numFmt w:val="bullet"/>
      <w:lvlText w:val="•"/>
      <w:lvlJc w:val="left"/>
      <w:pPr>
        <w:tabs>
          <w:tab w:val="num" w:pos="3600"/>
        </w:tabs>
        <w:ind w:left="3600" w:hanging="360"/>
      </w:pPr>
      <w:rPr>
        <w:rFonts w:ascii="Arial" w:hAnsi="Arial" w:hint="default"/>
      </w:rPr>
    </w:lvl>
    <w:lvl w:ilvl="5" w:tplc="002AC03C" w:tentative="1">
      <w:start w:val="1"/>
      <w:numFmt w:val="bullet"/>
      <w:lvlText w:val="•"/>
      <w:lvlJc w:val="left"/>
      <w:pPr>
        <w:tabs>
          <w:tab w:val="num" w:pos="4320"/>
        </w:tabs>
        <w:ind w:left="4320" w:hanging="360"/>
      </w:pPr>
      <w:rPr>
        <w:rFonts w:ascii="Arial" w:hAnsi="Arial" w:hint="default"/>
      </w:rPr>
    </w:lvl>
    <w:lvl w:ilvl="6" w:tplc="78526A40" w:tentative="1">
      <w:start w:val="1"/>
      <w:numFmt w:val="bullet"/>
      <w:lvlText w:val="•"/>
      <w:lvlJc w:val="left"/>
      <w:pPr>
        <w:tabs>
          <w:tab w:val="num" w:pos="5040"/>
        </w:tabs>
        <w:ind w:left="5040" w:hanging="360"/>
      </w:pPr>
      <w:rPr>
        <w:rFonts w:ascii="Arial" w:hAnsi="Arial" w:hint="default"/>
      </w:rPr>
    </w:lvl>
    <w:lvl w:ilvl="7" w:tplc="A142101C" w:tentative="1">
      <w:start w:val="1"/>
      <w:numFmt w:val="bullet"/>
      <w:lvlText w:val="•"/>
      <w:lvlJc w:val="left"/>
      <w:pPr>
        <w:tabs>
          <w:tab w:val="num" w:pos="5760"/>
        </w:tabs>
        <w:ind w:left="5760" w:hanging="360"/>
      </w:pPr>
      <w:rPr>
        <w:rFonts w:ascii="Arial" w:hAnsi="Arial" w:hint="default"/>
      </w:rPr>
    </w:lvl>
    <w:lvl w:ilvl="8" w:tplc="59488E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260DBB"/>
    <w:multiLevelType w:val="hybridMultilevel"/>
    <w:tmpl w:val="CCB01512"/>
    <w:lvl w:ilvl="0" w:tplc="D35AA596">
      <w:start w:val="1"/>
      <w:numFmt w:val="bullet"/>
      <w:lvlText w:val="•"/>
      <w:lvlJc w:val="left"/>
      <w:pPr>
        <w:tabs>
          <w:tab w:val="num" w:pos="720"/>
        </w:tabs>
        <w:ind w:left="720" w:hanging="360"/>
      </w:pPr>
      <w:rPr>
        <w:rFonts w:ascii="Arial" w:hAnsi="Arial" w:hint="default"/>
      </w:rPr>
    </w:lvl>
    <w:lvl w:ilvl="1" w:tplc="15FA7D0A" w:tentative="1">
      <w:start w:val="1"/>
      <w:numFmt w:val="bullet"/>
      <w:lvlText w:val="•"/>
      <w:lvlJc w:val="left"/>
      <w:pPr>
        <w:tabs>
          <w:tab w:val="num" w:pos="1440"/>
        </w:tabs>
        <w:ind w:left="1440" w:hanging="360"/>
      </w:pPr>
      <w:rPr>
        <w:rFonts w:ascii="Arial" w:hAnsi="Arial" w:hint="default"/>
      </w:rPr>
    </w:lvl>
    <w:lvl w:ilvl="2" w:tplc="47108B92" w:tentative="1">
      <w:start w:val="1"/>
      <w:numFmt w:val="bullet"/>
      <w:lvlText w:val="•"/>
      <w:lvlJc w:val="left"/>
      <w:pPr>
        <w:tabs>
          <w:tab w:val="num" w:pos="2160"/>
        </w:tabs>
        <w:ind w:left="2160" w:hanging="360"/>
      </w:pPr>
      <w:rPr>
        <w:rFonts w:ascii="Arial" w:hAnsi="Arial" w:hint="default"/>
      </w:rPr>
    </w:lvl>
    <w:lvl w:ilvl="3" w:tplc="E8A22F5C" w:tentative="1">
      <w:start w:val="1"/>
      <w:numFmt w:val="bullet"/>
      <w:lvlText w:val="•"/>
      <w:lvlJc w:val="left"/>
      <w:pPr>
        <w:tabs>
          <w:tab w:val="num" w:pos="2880"/>
        </w:tabs>
        <w:ind w:left="2880" w:hanging="360"/>
      </w:pPr>
      <w:rPr>
        <w:rFonts w:ascii="Arial" w:hAnsi="Arial" w:hint="default"/>
      </w:rPr>
    </w:lvl>
    <w:lvl w:ilvl="4" w:tplc="63D07D5A" w:tentative="1">
      <w:start w:val="1"/>
      <w:numFmt w:val="bullet"/>
      <w:lvlText w:val="•"/>
      <w:lvlJc w:val="left"/>
      <w:pPr>
        <w:tabs>
          <w:tab w:val="num" w:pos="3600"/>
        </w:tabs>
        <w:ind w:left="3600" w:hanging="360"/>
      </w:pPr>
      <w:rPr>
        <w:rFonts w:ascii="Arial" w:hAnsi="Arial" w:hint="default"/>
      </w:rPr>
    </w:lvl>
    <w:lvl w:ilvl="5" w:tplc="6CD2551C" w:tentative="1">
      <w:start w:val="1"/>
      <w:numFmt w:val="bullet"/>
      <w:lvlText w:val="•"/>
      <w:lvlJc w:val="left"/>
      <w:pPr>
        <w:tabs>
          <w:tab w:val="num" w:pos="4320"/>
        </w:tabs>
        <w:ind w:left="4320" w:hanging="360"/>
      </w:pPr>
      <w:rPr>
        <w:rFonts w:ascii="Arial" w:hAnsi="Arial" w:hint="default"/>
      </w:rPr>
    </w:lvl>
    <w:lvl w:ilvl="6" w:tplc="8F7269BA" w:tentative="1">
      <w:start w:val="1"/>
      <w:numFmt w:val="bullet"/>
      <w:lvlText w:val="•"/>
      <w:lvlJc w:val="left"/>
      <w:pPr>
        <w:tabs>
          <w:tab w:val="num" w:pos="5040"/>
        </w:tabs>
        <w:ind w:left="5040" w:hanging="360"/>
      </w:pPr>
      <w:rPr>
        <w:rFonts w:ascii="Arial" w:hAnsi="Arial" w:hint="default"/>
      </w:rPr>
    </w:lvl>
    <w:lvl w:ilvl="7" w:tplc="61183D2E" w:tentative="1">
      <w:start w:val="1"/>
      <w:numFmt w:val="bullet"/>
      <w:lvlText w:val="•"/>
      <w:lvlJc w:val="left"/>
      <w:pPr>
        <w:tabs>
          <w:tab w:val="num" w:pos="5760"/>
        </w:tabs>
        <w:ind w:left="5760" w:hanging="360"/>
      </w:pPr>
      <w:rPr>
        <w:rFonts w:ascii="Arial" w:hAnsi="Arial" w:hint="default"/>
      </w:rPr>
    </w:lvl>
    <w:lvl w:ilvl="8" w:tplc="6E94A1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03A3518"/>
    <w:multiLevelType w:val="hybridMultilevel"/>
    <w:tmpl w:val="4224C37A"/>
    <w:lvl w:ilvl="0" w:tplc="CCF8064E">
      <w:start w:val="1"/>
      <w:numFmt w:val="bullet"/>
      <w:lvlText w:val=""/>
      <w:lvlJc w:val="left"/>
      <w:pPr>
        <w:tabs>
          <w:tab w:val="num" w:pos="720"/>
        </w:tabs>
        <w:ind w:left="720" w:hanging="360"/>
      </w:pPr>
      <w:rPr>
        <w:rFonts w:ascii="Wingdings" w:hAnsi="Wingdings" w:hint="default"/>
      </w:rPr>
    </w:lvl>
    <w:lvl w:ilvl="1" w:tplc="409AA4D4" w:tentative="1">
      <w:start w:val="1"/>
      <w:numFmt w:val="bullet"/>
      <w:lvlText w:val=""/>
      <w:lvlJc w:val="left"/>
      <w:pPr>
        <w:tabs>
          <w:tab w:val="num" w:pos="1440"/>
        </w:tabs>
        <w:ind w:left="1440" w:hanging="360"/>
      </w:pPr>
      <w:rPr>
        <w:rFonts w:ascii="Wingdings" w:hAnsi="Wingdings" w:hint="default"/>
      </w:rPr>
    </w:lvl>
    <w:lvl w:ilvl="2" w:tplc="D8ACBE50" w:tentative="1">
      <w:start w:val="1"/>
      <w:numFmt w:val="bullet"/>
      <w:lvlText w:val=""/>
      <w:lvlJc w:val="left"/>
      <w:pPr>
        <w:tabs>
          <w:tab w:val="num" w:pos="2160"/>
        </w:tabs>
        <w:ind w:left="2160" w:hanging="360"/>
      </w:pPr>
      <w:rPr>
        <w:rFonts w:ascii="Wingdings" w:hAnsi="Wingdings" w:hint="default"/>
      </w:rPr>
    </w:lvl>
    <w:lvl w:ilvl="3" w:tplc="8C46DE36" w:tentative="1">
      <w:start w:val="1"/>
      <w:numFmt w:val="bullet"/>
      <w:lvlText w:val=""/>
      <w:lvlJc w:val="left"/>
      <w:pPr>
        <w:tabs>
          <w:tab w:val="num" w:pos="2880"/>
        </w:tabs>
        <w:ind w:left="2880" w:hanging="360"/>
      </w:pPr>
      <w:rPr>
        <w:rFonts w:ascii="Wingdings" w:hAnsi="Wingdings" w:hint="default"/>
      </w:rPr>
    </w:lvl>
    <w:lvl w:ilvl="4" w:tplc="767E3308" w:tentative="1">
      <w:start w:val="1"/>
      <w:numFmt w:val="bullet"/>
      <w:lvlText w:val=""/>
      <w:lvlJc w:val="left"/>
      <w:pPr>
        <w:tabs>
          <w:tab w:val="num" w:pos="3600"/>
        </w:tabs>
        <w:ind w:left="3600" w:hanging="360"/>
      </w:pPr>
      <w:rPr>
        <w:rFonts w:ascii="Wingdings" w:hAnsi="Wingdings" w:hint="default"/>
      </w:rPr>
    </w:lvl>
    <w:lvl w:ilvl="5" w:tplc="1A56CA30" w:tentative="1">
      <w:start w:val="1"/>
      <w:numFmt w:val="bullet"/>
      <w:lvlText w:val=""/>
      <w:lvlJc w:val="left"/>
      <w:pPr>
        <w:tabs>
          <w:tab w:val="num" w:pos="4320"/>
        </w:tabs>
        <w:ind w:left="4320" w:hanging="360"/>
      </w:pPr>
      <w:rPr>
        <w:rFonts w:ascii="Wingdings" w:hAnsi="Wingdings" w:hint="default"/>
      </w:rPr>
    </w:lvl>
    <w:lvl w:ilvl="6" w:tplc="46B2951E" w:tentative="1">
      <w:start w:val="1"/>
      <w:numFmt w:val="bullet"/>
      <w:lvlText w:val=""/>
      <w:lvlJc w:val="left"/>
      <w:pPr>
        <w:tabs>
          <w:tab w:val="num" w:pos="5040"/>
        </w:tabs>
        <w:ind w:left="5040" w:hanging="360"/>
      </w:pPr>
      <w:rPr>
        <w:rFonts w:ascii="Wingdings" w:hAnsi="Wingdings" w:hint="default"/>
      </w:rPr>
    </w:lvl>
    <w:lvl w:ilvl="7" w:tplc="364C5B46" w:tentative="1">
      <w:start w:val="1"/>
      <w:numFmt w:val="bullet"/>
      <w:lvlText w:val=""/>
      <w:lvlJc w:val="left"/>
      <w:pPr>
        <w:tabs>
          <w:tab w:val="num" w:pos="5760"/>
        </w:tabs>
        <w:ind w:left="5760" w:hanging="360"/>
      </w:pPr>
      <w:rPr>
        <w:rFonts w:ascii="Wingdings" w:hAnsi="Wingdings" w:hint="default"/>
      </w:rPr>
    </w:lvl>
    <w:lvl w:ilvl="8" w:tplc="EE387BC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AE1DEA"/>
    <w:multiLevelType w:val="hybridMultilevel"/>
    <w:tmpl w:val="A064A722"/>
    <w:lvl w:ilvl="0" w:tplc="30881B46">
      <w:start w:val="1"/>
      <w:numFmt w:val="bullet"/>
      <w:lvlText w:val="•"/>
      <w:lvlJc w:val="left"/>
      <w:pPr>
        <w:tabs>
          <w:tab w:val="num" w:pos="720"/>
        </w:tabs>
        <w:ind w:left="720" w:hanging="360"/>
      </w:pPr>
      <w:rPr>
        <w:rFonts w:ascii="Arial" w:hAnsi="Arial" w:hint="default"/>
      </w:rPr>
    </w:lvl>
    <w:lvl w:ilvl="1" w:tplc="8E2007A4" w:tentative="1">
      <w:start w:val="1"/>
      <w:numFmt w:val="bullet"/>
      <w:lvlText w:val="•"/>
      <w:lvlJc w:val="left"/>
      <w:pPr>
        <w:tabs>
          <w:tab w:val="num" w:pos="1440"/>
        </w:tabs>
        <w:ind w:left="1440" w:hanging="360"/>
      </w:pPr>
      <w:rPr>
        <w:rFonts w:ascii="Arial" w:hAnsi="Arial" w:hint="default"/>
      </w:rPr>
    </w:lvl>
    <w:lvl w:ilvl="2" w:tplc="8BC6B69C" w:tentative="1">
      <w:start w:val="1"/>
      <w:numFmt w:val="bullet"/>
      <w:lvlText w:val="•"/>
      <w:lvlJc w:val="left"/>
      <w:pPr>
        <w:tabs>
          <w:tab w:val="num" w:pos="2160"/>
        </w:tabs>
        <w:ind w:left="2160" w:hanging="360"/>
      </w:pPr>
      <w:rPr>
        <w:rFonts w:ascii="Arial" w:hAnsi="Arial" w:hint="default"/>
      </w:rPr>
    </w:lvl>
    <w:lvl w:ilvl="3" w:tplc="EBE8B50A" w:tentative="1">
      <w:start w:val="1"/>
      <w:numFmt w:val="bullet"/>
      <w:lvlText w:val="•"/>
      <w:lvlJc w:val="left"/>
      <w:pPr>
        <w:tabs>
          <w:tab w:val="num" w:pos="2880"/>
        </w:tabs>
        <w:ind w:left="2880" w:hanging="360"/>
      </w:pPr>
      <w:rPr>
        <w:rFonts w:ascii="Arial" w:hAnsi="Arial" w:hint="default"/>
      </w:rPr>
    </w:lvl>
    <w:lvl w:ilvl="4" w:tplc="F94C7BF8" w:tentative="1">
      <w:start w:val="1"/>
      <w:numFmt w:val="bullet"/>
      <w:lvlText w:val="•"/>
      <w:lvlJc w:val="left"/>
      <w:pPr>
        <w:tabs>
          <w:tab w:val="num" w:pos="3600"/>
        </w:tabs>
        <w:ind w:left="3600" w:hanging="360"/>
      </w:pPr>
      <w:rPr>
        <w:rFonts w:ascii="Arial" w:hAnsi="Arial" w:hint="default"/>
      </w:rPr>
    </w:lvl>
    <w:lvl w:ilvl="5" w:tplc="748EE7C8" w:tentative="1">
      <w:start w:val="1"/>
      <w:numFmt w:val="bullet"/>
      <w:lvlText w:val="•"/>
      <w:lvlJc w:val="left"/>
      <w:pPr>
        <w:tabs>
          <w:tab w:val="num" w:pos="4320"/>
        </w:tabs>
        <w:ind w:left="4320" w:hanging="360"/>
      </w:pPr>
      <w:rPr>
        <w:rFonts w:ascii="Arial" w:hAnsi="Arial" w:hint="default"/>
      </w:rPr>
    </w:lvl>
    <w:lvl w:ilvl="6" w:tplc="8ABEFC8E" w:tentative="1">
      <w:start w:val="1"/>
      <w:numFmt w:val="bullet"/>
      <w:lvlText w:val="•"/>
      <w:lvlJc w:val="left"/>
      <w:pPr>
        <w:tabs>
          <w:tab w:val="num" w:pos="5040"/>
        </w:tabs>
        <w:ind w:left="5040" w:hanging="360"/>
      </w:pPr>
      <w:rPr>
        <w:rFonts w:ascii="Arial" w:hAnsi="Arial" w:hint="default"/>
      </w:rPr>
    </w:lvl>
    <w:lvl w:ilvl="7" w:tplc="7FF8C7C8" w:tentative="1">
      <w:start w:val="1"/>
      <w:numFmt w:val="bullet"/>
      <w:lvlText w:val="•"/>
      <w:lvlJc w:val="left"/>
      <w:pPr>
        <w:tabs>
          <w:tab w:val="num" w:pos="5760"/>
        </w:tabs>
        <w:ind w:left="5760" w:hanging="360"/>
      </w:pPr>
      <w:rPr>
        <w:rFonts w:ascii="Arial" w:hAnsi="Arial" w:hint="default"/>
      </w:rPr>
    </w:lvl>
    <w:lvl w:ilvl="8" w:tplc="BCF21986" w:tentative="1">
      <w:start w:val="1"/>
      <w:numFmt w:val="bullet"/>
      <w:lvlText w:val="•"/>
      <w:lvlJc w:val="left"/>
      <w:pPr>
        <w:tabs>
          <w:tab w:val="num" w:pos="6480"/>
        </w:tabs>
        <w:ind w:left="6480" w:hanging="360"/>
      </w:pPr>
      <w:rPr>
        <w:rFonts w:ascii="Arial" w:hAnsi="Arial" w:hint="default"/>
      </w:rPr>
    </w:lvl>
  </w:abstractNum>
  <w:num w:numId="1" w16cid:durableId="482966558">
    <w:abstractNumId w:val="7"/>
  </w:num>
  <w:num w:numId="2" w16cid:durableId="1532568129">
    <w:abstractNumId w:val="5"/>
  </w:num>
  <w:num w:numId="3" w16cid:durableId="1946841150">
    <w:abstractNumId w:val="6"/>
  </w:num>
  <w:num w:numId="4" w16cid:durableId="410465904">
    <w:abstractNumId w:val="8"/>
  </w:num>
  <w:num w:numId="5" w16cid:durableId="358747723">
    <w:abstractNumId w:val="9"/>
  </w:num>
  <w:num w:numId="6" w16cid:durableId="1397439146">
    <w:abstractNumId w:val="0"/>
  </w:num>
  <w:num w:numId="7" w16cid:durableId="1539049056">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8313868">
    <w:abstractNumId w:val="2"/>
  </w:num>
  <w:num w:numId="9" w16cid:durableId="356934354">
    <w:abstractNumId w:val="1"/>
  </w:num>
  <w:num w:numId="10" w16cid:durableId="1024988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2NTE3Mba0MDKyNDNV0lEKTi0uzszPAymwrAUAM0u1wywAAAA="/>
  </w:docVars>
  <w:rsids>
    <w:rsidRoot w:val="005D0ACF"/>
    <w:rsid w:val="000003BB"/>
    <w:rsid w:val="000005CA"/>
    <w:rsid w:val="000010E3"/>
    <w:rsid w:val="000013BE"/>
    <w:rsid w:val="00001DC4"/>
    <w:rsid w:val="00001E72"/>
    <w:rsid w:val="00001FF6"/>
    <w:rsid w:val="00002DF8"/>
    <w:rsid w:val="000038F3"/>
    <w:rsid w:val="00004036"/>
    <w:rsid w:val="0000406F"/>
    <w:rsid w:val="000040B8"/>
    <w:rsid w:val="000042B1"/>
    <w:rsid w:val="00004767"/>
    <w:rsid w:val="000057CB"/>
    <w:rsid w:val="00005C1E"/>
    <w:rsid w:val="00006697"/>
    <w:rsid w:val="00006A9D"/>
    <w:rsid w:val="00010227"/>
    <w:rsid w:val="000103F2"/>
    <w:rsid w:val="000104DD"/>
    <w:rsid w:val="0001108E"/>
    <w:rsid w:val="0001113C"/>
    <w:rsid w:val="00011D2A"/>
    <w:rsid w:val="00012F85"/>
    <w:rsid w:val="0001355B"/>
    <w:rsid w:val="0001375C"/>
    <w:rsid w:val="00013E52"/>
    <w:rsid w:val="00014FBC"/>
    <w:rsid w:val="000150BC"/>
    <w:rsid w:val="000154CE"/>
    <w:rsid w:val="0001675C"/>
    <w:rsid w:val="00016AEF"/>
    <w:rsid w:val="00020F8C"/>
    <w:rsid w:val="0002147C"/>
    <w:rsid w:val="00021629"/>
    <w:rsid w:val="0002180D"/>
    <w:rsid w:val="000218E6"/>
    <w:rsid w:val="000222F8"/>
    <w:rsid w:val="00022D45"/>
    <w:rsid w:val="00022FBA"/>
    <w:rsid w:val="00023C68"/>
    <w:rsid w:val="000243E5"/>
    <w:rsid w:val="000250BF"/>
    <w:rsid w:val="000257DD"/>
    <w:rsid w:val="000274EF"/>
    <w:rsid w:val="00030112"/>
    <w:rsid w:val="00035B06"/>
    <w:rsid w:val="0003643A"/>
    <w:rsid w:val="00037894"/>
    <w:rsid w:val="00037C0D"/>
    <w:rsid w:val="00037D1A"/>
    <w:rsid w:val="00037F6C"/>
    <w:rsid w:val="00040AF9"/>
    <w:rsid w:val="00040B50"/>
    <w:rsid w:val="00040DCF"/>
    <w:rsid w:val="00040DD0"/>
    <w:rsid w:val="00041627"/>
    <w:rsid w:val="000422AC"/>
    <w:rsid w:val="00042C60"/>
    <w:rsid w:val="00042F25"/>
    <w:rsid w:val="000433EE"/>
    <w:rsid w:val="000448C3"/>
    <w:rsid w:val="00044A52"/>
    <w:rsid w:val="00044F24"/>
    <w:rsid w:val="0004508D"/>
    <w:rsid w:val="000453D6"/>
    <w:rsid w:val="000459BC"/>
    <w:rsid w:val="00046194"/>
    <w:rsid w:val="00046B9F"/>
    <w:rsid w:val="00047249"/>
    <w:rsid w:val="00047E39"/>
    <w:rsid w:val="0005189F"/>
    <w:rsid w:val="0005190F"/>
    <w:rsid w:val="0005252C"/>
    <w:rsid w:val="00052EE7"/>
    <w:rsid w:val="0005507B"/>
    <w:rsid w:val="00055709"/>
    <w:rsid w:val="00055FA9"/>
    <w:rsid w:val="00056A72"/>
    <w:rsid w:val="000574B9"/>
    <w:rsid w:val="0005785C"/>
    <w:rsid w:val="000607E5"/>
    <w:rsid w:val="000608E6"/>
    <w:rsid w:val="0006162C"/>
    <w:rsid w:val="00061741"/>
    <w:rsid w:val="00061CFB"/>
    <w:rsid w:val="00062C6F"/>
    <w:rsid w:val="00062F4B"/>
    <w:rsid w:val="00062FFC"/>
    <w:rsid w:val="0006364A"/>
    <w:rsid w:val="000648A6"/>
    <w:rsid w:val="00065CFF"/>
    <w:rsid w:val="0006631B"/>
    <w:rsid w:val="0007029D"/>
    <w:rsid w:val="0007062C"/>
    <w:rsid w:val="00070EE6"/>
    <w:rsid w:val="0007117D"/>
    <w:rsid w:val="0007193C"/>
    <w:rsid w:val="00072371"/>
    <w:rsid w:val="00072E22"/>
    <w:rsid w:val="000733C7"/>
    <w:rsid w:val="0007378D"/>
    <w:rsid w:val="00073BAE"/>
    <w:rsid w:val="00073CE8"/>
    <w:rsid w:val="00073FA2"/>
    <w:rsid w:val="00074133"/>
    <w:rsid w:val="000741B2"/>
    <w:rsid w:val="00074E84"/>
    <w:rsid w:val="000759C9"/>
    <w:rsid w:val="00075F9D"/>
    <w:rsid w:val="0007616E"/>
    <w:rsid w:val="000769C6"/>
    <w:rsid w:val="00076F9C"/>
    <w:rsid w:val="0007727E"/>
    <w:rsid w:val="0007770D"/>
    <w:rsid w:val="00077D34"/>
    <w:rsid w:val="00080E86"/>
    <w:rsid w:val="00080F9B"/>
    <w:rsid w:val="000820BE"/>
    <w:rsid w:val="00084B67"/>
    <w:rsid w:val="00085499"/>
    <w:rsid w:val="00086861"/>
    <w:rsid w:val="00086A34"/>
    <w:rsid w:val="000901F6"/>
    <w:rsid w:val="00090435"/>
    <w:rsid w:val="00090D37"/>
    <w:rsid w:val="0009188C"/>
    <w:rsid w:val="00091D33"/>
    <w:rsid w:val="0009298D"/>
    <w:rsid w:val="000930F6"/>
    <w:rsid w:val="000933A5"/>
    <w:rsid w:val="000943D4"/>
    <w:rsid w:val="00095604"/>
    <w:rsid w:val="00096354"/>
    <w:rsid w:val="000A05B4"/>
    <w:rsid w:val="000A089C"/>
    <w:rsid w:val="000A096E"/>
    <w:rsid w:val="000A17D1"/>
    <w:rsid w:val="000A20A1"/>
    <w:rsid w:val="000A2B26"/>
    <w:rsid w:val="000A3935"/>
    <w:rsid w:val="000A4F8D"/>
    <w:rsid w:val="000A543F"/>
    <w:rsid w:val="000A6831"/>
    <w:rsid w:val="000A6BB1"/>
    <w:rsid w:val="000A6DF1"/>
    <w:rsid w:val="000A75B6"/>
    <w:rsid w:val="000B0AC2"/>
    <w:rsid w:val="000B0FC0"/>
    <w:rsid w:val="000B1799"/>
    <w:rsid w:val="000B18C5"/>
    <w:rsid w:val="000B1971"/>
    <w:rsid w:val="000B3BB0"/>
    <w:rsid w:val="000B3D4A"/>
    <w:rsid w:val="000B3E44"/>
    <w:rsid w:val="000B502D"/>
    <w:rsid w:val="000B5414"/>
    <w:rsid w:val="000B5BA9"/>
    <w:rsid w:val="000B6398"/>
    <w:rsid w:val="000B7C2A"/>
    <w:rsid w:val="000C09BE"/>
    <w:rsid w:val="000C0B69"/>
    <w:rsid w:val="000C0C3C"/>
    <w:rsid w:val="000C1373"/>
    <w:rsid w:val="000C1410"/>
    <w:rsid w:val="000C14F8"/>
    <w:rsid w:val="000C26E6"/>
    <w:rsid w:val="000C31A8"/>
    <w:rsid w:val="000C33DF"/>
    <w:rsid w:val="000C38A0"/>
    <w:rsid w:val="000C3BC0"/>
    <w:rsid w:val="000C40A7"/>
    <w:rsid w:val="000C47B9"/>
    <w:rsid w:val="000C4B4E"/>
    <w:rsid w:val="000C4FA0"/>
    <w:rsid w:val="000C68F1"/>
    <w:rsid w:val="000C6ADC"/>
    <w:rsid w:val="000C6E9C"/>
    <w:rsid w:val="000C7817"/>
    <w:rsid w:val="000C7F9A"/>
    <w:rsid w:val="000D0611"/>
    <w:rsid w:val="000D08F0"/>
    <w:rsid w:val="000D0C0D"/>
    <w:rsid w:val="000D0EAE"/>
    <w:rsid w:val="000D23A4"/>
    <w:rsid w:val="000D261D"/>
    <w:rsid w:val="000D263A"/>
    <w:rsid w:val="000D2EF9"/>
    <w:rsid w:val="000D3D20"/>
    <w:rsid w:val="000D593C"/>
    <w:rsid w:val="000D5BF9"/>
    <w:rsid w:val="000D5F17"/>
    <w:rsid w:val="000D6084"/>
    <w:rsid w:val="000D6267"/>
    <w:rsid w:val="000D73C0"/>
    <w:rsid w:val="000D7611"/>
    <w:rsid w:val="000E10F7"/>
    <w:rsid w:val="000E2040"/>
    <w:rsid w:val="000E25CB"/>
    <w:rsid w:val="000E3B5F"/>
    <w:rsid w:val="000E459C"/>
    <w:rsid w:val="000E5D15"/>
    <w:rsid w:val="000E7262"/>
    <w:rsid w:val="000E759B"/>
    <w:rsid w:val="000E7AFF"/>
    <w:rsid w:val="000F09AD"/>
    <w:rsid w:val="000F1038"/>
    <w:rsid w:val="000F16DB"/>
    <w:rsid w:val="000F1FF6"/>
    <w:rsid w:val="000F28BA"/>
    <w:rsid w:val="000F2BC3"/>
    <w:rsid w:val="000F3698"/>
    <w:rsid w:val="000F5FC2"/>
    <w:rsid w:val="001000A4"/>
    <w:rsid w:val="00101321"/>
    <w:rsid w:val="001019D6"/>
    <w:rsid w:val="00102083"/>
    <w:rsid w:val="00103694"/>
    <w:rsid w:val="001042FA"/>
    <w:rsid w:val="00104A2C"/>
    <w:rsid w:val="001051D9"/>
    <w:rsid w:val="00106CA5"/>
    <w:rsid w:val="00106F60"/>
    <w:rsid w:val="0011000D"/>
    <w:rsid w:val="00112174"/>
    <w:rsid w:val="0011250D"/>
    <w:rsid w:val="00112B8E"/>
    <w:rsid w:val="00112EC8"/>
    <w:rsid w:val="00112F16"/>
    <w:rsid w:val="00113161"/>
    <w:rsid w:val="00113F52"/>
    <w:rsid w:val="001149D6"/>
    <w:rsid w:val="00114E84"/>
    <w:rsid w:val="001154CD"/>
    <w:rsid w:val="0011564E"/>
    <w:rsid w:val="00115D63"/>
    <w:rsid w:val="001205D7"/>
    <w:rsid w:val="00121A16"/>
    <w:rsid w:val="0012220C"/>
    <w:rsid w:val="001232AF"/>
    <w:rsid w:val="00123A02"/>
    <w:rsid w:val="00123B16"/>
    <w:rsid w:val="00123BCE"/>
    <w:rsid w:val="00123CFB"/>
    <w:rsid w:val="001256F2"/>
    <w:rsid w:val="00125993"/>
    <w:rsid w:val="00125FCE"/>
    <w:rsid w:val="00126463"/>
    <w:rsid w:val="00132D7E"/>
    <w:rsid w:val="001331C7"/>
    <w:rsid w:val="00133B08"/>
    <w:rsid w:val="00133D4E"/>
    <w:rsid w:val="00134474"/>
    <w:rsid w:val="00135469"/>
    <w:rsid w:val="0013595A"/>
    <w:rsid w:val="001360EC"/>
    <w:rsid w:val="00136767"/>
    <w:rsid w:val="00137390"/>
    <w:rsid w:val="001375D5"/>
    <w:rsid w:val="00137DD9"/>
    <w:rsid w:val="00140DED"/>
    <w:rsid w:val="00141654"/>
    <w:rsid w:val="0014175F"/>
    <w:rsid w:val="00141F98"/>
    <w:rsid w:val="0014220E"/>
    <w:rsid w:val="001424AB"/>
    <w:rsid w:val="00145444"/>
    <w:rsid w:val="00145477"/>
    <w:rsid w:val="001458F4"/>
    <w:rsid w:val="00145AFE"/>
    <w:rsid w:val="001461F2"/>
    <w:rsid w:val="0014653A"/>
    <w:rsid w:val="00146F1A"/>
    <w:rsid w:val="001479A8"/>
    <w:rsid w:val="00147BF1"/>
    <w:rsid w:val="001505CC"/>
    <w:rsid w:val="00150D05"/>
    <w:rsid w:val="0015171E"/>
    <w:rsid w:val="0015224A"/>
    <w:rsid w:val="00153335"/>
    <w:rsid w:val="001543D6"/>
    <w:rsid w:val="00154CE6"/>
    <w:rsid w:val="0015663F"/>
    <w:rsid w:val="001567E6"/>
    <w:rsid w:val="001569A1"/>
    <w:rsid w:val="00157AAD"/>
    <w:rsid w:val="00160111"/>
    <w:rsid w:val="00160424"/>
    <w:rsid w:val="00161275"/>
    <w:rsid w:val="00162513"/>
    <w:rsid w:val="00162537"/>
    <w:rsid w:val="00162E36"/>
    <w:rsid w:val="00163183"/>
    <w:rsid w:val="001631E6"/>
    <w:rsid w:val="0016398C"/>
    <w:rsid w:val="001641E1"/>
    <w:rsid w:val="0016442A"/>
    <w:rsid w:val="0016572A"/>
    <w:rsid w:val="001657A2"/>
    <w:rsid w:val="00165E7E"/>
    <w:rsid w:val="0016667F"/>
    <w:rsid w:val="00170277"/>
    <w:rsid w:val="00170C8B"/>
    <w:rsid w:val="00172310"/>
    <w:rsid w:val="00172B5B"/>
    <w:rsid w:val="00173517"/>
    <w:rsid w:val="00173B92"/>
    <w:rsid w:val="001751CB"/>
    <w:rsid w:val="0017590E"/>
    <w:rsid w:val="00175BB9"/>
    <w:rsid w:val="00176111"/>
    <w:rsid w:val="00176380"/>
    <w:rsid w:val="00176770"/>
    <w:rsid w:val="001769F2"/>
    <w:rsid w:val="00181EB3"/>
    <w:rsid w:val="0018337A"/>
    <w:rsid w:val="00184CF1"/>
    <w:rsid w:val="00184EC0"/>
    <w:rsid w:val="00185647"/>
    <w:rsid w:val="00185924"/>
    <w:rsid w:val="00185CA6"/>
    <w:rsid w:val="001865C9"/>
    <w:rsid w:val="001872CA"/>
    <w:rsid w:val="0019035C"/>
    <w:rsid w:val="00191890"/>
    <w:rsid w:val="0019251E"/>
    <w:rsid w:val="001925CF"/>
    <w:rsid w:val="001925D3"/>
    <w:rsid w:val="00193278"/>
    <w:rsid w:val="00193AB0"/>
    <w:rsid w:val="001941F6"/>
    <w:rsid w:val="00195E99"/>
    <w:rsid w:val="0019627F"/>
    <w:rsid w:val="001964BB"/>
    <w:rsid w:val="00197C89"/>
    <w:rsid w:val="001A0173"/>
    <w:rsid w:val="001A067F"/>
    <w:rsid w:val="001A0E6D"/>
    <w:rsid w:val="001A188C"/>
    <w:rsid w:val="001A204F"/>
    <w:rsid w:val="001A234D"/>
    <w:rsid w:val="001A28E3"/>
    <w:rsid w:val="001A2BFF"/>
    <w:rsid w:val="001A467A"/>
    <w:rsid w:val="001A471C"/>
    <w:rsid w:val="001A538F"/>
    <w:rsid w:val="001A5F14"/>
    <w:rsid w:val="001A6EC0"/>
    <w:rsid w:val="001B1135"/>
    <w:rsid w:val="001B2101"/>
    <w:rsid w:val="001B2195"/>
    <w:rsid w:val="001B2278"/>
    <w:rsid w:val="001B2932"/>
    <w:rsid w:val="001B29AE"/>
    <w:rsid w:val="001B3383"/>
    <w:rsid w:val="001B387D"/>
    <w:rsid w:val="001B4E1E"/>
    <w:rsid w:val="001B697E"/>
    <w:rsid w:val="001B6C2E"/>
    <w:rsid w:val="001B6C34"/>
    <w:rsid w:val="001B6EF0"/>
    <w:rsid w:val="001B73BF"/>
    <w:rsid w:val="001C0143"/>
    <w:rsid w:val="001C0E88"/>
    <w:rsid w:val="001C12F4"/>
    <w:rsid w:val="001C15F5"/>
    <w:rsid w:val="001C224F"/>
    <w:rsid w:val="001C2E7B"/>
    <w:rsid w:val="001C38F6"/>
    <w:rsid w:val="001C399A"/>
    <w:rsid w:val="001C3B86"/>
    <w:rsid w:val="001C3BB3"/>
    <w:rsid w:val="001C3F93"/>
    <w:rsid w:val="001C4685"/>
    <w:rsid w:val="001C4B42"/>
    <w:rsid w:val="001C4B4D"/>
    <w:rsid w:val="001C50AC"/>
    <w:rsid w:val="001C5E60"/>
    <w:rsid w:val="001C6669"/>
    <w:rsid w:val="001C684A"/>
    <w:rsid w:val="001C6F4A"/>
    <w:rsid w:val="001C7940"/>
    <w:rsid w:val="001D131C"/>
    <w:rsid w:val="001D15A7"/>
    <w:rsid w:val="001D3168"/>
    <w:rsid w:val="001D3BAC"/>
    <w:rsid w:val="001D428F"/>
    <w:rsid w:val="001D508E"/>
    <w:rsid w:val="001D5318"/>
    <w:rsid w:val="001D6279"/>
    <w:rsid w:val="001D73C3"/>
    <w:rsid w:val="001E0BE1"/>
    <w:rsid w:val="001E1102"/>
    <w:rsid w:val="001E185E"/>
    <w:rsid w:val="001E21C1"/>
    <w:rsid w:val="001E275A"/>
    <w:rsid w:val="001E56D2"/>
    <w:rsid w:val="001E5B85"/>
    <w:rsid w:val="001E6126"/>
    <w:rsid w:val="001E61BD"/>
    <w:rsid w:val="001E62E9"/>
    <w:rsid w:val="001E6687"/>
    <w:rsid w:val="001E6C8D"/>
    <w:rsid w:val="001E722E"/>
    <w:rsid w:val="001E7E20"/>
    <w:rsid w:val="001E7EDF"/>
    <w:rsid w:val="001F02FE"/>
    <w:rsid w:val="001F06B3"/>
    <w:rsid w:val="001F201D"/>
    <w:rsid w:val="001F26E8"/>
    <w:rsid w:val="001F2A1B"/>
    <w:rsid w:val="001F370D"/>
    <w:rsid w:val="001F4078"/>
    <w:rsid w:val="001F7E4F"/>
    <w:rsid w:val="001F7E92"/>
    <w:rsid w:val="002012C3"/>
    <w:rsid w:val="0020134C"/>
    <w:rsid w:val="00204E88"/>
    <w:rsid w:val="00204EF6"/>
    <w:rsid w:val="00207E06"/>
    <w:rsid w:val="0021050B"/>
    <w:rsid w:val="00210D96"/>
    <w:rsid w:val="00211D13"/>
    <w:rsid w:val="002124BA"/>
    <w:rsid w:val="00213C21"/>
    <w:rsid w:val="00214435"/>
    <w:rsid w:val="00217304"/>
    <w:rsid w:val="0021758A"/>
    <w:rsid w:val="0021766E"/>
    <w:rsid w:val="0021768B"/>
    <w:rsid w:val="00220DA1"/>
    <w:rsid w:val="00221A8C"/>
    <w:rsid w:val="00222DA3"/>
    <w:rsid w:val="00224589"/>
    <w:rsid w:val="00225947"/>
    <w:rsid w:val="00225CD2"/>
    <w:rsid w:val="00226EDB"/>
    <w:rsid w:val="00227A88"/>
    <w:rsid w:val="002301D5"/>
    <w:rsid w:val="00231857"/>
    <w:rsid w:val="00232BFD"/>
    <w:rsid w:val="00232F53"/>
    <w:rsid w:val="0023315B"/>
    <w:rsid w:val="0023348F"/>
    <w:rsid w:val="0023402D"/>
    <w:rsid w:val="002342C4"/>
    <w:rsid w:val="002351DA"/>
    <w:rsid w:val="002357AC"/>
    <w:rsid w:val="002358C7"/>
    <w:rsid w:val="002359D0"/>
    <w:rsid w:val="00235A89"/>
    <w:rsid w:val="00235E9D"/>
    <w:rsid w:val="00235F57"/>
    <w:rsid w:val="002360F8"/>
    <w:rsid w:val="00237268"/>
    <w:rsid w:val="00237762"/>
    <w:rsid w:val="00237B60"/>
    <w:rsid w:val="00237E34"/>
    <w:rsid w:val="002402B2"/>
    <w:rsid w:val="002406BA"/>
    <w:rsid w:val="0024094B"/>
    <w:rsid w:val="00240AD4"/>
    <w:rsid w:val="00240F42"/>
    <w:rsid w:val="00243D00"/>
    <w:rsid w:val="00244AB4"/>
    <w:rsid w:val="00244EB0"/>
    <w:rsid w:val="002450F3"/>
    <w:rsid w:val="002459DA"/>
    <w:rsid w:val="00246019"/>
    <w:rsid w:val="0024603C"/>
    <w:rsid w:val="002468A6"/>
    <w:rsid w:val="00246BD0"/>
    <w:rsid w:val="00247505"/>
    <w:rsid w:val="00247515"/>
    <w:rsid w:val="00250559"/>
    <w:rsid w:val="002505EF"/>
    <w:rsid w:val="00250AB6"/>
    <w:rsid w:val="002512B7"/>
    <w:rsid w:val="002514C5"/>
    <w:rsid w:val="00251F8A"/>
    <w:rsid w:val="00251FDB"/>
    <w:rsid w:val="0025218F"/>
    <w:rsid w:val="0025283F"/>
    <w:rsid w:val="002530A9"/>
    <w:rsid w:val="0025366A"/>
    <w:rsid w:val="00254767"/>
    <w:rsid w:val="00254F5C"/>
    <w:rsid w:val="002550DA"/>
    <w:rsid w:val="00255756"/>
    <w:rsid w:val="00255876"/>
    <w:rsid w:val="002558F9"/>
    <w:rsid w:val="00256053"/>
    <w:rsid w:val="00257938"/>
    <w:rsid w:val="00257E67"/>
    <w:rsid w:val="00260556"/>
    <w:rsid w:val="002605A2"/>
    <w:rsid w:val="00260A83"/>
    <w:rsid w:val="002614E5"/>
    <w:rsid w:val="00261576"/>
    <w:rsid w:val="0026167B"/>
    <w:rsid w:val="002616F7"/>
    <w:rsid w:val="00261C71"/>
    <w:rsid w:val="00261C83"/>
    <w:rsid w:val="0026232A"/>
    <w:rsid w:val="00263725"/>
    <w:rsid w:val="00264804"/>
    <w:rsid w:val="00264885"/>
    <w:rsid w:val="00265991"/>
    <w:rsid w:val="00265AAE"/>
    <w:rsid w:val="00265CA4"/>
    <w:rsid w:val="002666CA"/>
    <w:rsid w:val="00266F17"/>
    <w:rsid w:val="002700C7"/>
    <w:rsid w:val="00270872"/>
    <w:rsid w:val="00270879"/>
    <w:rsid w:val="002714C3"/>
    <w:rsid w:val="002715FF"/>
    <w:rsid w:val="00272F36"/>
    <w:rsid w:val="00273045"/>
    <w:rsid w:val="00275733"/>
    <w:rsid w:val="002758EA"/>
    <w:rsid w:val="00275F01"/>
    <w:rsid w:val="0027670C"/>
    <w:rsid w:val="00276990"/>
    <w:rsid w:val="002769E4"/>
    <w:rsid w:val="00276BF9"/>
    <w:rsid w:val="0027774F"/>
    <w:rsid w:val="00277959"/>
    <w:rsid w:val="00280423"/>
    <w:rsid w:val="00280FFA"/>
    <w:rsid w:val="00281D54"/>
    <w:rsid w:val="0028265B"/>
    <w:rsid w:val="00282AAC"/>
    <w:rsid w:val="00282C0F"/>
    <w:rsid w:val="00284081"/>
    <w:rsid w:val="002844C6"/>
    <w:rsid w:val="002848C2"/>
    <w:rsid w:val="00284ADE"/>
    <w:rsid w:val="00284F43"/>
    <w:rsid w:val="00285079"/>
    <w:rsid w:val="00285EB4"/>
    <w:rsid w:val="00285F2C"/>
    <w:rsid w:val="00286622"/>
    <w:rsid w:val="002868F1"/>
    <w:rsid w:val="00286DD0"/>
    <w:rsid w:val="0028716D"/>
    <w:rsid w:val="00287BDD"/>
    <w:rsid w:val="00287CCB"/>
    <w:rsid w:val="0029009B"/>
    <w:rsid w:val="00290472"/>
    <w:rsid w:val="00290CDB"/>
    <w:rsid w:val="00291360"/>
    <w:rsid w:val="00291568"/>
    <w:rsid w:val="00291672"/>
    <w:rsid w:val="002925A7"/>
    <w:rsid w:val="0029292F"/>
    <w:rsid w:val="00292B0B"/>
    <w:rsid w:val="00293305"/>
    <w:rsid w:val="00293CF1"/>
    <w:rsid w:val="00294508"/>
    <w:rsid w:val="00294F13"/>
    <w:rsid w:val="00295269"/>
    <w:rsid w:val="00295CBF"/>
    <w:rsid w:val="00296F01"/>
    <w:rsid w:val="002973D9"/>
    <w:rsid w:val="002A046E"/>
    <w:rsid w:val="002A04F2"/>
    <w:rsid w:val="002A1363"/>
    <w:rsid w:val="002A18DD"/>
    <w:rsid w:val="002A2BDE"/>
    <w:rsid w:val="002A2F94"/>
    <w:rsid w:val="002A2FA2"/>
    <w:rsid w:val="002A35EB"/>
    <w:rsid w:val="002A3A60"/>
    <w:rsid w:val="002A3DC0"/>
    <w:rsid w:val="002A5D77"/>
    <w:rsid w:val="002A6535"/>
    <w:rsid w:val="002A6A22"/>
    <w:rsid w:val="002A6B89"/>
    <w:rsid w:val="002A707A"/>
    <w:rsid w:val="002A7101"/>
    <w:rsid w:val="002A7916"/>
    <w:rsid w:val="002B1877"/>
    <w:rsid w:val="002B230C"/>
    <w:rsid w:val="002B3A85"/>
    <w:rsid w:val="002B3BB0"/>
    <w:rsid w:val="002B3F97"/>
    <w:rsid w:val="002B42EA"/>
    <w:rsid w:val="002B4459"/>
    <w:rsid w:val="002B4720"/>
    <w:rsid w:val="002B4AC2"/>
    <w:rsid w:val="002B4B37"/>
    <w:rsid w:val="002B59FD"/>
    <w:rsid w:val="002B5C98"/>
    <w:rsid w:val="002B5F37"/>
    <w:rsid w:val="002B624F"/>
    <w:rsid w:val="002B7A45"/>
    <w:rsid w:val="002B7ABB"/>
    <w:rsid w:val="002C0A85"/>
    <w:rsid w:val="002C1300"/>
    <w:rsid w:val="002C1499"/>
    <w:rsid w:val="002C1614"/>
    <w:rsid w:val="002C1974"/>
    <w:rsid w:val="002C21EB"/>
    <w:rsid w:val="002C2B7E"/>
    <w:rsid w:val="002C3523"/>
    <w:rsid w:val="002C3A5C"/>
    <w:rsid w:val="002C5294"/>
    <w:rsid w:val="002C54B6"/>
    <w:rsid w:val="002C61CA"/>
    <w:rsid w:val="002C7270"/>
    <w:rsid w:val="002C7921"/>
    <w:rsid w:val="002D0221"/>
    <w:rsid w:val="002D06CC"/>
    <w:rsid w:val="002D0F15"/>
    <w:rsid w:val="002D1599"/>
    <w:rsid w:val="002D1E7D"/>
    <w:rsid w:val="002D2070"/>
    <w:rsid w:val="002D258C"/>
    <w:rsid w:val="002D2AFF"/>
    <w:rsid w:val="002D2CDF"/>
    <w:rsid w:val="002D34A5"/>
    <w:rsid w:val="002D39FE"/>
    <w:rsid w:val="002D3A3F"/>
    <w:rsid w:val="002D3FF3"/>
    <w:rsid w:val="002D46A4"/>
    <w:rsid w:val="002D485E"/>
    <w:rsid w:val="002D5A51"/>
    <w:rsid w:val="002D79EB"/>
    <w:rsid w:val="002D7E7B"/>
    <w:rsid w:val="002E1678"/>
    <w:rsid w:val="002E20FF"/>
    <w:rsid w:val="002E46D1"/>
    <w:rsid w:val="002E7C11"/>
    <w:rsid w:val="002E7EA5"/>
    <w:rsid w:val="002F0528"/>
    <w:rsid w:val="002F0CFE"/>
    <w:rsid w:val="002F104F"/>
    <w:rsid w:val="002F2E10"/>
    <w:rsid w:val="002F3927"/>
    <w:rsid w:val="002F3E0A"/>
    <w:rsid w:val="002F476F"/>
    <w:rsid w:val="002F4EAC"/>
    <w:rsid w:val="002F5B52"/>
    <w:rsid w:val="002F6AE1"/>
    <w:rsid w:val="002F6C6A"/>
    <w:rsid w:val="002F7533"/>
    <w:rsid w:val="00301F85"/>
    <w:rsid w:val="0030371B"/>
    <w:rsid w:val="00303A62"/>
    <w:rsid w:val="0030510A"/>
    <w:rsid w:val="00305534"/>
    <w:rsid w:val="00307CAC"/>
    <w:rsid w:val="00307FB8"/>
    <w:rsid w:val="0031002F"/>
    <w:rsid w:val="00310773"/>
    <w:rsid w:val="003115DE"/>
    <w:rsid w:val="00312430"/>
    <w:rsid w:val="003141B5"/>
    <w:rsid w:val="003143D2"/>
    <w:rsid w:val="00314B2E"/>
    <w:rsid w:val="003150E0"/>
    <w:rsid w:val="00316605"/>
    <w:rsid w:val="00316870"/>
    <w:rsid w:val="0032036D"/>
    <w:rsid w:val="00320E43"/>
    <w:rsid w:val="003230C4"/>
    <w:rsid w:val="00323593"/>
    <w:rsid w:val="00323830"/>
    <w:rsid w:val="00323AD0"/>
    <w:rsid w:val="00324126"/>
    <w:rsid w:val="00324746"/>
    <w:rsid w:val="00324979"/>
    <w:rsid w:val="00325CD1"/>
    <w:rsid w:val="0032695F"/>
    <w:rsid w:val="003308E8"/>
    <w:rsid w:val="00330977"/>
    <w:rsid w:val="00331AEC"/>
    <w:rsid w:val="00332016"/>
    <w:rsid w:val="00332395"/>
    <w:rsid w:val="00333049"/>
    <w:rsid w:val="003337E4"/>
    <w:rsid w:val="00333863"/>
    <w:rsid w:val="003338D9"/>
    <w:rsid w:val="00333CAE"/>
    <w:rsid w:val="003346D0"/>
    <w:rsid w:val="00334A71"/>
    <w:rsid w:val="00335333"/>
    <w:rsid w:val="00335B22"/>
    <w:rsid w:val="0033685B"/>
    <w:rsid w:val="00336BF2"/>
    <w:rsid w:val="003400D7"/>
    <w:rsid w:val="0034048E"/>
    <w:rsid w:val="00340495"/>
    <w:rsid w:val="0034090E"/>
    <w:rsid w:val="00341A6F"/>
    <w:rsid w:val="00342004"/>
    <w:rsid w:val="00342838"/>
    <w:rsid w:val="00342FEF"/>
    <w:rsid w:val="00343004"/>
    <w:rsid w:val="00343310"/>
    <w:rsid w:val="003438D7"/>
    <w:rsid w:val="00343F72"/>
    <w:rsid w:val="00344825"/>
    <w:rsid w:val="00344F6E"/>
    <w:rsid w:val="0034537E"/>
    <w:rsid w:val="0034638C"/>
    <w:rsid w:val="00346859"/>
    <w:rsid w:val="00346B7F"/>
    <w:rsid w:val="0034773B"/>
    <w:rsid w:val="00347A73"/>
    <w:rsid w:val="00347AD9"/>
    <w:rsid w:val="00347B16"/>
    <w:rsid w:val="003508A8"/>
    <w:rsid w:val="00351443"/>
    <w:rsid w:val="003514A4"/>
    <w:rsid w:val="0035212D"/>
    <w:rsid w:val="0035256E"/>
    <w:rsid w:val="003526FA"/>
    <w:rsid w:val="0035279A"/>
    <w:rsid w:val="003540AD"/>
    <w:rsid w:val="00355212"/>
    <w:rsid w:val="003569CC"/>
    <w:rsid w:val="00357530"/>
    <w:rsid w:val="00357707"/>
    <w:rsid w:val="00357F66"/>
    <w:rsid w:val="003601B8"/>
    <w:rsid w:val="0036129A"/>
    <w:rsid w:val="003618E5"/>
    <w:rsid w:val="003631CB"/>
    <w:rsid w:val="00363CBC"/>
    <w:rsid w:val="003640A5"/>
    <w:rsid w:val="00364442"/>
    <w:rsid w:val="003648E2"/>
    <w:rsid w:val="00364C6E"/>
    <w:rsid w:val="00364F0A"/>
    <w:rsid w:val="003655A2"/>
    <w:rsid w:val="0036586F"/>
    <w:rsid w:val="00365FD4"/>
    <w:rsid w:val="00367959"/>
    <w:rsid w:val="00367FD2"/>
    <w:rsid w:val="0037030D"/>
    <w:rsid w:val="00370948"/>
    <w:rsid w:val="003725B9"/>
    <w:rsid w:val="00373190"/>
    <w:rsid w:val="00374018"/>
    <w:rsid w:val="003743B3"/>
    <w:rsid w:val="00374F6B"/>
    <w:rsid w:val="00377537"/>
    <w:rsid w:val="003778EF"/>
    <w:rsid w:val="00377AF9"/>
    <w:rsid w:val="00377E28"/>
    <w:rsid w:val="00380D02"/>
    <w:rsid w:val="00381550"/>
    <w:rsid w:val="0038156E"/>
    <w:rsid w:val="00381710"/>
    <w:rsid w:val="00381799"/>
    <w:rsid w:val="00381FEA"/>
    <w:rsid w:val="00383777"/>
    <w:rsid w:val="003837B2"/>
    <w:rsid w:val="00384537"/>
    <w:rsid w:val="00384EAE"/>
    <w:rsid w:val="00385B4A"/>
    <w:rsid w:val="00386B5C"/>
    <w:rsid w:val="00386CF9"/>
    <w:rsid w:val="00387575"/>
    <w:rsid w:val="003909DC"/>
    <w:rsid w:val="00390E52"/>
    <w:rsid w:val="0039113B"/>
    <w:rsid w:val="00391845"/>
    <w:rsid w:val="00393629"/>
    <w:rsid w:val="0039373A"/>
    <w:rsid w:val="00393C3A"/>
    <w:rsid w:val="0039405D"/>
    <w:rsid w:val="00394B86"/>
    <w:rsid w:val="0039559D"/>
    <w:rsid w:val="00396A84"/>
    <w:rsid w:val="00396C46"/>
    <w:rsid w:val="00396FE0"/>
    <w:rsid w:val="00397419"/>
    <w:rsid w:val="0039786C"/>
    <w:rsid w:val="003A00DF"/>
    <w:rsid w:val="003A0177"/>
    <w:rsid w:val="003A0D87"/>
    <w:rsid w:val="003A11E6"/>
    <w:rsid w:val="003A27FE"/>
    <w:rsid w:val="003A3D72"/>
    <w:rsid w:val="003A4797"/>
    <w:rsid w:val="003A53A3"/>
    <w:rsid w:val="003A53E9"/>
    <w:rsid w:val="003A7471"/>
    <w:rsid w:val="003B0250"/>
    <w:rsid w:val="003B15A7"/>
    <w:rsid w:val="003B188C"/>
    <w:rsid w:val="003B1CC6"/>
    <w:rsid w:val="003B236C"/>
    <w:rsid w:val="003B328E"/>
    <w:rsid w:val="003B3CA5"/>
    <w:rsid w:val="003B3FD1"/>
    <w:rsid w:val="003B52F9"/>
    <w:rsid w:val="003B5A2B"/>
    <w:rsid w:val="003B5BC4"/>
    <w:rsid w:val="003B5DC4"/>
    <w:rsid w:val="003B6BB5"/>
    <w:rsid w:val="003B7154"/>
    <w:rsid w:val="003B7F5C"/>
    <w:rsid w:val="003C0FEA"/>
    <w:rsid w:val="003C19C2"/>
    <w:rsid w:val="003C2642"/>
    <w:rsid w:val="003C3549"/>
    <w:rsid w:val="003C438E"/>
    <w:rsid w:val="003C518A"/>
    <w:rsid w:val="003C6769"/>
    <w:rsid w:val="003C67E3"/>
    <w:rsid w:val="003C67ED"/>
    <w:rsid w:val="003C751B"/>
    <w:rsid w:val="003C7EC1"/>
    <w:rsid w:val="003D060B"/>
    <w:rsid w:val="003D0AD5"/>
    <w:rsid w:val="003D1321"/>
    <w:rsid w:val="003D17B3"/>
    <w:rsid w:val="003D1AE3"/>
    <w:rsid w:val="003D287F"/>
    <w:rsid w:val="003D452E"/>
    <w:rsid w:val="003D4E7F"/>
    <w:rsid w:val="003D5169"/>
    <w:rsid w:val="003D5A6C"/>
    <w:rsid w:val="003D5B02"/>
    <w:rsid w:val="003D5B47"/>
    <w:rsid w:val="003D6E30"/>
    <w:rsid w:val="003D73F0"/>
    <w:rsid w:val="003E0603"/>
    <w:rsid w:val="003E063E"/>
    <w:rsid w:val="003E15C4"/>
    <w:rsid w:val="003E2DF5"/>
    <w:rsid w:val="003E31EA"/>
    <w:rsid w:val="003E3347"/>
    <w:rsid w:val="003E3962"/>
    <w:rsid w:val="003E39F6"/>
    <w:rsid w:val="003E3C97"/>
    <w:rsid w:val="003E4422"/>
    <w:rsid w:val="003E4462"/>
    <w:rsid w:val="003E4CEA"/>
    <w:rsid w:val="003E5C5B"/>
    <w:rsid w:val="003E65E4"/>
    <w:rsid w:val="003E6AE2"/>
    <w:rsid w:val="003E7D7E"/>
    <w:rsid w:val="003F110A"/>
    <w:rsid w:val="003F137F"/>
    <w:rsid w:val="003F13EA"/>
    <w:rsid w:val="003F14AF"/>
    <w:rsid w:val="003F1511"/>
    <w:rsid w:val="003F1530"/>
    <w:rsid w:val="003F173A"/>
    <w:rsid w:val="003F1953"/>
    <w:rsid w:val="003F2770"/>
    <w:rsid w:val="003F3CB6"/>
    <w:rsid w:val="003F51EE"/>
    <w:rsid w:val="003F53A2"/>
    <w:rsid w:val="003F53DA"/>
    <w:rsid w:val="003F5B1C"/>
    <w:rsid w:val="003F618F"/>
    <w:rsid w:val="003F6329"/>
    <w:rsid w:val="003F78F1"/>
    <w:rsid w:val="00400DE6"/>
    <w:rsid w:val="0040195A"/>
    <w:rsid w:val="00401ADE"/>
    <w:rsid w:val="004023DC"/>
    <w:rsid w:val="00402F72"/>
    <w:rsid w:val="00403E68"/>
    <w:rsid w:val="00404041"/>
    <w:rsid w:val="004040E7"/>
    <w:rsid w:val="00404ED2"/>
    <w:rsid w:val="00405704"/>
    <w:rsid w:val="00405A92"/>
    <w:rsid w:val="00406E63"/>
    <w:rsid w:val="00407326"/>
    <w:rsid w:val="00410005"/>
    <w:rsid w:val="00410370"/>
    <w:rsid w:val="00410594"/>
    <w:rsid w:val="004105D5"/>
    <w:rsid w:val="0041084D"/>
    <w:rsid w:val="004112AB"/>
    <w:rsid w:val="00412171"/>
    <w:rsid w:val="004128A0"/>
    <w:rsid w:val="00412AB7"/>
    <w:rsid w:val="00413699"/>
    <w:rsid w:val="004137B0"/>
    <w:rsid w:val="00413E74"/>
    <w:rsid w:val="004149C2"/>
    <w:rsid w:val="004163BE"/>
    <w:rsid w:val="00416BE1"/>
    <w:rsid w:val="00416DAE"/>
    <w:rsid w:val="00417434"/>
    <w:rsid w:val="00420826"/>
    <w:rsid w:val="004208E2"/>
    <w:rsid w:val="00422185"/>
    <w:rsid w:val="0042261F"/>
    <w:rsid w:val="00422E99"/>
    <w:rsid w:val="00422EFA"/>
    <w:rsid w:val="004252AF"/>
    <w:rsid w:val="0042536A"/>
    <w:rsid w:val="00425913"/>
    <w:rsid w:val="00425A9D"/>
    <w:rsid w:val="00425AD1"/>
    <w:rsid w:val="00425C34"/>
    <w:rsid w:val="004266ED"/>
    <w:rsid w:val="00426996"/>
    <w:rsid w:val="00427586"/>
    <w:rsid w:val="00430D41"/>
    <w:rsid w:val="004320D2"/>
    <w:rsid w:val="00432B26"/>
    <w:rsid w:val="00433285"/>
    <w:rsid w:val="00433655"/>
    <w:rsid w:val="004338AB"/>
    <w:rsid w:val="004350D4"/>
    <w:rsid w:val="0043531B"/>
    <w:rsid w:val="004368F2"/>
    <w:rsid w:val="00436C32"/>
    <w:rsid w:val="00436EE1"/>
    <w:rsid w:val="004372D3"/>
    <w:rsid w:val="004377FA"/>
    <w:rsid w:val="00440099"/>
    <w:rsid w:val="00440265"/>
    <w:rsid w:val="00441498"/>
    <w:rsid w:val="00441865"/>
    <w:rsid w:val="00442713"/>
    <w:rsid w:val="004429F1"/>
    <w:rsid w:val="00442C3D"/>
    <w:rsid w:val="004442E1"/>
    <w:rsid w:val="0044436A"/>
    <w:rsid w:val="00444748"/>
    <w:rsid w:val="00444F8F"/>
    <w:rsid w:val="00445753"/>
    <w:rsid w:val="00445794"/>
    <w:rsid w:val="004472A7"/>
    <w:rsid w:val="004477A5"/>
    <w:rsid w:val="00450D8E"/>
    <w:rsid w:val="0045102D"/>
    <w:rsid w:val="004512B1"/>
    <w:rsid w:val="004513E5"/>
    <w:rsid w:val="00451DFD"/>
    <w:rsid w:val="0045244C"/>
    <w:rsid w:val="0045287B"/>
    <w:rsid w:val="0045504F"/>
    <w:rsid w:val="00455407"/>
    <w:rsid w:val="00455575"/>
    <w:rsid w:val="004558B2"/>
    <w:rsid w:val="00455E6D"/>
    <w:rsid w:val="00455F33"/>
    <w:rsid w:val="004561BD"/>
    <w:rsid w:val="00457903"/>
    <w:rsid w:val="00457B93"/>
    <w:rsid w:val="004600ED"/>
    <w:rsid w:val="00460104"/>
    <w:rsid w:val="004614D3"/>
    <w:rsid w:val="00461B94"/>
    <w:rsid w:val="00461DE7"/>
    <w:rsid w:val="00465781"/>
    <w:rsid w:val="00465E01"/>
    <w:rsid w:val="00466A01"/>
    <w:rsid w:val="004700DC"/>
    <w:rsid w:val="00470386"/>
    <w:rsid w:val="00470813"/>
    <w:rsid w:val="00470B48"/>
    <w:rsid w:val="00470CFD"/>
    <w:rsid w:val="00470F91"/>
    <w:rsid w:val="00471603"/>
    <w:rsid w:val="00471614"/>
    <w:rsid w:val="004719AC"/>
    <w:rsid w:val="00471B80"/>
    <w:rsid w:val="00474B04"/>
    <w:rsid w:val="00474CB7"/>
    <w:rsid w:val="004752FA"/>
    <w:rsid w:val="00476159"/>
    <w:rsid w:val="0047627C"/>
    <w:rsid w:val="0047742F"/>
    <w:rsid w:val="00480DDD"/>
    <w:rsid w:val="00480E9A"/>
    <w:rsid w:val="00481197"/>
    <w:rsid w:val="00483D13"/>
    <w:rsid w:val="00484EBD"/>
    <w:rsid w:val="00486C4A"/>
    <w:rsid w:val="004901AE"/>
    <w:rsid w:val="0049189E"/>
    <w:rsid w:val="004922F9"/>
    <w:rsid w:val="00492462"/>
    <w:rsid w:val="004929A3"/>
    <w:rsid w:val="004933A4"/>
    <w:rsid w:val="0049402A"/>
    <w:rsid w:val="004946BE"/>
    <w:rsid w:val="004959D6"/>
    <w:rsid w:val="00495AB5"/>
    <w:rsid w:val="00495B0C"/>
    <w:rsid w:val="00495E69"/>
    <w:rsid w:val="00495EFA"/>
    <w:rsid w:val="004965A2"/>
    <w:rsid w:val="00496699"/>
    <w:rsid w:val="00496F6F"/>
    <w:rsid w:val="004975CA"/>
    <w:rsid w:val="004976E8"/>
    <w:rsid w:val="00497F2D"/>
    <w:rsid w:val="004A2582"/>
    <w:rsid w:val="004A3A11"/>
    <w:rsid w:val="004A50F5"/>
    <w:rsid w:val="004A5B34"/>
    <w:rsid w:val="004A5C43"/>
    <w:rsid w:val="004A6644"/>
    <w:rsid w:val="004A78AF"/>
    <w:rsid w:val="004A7CF2"/>
    <w:rsid w:val="004B1849"/>
    <w:rsid w:val="004B1D18"/>
    <w:rsid w:val="004B3319"/>
    <w:rsid w:val="004B40F7"/>
    <w:rsid w:val="004B5B3E"/>
    <w:rsid w:val="004B5DF0"/>
    <w:rsid w:val="004B5F17"/>
    <w:rsid w:val="004B6206"/>
    <w:rsid w:val="004B73F5"/>
    <w:rsid w:val="004C0EED"/>
    <w:rsid w:val="004C1705"/>
    <w:rsid w:val="004C27F4"/>
    <w:rsid w:val="004C2B4B"/>
    <w:rsid w:val="004C2CD7"/>
    <w:rsid w:val="004C39CE"/>
    <w:rsid w:val="004C4F6D"/>
    <w:rsid w:val="004C5357"/>
    <w:rsid w:val="004C554B"/>
    <w:rsid w:val="004C56F0"/>
    <w:rsid w:val="004C6008"/>
    <w:rsid w:val="004C7946"/>
    <w:rsid w:val="004C7CCD"/>
    <w:rsid w:val="004D0488"/>
    <w:rsid w:val="004D0D7E"/>
    <w:rsid w:val="004D2AE8"/>
    <w:rsid w:val="004D427C"/>
    <w:rsid w:val="004D4C6B"/>
    <w:rsid w:val="004D572F"/>
    <w:rsid w:val="004D61A5"/>
    <w:rsid w:val="004E0456"/>
    <w:rsid w:val="004E075E"/>
    <w:rsid w:val="004E1856"/>
    <w:rsid w:val="004E2346"/>
    <w:rsid w:val="004E3D3C"/>
    <w:rsid w:val="004E4345"/>
    <w:rsid w:val="004E5016"/>
    <w:rsid w:val="004E5AD9"/>
    <w:rsid w:val="004E63D4"/>
    <w:rsid w:val="004E6A20"/>
    <w:rsid w:val="004E74A4"/>
    <w:rsid w:val="004E7F8B"/>
    <w:rsid w:val="004F01B9"/>
    <w:rsid w:val="004F0299"/>
    <w:rsid w:val="004F03B7"/>
    <w:rsid w:val="004F139B"/>
    <w:rsid w:val="004F238B"/>
    <w:rsid w:val="004F26DB"/>
    <w:rsid w:val="004F36D6"/>
    <w:rsid w:val="004F3F83"/>
    <w:rsid w:val="004F58A3"/>
    <w:rsid w:val="004F5AD0"/>
    <w:rsid w:val="004F5BC2"/>
    <w:rsid w:val="004F5D66"/>
    <w:rsid w:val="004F6BB9"/>
    <w:rsid w:val="004F739A"/>
    <w:rsid w:val="004F78C4"/>
    <w:rsid w:val="00500672"/>
    <w:rsid w:val="00500DB1"/>
    <w:rsid w:val="00501116"/>
    <w:rsid w:val="0050111B"/>
    <w:rsid w:val="0050136A"/>
    <w:rsid w:val="00502FA6"/>
    <w:rsid w:val="005039F7"/>
    <w:rsid w:val="00504131"/>
    <w:rsid w:val="00504BDB"/>
    <w:rsid w:val="005052A6"/>
    <w:rsid w:val="00505A45"/>
    <w:rsid w:val="00505E6D"/>
    <w:rsid w:val="00505EA2"/>
    <w:rsid w:val="0050683B"/>
    <w:rsid w:val="00506EEA"/>
    <w:rsid w:val="00510174"/>
    <w:rsid w:val="0051065E"/>
    <w:rsid w:val="005112C8"/>
    <w:rsid w:val="0051134F"/>
    <w:rsid w:val="00511617"/>
    <w:rsid w:val="00512AB9"/>
    <w:rsid w:val="00516D2E"/>
    <w:rsid w:val="00524D43"/>
    <w:rsid w:val="00524ED3"/>
    <w:rsid w:val="005252C2"/>
    <w:rsid w:val="00525E5F"/>
    <w:rsid w:val="00527B68"/>
    <w:rsid w:val="00527FF6"/>
    <w:rsid w:val="005302DF"/>
    <w:rsid w:val="0053037E"/>
    <w:rsid w:val="00530525"/>
    <w:rsid w:val="00530585"/>
    <w:rsid w:val="005307BA"/>
    <w:rsid w:val="00530DA9"/>
    <w:rsid w:val="00530EF3"/>
    <w:rsid w:val="005322D0"/>
    <w:rsid w:val="00532334"/>
    <w:rsid w:val="005329D6"/>
    <w:rsid w:val="0053305A"/>
    <w:rsid w:val="005339DC"/>
    <w:rsid w:val="00535E69"/>
    <w:rsid w:val="00537174"/>
    <w:rsid w:val="0054029D"/>
    <w:rsid w:val="00540FAF"/>
    <w:rsid w:val="00541087"/>
    <w:rsid w:val="0054140F"/>
    <w:rsid w:val="0054199B"/>
    <w:rsid w:val="0054321F"/>
    <w:rsid w:val="0054335C"/>
    <w:rsid w:val="00543774"/>
    <w:rsid w:val="0054380F"/>
    <w:rsid w:val="0054387C"/>
    <w:rsid w:val="00543910"/>
    <w:rsid w:val="00544755"/>
    <w:rsid w:val="00546149"/>
    <w:rsid w:val="005467CE"/>
    <w:rsid w:val="005468DD"/>
    <w:rsid w:val="00546DCC"/>
    <w:rsid w:val="0054701C"/>
    <w:rsid w:val="00547078"/>
    <w:rsid w:val="00547333"/>
    <w:rsid w:val="00547472"/>
    <w:rsid w:val="00550109"/>
    <w:rsid w:val="0055100D"/>
    <w:rsid w:val="00552370"/>
    <w:rsid w:val="005524A6"/>
    <w:rsid w:val="00552C88"/>
    <w:rsid w:val="005544C7"/>
    <w:rsid w:val="005556BF"/>
    <w:rsid w:val="005556FA"/>
    <w:rsid w:val="00555AFB"/>
    <w:rsid w:val="005562EB"/>
    <w:rsid w:val="005566CA"/>
    <w:rsid w:val="00556DFE"/>
    <w:rsid w:val="00557251"/>
    <w:rsid w:val="00557F94"/>
    <w:rsid w:val="005600D8"/>
    <w:rsid w:val="00560F04"/>
    <w:rsid w:val="005615B0"/>
    <w:rsid w:val="005633F1"/>
    <w:rsid w:val="005637B2"/>
    <w:rsid w:val="00564C47"/>
    <w:rsid w:val="00564CAC"/>
    <w:rsid w:val="005654E8"/>
    <w:rsid w:val="00565849"/>
    <w:rsid w:val="0056607C"/>
    <w:rsid w:val="00567C5B"/>
    <w:rsid w:val="005702A2"/>
    <w:rsid w:val="005705F7"/>
    <w:rsid w:val="0057074D"/>
    <w:rsid w:val="00570899"/>
    <w:rsid w:val="00571181"/>
    <w:rsid w:val="005717CB"/>
    <w:rsid w:val="005732EE"/>
    <w:rsid w:val="005735F4"/>
    <w:rsid w:val="00573D9A"/>
    <w:rsid w:val="005764D4"/>
    <w:rsid w:val="005766D5"/>
    <w:rsid w:val="00581EC3"/>
    <w:rsid w:val="005829A5"/>
    <w:rsid w:val="005833BB"/>
    <w:rsid w:val="0058354D"/>
    <w:rsid w:val="00583BB8"/>
    <w:rsid w:val="00583CA0"/>
    <w:rsid w:val="00583EDC"/>
    <w:rsid w:val="005845D9"/>
    <w:rsid w:val="00584E72"/>
    <w:rsid w:val="005857FD"/>
    <w:rsid w:val="00586B1A"/>
    <w:rsid w:val="00587205"/>
    <w:rsid w:val="0058790A"/>
    <w:rsid w:val="00587D84"/>
    <w:rsid w:val="00590023"/>
    <w:rsid w:val="0059034C"/>
    <w:rsid w:val="00590598"/>
    <w:rsid w:val="00591E04"/>
    <w:rsid w:val="005920C4"/>
    <w:rsid w:val="00592B3D"/>
    <w:rsid w:val="005939A7"/>
    <w:rsid w:val="00593FF2"/>
    <w:rsid w:val="005940FC"/>
    <w:rsid w:val="00594279"/>
    <w:rsid w:val="0059496D"/>
    <w:rsid w:val="00596EF9"/>
    <w:rsid w:val="00596FF6"/>
    <w:rsid w:val="0059752D"/>
    <w:rsid w:val="00597B2B"/>
    <w:rsid w:val="00597D17"/>
    <w:rsid w:val="005A01B6"/>
    <w:rsid w:val="005A0F5B"/>
    <w:rsid w:val="005A155C"/>
    <w:rsid w:val="005A1762"/>
    <w:rsid w:val="005A3FDF"/>
    <w:rsid w:val="005A4C32"/>
    <w:rsid w:val="005A5A74"/>
    <w:rsid w:val="005A5DE7"/>
    <w:rsid w:val="005A5F85"/>
    <w:rsid w:val="005B06E3"/>
    <w:rsid w:val="005B0B34"/>
    <w:rsid w:val="005B2034"/>
    <w:rsid w:val="005B2296"/>
    <w:rsid w:val="005B34FE"/>
    <w:rsid w:val="005B4FBD"/>
    <w:rsid w:val="005B50AE"/>
    <w:rsid w:val="005B54BB"/>
    <w:rsid w:val="005B63CB"/>
    <w:rsid w:val="005B63F4"/>
    <w:rsid w:val="005B6BDA"/>
    <w:rsid w:val="005B7CFB"/>
    <w:rsid w:val="005C257C"/>
    <w:rsid w:val="005C28FA"/>
    <w:rsid w:val="005C3BD6"/>
    <w:rsid w:val="005C5997"/>
    <w:rsid w:val="005C5F1D"/>
    <w:rsid w:val="005C6C51"/>
    <w:rsid w:val="005C7DCC"/>
    <w:rsid w:val="005D0460"/>
    <w:rsid w:val="005D0AB3"/>
    <w:rsid w:val="005D0ACF"/>
    <w:rsid w:val="005D1441"/>
    <w:rsid w:val="005D2707"/>
    <w:rsid w:val="005D3052"/>
    <w:rsid w:val="005D4EDB"/>
    <w:rsid w:val="005D52F7"/>
    <w:rsid w:val="005D5FEB"/>
    <w:rsid w:val="005D6AE0"/>
    <w:rsid w:val="005E027D"/>
    <w:rsid w:val="005E259E"/>
    <w:rsid w:val="005E32D1"/>
    <w:rsid w:val="005E3584"/>
    <w:rsid w:val="005E3677"/>
    <w:rsid w:val="005E377B"/>
    <w:rsid w:val="005E48F3"/>
    <w:rsid w:val="005E4E2D"/>
    <w:rsid w:val="005E6133"/>
    <w:rsid w:val="005E7121"/>
    <w:rsid w:val="005E728F"/>
    <w:rsid w:val="005E7728"/>
    <w:rsid w:val="005E7BA5"/>
    <w:rsid w:val="005F0770"/>
    <w:rsid w:val="005F0E00"/>
    <w:rsid w:val="005F16F2"/>
    <w:rsid w:val="005F16FC"/>
    <w:rsid w:val="005F17B9"/>
    <w:rsid w:val="005F1EAD"/>
    <w:rsid w:val="005F2893"/>
    <w:rsid w:val="005F2D7D"/>
    <w:rsid w:val="005F3175"/>
    <w:rsid w:val="005F33CE"/>
    <w:rsid w:val="005F35B2"/>
    <w:rsid w:val="005F4112"/>
    <w:rsid w:val="005F426B"/>
    <w:rsid w:val="005F4863"/>
    <w:rsid w:val="005F5294"/>
    <w:rsid w:val="005F5F32"/>
    <w:rsid w:val="005F6128"/>
    <w:rsid w:val="005F64A6"/>
    <w:rsid w:val="005F6C86"/>
    <w:rsid w:val="005F7ACE"/>
    <w:rsid w:val="005F7E55"/>
    <w:rsid w:val="00601982"/>
    <w:rsid w:val="0060268A"/>
    <w:rsid w:val="00602910"/>
    <w:rsid w:val="00602A52"/>
    <w:rsid w:val="00602D78"/>
    <w:rsid w:val="0060339B"/>
    <w:rsid w:val="00603467"/>
    <w:rsid w:val="00604648"/>
    <w:rsid w:val="006064A2"/>
    <w:rsid w:val="00606914"/>
    <w:rsid w:val="00606C2D"/>
    <w:rsid w:val="00610640"/>
    <w:rsid w:val="00611B2B"/>
    <w:rsid w:val="00611B70"/>
    <w:rsid w:val="00612AA7"/>
    <w:rsid w:val="00612F92"/>
    <w:rsid w:val="00614B89"/>
    <w:rsid w:val="00614BB6"/>
    <w:rsid w:val="00616281"/>
    <w:rsid w:val="00617016"/>
    <w:rsid w:val="006176D1"/>
    <w:rsid w:val="006200EC"/>
    <w:rsid w:val="006214FF"/>
    <w:rsid w:val="00621581"/>
    <w:rsid w:val="006216A3"/>
    <w:rsid w:val="00621835"/>
    <w:rsid w:val="00621C29"/>
    <w:rsid w:val="006229E1"/>
    <w:rsid w:val="00623951"/>
    <w:rsid w:val="00623E75"/>
    <w:rsid w:val="00625246"/>
    <w:rsid w:val="006255B6"/>
    <w:rsid w:val="00625E85"/>
    <w:rsid w:val="00626216"/>
    <w:rsid w:val="006262CB"/>
    <w:rsid w:val="006266E8"/>
    <w:rsid w:val="00626811"/>
    <w:rsid w:val="006271E1"/>
    <w:rsid w:val="006277C4"/>
    <w:rsid w:val="00627AF3"/>
    <w:rsid w:val="00631655"/>
    <w:rsid w:val="006318FB"/>
    <w:rsid w:val="00631F6C"/>
    <w:rsid w:val="0063330B"/>
    <w:rsid w:val="0063369D"/>
    <w:rsid w:val="00633A8C"/>
    <w:rsid w:val="00633B0B"/>
    <w:rsid w:val="00633B95"/>
    <w:rsid w:val="006350D4"/>
    <w:rsid w:val="00635BD9"/>
    <w:rsid w:val="00636E04"/>
    <w:rsid w:val="006377A3"/>
    <w:rsid w:val="006401A6"/>
    <w:rsid w:val="006404C0"/>
    <w:rsid w:val="0064058B"/>
    <w:rsid w:val="006407CD"/>
    <w:rsid w:val="00641023"/>
    <w:rsid w:val="006413C4"/>
    <w:rsid w:val="006421CD"/>
    <w:rsid w:val="00642A14"/>
    <w:rsid w:val="006442DC"/>
    <w:rsid w:val="006442F4"/>
    <w:rsid w:val="00644465"/>
    <w:rsid w:val="00644756"/>
    <w:rsid w:val="006448A1"/>
    <w:rsid w:val="006448DE"/>
    <w:rsid w:val="00645505"/>
    <w:rsid w:val="00645979"/>
    <w:rsid w:val="00646CDA"/>
    <w:rsid w:val="00646CE8"/>
    <w:rsid w:val="00650600"/>
    <w:rsid w:val="00650B03"/>
    <w:rsid w:val="006517E1"/>
    <w:rsid w:val="00652DF0"/>
    <w:rsid w:val="006538FD"/>
    <w:rsid w:val="00653CBD"/>
    <w:rsid w:val="00654350"/>
    <w:rsid w:val="006548F9"/>
    <w:rsid w:val="0065556C"/>
    <w:rsid w:val="00656620"/>
    <w:rsid w:val="0065662B"/>
    <w:rsid w:val="00656795"/>
    <w:rsid w:val="00657501"/>
    <w:rsid w:val="00657DD0"/>
    <w:rsid w:val="00660FC9"/>
    <w:rsid w:val="006616DA"/>
    <w:rsid w:val="00662117"/>
    <w:rsid w:val="0066267B"/>
    <w:rsid w:val="00662703"/>
    <w:rsid w:val="006628A3"/>
    <w:rsid w:val="00665E3C"/>
    <w:rsid w:val="00667298"/>
    <w:rsid w:val="006734B7"/>
    <w:rsid w:val="00673B06"/>
    <w:rsid w:val="00673B22"/>
    <w:rsid w:val="0067442E"/>
    <w:rsid w:val="00674F63"/>
    <w:rsid w:val="0067691C"/>
    <w:rsid w:val="00676979"/>
    <w:rsid w:val="00676A34"/>
    <w:rsid w:val="00676AE6"/>
    <w:rsid w:val="00676BEF"/>
    <w:rsid w:val="00676F5F"/>
    <w:rsid w:val="006804A4"/>
    <w:rsid w:val="00680EA7"/>
    <w:rsid w:val="0068194D"/>
    <w:rsid w:val="00681EAD"/>
    <w:rsid w:val="00681F85"/>
    <w:rsid w:val="00682A67"/>
    <w:rsid w:val="00682B33"/>
    <w:rsid w:val="00682B59"/>
    <w:rsid w:val="0068321F"/>
    <w:rsid w:val="00683424"/>
    <w:rsid w:val="00683764"/>
    <w:rsid w:val="00683E6E"/>
    <w:rsid w:val="006843F3"/>
    <w:rsid w:val="0068589B"/>
    <w:rsid w:val="006863F2"/>
    <w:rsid w:val="00686A3D"/>
    <w:rsid w:val="00687E7D"/>
    <w:rsid w:val="0069013C"/>
    <w:rsid w:val="00691217"/>
    <w:rsid w:val="0069153D"/>
    <w:rsid w:val="00692189"/>
    <w:rsid w:val="00692FE8"/>
    <w:rsid w:val="00693237"/>
    <w:rsid w:val="00693C04"/>
    <w:rsid w:val="00694BE5"/>
    <w:rsid w:val="006957A4"/>
    <w:rsid w:val="00695847"/>
    <w:rsid w:val="00695E44"/>
    <w:rsid w:val="0069772E"/>
    <w:rsid w:val="006A0432"/>
    <w:rsid w:val="006A1188"/>
    <w:rsid w:val="006A15B0"/>
    <w:rsid w:val="006A2FDB"/>
    <w:rsid w:val="006A30C3"/>
    <w:rsid w:val="006A4004"/>
    <w:rsid w:val="006A51AE"/>
    <w:rsid w:val="006A57A0"/>
    <w:rsid w:val="006A5C91"/>
    <w:rsid w:val="006A630C"/>
    <w:rsid w:val="006A6BC4"/>
    <w:rsid w:val="006A7AAB"/>
    <w:rsid w:val="006B0977"/>
    <w:rsid w:val="006B1408"/>
    <w:rsid w:val="006B2896"/>
    <w:rsid w:val="006B2EEC"/>
    <w:rsid w:val="006B4A6B"/>
    <w:rsid w:val="006B4C9F"/>
    <w:rsid w:val="006B504B"/>
    <w:rsid w:val="006B5395"/>
    <w:rsid w:val="006B5E58"/>
    <w:rsid w:val="006B628A"/>
    <w:rsid w:val="006B656D"/>
    <w:rsid w:val="006B65A3"/>
    <w:rsid w:val="006B69A0"/>
    <w:rsid w:val="006B7050"/>
    <w:rsid w:val="006C093F"/>
    <w:rsid w:val="006C0DA4"/>
    <w:rsid w:val="006C1208"/>
    <w:rsid w:val="006C1AA0"/>
    <w:rsid w:val="006C1BAA"/>
    <w:rsid w:val="006C377D"/>
    <w:rsid w:val="006C3C61"/>
    <w:rsid w:val="006C3EB4"/>
    <w:rsid w:val="006C5EB0"/>
    <w:rsid w:val="006C6443"/>
    <w:rsid w:val="006C721F"/>
    <w:rsid w:val="006C73BB"/>
    <w:rsid w:val="006C7740"/>
    <w:rsid w:val="006C7D0A"/>
    <w:rsid w:val="006D058E"/>
    <w:rsid w:val="006D28F3"/>
    <w:rsid w:val="006D42AE"/>
    <w:rsid w:val="006D550D"/>
    <w:rsid w:val="006D56F5"/>
    <w:rsid w:val="006D5C8A"/>
    <w:rsid w:val="006D5E93"/>
    <w:rsid w:val="006D7180"/>
    <w:rsid w:val="006D7254"/>
    <w:rsid w:val="006D744F"/>
    <w:rsid w:val="006E2C80"/>
    <w:rsid w:val="006E34A9"/>
    <w:rsid w:val="006E3EB6"/>
    <w:rsid w:val="006E4EB7"/>
    <w:rsid w:val="006E517C"/>
    <w:rsid w:val="006E52EE"/>
    <w:rsid w:val="006E596F"/>
    <w:rsid w:val="006E5CCF"/>
    <w:rsid w:val="006E66D3"/>
    <w:rsid w:val="006E7B3C"/>
    <w:rsid w:val="006E7C4D"/>
    <w:rsid w:val="006F2760"/>
    <w:rsid w:val="006F2A17"/>
    <w:rsid w:val="006F2CE1"/>
    <w:rsid w:val="006F2EC7"/>
    <w:rsid w:val="006F302D"/>
    <w:rsid w:val="006F30CE"/>
    <w:rsid w:val="006F35C6"/>
    <w:rsid w:val="006F4B1C"/>
    <w:rsid w:val="006F4D1B"/>
    <w:rsid w:val="006F5192"/>
    <w:rsid w:val="006F548D"/>
    <w:rsid w:val="006F56EB"/>
    <w:rsid w:val="006F6936"/>
    <w:rsid w:val="006F6B06"/>
    <w:rsid w:val="006F72BF"/>
    <w:rsid w:val="006F7548"/>
    <w:rsid w:val="006F7FB0"/>
    <w:rsid w:val="007000BC"/>
    <w:rsid w:val="007006C6"/>
    <w:rsid w:val="00700E32"/>
    <w:rsid w:val="0070129E"/>
    <w:rsid w:val="00701B44"/>
    <w:rsid w:val="00702450"/>
    <w:rsid w:val="0070395E"/>
    <w:rsid w:val="0070478D"/>
    <w:rsid w:val="007054ED"/>
    <w:rsid w:val="0070607B"/>
    <w:rsid w:val="00706C9A"/>
    <w:rsid w:val="007078A5"/>
    <w:rsid w:val="00707CBF"/>
    <w:rsid w:val="00712DF9"/>
    <w:rsid w:val="00713F9E"/>
    <w:rsid w:val="00714BA9"/>
    <w:rsid w:val="00715E89"/>
    <w:rsid w:val="007172E6"/>
    <w:rsid w:val="00720D2B"/>
    <w:rsid w:val="00721DB5"/>
    <w:rsid w:val="00722B9E"/>
    <w:rsid w:val="00722DC5"/>
    <w:rsid w:val="00723ACB"/>
    <w:rsid w:val="0072444C"/>
    <w:rsid w:val="007245A4"/>
    <w:rsid w:val="0072478B"/>
    <w:rsid w:val="00724B9A"/>
    <w:rsid w:val="00724CA2"/>
    <w:rsid w:val="00725455"/>
    <w:rsid w:val="00725EBD"/>
    <w:rsid w:val="007260D8"/>
    <w:rsid w:val="00726205"/>
    <w:rsid w:val="00726B89"/>
    <w:rsid w:val="0072713F"/>
    <w:rsid w:val="007271CB"/>
    <w:rsid w:val="007272EF"/>
    <w:rsid w:val="00730181"/>
    <w:rsid w:val="0073085C"/>
    <w:rsid w:val="00730D71"/>
    <w:rsid w:val="00730F0C"/>
    <w:rsid w:val="00732171"/>
    <w:rsid w:val="007337E7"/>
    <w:rsid w:val="00734CF6"/>
    <w:rsid w:val="00735556"/>
    <w:rsid w:val="00736E2A"/>
    <w:rsid w:val="00736E3B"/>
    <w:rsid w:val="00737F6E"/>
    <w:rsid w:val="0074004A"/>
    <w:rsid w:val="00741A96"/>
    <w:rsid w:val="00741C7D"/>
    <w:rsid w:val="00742465"/>
    <w:rsid w:val="0074264B"/>
    <w:rsid w:val="007444EC"/>
    <w:rsid w:val="0074454B"/>
    <w:rsid w:val="00744C66"/>
    <w:rsid w:val="00745C55"/>
    <w:rsid w:val="0074627D"/>
    <w:rsid w:val="00746333"/>
    <w:rsid w:val="00746A49"/>
    <w:rsid w:val="00746C55"/>
    <w:rsid w:val="00750A96"/>
    <w:rsid w:val="00750C2E"/>
    <w:rsid w:val="00750D27"/>
    <w:rsid w:val="007517F6"/>
    <w:rsid w:val="00751F81"/>
    <w:rsid w:val="00751FB1"/>
    <w:rsid w:val="00752C87"/>
    <w:rsid w:val="007536C7"/>
    <w:rsid w:val="00753783"/>
    <w:rsid w:val="00753C39"/>
    <w:rsid w:val="00753C65"/>
    <w:rsid w:val="007552A8"/>
    <w:rsid w:val="007553F6"/>
    <w:rsid w:val="00755C0D"/>
    <w:rsid w:val="00760D40"/>
    <w:rsid w:val="00760DC8"/>
    <w:rsid w:val="00760FB1"/>
    <w:rsid w:val="0076180C"/>
    <w:rsid w:val="00761E81"/>
    <w:rsid w:val="00762B61"/>
    <w:rsid w:val="00762E1E"/>
    <w:rsid w:val="00762E45"/>
    <w:rsid w:val="00763093"/>
    <w:rsid w:val="007637D5"/>
    <w:rsid w:val="00763C0D"/>
    <w:rsid w:val="007648FF"/>
    <w:rsid w:val="00764941"/>
    <w:rsid w:val="00764D6A"/>
    <w:rsid w:val="00767640"/>
    <w:rsid w:val="00770957"/>
    <w:rsid w:val="00771166"/>
    <w:rsid w:val="00771518"/>
    <w:rsid w:val="00771C42"/>
    <w:rsid w:val="00772472"/>
    <w:rsid w:val="00772EC6"/>
    <w:rsid w:val="007732B8"/>
    <w:rsid w:val="007733FA"/>
    <w:rsid w:val="007739A8"/>
    <w:rsid w:val="00776225"/>
    <w:rsid w:val="007774E8"/>
    <w:rsid w:val="007776B0"/>
    <w:rsid w:val="00777756"/>
    <w:rsid w:val="00777808"/>
    <w:rsid w:val="0078000E"/>
    <w:rsid w:val="00781190"/>
    <w:rsid w:val="007811A9"/>
    <w:rsid w:val="00782777"/>
    <w:rsid w:val="00782FE5"/>
    <w:rsid w:val="007843B8"/>
    <w:rsid w:val="00784E7C"/>
    <w:rsid w:val="00785548"/>
    <w:rsid w:val="0078586F"/>
    <w:rsid w:val="00785FF3"/>
    <w:rsid w:val="007866A1"/>
    <w:rsid w:val="007866D4"/>
    <w:rsid w:val="00786A8F"/>
    <w:rsid w:val="00786BA2"/>
    <w:rsid w:val="007870A8"/>
    <w:rsid w:val="00787376"/>
    <w:rsid w:val="00790EE9"/>
    <w:rsid w:val="00791378"/>
    <w:rsid w:val="007920CA"/>
    <w:rsid w:val="007925DA"/>
    <w:rsid w:val="00792DBE"/>
    <w:rsid w:val="007932F4"/>
    <w:rsid w:val="00793760"/>
    <w:rsid w:val="00794275"/>
    <w:rsid w:val="007947AE"/>
    <w:rsid w:val="00794925"/>
    <w:rsid w:val="00794B74"/>
    <w:rsid w:val="00794BDD"/>
    <w:rsid w:val="007956E5"/>
    <w:rsid w:val="007958FF"/>
    <w:rsid w:val="007964F1"/>
    <w:rsid w:val="007966B3"/>
    <w:rsid w:val="00796794"/>
    <w:rsid w:val="0079683A"/>
    <w:rsid w:val="00797BDE"/>
    <w:rsid w:val="007A06EF"/>
    <w:rsid w:val="007A1060"/>
    <w:rsid w:val="007A22EF"/>
    <w:rsid w:val="007A346B"/>
    <w:rsid w:val="007A45F3"/>
    <w:rsid w:val="007A4AC7"/>
    <w:rsid w:val="007A5187"/>
    <w:rsid w:val="007A663E"/>
    <w:rsid w:val="007A695E"/>
    <w:rsid w:val="007A6A09"/>
    <w:rsid w:val="007A72C8"/>
    <w:rsid w:val="007A75CC"/>
    <w:rsid w:val="007B0E9C"/>
    <w:rsid w:val="007B160D"/>
    <w:rsid w:val="007B2617"/>
    <w:rsid w:val="007B286D"/>
    <w:rsid w:val="007B3309"/>
    <w:rsid w:val="007B3603"/>
    <w:rsid w:val="007B3E16"/>
    <w:rsid w:val="007B4A1F"/>
    <w:rsid w:val="007B4DB5"/>
    <w:rsid w:val="007B7D63"/>
    <w:rsid w:val="007C174D"/>
    <w:rsid w:val="007C1C50"/>
    <w:rsid w:val="007C1F20"/>
    <w:rsid w:val="007C3540"/>
    <w:rsid w:val="007C358A"/>
    <w:rsid w:val="007C3CA2"/>
    <w:rsid w:val="007C4159"/>
    <w:rsid w:val="007C42F4"/>
    <w:rsid w:val="007C5F55"/>
    <w:rsid w:val="007C697F"/>
    <w:rsid w:val="007C7520"/>
    <w:rsid w:val="007C78DC"/>
    <w:rsid w:val="007D1771"/>
    <w:rsid w:val="007D1958"/>
    <w:rsid w:val="007D2044"/>
    <w:rsid w:val="007D2557"/>
    <w:rsid w:val="007D2F6C"/>
    <w:rsid w:val="007D3629"/>
    <w:rsid w:val="007D4154"/>
    <w:rsid w:val="007D5210"/>
    <w:rsid w:val="007D549C"/>
    <w:rsid w:val="007D57E9"/>
    <w:rsid w:val="007D5A65"/>
    <w:rsid w:val="007D6598"/>
    <w:rsid w:val="007D6FDD"/>
    <w:rsid w:val="007E00FF"/>
    <w:rsid w:val="007E1A99"/>
    <w:rsid w:val="007E2B20"/>
    <w:rsid w:val="007E2EC3"/>
    <w:rsid w:val="007E328B"/>
    <w:rsid w:val="007E371C"/>
    <w:rsid w:val="007E3BFD"/>
    <w:rsid w:val="007E4283"/>
    <w:rsid w:val="007E458B"/>
    <w:rsid w:val="007E47C4"/>
    <w:rsid w:val="007E4E1F"/>
    <w:rsid w:val="007E54B5"/>
    <w:rsid w:val="007E6028"/>
    <w:rsid w:val="007E710B"/>
    <w:rsid w:val="007E7159"/>
    <w:rsid w:val="007E7288"/>
    <w:rsid w:val="007E7C4A"/>
    <w:rsid w:val="007E7E64"/>
    <w:rsid w:val="007F0115"/>
    <w:rsid w:val="007F0475"/>
    <w:rsid w:val="007F0FF4"/>
    <w:rsid w:val="007F13C4"/>
    <w:rsid w:val="007F16C9"/>
    <w:rsid w:val="007F1A58"/>
    <w:rsid w:val="007F229D"/>
    <w:rsid w:val="007F2B6C"/>
    <w:rsid w:val="007F434E"/>
    <w:rsid w:val="007F43F2"/>
    <w:rsid w:val="007F4792"/>
    <w:rsid w:val="007F48FC"/>
    <w:rsid w:val="007F5151"/>
    <w:rsid w:val="007F561F"/>
    <w:rsid w:val="007F5FC8"/>
    <w:rsid w:val="007F6D59"/>
    <w:rsid w:val="007F7BE2"/>
    <w:rsid w:val="0080050C"/>
    <w:rsid w:val="0080055C"/>
    <w:rsid w:val="008009CF"/>
    <w:rsid w:val="008016FD"/>
    <w:rsid w:val="00801BAB"/>
    <w:rsid w:val="0080491D"/>
    <w:rsid w:val="00804F71"/>
    <w:rsid w:val="00805AE6"/>
    <w:rsid w:val="00806074"/>
    <w:rsid w:val="00806157"/>
    <w:rsid w:val="0080621F"/>
    <w:rsid w:val="00806AEB"/>
    <w:rsid w:val="0080704D"/>
    <w:rsid w:val="00807222"/>
    <w:rsid w:val="0081023B"/>
    <w:rsid w:val="00810C36"/>
    <w:rsid w:val="00810C60"/>
    <w:rsid w:val="00810D9A"/>
    <w:rsid w:val="008117F0"/>
    <w:rsid w:val="00811846"/>
    <w:rsid w:val="00811CB0"/>
    <w:rsid w:val="00812333"/>
    <w:rsid w:val="00813629"/>
    <w:rsid w:val="00814C66"/>
    <w:rsid w:val="00814F32"/>
    <w:rsid w:val="0081550F"/>
    <w:rsid w:val="008157B9"/>
    <w:rsid w:val="00816299"/>
    <w:rsid w:val="00817090"/>
    <w:rsid w:val="00817523"/>
    <w:rsid w:val="0082113C"/>
    <w:rsid w:val="00821332"/>
    <w:rsid w:val="008225EA"/>
    <w:rsid w:val="008226F4"/>
    <w:rsid w:val="00822FD3"/>
    <w:rsid w:val="008236CA"/>
    <w:rsid w:val="00823F06"/>
    <w:rsid w:val="008249CB"/>
    <w:rsid w:val="00824B34"/>
    <w:rsid w:val="0082603E"/>
    <w:rsid w:val="00826DC8"/>
    <w:rsid w:val="00827E0D"/>
    <w:rsid w:val="00830147"/>
    <w:rsid w:val="00830FCE"/>
    <w:rsid w:val="008321D7"/>
    <w:rsid w:val="008324CC"/>
    <w:rsid w:val="008327DE"/>
    <w:rsid w:val="00832ECE"/>
    <w:rsid w:val="008335A3"/>
    <w:rsid w:val="00833880"/>
    <w:rsid w:val="00833E67"/>
    <w:rsid w:val="00836170"/>
    <w:rsid w:val="008361BF"/>
    <w:rsid w:val="00836443"/>
    <w:rsid w:val="008429A1"/>
    <w:rsid w:val="00843449"/>
    <w:rsid w:val="00844602"/>
    <w:rsid w:val="008453C4"/>
    <w:rsid w:val="00845EB3"/>
    <w:rsid w:val="008466AF"/>
    <w:rsid w:val="008467BA"/>
    <w:rsid w:val="00847242"/>
    <w:rsid w:val="00847380"/>
    <w:rsid w:val="008475C0"/>
    <w:rsid w:val="0084764C"/>
    <w:rsid w:val="00850A87"/>
    <w:rsid w:val="008515FF"/>
    <w:rsid w:val="008518E7"/>
    <w:rsid w:val="00851A52"/>
    <w:rsid w:val="00851C8F"/>
    <w:rsid w:val="00851E8C"/>
    <w:rsid w:val="008538ED"/>
    <w:rsid w:val="00855F26"/>
    <w:rsid w:val="0085655E"/>
    <w:rsid w:val="0085677D"/>
    <w:rsid w:val="00860AB4"/>
    <w:rsid w:val="00862392"/>
    <w:rsid w:val="0086281C"/>
    <w:rsid w:val="00862CBD"/>
    <w:rsid w:val="00862DEC"/>
    <w:rsid w:val="008638A1"/>
    <w:rsid w:val="00865528"/>
    <w:rsid w:val="00866551"/>
    <w:rsid w:val="008668D1"/>
    <w:rsid w:val="00866FB6"/>
    <w:rsid w:val="00866FDA"/>
    <w:rsid w:val="0086794B"/>
    <w:rsid w:val="00871FD1"/>
    <w:rsid w:val="00872A60"/>
    <w:rsid w:val="00872ED6"/>
    <w:rsid w:val="008732C6"/>
    <w:rsid w:val="00873FEC"/>
    <w:rsid w:val="0087497D"/>
    <w:rsid w:val="00874B6B"/>
    <w:rsid w:val="00875355"/>
    <w:rsid w:val="00875ACD"/>
    <w:rsid w:val="00875E27"/>
    <w:rsid w:val="008761F3"/>
    <w:rsid w:val="008763AB"/>
    <w:rsid w:val="00876ABB"/>
    <w:rsid w:val="00877393"/>
    <w:rsid w:val="00881A14"/>
    <w:rsid w:val="00882BB1"/>
    <w:rsid w:val="008834AE"/>
    <w:rsid w:val="00883888"/>
    <w:rsid w:val="0088495F"/>
    <w:rsid w:val="00885B71"/>
    <w:rsid w:val="00885C6D"/>
    <w:rsid w:val="00885E71"/>
    <w:rsid w:val="00885EA2"/>
    <w:rsid w:val="0088674B"/>
    <w:rsid w:val="008872D0"/>
    <w:rsid w:val="00887451"/>
    <w:rsid w:val="0089074F"/>
    <w:rsid w:val="00891200"/>
    <w:rsid w:val="0089148D"/>
    <w:rsid w:val="00891768"/>
    <w:rsid w:val="00891BEE"/>
    <w:rsid w:val="00892102"/>
    <w:rsid w:val="00892127"/>
    <w:rsid w:val="008928F8"/>
    <w:rsid w:val="00892B18"/>
    <w:rsid w:val="00893D49"/>
    <w:rsid w:val="00895041"/>
    <w:rsid w:val="0089543D"/>
    <w:rsid w:val="00896281"/>
    <w:rsid w:val="0089744D"/>
    <w:rsid w:val="008A0199"/>
    <w:rsid w:val="008A0CBF"/>
    <w:rsid w:val="008A1318"/>
    <w:rsid w:val="008A1863"/>
    <w:rsid w:val="008A1D1D"/>
    <w:rsid w:val="008A3E02"/>
    <w:rsid w:val="008A486F"/>
    <w:rsid w:val="008A4C46"/>
    <w:rsid w:val="008A57D8"/>
    <w:rsid w:val="008A6435"/>
    <w:rsid w:val="008A704B"/>
    <w:rsid w:val="008A74A9"/>
    <w:rsid w:val="008B18B1"/>
    <w:rsid w:val="008B1E39"/>
    <w:rsid w:val="008B2175"/>
    <w:rsid w:val="008B2632"/>
    <w:rsid w:val="008B3692"/>
    <w:rsid w:val="008B3842"/>
    <w:rsid w:val="008B399B"/>
    <w:rsid w:val="008B3A68"/>
    <w:rsid w:val="008B3A79"/>
    <w:rsid w:val="008B52AC"/>
    <w:rsid w:val="008B5A68"/>
    <w:rsid w:val="008B6279"/>
    <w:rsid w:val="008B6ABD"/>
    <w:rsid w:val="008B6C9B"/>
    <w:rsid w:val="008B6E34"/>
    <w:rsid w:val="008B73A7"/>
    <w:rsid w:val="008B7814"/>
    <w:rsid w:val="008B7882"/>
    <w:rsid w:val="008B7A2C"/>
    <w:rsid w:val="008B7A91"/>
    <w:rsid w:val="008C1471"/>
    <w:rsid w:val="008C14AB"/>
    <w:rsid w:val="008C1577"/>
    <w:rsid w:val="008C15F8"/>
    <w:rsid w:val="008C1DAE"/>
    <w:rsid w:val="008C2491"/>
    <w:rsid w:val="008C29A1"/>
    <w:rsid w:val="008C3DA1"/>
    <w:rsid w:val="008C3E9A"/>
    <w:rsid w:val="008C4C2C"/>
    <w:rsid w:val="008C5DC5"/>
    <w:rsid w:val="008C5EDF"/>
    <w:rsid w:val="008C69B8"/>
    <w:rsid w:val="008C7053"/>
    <w:rsid w:val="008C759F"/>
    <w:rsid w:val="008D0301"/>
    <w:rsid w:val="008D05CA"/>
    <w:rsid w:val="008D06F6"/>
    <w:rsid w:val="008D27EF"/>
    <w:rsid w:val="008D2A4A"/>
    <w:rsid w:val="008D2E97"/>
    <w:rsid w:val="008D2EF8"/>
    <w:rsid w:val="008D306D"/>
    <w:rsid w:val="008D30EB"/>
    <w:rsid w:val="008D364B"/>
    <w:rsid w:val="008D3D82"/>
    <w:rsid w:val="008D44F9"/>
    <w:rsid w:val="008D45E5"/>
    <w:rsid w:val="008D55A5"/>
    <w:rsid w:val="008D59C0"/>
    <w:rsid w:val="008D59EA"/>
    <w:rsid w:val="008D73FE"/>
    <w:rsid w:val="008D7BCD"/>
    <w:rsid w:val="008D7E01"/>
    <w:rsid w:val="008E02AB"/>
    <w:rsid w:val="008E0389"/>
    <w:rsid w:val="008E211F"/>
    <w:rsid w:val="008E32A6"/>
    <w:rsid w:val="008E3375"/>
    <w:rsid w:val="008E3463"/>
    <w:rsid w:val="008E3CB1"/>
    <w:rsid w:val="008E4A08"/>
    <w:rsid w:val="008E4DC9"/>
    <w:rsid w:val="008E5596"/>
    <w:rsid w:val="008E5CBC"/>
    <w:rsid w:val="008E603A"/>
    <w:rsid w:val="008E65E1"/>
    <w:rsid w:val="008E69B7"/>
    <w:rsid w:val="008E75C7"/>
    <w:rsid w:val="008E766D"/>
    <w:rsid w:val="008F0B71"/>
    <w:rsid w:val="008F16A5"/>
    <w:rsid w:val="008F1CD8"/>
    <w:rsid w:val="008F1E05"/>
    <w:rsid w:val="008F2923"/>
    <w:rsid w:val="008F2CCB"/>
    <w:rsid w:val="008F3AE9"/>
    <w:rsid w:val="008F3B7C"/>
    <w:rsid w:val="008F3D08"/>
    <w:rsid w:val="008F48CD"/>
    <w:rsid w:val="008F50D9"/>
    <w:rsid w:val="008F54D0"/>
    <w:rsid w:val="008F580F"/>
    <w:rsid w:val="008F5CFD"/>
    <w:rsid w:val="008F64E2"/>
    <w:rsid w:val="008F6B1D"/>
    <w:rsid w:val="008F75F7"/>
    <w:rsid w:val="008F768F"/>
    <w:rsid w:val="008F7AD0"/>
    <w:rsid w:val="008F7B00"/>
    <w:rsid w:val="00900616"/>
    <w:rsid w:val="00901B41"/>
    <w:rsid w:val="009032B7"/>
    <w:rsid w:val="00904257"/>
    <w:rsid w:val="00904272"/>
    <w:rsid w:val="0090508D"/>
    <w:rsid w:val="00905204"/>
    <w:rsid w:val="00906C11"/>
    <w:rsid w:val="00907374"/>
    <w:rsid w:val="00907E1C"/>
    <w:rsid w:val="0091230A"/>
    <w:rsid w:val="0091274B"/>
    <w:rsid w:val="009134A4"/>
    <w:rsid w:val="00913908"/>
    <w:rsid w:val="00915564"/>
    <w:rsid w:val="00917E47"/>
    <w:rsid w:val="0092079D"/>
    <w:rsid w:val="00920F54"/>
    <w:rsid w:val="00920F7F"/>
    <w:rsid w:val="0092141D"/>
    <w:rsid w:val="009214D1"/>
    <w:rsid w:val="00922D76"/>
    <w:rsid w:val="00923CE8"/>
    <w:rsid w:val="00924242"/>
    <w:rsid w:val="0092436A"/>
    <w:rsid w:val="00924CCF"/>
    <w:rsid w:val="00925619"/>
    <w:rsid w:val="00926487"/>
    <w:rsid w:val="00926ABC"/>
    <w:rsid w:val="009305AC"/>
    <w:rsid w:val="009308B1"/>
    <w:rsid w:val="00930A3C"/>
    <w:rsid w:val="0093120E"/>
    <w:rsid w:val="0093288C"/>
    <w:rsid w:val="00933359"/>
    <w:rsid w:val="009340B1"/>
    <w:rsid w:val="009343F7"/>
    <w:rsid w:val="009350D0"/>
    <w:rsid w:val="00935123"/>
    <w:rsid w:val="009351A2"/>
    <w:rsid w:val="009356C2"/>
    <w:rsid w:val="0093596B"/>
    <w:rsid w:val="00935AF7"/>
    <w:rsid w:val="00936354"/>
    <w:rsid w:val="00936F71"/>
    <w:rsid w:val="009370B2"/>
    <w:rsid w:val="009372B9"/>
    <w:rsid w:val="00937C7D"/>
    <w:rsid w:val="0094190D"/>
    <w:rsid w:val="009419AD"/>
    <w:rsid w:val="00941A77"/>
    <w:rsid w:val="0094316B"/>
    <w:rsid w:val="00944A81"/>
    <w:rsid w:val="00945D2C"/>
    <w:rsid w:val="009460CC"/>
    <w:rsid w:val="0094629D"/>
    <w:rsid w:val="009475C4"/>
    <w:rsid w:val="0095046B"/>
    <w:rsid w:val="0095058B"/>
    <w:rsid w:val="009509EA"/>
    <w:rsid w:val="00950D12"/>
    <w:rsid w:val="00951CC9"/>
    <w:rsid w:val="00951DD8"/>
    <w:rsid w:val="009524CB"/>
    <w:rsid w:val="00953782"/>
    <w:rsid w:val="009541F6"/>
    <w:rsid w:val="00954B0B"/>
    <w:rsid w:val="00954B68"/>
    <w:rsid w:val="00954F58"/>
    <w:rsid w:val="00955AD7"/>
    <w:rsid w:val="00956973"/>
    <w:rsid w:val="00956A1D"/>
    <w:rsid w:val="00956E40"/>
    <w:rsid w:val="00956ECE"/>
    <w:rsid w:val="009572F3"/>
    <w:rsid w:val="009578E3"/>
    <w:rsid w:val="009605FB"/>
    <w:rsid w:val="00960AAB"/>
    <w:rsid w:val="00960EEC"/>
    <w:rsid w:val="00960FB2"/>
    <w:rsid w:val="009615DF"/>
    <w:rsid w:val="00963C84"/>
    <w:rsid w:val="009642CB"/>
    <w:rsid w:val="009648CB"/>
    <w:rsid w:val="009649DD"/>
    <w:rsid w:val="009660B4"/>
    <w:rsid w:val="00967073"/>
    <w:rsid w:val="009678B8"/>
    <w:rsid w:val="009707CB"/>
    <w:rsid w:val="00970CC9"/>
    <w:rsid w:val="009714E4"/>
    <w:rsid w:val="00971BC4"/>
    <w:rsid w:val="00974549"/>
    <w:rsid w:val="009745D9"/>
    <w:rsid w:val="00975724"/>
    <w:rsid w:val="009766F9"/>
    <w:rsid w:val="00976B21"/>
    <w:rsid w:val="00976EF3"/>
    <w:rsid w:val="00976F38"/>
    <w:rsid w:val="00977B7D"/>
    <w:rsid w:val="0098009C"/>
    <w:rsid w:val="009805B6"/>
    <w:rsid w:val="00980A71"/>
    <w:rsid w:val="009819EC"/>
    <w:rsid w:val="00982077"/>
    <w:rsid w:val="00982539"/>
    <w:rsid w:val="00982CD9"/>
    <w:rsid w:val="00983EA3"/>
    <w:rsid w:val="0098529C"/>
    <w:rsid w:val="009858F0"/>
    <w:rsid w:val="00985D60"/>
    <w:rsid w:val="00986283"/>
    <w:rsid w:val="0098696F"/>
    <w:rsid w:val="00986C0D"/>
    <w:rsid w:val="00987259"/>
    <w:rsid w:val="0098756D"/>
    <w:rsid w:val="00987A03"/>
    <w:rsid w:val="00987B3E"/>
    <w:rsid w:val="00990A7E"/>
    <w:rsid w:val="00990C3C"/>
    <w:rsid w:val="009912AE"/>
    <w:rsid w:val="00992948"/>
    <w:rsid w:val="00994E84"/>
    <w:rsid w:val="00995976"/>
    <w:rsid w:val="009959CE"/>
    <w:rsid w:val="00995B96"/>
    <w:rsid w:val="009966CF"/>
    <w:rsid w:val="009A12C3"/>
    <w:rsid w:val="009A2076"/>
    <w:rsid w:val="009A241F"/>
    <w:rsid w:val="009A288D"/>
    <w:rsid w:val="009A291A"/>
    <w:rsid w:val="009A3842"/>
    <w:rsid w:val="009A3FB4"/>
    <w:rsid w:val="009A4A9A"/>
    <w:rsid w:val="009A5075"/>
    <w:rsid w:val="009A64EF"/>
    <w:rsid w:val="009A6510"/>
    <w:rsid w:val="009A6661"/>
    <w:rsid w:val="009A685A"/>
    <w:rsid w:val="009A7F75"/>
    <w:rsid w:val="009B00AF"/>
    <w:rsid w:val="009B1F8B"/>
    <w:rsid w:val="009B21F9"/>
    <w:rsid w:val="009B2987"/>
    <w:rsid w:val="009B2D79"/>
    <w:rsid w:val="009B3E3E"/>
    <w:rsid w:val="009B4AD9"/>
    <w:rsid w:val="009B4FF2"/>
    <w:rsid w:val="009B652F"/>
    <w:rsid w:val="009B6850"/>
    <w:rsid w:val="009B7112"/>
    <w:rsid w:val="009B7DB7"/>
    <w:rsid w:val="009C08AD"/>
    <w:rsid w:val="009C10F8"/>
    <w:rsid w:val="009C12BB"/>
    <w:rsid w:val="009C18BF"/>
    <w:rsid w:val="009C1D6E"/>
    <w:rsid w:val="009C1F46"/>
    <w:rsid w:val="009C2196"/>
    <w:rsid w:val="009C2365"/>
    <w:rsid w:val="009C496F"/>
    <w:rsid w:val="009C4EFB"/>
    <w:rsid w:val="009C55E6"/>
    <w:rsid w:val="009C5A66"/>
    <w:rsid w:val="009C5B7C"/>
    <w:rsid w:val="009C5DFA"/>
    <w:rsid w:val="009C66AB"/>
    <w:rsid w:val="009C7205"/>
    <w:rsid w:val="009C7595"/>
    <w:rsid w:val="009C7C8B"/>
    <w:rsid w:val="009D00EE"/>
    <w:rsid w:val="009D274C"/>
    <w:rsid w:val="009D27E9"/>
    <w:rsid w:val="009D3C1E"/>
    <w:rsid w:val="009D404B"/>
    <w:rsid w:val="009D4326"/>
    <w:rsid w:val="009D630C"/>
    <w:rsid w:val="009D6531"/>
    <w:rsid w:val="009D781D"/>
    <w:rsid w:val="009E0B3D"/>
    <w:rsid w:val="009E1174"/>
    <w:rsid w:val="009E1B57"/>
    <w:rsid w:val="009E2F33"/>
    <w:rsid w:val="009E3492"/>
    <w:rsid w:val="009E4D81"/>
    <w:rsid w:val="009E5407"/>
    <w:rsid w:val="009E552D"/>
    <w:rsid w:val="009E6001"/>
    <w:rsid w:val="009E766A"/>
    <w:rsid w:val="009E7A0A"/>
    <w:rsid w:val="009E7FB4"/>
    <w:rsid w:val="009F0F56"/>
    <w:rsid w:val="009F1D02"/>
    <w:rsid w:val="009F2377"/>
    <w:rsid w:val="009F374D"/>
    <w:rsid w:val="009F43E6"/>
    <w:rsid w:val="009F4D42"/>
    <w:rsid w:val="009F6033"/>
    <w:rsid w:val="009F6BF7"/>
    <w:rsid w:val="009F6FA6"/>
    <w:rsid w:val="009F756D"/>
    <w:rsid w:val="009F7E55"/>
    <w:rsid w:val="00A007CE"/>
    <w:rsid w:val="00A009C8"/>
    <w:rsid w:val="00A01C42"/>
    <w:rsid w:val="00A02098"/>
    <w:rsid w:val="00A039DB"/>
    <w:rsid w:val="00A03F69"/>
    <w:rsid w:val="00A04601"/>
    <w:rsid w:val="00A07422"/>
    <w:rsid w:val="00A10079"/>
    <w:rsid w:val="00A11A30"/>
    <w:rsid w:val="00A1346E"/>
    <w:rsid w:val="00A142E1"/>
    <w:rsid w:val="00A14D73"/>
    <w:rsid w:val="00A153E0"/>
    <w:rsid w:val="00A15E9E"/>
    <w:rsid w:val="00A16231"/>
    <w:rsid w:val="00A2033A"/>
    <w:rsid w:val="00A20991"/>
    <w:rsid w:val="00A21500"/>
    <w:rsid w:val="00A2177F"/>
    <w:rsid w:val="00A234EA"/>
    <w:rsid w:val="00A23FC6"/>
    <w:rsid w:val="00A247D3"/>
    <w:rsid w:val="00A25742"/>
    <w:rsid w:val="00A25810"/>
    <w:rsid w:val="00A25948"/>
    <w:rsid w:val="00A262BB"/>
    <w:rsid w:val="00A27290"/>
    <w:rsid w:val="00A2738B"/>
    <w:rsid w:val="00A30ABE"/>
    <w:rsid w:val="00A322FF"/>
    <w:rsid w:val="00A32ACC"/>
    <w:rsid w:val="00A32C83"/>
    <w:rsid w:val="00A32DB2"/>
    <w:rsid w:val="00A33C4E"/>
    <w:rsid w:val="00A34948"/>
    <w:rsid w:val="00A3551F"/>
    <w:rsid w:val="00A35586"/>
    <w:rsid w:val="00A36A3C"/>
    <w:rsid w:val="00A36E4F"/>
    <w:rsid w:val="00A36EFB"/>
    <w:rsid w:val="00A4007C"/>
    <w:rsid w:val="00A40184"/>
    <w:rsid w:val="00A40600"/>
    <w:rsid w:val="00A40B0B"/>
    <w:rsid w:val="00A4377A"/>
    <w:rsid w:val="00A4399C"/>
    <w:rsid w:val="00A43C42"/>
    <w:rsid w:val="00A44B16"/>
    <w:rsid w:val="00A47416"/>
    <w:rsid w:val="00A47AF7"/>
    <w:rsid w:val="00A50117"/>
    <w:rsid w:val="00A5079F"/>
    <w:rsid w:val="00A50B1F"/>
    <w:rsid w:val="00A519B1"/>
    <w:rsid w:val="00A5269F"/>
    <w:rsid w:val="00A5536A"/>
    <w:rsid w:val="00A57569"/>
    <w:rsid w:val="00A57909"/>
    <w:rsid w:val="00A60000"/>
    <w:rsid w:val="00A61B96"/>
    <w:rsid w:val="00A621AF"/>
    <w:rsid w:val="00A629BD"/>
    <w:rsid w:val="00A63BE7"/>
    <w:rsid w:val="00A675D4"/>
    <w:rsid w:val="00A709FC"/>
    <w:rsid w:val="00A70FF9"/>
    <w:rsid w:val="00A71137"/>
    <w:rsid w:val="00A72D23"/>
    <w:rsid w:val="00A75B48"/>
    <w:rsid w:val="00A764A2"/>
    <w:rsid w:val="00A764C4"/>
    <w:rsid w:val="00A7710F"/>
    <w:rsid w:val="00A771CA"/>
    <w:rsid w:val="00A77209"/>
    <w:rsid w:val="00A774C0"/>
    <w:rsid w:val="00A7755F"/>
    <w:rsid w:val="00A77D95"/>
    <w:rsid w:val="00A77EFC"/>
    <w:rsid w:val="00A818D8"/>
    <w:rsid w:val="00A81DA7"/>
    <w:rsid w:val="00A81F60"/>
    <w:rsid w:val="00A827BB"/>
    <w:rsid w:val="00A83030"/>
    <w:rsid w:val="00A84D01"/>
    <w:rsid w:val="00A85FFD"/>
    <w:rsid w:val="00A86108"/>
    <w:rsid w:val="00A90EE0"/>
    <w:rsid w:val="00A9168E"/>
    <w:rsid w:val="00A918D6"/>
    <w:rsid w:val="00A91AE3"/>
    <w:rsid w:val="00A92261"/>
    <w:rsid w:val="00A92DD0"/>
    <w:rsid w:val="00A931F0"/>
    <w:rsid w:val="00A94818"/>
    <w:rsid w:val="00A95794"/>
    <w:rsid w:val="00A968CE"/>
    <w:rsid w:val="00A970EA"/>
    <w:rsid w:val="00A97478"/>
    <w:rsid w:val="00A97882"/>
    <w:rsid w:val="00AA04B1"/>
    <w:rsid w:val="00AA0960"/>
    <w:rsid w:val="00AA2820"/>
    <w:rsid w:val="00AA2B1F"/>
    <w:rsid w:val="00AA37E3"/>
    <w:rsid w:val="00AA503C"/>
    <w:rsid w:val="00AA5068"/>
    <w:rsid w:val="00AA5588"/>
    <w:rsid w:val="00AA5952"/>
    <w:rsid w:val="00AA6393"/>
    <w:rsid w:val="00AB02A7"/>
    <w:rsid w:val="00AB0380"/>
    <w:rsid w:val="00AB0B25"/>
    <w:rsid w:val="00AB0EDB"/>
    <w:rsid w:val="00AB1F24"/>
    <w:rsid w:val="00AB2C4B"/>
    <w:rsid w:val="00AB2D31"/>
    <w:rsid w:val="00AB35B6"/>
    <w:rsid w:val="00AB490E"/>
    <w:rsid w:val="00AB4C77"/>
    <w:rsid w:val="00AB4D85"/>
    <w:rsid w:val="00AB4FDD"/>
    <w:rsid w:val="00AB553B"/>
    <w:rsid w:val="00AB5D1A"/>
    <w:rsid w:val="00AB6C90"/>
    <w:rsid w:val="00AB7DD4"/>
    <w:rsid w:val="00AB7ED9"/>
    <w:rsid w:val="00AC29EC"/>
    <w:rsid w:val="00AC33B4"/>
    <w:rsid w:val="00AC4106"/>
    <w:rsid w:val="00AC42EF"/>
    <w:rsid w:val="00AC46F2"/>
    <w:rsid w:val="00AC6BE7"/>
    <w:rsid w:val="00AC6E80"/>
    <w:rsid w:val="00AC6F41"/>
    <w:rsid w:val="00AC7789"/>
    <w:rsid w:val="00AD0A3A"/>
    <w:rsid w:val="00AD210D"/>
    <w:rsid w:val="00AD31CA"/>
    <w:rsid w:val="00AD32A8"/>
    <w:rsid w:val="00AD3411"/>
    <w:rsid w:val="00AD39AF"/>
    <w:rsid w:val="00AD3C10"/>
    <w:rsid w:val="00AD5290"/>
    <w:rsid w:val="00AE0128"/>
    <w:rsid w:val="00AE1C90"/>
    <w:rsid w:val="00AE22F4"/>
    <w:rsid w:val="00AE2E1D"/>
    <w:rsid w:val="00AE3354"/>
    <w:rsid w:val="00AE3999"/>
    <w:rsid w:val="00AE4DFB"/>
    <w:rsid w:val="00AE517F"/>
    <w:rsid w:val="00AE5B06"/>
    <w:rsid w:val="00AE6160"/>
    <w:rsid w:val="00AE7E7C"/>
    <w:rsid w:val="00AF04F5"/>
    <w:rsid w:val="00AF0C76"/>
    <w:rsid w:val="00AF14EB"/>
    <w:rsid w:val="00AF155C"/>
    <w:rsid w:val="00AF15AB"/>
    <w:rsid w:val="00AF28E1"/>
    <w:rsid w:val="00AF3B9E"/>
    <w:rsid w:val="00AF50B7"/>
    <w:rsid w:val="00AF5513"/>
    <w:rsid w:val="00AF5A43"/>
    <w:rsid w:val="00AF5A5B"/>
    <w:rsid w:val="00AF5EB2"/>
    <w:rsid w:val="00AF6337"/>
    <w:rsid w:val="00AF6765"/>
    <w:rsid w:val="00AF69E4"/>
    <w:rsid w:val="00AF72D7"/>
    <w:rsid w:val="00AF74C4"/>
    <w:rsid w:val="00AF77ED"/>
    <w:rsid w:val="00AF7C9C"/>
    <w:rsid w:val="00B00814"/>
    <w:rsid w:val="00B00ADD"/>
    <w:rsid w:val="00B00E4B"/>
    <w:rsid w:val="00B023CA"/>
    <w:rsid w:val="00B03475"/>
    <w:rsid w:val="00B03785"/>
    <w:rsid w:val="00B04048"/>
    <w:rsid w:val="00B057E3"/>
    <w:rsid w:val="00B065BA"/>
    <w:rsid w:val="00B06AFC"/>
    <w:rsid w:val="00B07AC2"/>
    <w:rsid w:val="00B11878"/>
    <w:rsid w:val="00B11FFE"/>
    <w:rsid w:val="00B12EA1"/>
    <w:rsid w:val="00B1335F"/>
    <w:rsid w:val="00B13407"/>
    <w:rsid w:val="00B13EDF"/>
    <w:rsid w:val="00B14FC3"/>
    <w:rsid w:val="00B1514B"/>
    <w:rsid w:val="00B15266"/>
    <w:rsid w:val="00B158CC"/>
    <w:rsid w:val="00B16331"/>
    <w:rsid w:val="00B20BD7"/>
    <w:rsid w:val="00B2252D"/>
    <w:rsid w:val="00B2383C"/>
    <w:rsid w:val="00B23964"/>
    <w:rsid w:val="00B26994"/>
    <w:rsid w:val="00B26F4A"/>
    <w:rsid w:val="00B30839"/>
    <w:rsid w:val="00B3130C"/>
    <w:rsid w:val="00B3157B"/>
    <w:rsid w:val="00B31926"/>
    <w:rsid w:val="00B321B7"/>
    <w:rsid w:val="00B326F3"/>
    <w:rsid w:val="00B32CBA"/>
    <w:rsid w:val="00B33189"/>
    <w:rsid w:val="00B3431C"/>
    <w:rsid w:val="00B343B7"/>
    <w:rsid w:val="00B343E9"/>
    <w:rsid w:val="00B3440A"/>
    <w:rsid w:val="00B34D57"/>
    <w:rsid w:val="00B352A7"/>
    <w:rsid w:val="00B35E52"/>
    <w:rsid w:val="00B4127C"/>
    <w:rsid w:val="00B42085"/>
    <w:rsid w:val="00B422EC"/>
    <w:rsid w:val="00B42336"/>
    <w:rsid w:val="00B42554"/>
    <w:rsid w:val="00B431DC"/>
    <w:rsid w:val="00B43502"/>
    <w:rsid w:val="00B4427E"/>
    <w:rsid w:val="00B4441B"/>
    <w:rsid w:val="00B44471"/>
    <w:rsid w:val="00B44C06"/>
    <w:rsid w:val="00B45A1C"/>
    <w:rsid w:val="00B46476"/>
    <w:rsid w:val="00B466C2"/>
    <w:rsid w:val="00B4676C"/>
    <w:rsid w:val="00B46AD1"/>
    <w:rsid w:val="00B47540"/>
    <w:rsid w:val="00B47546"/>
    <w:rsid w:val="00B47D19"/>
    <w:rsid w:val="00B47D5C"/>
    <w:rsid w:val="00B50029"/>
    <w:rsid w:val="00B502B4"/>
    <w:rsid w:val="00B509F2"/>
    <w:rsid w:val="00B50D96"/>
    <w:rsid w:val="00B50DBC"/>
    <w:rsid w:val="00B51989"/>
    <w:rsid w:val="00B51A6C"/>
    <w:rsid w:val="00B51D78"/>
    <w:rsid w:val="00B528F3"/>
    <w:rsid w:val="00B53081"/>
    <w:rsid w:val="00B54D5C"/>
    <w:rsid w:val="00B55F1E"/>
    <w:rsid w:val="00B56289"/>
    <w:rsid w:val="00B5717E"/>
    <w:rsid w:val="00B60ABF"/>
    <w:rsid w:val="00B610E9"/>
    <w:rsid w:val="00B61212"/>
    <w:rsid w:val="00B6372D"/>
    <w:rsid w:val="00B6407F"/>
    <w:rsid w:val="00B64466"/>
    <w:rsid w:val="00B6458B"/>
    <w:rsid w:val="00B651EC"/>
    <w:rsid w:val="00B65C8B"/>
    <w:rsid w:val="00B65F68"/>
    <w:rsid w:val="00B66262"/>
    <w:rsid w:val="00B669C6"/>
    <w:rsid w:val="00B67CAB"/>
    <w:rsid w:val="00B7036B"/>
    <w:rsid w:val="00B70CDA"/>
    <w:rsid w:val="00B7163D"/>
    <w:rsid w:val="00B71648"/>
    <w:rsid w:val="00B718BD"/>
    <w:rsid w:val="00B7227D"/>
    <w:rsid w:val="00B7320E"/>
    <w:rsid w:val="00B73514"/>
    <w:rsid w:val="00B73E2B"/>
    <w:rsid w:val="00B754BB"/>
    <w:rsid w:val="00B75D1D"/>
    <w:rsid w:val="00B771CD"/>
    <w:rsid w:val="00B77DC1"/>
    <w:rsid w:val="00B80F6A"/>
    <w:rsid w:val="00B81275"/>
    <w:rsid w:val="00B821A4"/>
    <w:rsid w:val="00B825C0"/>
    <w:rsid w:val="00B82C21"/>
    <w:rsid w:val="00B8319E"/>
    <w:rsid w:val="00B838B3"/>
    <w:rsid w:val="00B84355"/>
    <w:rsid w:val="00B85B34"/>
    <w:rsid w:val="00B85F80"/>
    <w:rsid w:val="00B85FD1"/>
    <w:rsid w:val="00B86264"/>
    <w:rsid w:val="00B86ACF"/>
    <w:rsid w:val="00B877EE"/>
    <w:rsid w:val="00B879B4"/>
    <w:rsid w:val="00B87C90"/>
    <w:rsid w:val="00B909BA"/>
    <w:rsid w:val="00B91547"/>
    <w:rsid w:val="00B920ED"/>
    <w:rsid w:val="00B932A4"/>
    <w:rsid w:val="00B9396C"/>
    <w:rsid w:val="00B93C1A"/>
    <w:rsid w:val="00B93C6A"/>
    <w:rsid w:val="00B9494B"/>
    <w:rsid w:val="00B94A6A"/>
    <w:rsid w:val="00B95991"/>
    <w:rsid w:val="00B96AF0"/>
    <w:rsid w:val="00B97E8C"/>
    <w:rsid w:val="00BA0707"/>
    <w:rsid w:val="00BA0BC7"/>
    <w:rsid w:val="00BA1B78"/>
    <w:rsid w:val="00BA1DA0"/>
    <w:rsid w:val="00BA1DB7"/>
    <w:rsid w:val="00BA1DE4"/>
    <w:rsid w:val="00BA2001"/>
    <w:rsid w:val="00BA28DA"/>
    <w:rsid w:val="00BA2DE3"/>
    <w:rsid w:val="00BA36C4"/>
    <w:rsid w:val="00BA3724"/>
    <w:rsid w:val="00BA377E"/>
    <w:rsid w:val="00BA3AD0"/>
    <w:rsid w:val="00BA3E3F"/>
    <w:rsid w:val="00BA42C6"/>
    <w:rsid w:val="00BA438C"/>
    <w:rsid w:val="00BA4C45"/>
    <w:rsid w:val="00BA4D85"/>
    <w:rsid w:val="00BA52C5"/>
    <w:rsid w:val="00BA61B5"/>
    <w:rsid w:val="00BA71D7"/>
    <w:rsid w:val="00BA7AB7"/>
    <w:rsid w:val="00BA7EAB"/>
    <w:rsid w:val="00BA7F07"/>
    <w:rsid w:val="00BB1082"/>
    <w:rsid w:val="00BB156F"/>
    <w:rsid w:val="00BB17EF"/>
    <w:rsid w:val="00BB18CB"/>
    <w:rsid w:val="00BB194D"/>
    <w:rsid w:val="00BB276D"/>
    <w:rsid w:val="00BB2F72"/>
    <w:rsid w:val="00BB33F3"/>
    <w:rsid w:val="00BB38DC"/>
    <w:rsid w:val="00BB4A8F"/>
    <w:rsid w:val="00BB52D6"/>
    <w:rsid w:val="00BB5B17"/>
    <w:rsid w:val="00BB5F89"/>
    <w:rsid w:val="00BB71AC"/>
    <w:rsid w:val="00BB72CC"/>
    <w:rsid w:val="00BC01F7"/>
    <w:rsid w:val="00BC05A7"/>
    <w:rsid w:val="00BC0DC5"/>
    <w:rsid w:val="00BC1821"/>
    <w:rsid w:val="00BC1A02"/>
    <w:rsid w:val="00BC1AC7"/>
    <w:rsid w:val="00BC1B4B"/>
    <w:rsid w:val="00BC25CC"/>
    <w:rsid w:val="00BC294C"/>
    <w:rsid w:val="00BC3158"/>
    <w:rsid w:val="00BC3625"/>
    <w:rsid w:val="00BC368C"/>
    <w:rsid w:val="00BC4393"/>
    <w:rsid w:val="00BC7C99"/>
    <w:rsid w:val="00BD062C"/>
    <w:rsid w:val="00BD0A64"/>
    <w:rsid w:val="00BD10A0"/>
    <w:rsid w:val="00BD193D"/>
    <w:rsid w:val="00BD2501"/>
    <w:rsid w:val="00BD2AC2"/>
    <w:rsid w:val="00BD305C"/>
    <w:rsid w:val="00BD4E0F"/>
    <w:rsid w:val="00BD64D6"/>
    <w:rsid w:val="00BD741A"/>
    <w:rsid w:val="00BE0720"/>
    <w:rsid w:val="00BE0783"/>
    <w:rsid w:val="00BE0D94"/>
    <w:rsid w:val="00BE158E"/>
    <w:rsid w:val="00BE17AF"/>
    <w:rsid w:val="00BE2497"/>
    <w:rsid w:val="00BE28E4"/>
    <w:rsid w:val="00BE2D6E"/>
    <w:rsid w:val="00BE2FFD"/>
    <w:rsid w:val="00BE3800"/>
    <w:rsid w:val="00BE3FD7"/>
    <w:rsid w:val="00BE4485"/>
    <w:rsid w:val="00BE6C78"/>
    <w:rsid w:val="00BE7DF4"/>
    <w:rsid w:val="00BF0D32"/>
    <w:rsid w:val="00BF2A31"/>
    <w:rsid w:val="00BF3900"/>
    <w:rsid w:val="00BF3DC3"/>
    <w:rsid w:val="00BF417A"/>
    <w:rsid w:val="00BF425F"/>
    <w:rsid w:val="00BF5252"/>
    <w:rsid w:val="00BF5544"/>
    <w:rsid w:val="00BF5851"/>
    <w:rsid w:val="00BF5E65"/>
    <w:rsid w:val="00BF69C3"/>
    <w:rsid w:val="00BF7221"/>
    <w:rsid w:val="00BF7D1E"/>
    <w:rsid w:val="00C00298"/>
    <w:rsid w:val="00C015C0"/>
    <w:rsid w:val="00C015DA"/>
    <w:rsid w:val="00C02DEC"/>
    <w:rsid w:val="00C02ECE"/>
    <w:rsid w:val="00C0361E"/>
    <w:rsid w:val="00C04A7C"/>
    <w:rsid w:val="00C04BC9"/>
    <w:rsid w:val="00C05235"/>
    <w:rsid w:val="00C05EF6"/>
    <w:rsid w:val="00C07B39"/>
    <w:rsid w:val="00C10DE9"/>
    <w:rsid w:val="00C111EF"/>
    <w:rsid w:val="00C11B06"/>
    <w:rsid w:val="00C11C0B"/>
    <w:rsid w:val="00C12267"/>
    <w:rsid w:val="00C12D3C"/>
    <w:rsid w:val="00C12EF1"/>
    <w:rsid w:val="00C13316"/>
    <w:rsid w:val="00C13EA5"/>
    <w:rsid w:val="00C142A9"/>
    <w:rsid w:val="00C150A9"/>
    <w:rsid w:val="00C152F2"/>
    <w:rsid w:val="00C1582E"/>
    <w:rsid w:val="00C15BC4"/>
    <w:rsid w:val="00C15C8B"/>
    <w:rsid w:val="00C1665D"/>
    <w:rsid w:val="00C16824"/>
    <w:rsid w:val="00C169CA"/>
    <w:rsid w:val="00C17EBC"/>
    <w:rsid w:val="00C2006D"/>
    <w:rsid w:val="00C20E3E"/>
    <w:rsid w:val="00C21552"/>
    <w:rsid w:val="00C21974"/>
    <w:rsid w:val="00C21B4B"/>
    <w:rsid w:val="00C221DB"/>
    <w:rsid w:val="00C22937"/>
    <w:rsid w:val="00C23945"/>
    <w:rsid w:val="00C2457B"/>
    <w:rsid w:val="00C252A8"/>
    <w:rsid w:val="00C25EB5"/>
    <w:rsid w:val="00C265AC"/>
    <w:rsid w:val="00C270D2"/>
    <w:rsid w:val="00C30F12"/>
    <w:rsid w:val="00C3253A"/>
    <w:rsid w:val="00C32582"/>
    <w:rsid w:val="00C325D6"/>
    <w:rsid w:val="00C33A13"/>
    <w:rsid w:val="00C3515E"/>
    <w:rsid w:val="00C3540D"/>
    <w:rsid w:val="00C35AAD"/>
    <w:rsid w:val="00C3642C"/>
    <w:rsid w:val="00C373EF"/>
    <w:rsid w:val="00C379C0"/>
    <w:rsid w:val="00C401D7"/>
    <w:rsid w:val="00C40248"/>
    <w:rsid w:val="00C4068B"/>
    <w:rsid w:val="00C40894"/>
    <w:rsid w:val="00C40BB7"/>
    <w:rsid w:val="00C40DEC"/>
    <w:rsid w:val="00C4286B"/>
    <w:rsid w:val="00C45B85"/>
    <w:rsid w:val="00C46060"/>
    <w:rsid w:val="00C46891"/>
    <w:rsid w:val="00C501EF"/>
    <w:rsid w:val="00C5025E"/>
    <w:rsid w:val="00C5059F"/>
    <w:rsid w:val="00C51202"/>
    <w:rsid w:val="00C51502"/>
    <w:rsid w:val="00C51B0D"/>
    <w:rsid w:val="00C51CD1"/>
    <w:rsid w:val="00C52116"/>
    <w:rsid w:val="00C53418"/>
    <w:rsid w:val="00C5517C"/>
    <w:rsid w:val="00C55530"/>
    <w:rsid w:val="00C556B5"/>
    <w:rsid w:val="00C55805"/>
    <w:rsid w:val="00C56A1C"/>
    <w:rsid w:val="00C56F5B"/>
    <w:rsid w:val="00C57184"/>
    <w:rsid w:val="00C57AD9"/>
    <w:rsid w:val="00C57D39"/>
    <w:rsid w:val="00C57FB1"/>
    <w:rsid w:val="00C60D73"/>
    <w:rsid w:val="00C616A7"/>
    <w:rsid w:val="00C61F7C"/>
    <w:rsid w:val="00C62CBF"/>
    <w:rsid w:val="00C63C78"/>
    <w:rsid w:val="00C64492"/>
    <w:rsid w:val="00C66DC5"/>
    <w:rsid w:val="00C701EB"/>
    <w:rsid w:val="00C70F53"/>
    <w:rsid w:val="00C7114D"/>
    <w:rsid w:val="00C711B6"/>
    <w:rsid w:val="00C7309F"/>
    <w:rsid w:val="00C74318"/>
    <w:rsid w:val="00C748AC"/>
    <w:rsid w:val="00C74C63"/>
    <w:rsid w:val="00C75E6B"/>
    <w:rsid w:val="00C8015E"/>
    <w:rsid w:val="00C80528"/>
    <w:rsid w:val="00C81061"/>
    <w:rsid w:val="00C81D93"/>
    <w:rsid w:val="00C82DB2"/>
    <w:rsid w:val="00C83908"/>
    <w:rsid w:val="00C84294"/>
    <w:rsid w:val="00C8704D"/>
    <w:rsid w:val="00C90A86"/>
    <w:rsid w:val="00C91542"/>
    <w:rsid w:val="00C92D2F"/>
    <w:rsid w:val="00C93A75"/>
    <w:rsid w:val="00C94883"/>
    <w:rsid w:val="00CA088D"/>
    <w:rsid w:val="00CA5004"/>
    <w:rsid w:val="00CA5591"/>
    <w:rsid w:val="00CA6027"/>
    <w:rsid w:val="00CA6ED6"/>
    <w:rsid w:val="00CA710F"/>
    <w:rsid w:val="00CB00B5"/>
    <w:rsid w:val="00CB0959"/>
    <w:rsid w:val="00CB18B8"/>
    <w:rsid w:val="00CB1EE0"/>
    <w:rsid w:val="00CB26A3"/>
    <w:rsid w:val="00CB3590"/>
    <w:rsid w:val="00CB36D6"/>
    <w:rsid w:val="00CB3F87"/>
    <w:rsid w:val="00CB3F9E"/>
    <w:rsid w:val="00CB4246"/>
    <w:rsid w:val="00CB449B"/>
    <w:rsid w:val="00CB4AEC"/>
    <w:rsid w:val="00CB4E8A"/>
    <w:rsid w:val="00CB5449"/>
    <w:rsid w:val="00CB5611"/>
    <w:rsid w:val="00CB579A"/>
    <w:rsid w:val="00CB6B36"/>
    <w:rsid w:val="00CC2FF0"/>
    <w:rsid w:val="00CC37F5"/>
    <w:rsid w:val="00CC4310"/>
    <w:rsid w:val="00CC472B"/>
    <w:rsid w:val="00CC53B3"/>
    <w:rsid w:val="00CC54FC"/>
    <w:rsid w:val="00CC5991"/>
    <w:rsid w:val="00CC6B89"/>
    <w:rsid w:val="00CC6BBB"/>
    <w:rsid w:val="00CC6FE0"/>
    <w:rsid w:val="00CD0442"/>
    <w:rsid w:val="00CD098D"/>
    <w:rsid w:val="00CD1358"/>
    <w:rsid w:val="00CD1F05"/>
    <w:rsid w:val="00CD2287"/>
    <w:rsid w:val="00CD23B1"/>
    <w:rsid w:val="00CD313B"/>
    <w:rsid w:val="00CD3365"/>
    <w:rsid w:val="00CD360E"/>
    <w:rsid w:val="00CD398A"/>
    <w:rsid w:val="00CD512C"/>
    <w:rsid w:val="00CD675A"/>
    <w:rsid w:val="00CD6B05"/>
    <w:rsid w:val="00CD73AE"/>
    <w:rsid w:val="00CE05BF"/>
    <w:rsid w:val="00CE081B"/>
    <w:rsid w:val="00CE1CA3"/>
    <w:rsid w:val="00CE2D52"/>
    <w:rsid w:val="00CE3921"/>
    <w:rsid w:val="00CE4E15"/>
    <w:rsid w:val="00CE6686"/>
    <w:rsid w:val="00CE66CE"/>
    <w:rsid w:val="00CE6E18"/>
    <w:rsid w:val="00CF02FF"/>
    <w:rsid w:val="00CF05E2"/>
    <w:rsid w:val="00CF1033"/>
    <w:rsid w:val="00CF12A7"/>
    <w:rsid w:val="00CF1426"/>
    <w:rsid w:val="00CF18D3"/>
    <w:rsid w:val="00CF2E62"/>
    <w:rsid w:val="00CF318C"/>
    <w:rsid w:val="00CF320A"/>
    <w:rsid w:val="00CF4610"/>
    <w:rsid w:val="00CF464C"/>
    <w:rsid w:val="00CF4B56"/>
    <w:rsid w:val="00CF4FEB"/>
    <w:rsid w:val="00CF5E66"/>
    <w:rsid w:val="00CF753D"/>
    <w:rsid w:val="00CF7CC3"/>
    <w:rsid w:val="00D010FD"/>
    <w:rsid w:val="00D015D2"/>
    <w:rsid w:val="00D01602"/>
    <w:rsid w:val="00D01BE1"/>
    <w:rsid w:val="00D01D5D"/>
    <w:rsid w:val="00D02F17"/>
    <w:rsid w:val="00D0301D"/>
    <w:rsid w:val="00D0346B"/>
    <w:rsid w:val="00D034D5"/>
    <w:rsid w:val="00D03E82"/>
    <w:rsid w:val="00D044C3"/>
    <w:rsid w:val="00D044D0"/>
    <w:rsid w:val="00D0479C"/>
    <w:rsid w:val="00D04A4A"/>
    <w:rsid w:val="00D04A65"/>
    <w:rsid w:val="00D05903"/>
    <w:rsid w:val="00D074CD"/>
    <w:rsid w:val="00D103B3"/>
    <w:rsid w:val="00D10487"/>
    <w:rsid w:val="00D10632"/>
    <w:rsid w:val="00D11294"/>
    <w:rsid w:val="00D11856"/>
    <w:rsid w:val="00D120B6"/>
    <w:rsid w:val="00D15457"/>
    <w:rsid w:val="00D1546B"/>
    <w:rsid w:val="00D15573"/>
    <w:rsid w:val="00D15926"/>
    <w:rsid w:val="00D160F5"/>
    <w:rsid w:val="00D1663B"/>
    <w:rsid w:val="00D169AD"/>
    <w:rsid w:val="00D16F69"/>
    <w:rsid w:val="00D16FA5"/>
    <w:rsid w:val="00D1720F"/>
    <w:rsid w:val="00D17866"/>
    <w:rsid w:val="00D2031B"/>
    <w:rsid w:val="00D2042B"/>
    <w:rsid w:val="00D2084D"/>
    <w:rsid w:val="00D21EBB"/>
    <w:rsid w:val="00D2217C"/>
    <w:rsid w:val="00D22352"/>
    <w:rsid w:val="00D22BD7"/>
    <w:rsid w:val="00D23274"/>
    <w:rsid w:val="00D249A1"/>
    <w:rsid w:val="00D24C3D"/>
    <w:rsid w:val="00D253DA"/>
    <w:rsid w:val="00D254D2"/>
    <w:rsid w:val="00D26EBB"/>
    <w:rsid w:val="00D27607"/>
    <w:rsid w:val="00D27BFB"/>
    <w:rsid w:val="00D27F74"/>
    <w:rsid w:val="00D30888"/>
    <w:rsid w:val="00D30A65"/>
    <w:rsid w:val="00D30AEA"/>
    <w:rsid w:val="00D3462C"/>
    <w:rsid w:val="00D3546D"/>
    <w:rsid w:val="00D35770"/>
    <w:rsid w:val="00D35D8F"/>
    <w:rsid w:val="00D37983"/>
    <w:rsid w:val="00D41C4F"/>
    <w:rsid w:val="00D466CA"/>
    <w:rsid w:val="00D46C65"/>
    <w:rsid w:val="00D46DAA"/>
    <w:rsid w:val="00D46EEC"/>
    <w:rsid w:val="00D478D4"/>
    <w:rsid w:val="00D47B07"/>
    <w:rsid w:val="00D50658"/>
    <w:rsid w:val="00D50A7A"/>
    <w:rsid w:val="00D51B3F"/>
    <w:rsid w:val="00D521B4"/>
    <w:rsid w:val="00D5230C"/>
    <w:rsid w:val="00D52EE5"/>
    <w:rsid w:val="00D53083"/>
    <w:rsid w:val="00D53273"/>
    <w:rsid w:val="00D5341B"/>
    <w:rsid w:val="00D53C74"/>
    <w:rsid w:val="00D53E41"/>
    <w:rsid w:val="00D54088"/>
    <w:rsid w:val="00D540F3"/>
    <w:rsid w:val="00D54A3B"/>
    <w:rsid w:val="00D55098"/>
    <w:rsid w:val="00D55590"/>
    <w:rsid w:val="00D556A7"/>
    <w:rsid w:val="00D55ED2"/>
    <w:rsid w:val="00D56786"/>
    <w:rsid w:val="00D5682E"/>
    <w:rsid w:val="00D570AB"/>
    <w:rsid w:val="00D57778"/>
    <w:rsid w:val="00D57F40"/>
    <w:rsid w:val="00D612C7"/>
    <w:rsid w:val="00D61D58"/>
    <w:rsid w:val="00D62365"/>
    <w:rsid w:val="00D6267A"/>
    <w:rsid w:val="00D62A7A"/>
    <w:rsid w:val="00D62F61"/>
    <w:rsid w:val="00D63121"/>
    <w:rsid w:val="00D6384C"/>
    <w:rsid w:val="00D64144"/>
    <w:rsid w:val="00D67708"/>
    <w:rsid w:val="00D67B52"/>
    <w:rsid w:val="00D711A2"/>
    <w:rsid w:val="00D71905"/>
    <w:rsid w:val="00D71C1A"/>
    <w:rsid w:val="00D71F1A"/>
    <w:rsid w:val="00D72310"/>
    <w:rsid w:val="00D72AAC"/>
    <w:rsid w:val="00D7571D"/>
    <w:rsid w:val="00D757F5"/>
    <w:rsid w:val="00D75BC0"/>
    <w:rsid w:val="00D770D8"/>
    <w:rsid w:val="00D80D0C"/>
    <w:rsid w:val="00D810DA"/>
    <w:rsid w:val="00D81982"/>
    <w:rsid w:val="00D828B1"/>
    <w:rsid w:val="00D828BF"/>
    <w:rsid w:val="00D843D9"/>
    <w:rsid w:val="00D84CF7"/>
    <w:rsid w:val="00D84EA5"/>
    <w:rsid w:val="00D87712"/>
    <w:rsid w:val="00D87B4F"/>
    <w:rsid w:val="00D87F95"/>
    <w:rsid w:val="00D91137"/>
    <w:rsid w:val="00D91AE9"/>
    <w:rsid w:val="00D91EB8"/>
    <w:rsid w:val="00D92615"/>
    <w:rsid w:val="00D92680"/>
    <w:rsid w:val="00D92E69"/>
    <w:rsid w:val="00D9380F"/>
    <w:rsid w:val="00D93CC3"/>
    <w:rsid w:val="00D94058"/>
    <w:rsid w:val="00D95DF5"/>
    <w:rsid w:val="00D95F7F"/>
    <w:rsid w:val="00D96ED3"/>
    <w:rsid w:val="00D96F90"/>
    <w:rsid w:val="00D979A2"/>
    <w:rsid w:val="00D97D90"/>
    <w:rsid w:val="00DA019B"/>
    <w:rsid w:val="00DA0D43"/>
    <w:rsid w:val="00DA1A72"/>
    <w:rsid w:val="00DA3F58"/>
    <w:rsid w:val="00DA5202"/>
    <w:rsid w:val="00DA5291"/>
    <w:rsid w:val="00DA53E0"/>
    <w:rsid w:val="00DA707B"/>
    <w:rsid w:val="00DA7A42"/>
    <w:rsid w:val="00DA7B8B"/>
    <w:rsid w:val="00DA7C78"/>
    <w:rsid w:val="00DB1378"/>
    <w:rsid w:val="00DB141E"/>
    <w:rsid w:val="00DB19A8"/>
    <w:rsid w:val="00DB1BE3"/>
    <w:rsid w:val="00DB212E"/>
    <w:rsid w:val="00DB231A"/>
    <w:rsid w:val="00DB2610"/>
    <w:rsid w:val="00DB285E"/>
    <w:rsid w:val="00DB29A0"/>
    <w:rsid w:val="00DB33B6"/>
    <w:rsid w:val="00DB3A8B"/>
    <w:rsid w:val="00DB4985"/>
    <w:rsid w:val="00DB521F"/>
    <w:rsid w:val="00DB5FAE"/>
    <w:rsid w:val="00DB6863"/>
    <w:rsid w:val="00DB7135"/>
    <w:rsid w:val="00DB7974"/>
    <w:rsid w:val="00DC0DC5"/>
    <w:rsid w:val="00DC208B"/>
    <w:rsid w:val="00DC2E0A"/>
    <w:rsid w:val="00DC388C"/>
    <w:rsid w:val="00DC4A52"/>
    <w:rsid w:val="00DC56F4"/>
    <w:rsid w:val="00DC61D4"/>
    <w:rsid w:val="00DC7168"/>
    <w:rsid w:val="00DC7188"/>
    <w:rsid w:val="00DC73BE"/>
    <w:rsid w:val="00DD1C17"/>
    <w:rsid w:val="00DD1ED8"/>
    <w:rsid w:val="00DD2450"/>
    <w:rsid w:val="00DD296E"/>
    <w:rsid w:val="00DD3146"/>
    <w:rsid w:val="00DD33B3"/>
    <w:rsid w:val="00DD3FE2"/>
    <w:rsid w:val="00DD4200"/>
    <w:rsid w:val="00DD4A17"/>
    <w:rsid w:val="00DD4FDA"/>
    <w:rsid w:val="00DD6221"/>
    <w:rsid w:val="00DD6B01"/>
    <w:rsid w:val="00DD70FB"/>
    <w:rsid w:val="00DD7EC5"/>
    <w:rsid w:val="00DE19F2"/>
    <w:rsid w:val="00DE21A5"/>
    <w:rsid w:val="00DE3049"/>
    <w:rsid w:val="00DE33B1"/>
    <w:rsid w:val="00DE6108"/>
    <w:rsid w:val="00DE68EF"/>
    <w:rsid w:val="00DE70B7"/>
    <w:rsid w:val="00DF001D"/>
    <w:rsid w:val="00DF013F"/>
    <w:rsid w:val="00DF06F7"/>
    <w:rsid w:val="00DF1054"/>
    <w:rsid w:val="00DF1B9A"/>
    <w:rsid w:val="00DF2382"/>
    <w:rsid w:val="00DF30D9"/>
    <w:rsid w:val="00DF32F4"/>
    <w:rsid w:val="00DF3325"/>
    <w:rsid w:val="00DF42E8"/>
    <w:rsid w:val="00DF4573"/>
    <w:rsid w:val="00DF4990"/>
    <w:rsid w:val="00DF53B2"/>
    <w:rsid w:val="00DF5604"/>
    <w:rsid w:val="00DF5ADF"/>
    <w:rsid w:val="00DF606A"/>
    <w:rsid w:val="00DF6599"/>
    <w:rsid w:val="00DF6638"/>
    <w:rsid w:val="00DF663B"/>
    <w:rsid w:val="00DF697F"/>
    <w:rsid w:val="00DF7175"/>
    <w:rsid w:val="00DF72A1"/>
    <w:rsid w:val="00DF7495"/>
    <w:rsid w:val="00DF7957"/>
    <w:rsid w:val="00E00CF5"/>
    <w:rsid w:val="00E00EEF"/>
    <w:rsid w:val="00E00FBD"/>
    <w:rsid w:val="00E011E5"/>
    <w:rsid w:val="00E01259"/>
    <w:rsid w:val="00E016CB"/>
    <w:rsid w:val="00E01CA5"/>
    <w:rsid w:val="00E024EF"/>
    <w:rsid w:val="00E0300A"/>
    <w:rsid w:val="00E03515"/>
    <w:rsid w:val="00E048D7"/>
    <w:rsid w:val="00E05990"/>
    <w:rsid w:val="00E06AB2"/>
    <w:rsid w:val="00E06D0A"/>
    <w:rsid w:val="00E11400"/>
    <w:rsid w:val="00E125D1"/>
    <w:rsid w:val="00E12B2F"/>
    <w:rsid w:val="00E14C0E"/>
    <w:rsid w:val="00E158AE"/>
    <w:rsid w:val="00E15BDC"/>
    <w:rsid w:val="00E15CCB"/>
    <w:rsid w:val="00E1691C"/>
    <w:rsid w:val="00E169B1"/>
    <w:rsid w:val="00E17587"/>
    <w:rsid w:val="00E17684"/>
    <w:rsid w:val="00E17B3F"/>
    <w:rsid w:val="00E17F2F"/>
    <w:rsid w:val="00E17FDD"/>
    <w:rsid w:val="00E201D8"/>
    <w:rsid w:val="00E20293"/>
    <w:rsid w:val="00E2106E"/>
    <w:rsid w:val="00E217CD"/>
    <w:rsid w:val="00E21F48"/>
    <w:rsid w:val="00E23836"/>
    <w:rsid w:val="00E240A7"/>
    <w:rsid w:val="00E251AF"/>
    <w:rsid w:val="00E254EA"/>
    <w:rsid w:val="00E25AE2"/>
    <w:rsid w:val="00E26A12"/>
    <w:rsid w:val="00E26AF5"/>
    <w:rsid w:val="00E271E1"/>
    <w:rsid w:val="00E302CB"/>
    <w:rsid w:val="00E3061B"/>
    <w:rsid w:val="00E30B5E"/>
    <w:rsid w:val="00E30B62"/>
    <w:rsid w:val="00E31612"/>
    <w:rsid w:val="00E3272B"/>
    <w:rsid w:val="00E34242"/>
    <w:rsid w:val="00E343B1"/>
    <w:rsid w:val="00E349A0"/>
    <w:rsid w:val="00E34B08"/>
    <w:rsid w:val="00E34B0E"/>
    <w:rsid w:val="00E36032"/>
    <w:rsid w:val="00E36E35"/>
    <w:rsid w:val="00E401BA"/>
    <w:rsid w:val="00E40C3C"/>
    <w:rsid w:val="00E42C6D"/>
    <w:rsid w:val="00E42CFC"/>
    <w:rsid w:val="00E435DE"/>
    <w:rsid w:val="00E457E0"/>
    <w:rsid w:val="00E45CA5"/>
    <w:rsid w:val="00E50080"/>
    <w:rsid w:val="00E50B77"/>
    <w:rsid w:val="00E50D99"/>
    <w:rsid w:val="00E510C3"/>
    <w:rsid w:val="00E5298B"/>
    <w:rsid w:val="00E53D0A"/>
    <w:rsid w:val="00E53D4A"/>
    <w:rsid w:val="00E54935"/>
    <w:rsid w:val="00E56210"/>
    <w:rsid w:val="00E56327"/>
    <w:rsid w:val="00E57315"/>
    <w:rsid w:val="00E57BDA"/>
    <w:rsid w:val="00E6063C"/>
    <w:rsid w:val="00E606B2"/>
    <w:rsid w:val="00E61488"/>
    <w:rsid w:val="00E61E95"/>
    <w:rsid w:val="00E61FD7"/>
    <w:rsid w:val="00E62789"/>
    <w:rsid w:val="00E6301A"/>
    <w:rsid w:val="00E63887"/>
    <w:rsid w:val="00E63CBC"/>
    <w:rsid w:val="00E64174"/>
    <w:rsid w:val="00E6462A"/>
    <w:rsid w:val="00E64ECA"/>
    <w:rsid w:val="00E65344"/>
    <w:rsid w:val="00E65B89"/>
    <w:rsid w:val="00E661CD"/>
    <w:rsid w:val="00E66693"/>
    <w:rsid w:val="00E66F88"/>
    <w:rsid w:val="00E66FE8"/>
    <w:rsid w:val="00E71260"/>
    <w:rsid w:val="00E715FA"/>
    <w:rsid w:val="00E71714"/>
    <w:rsid w:val="00E7188E"/>
    <w:rsid w:val="00E71D4F"/>
    <w:rsid w:val="00E726F3"/>
    <w:rsid w:val="00E73260"/>
    <w:rsid w:val="00E736CB"/>
    <w:rsid w:val="00E73C1B"/>
    <w:rsid w:val="00E741C7"/>
    <w:rsid w:val="00E74583"/>
    <w:rsid w:val="00E74936"/>
    <w:rsid w:val="00E750C6"/>
    <w:rsid w:val="00E767F1"/>
    <w:rsid w:val="00E80540"/>
    <w:rsid w:val="00E808B5"/>
    <w:rsid w:val="00E810AC"/>
    <w:rsid w:val="00E8164D"/>
    <w:rsid w:val="00E818EC"/>
    <w:rsid w:val="00E82EA7"/>
    <w:rsid w:val="00E83E6D"/>
    <w:rsid w:val="00E8414A"/>
    <w:rsid w:val="00E86A33"/>
    <w:rsid w:val="00E86C49"/>
    <w:rsid w:val="00E86F5B"/>
    <w:rsid w:val="00E87E71"/>
    <w:rsid w:val="00E87F65"/>
    <w:rsid w:val="00E90912"/>
    <w:rsid w:val="00E90937"/>
    <w:rsid w:val="00E90977"/>
    <w:rsid w:val="00E90C36"/>
    <w:rsid w:val="00E90DAA"/>
    <w:rsid w:val="00E90DDB"/>
    <w:rsid w:val="00E91D61"/>
    <w:rsid w:val="00E92214"/>
    <w:rsid w:val="00E93551"/>
    <w:rsid w:val="00E95FDD"/>
    <w:rsid w:val="00E96B78"/>
    <w:rsid w:val="00E970F0"/>
    <w:rsid w:val="00E97FFD"/>
    <w:rsid w:val="00EA06D2"/>
    <w:rsid w:val="00EA095C"/>
    <w:rsid w:val="00EA11ED"/>
    <w:rsid w:val="00EA2B0B"/>
    <w:rsid w:val="00EA315F"/>
    <w:rsid w:val="00EA4BEB"/>
    <w:rsid w:val="00EA55B4"/>
    <w:rsid w:val="00EA5A73"/>
    <w:rsid w:val="00EA5F7A"/>
    <w:rsid w:val="00EA6117"/>
    <w:rsid w:val="00EA62CE"/>
    <w:rsid w:val="00EA6525"/>
    <w:rsid w:val="00EA6A88"/>
    <w:rsid w:val="00EA7A21"/>
    <w:rsid w:val="00EA7ECC"/>
    <w:rsid w:val="00EA7FA5"/>
    <w:rsid w:val="00EB0B52"/>
    <w:rsid w:val="00EB1398"/>
    <w:rsid w:val="00EB2C8C"/>
    <w:rsid w:val="00EB3308"/>
    <w:rsid w:val="00EB33BE"/>
    <w:rsid w:val="00EB3B79"/>
    <w:rsid w:val="00EB457B"/>
    <w:rsid w:val="00EB5213"/>
    <w:rsid w:val="00EB57BD"/>
    <w:rsid w:val="00EB58CB"/>
    <w:rsid w:val="00EB694C"/>
    <w:rsid w:val="00EB70BC"/>
    <w:rsid w:val="00EB7973"/>
    <w:rsid w:val="00EC11E6"/>
    <w:rsid w:val="00EC1801"/>
    <w:rsid w:val="00EC2E2B"/>
    <w:rsid w:val="00EC2ECC"/>
    <w:rsid w:val="00EC3F1A"/>
    <w:rsid w:val="00EC4872"/>
    <w:rsid w:val="00EC5655"/>
    <w:rsid w:val="00EC599B"/>
    <w:rsid w:val="00EC6562"/>
    <w:rsid w:val="00EC6EE1"/>
    <w:rsid w:val="00EC7362"/>
    <w:rsid w:val="00EC7C12"/>
    <w:rsid w:val="00ED0C91"/>
    <w:rsid w:val="00ED0D57"/>
    <w:rsid w:val="00ED0E9C"/>
    <w:rsid w:val="00ED1025"/>
    <w:rsid w:val="00ED1340"/>
    <w:rsid w:val="00ED2555"/>
    <w:rsid w:val="00ED26E8"/>
    <w:rsid w:val="00ED5F1A"/>
    <w:rsid w:val="00ED7FED"/>
    <w:rsid w:val="00EE0BA2"/>
    <w:rsid w:val="00EE1578"/>
    <w:rsid w:val="00EE17A1"/>
    <w:rsid w:val="00EE1906"/>
    <w:rsid w:val="00EE2C7A"/>
    <w:rsid w:val="00EE3B91"/>
    <w:rsid w:val="00EE6309"/>
    <w:rsid w:val="00EE6434"/>
    <w:rsid w:val="00EE708D"/>
    <w:rsid w:val="00EE7094"/>
    <w:rsid w:val="00EE7763"/>
    <w:rsid w:val="00EF0555"/>
    <w:rsid w:val="00EF182B"/>
    <w:rsid w:val="00EF2663"/>
    <w:rsid w:val="00EF2EC7"/>
    <w:rsid w:val="00EF317C"/>
    <w:rsid w:val="00EF31E7"/>
    <w:rsid w:val="00EF343B"/>
    <w:rsid w:val="00EF38C8"/>
    <w:rsid w:val="00EF73BE"/>
    <w:rsid w:val="00F007F4"/>
    <w:rsid w:val="00F0130C"/>
    <w:rsid w:val="00F0171B"/>
    <w:rsid w:val="00F03172"/>
    <w:rsid w:val="00F036DF"/>
    <w:rsid w:val="00F05F11"/>
    <w:rsid w:val="00F05F41"/>
    <w:rsid w:val="00F06F85"/>
    <w:rsid w:val="00F071E3"/>
    <w:rsid w:val="00F075D6"/>
    <w:rsid w:val="00F0794C"/>
    <w:rsid w:val="00F11759"/>
    <w:rsid w:val="00F128A3"/>
    <w:rsid w:val="00F13DC8"/>
    <w:rsid w:val="00F14007"/>
    <w:rsid w:val="00F1413A"/>
    <w:rsid w:val="00F14608"/>
    <w:rsid w:val="00F15165"/>
    <w:rsid w:val="00F152A9"/>
    <w:rsid w:val="00F15DFA"/>
    <w:rsid w:val="00F17083"/>
    <w:rsid w:val="00F17144"/>
    <w:rsid w:val="00F174BA"/>
    <w:rsid w:val="00F17D43"/>
    <w:rsid w:val="00F2083B"/>
    <w:rsid w:val="00F20D69"/>
    <w:rsid w:val="00F20FEF"/>
    <w:rsid w:val="00F231D2"/>
    <w:rsid w:val="00F26424"/>
    <w:rsid w:val="00F26880"/>
    <w:rsid w:val="00F26BDA"/>
    <w:rsid w:val="00F273CD"/>
    <w:rsid w:val="00F27AC9"/>
    <w:rsid w:val="00F27EA8"/>
    <w:rsid w:val="00F3023E"/>
    <w:rsid w:val="00F304D3"/>
    <w:rsid w:val="00F30717"/>
    <w:rsid w:val="00F3107C"/>
    <w:rsid w:val="00F31771"/>
    <w:rsid w:val="00F31B6D"/>
    <w:rsid w:val="00F322D0"/>
    <w:rsid w:val="00F32BE7"/>
    <w:rsid w:val="00F333F1"/>
    <w:rsid w:val="00F33443"/>
    <w:rsid w:val="00F33AE0"/>
    <w:rsid w:val="00F33C76"/>
    <w:rsid w:val="00F35456"/>
    <w:rsid w:val="00F355D3"/>
    <w:rsid w:val="00F376E6"/>
    <w:rsid w:val="00F37C09"/>
    <w:rsid w:val="00F40699"/>
    <w:rsid w:val="00F411AC"/>
    <w:rsid w:val="00F4299A"/>
    <w:rsid w:val="00F42DB3"/>
    <w:rsid w:val="00F43495"/>
    <w:rsid w:val="00F444D2"/>
    <w:rsid w:val="00F4511F"/>
    <w:rsid w:val="00F454FA"/>
    <w:rsid w:val="00F46781"/>
    <w:rsid w:val="00F47167"/>
    <w:rsid w:val="00F474A8"/>
    <w:rsid w:val="00F476FD"/>
    <w:rsid w:val="00F47A1E"/>
    <w:rsid w:val="00F503DE"/>
    <w:rsid w:val="00F504FA"/>
    <w:rsid w:val="00F50F5E"/>
    <w:rsid w:val="00F51B8F"/>
    <w:rsid w:val="00F525AB"/>
    <w:rsid w:val="00F5303A"/>
    <w:rsid w:val="00F5314D"/>
    <w:rsid w:val="00F535C4"/>
    <w:rsid w:val="00F54470"/>
    <w:rsid w:val="00F546B3"/>
    <w:rsid w:val="00F554FD"/>
    <w:rsid w:val="00F55685"/>
    <w:rsid w:val="00F55884"/>
    <w:rsid w:val="00F6044F"/>
    <w:rsid w:val="00F606AC"/>
    <w:rsid w:val="00F60D59"/>
    <w:rsid w:val="00F60EFB"/>
    <w:rsid w:val="00F61084"/>
    <w:rsid w:val="00F61102"/>
    <w:rsid w:val="00F61C9F"/>
    <w:rsid w:val="00F61F4D"/>
    <w:rsid w:val="00F62807"/>
    <w:rsid w:val="00F62C76"/>
    <w:rsid w:val="00F62CD3"/>
    <w:rsid w:val="00F63499"/>
    <w:rsid w:val="00F638C5"/>
    <w:rsid w:val="00F63939"/>
    <w:rsid w:val="00F64043"/>
    <w:rsid w:val="00F643E2"/>
    <w:rsid w:val="00F64D24"/>
    <w:rsid w:val="00F64EBB"/>
    <w:rsid w:val="00F65691"/>
    <w:rsid w:val="00F66405"/>
    <w:rsid w:val="00F66BFA"/>
    <w:rsid w:val="00F67623"/>
    <w:rsid w:val="00F67D02"/>
    <w:rsid w:val="00F70441"/>
    <w:rsid w:val="00F713B7"/>
    <w:rsid w:val="00F71674"/>
    <w:rsid w:val="00F717CF"/>
    <w:rsid w:val="00F71862"/>
    <w:rsid w:val="00F7187D"/>
    <w:rsid w:val="00F720BE"/>
    <w:rsid w:val="00F7314F"/>
    <w:rsid w:val="00F74858"/>
    <w:rsid w:val="00F74E31"/>
    <w:rsid w:val="00F74EA0"/>
    <w:rsid w:val="00F755C8"/>
    <w:rsid w:val="00F7585E"/>
    <w:rsid w:val="00F7686D"/>
    <w:rsid w:val="00F76DEE"/>
    <w:rsid w:val="00F805AC"/>
    <w:rsid w:val="00F8067D"/>
    <w:rsid w:val="00F80CE2"/>
    <w:rsid w:val="00F8102A"/>
    <w:rsid w:val="00F81761"/>
    <w:rsid w:val="00F81A49"/>
    <w:rsid w:val="00F81D8F"/>
    <w:rsid w:val="00F82D8C"/>
    <w:rsid w:val="00F82F13"/>
    <w:rsid w:val="00F835E4"/>
    <w:rsid w:val="00F83BE5"/>
    <w:rsid w:val="00F84750"/>
    <w:rsid w:val="00F84A8E"/>
    <w:rsid w:val="00F85622"/>
    <w:rsid w:val="00F875B8"/>
    <w:rsid w:val="00F87B0E"/>
    <w:rsid w:val="00F87DD1"/>
    <w:rsid w:val="00F902CB"/>
    <w:rsid w:val="00F90DF8"/>
    <w:rsid w:val="00F91BE8"/>
    <w:rsid w:val="00F92024"/>
    <w:rsid w:val="00F92120"/>
    <w:rsid w:val="00F94493"/>
    <w:rsid w:val="00F946B4"/>
    <w:rsid w:val="00F957CA"/>
    <w:rsid w:val="00F96D1C"/>
    <w:rsid w:val="00F96E1B"/>
    <w:rsid w:val="00F9740F"/>
    <w:rsid w:val="00F9773A"/>
    <w:rsid w:val="00FA0222"/>
    <w:rsid w:val="00FA046D"/>
    <w:rsid w:val="00FA0882"/>
    <w:rsid w:val="00FA1406"/>
    <w:rsid w:val="00FA16A7"/>
    <w:rsid w:val="00FA1DFB"/>
    <w:rsid w:val="00FA2109"/>
    <w:rsid w:val="00FA275D"/>
    <w:rsid w:val="00FA3511"/>
    <w:rsid w:val="00FA3EA9"/>
    <w:rsid w:val="00FA46C1"/>
    <w:rsid w:val="00FA48DC"/>
    <w:rsid w:val="00FA59F2"/>
    <w:rsid w:val="00FA5DD6"/>
    <w:rsid w:val="00FA64E4"/>
    <w:rsid w:val="00FA660C"/>
    <w:rsid w:val="00FA7845"/>
    <w:rsid w:val="00FB2503"/>
    <w:rsid w:val="00FB2788"/>
    <w:rsid w:val="00FB36C8"/>
    <w:rsid w:val="00FB373E"/>
    <w:rsid w:val="00FB3E40"/>
    <w:rsid w:val="00FB449D"/>
    <w:rsid w:val="00FB60F8"/>
    <w:rsid w:val="00FB79C9"/>
    <w:rsid w:val="00FB7B54"/>
    <w:rsid w:val="00FC149D"/>
    <w:rsid w:val="00FC1C1F"/>
    <w:rsid w:val="00FC1F49"/>
    <w:rsid w:val="00FC2BAC"/>
    <w:rsid w:val="00FC3207"/>
    <w:rsid w:val="00FC36BC"/>
    <w:rsid w:val="00FC468E"/>
    <w:rsid w:val="00FC512F"/>
    <w:rsid w:val="00FC535D"/>
    <w:rsid w:val="00FC642E"/>
    <w:rsid w:val="00FC780B"/>
    <w:rsid w:val="00FC7E0B"/>
    <w:rsid w:val="00FD028A"/>
    <w:rsid w:val="00FD0769"/>
    <w:rsid w:val="00FD077B"/>
    <w:rsid w:val="00FD262F"/>
    <w:rsid w:val="00FD3D15"/>
    <w:rsid w:val="00FD3E08"/>
    <w:rsid w:val="00FD3F91"/>
    <w:rsid w:val="00FD444D"/>
    <w:rsid w:val="00FD5E38"/>
    <w:rsid w:val="00FD6877"/>
    <w:rsid w:val="00FD68F8"/>
    <w:rsid w:val="00FD6D48"/>
    <w:rsid w:val="00FD72FD"/>
    <w:rsid w:val="00FE1367"/>
    <w:rsid w:val="00FE1DD2"/>
    <w:rsid w:val="00FE29DC"/>
    <w:rsid w:val="00FE3241"/>
    <w:rsid w:val="00FE3DC5"/>
    <w:rsid w:val="00FE3EBE"/>
    <w:rsid w:val="00FE57B7"/>
    <w:rsid w:val="00FE58E9"/>
    <w:rsid w:val="00FE59AE"/>
    <w:rsid w:val="00FE655B"/>
    <w:rsid w:val="00FE6745"/>
    <w:rsid w:val="00FF0151"/>
    <w:rsid w:val="00FF03B5"/>
    <w:rsid w:val="00FF04DD"/>
    <w:rsid w:val="00FF07D5"/>
    <w:rsid w:val="00FF1830"/>
    <w:rsid w:val="00FF1AB6"/>
    <w:rsid w:val="00FF285D"/>
    <w:rsid w:val="00FF3300"/>
    <w:rsid w:val="00FF41AA"/>
    <w:rsid w:val="00FF5F3C"/>
    <w:rsid w:val="00FF6C44"/>
    <w:rsid w:val="00FF71B4"/>
    <w:rsid w:val="00FF7378"/>
    <w:rsid w:val="00FF7480"/>
    <w:rsid w:val="00FF7E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4DF5E"/>
  <w15:docId w15:val="{F64B1A9B-A842-4A8F-997E-62C63EDB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6781"/>
    <w:pPr>
      <w:autoSpaceDE w:val="0"/>
      <w:autoSpaceDN w:val="0"/>
      <w:adjustRightInd w:val="0"/>
      <w:spacing w:after="0" w:line="240" w:lineRule="auto"/>
    </w:pPr>
    <w:rPr>
      <w:rFonts w:ascii="ACBOB F+ Gulliver" w:hAnsi="ACBOB F+ Gulliver" w:cs="ACBOB F+ Gulliver"/>
      <w:color w:val="000000"/>
      <w:sz w:val="24"/>
      <w:szCs w:val="24"/>
    </w:rPr>
  </w:style>
  <w:style w:type="paragraph" w:styleId="Header">
    <w:name w:val="header"/>
    <w:basedOn w:val="Normal"/>
    <w:link w:val="HeaderChar"/>
    <w:uiPriority w:val="99"/>
    <w:unhideWhenUsed/>
    <w:rsid w:val="005B2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034"/>
  </w:style>
  <w:style w:type="paragraph" w:styleId="Footer">
    <w:name w:val="footer"/>
    <w:basedOn w:val="Normal"/>
    <w:link w:val="FooterChar"/>
    <w:uiPriority w:val="99"/>
    <w:unhideWhenUsed/>
    <w:rsid w:val="005B2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034"/>
  </w:style>
  <w:style w:type="character" w:styleId="Hyperlink">
    <w:name w:val="Hyperlink"/>
    <w:basedOn w:val="DefaultParagraphFont"/>
    <w:uiPriority w:val="99"/>
    <w:unhideWhenUsed/>
    <w:rsid w:val="005E377B"/>
    <w:rPr>
      <w:color w:val="0000FF" w:themeColor="hyperlink"/>
      <w:u w:val="single"/>
    </w:rPr>
  </w:style>
  <w:style w:type="paragraph" w:styleId="NormalWeb">
    <w:name w:val="Normal (Web)"/>
    <w:basedOn w:val="Normal"/>
    <w:uiPriority w:val="99"/>
    <w:unhideWhenUsed/>
    <w:rsid w:val="00AC6BE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D741A"/>
    <w:pPr>
      <w:spacing w:after="0" w:line="240" w:lineRule="auto"/>
    </w:pPr>
    <w:rPr>
      <w:lang w:eastAsia="zh-CN"/>
    </w:rPr>
    <w:tblPr>
      <w:tblBorders>
        <w:top w:val="single" w:sz="4" w:space="0" w:color="auto"/>
        <w:bottom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D741A"/>
    <w:pPr>
      <w:widowControl w:val="0"/>
      <w:snapToGrid w:val="0"/>
      <w:spacing w:after="0" w:line="240" w:lineRule="auto"/>
    </w:pPr>
    <w:rPr>
      <w:kern w:val="2"/>
      <w:sz w:val="18"/>
      <w:szCs w:val="18"/>
      <w:lang w:val="en-US" w:eastAsia="zh-CN"/>
    </w:rPr>
  </w:style>
  <w:style w:type="character" w:customStyle="1" w:styleId="FootnoteTextChar">
    <w:name w:val="Footnote Text Char"/>
    <w:basedOn w:val="DefaultParagraphFont"/>
    <w:link w:val="FootnoteText"/>
    <w:uiPriority w:val="99"/>
    <w:rsid w:val="00BD741A"/>
    <w:rPr>
      <w:rFonts w:eastAsiaTheme="minorEastAsia"/>
      <w:kern w:val="2"/>
      <w:sz w:val="18"/>
      <w:szCs w:val="18"/>
      <w:lang w:val="en-US" w:eastAsia="zh-CN"/>
    </w:rPr>
  </w:style>
  <w:style w:type="character" w:styleId="FootnoteReference">
    <w:name w:val="footnote reference"/>
    <w:basedOn w:val="DefaultParagraphFont"/>
    <w:uiPriority w:val="99"/>
    <w:semiHidden/>
    <w:unhideWhenUsed/>
    <w:rsid w:val="00BD741A"/>
    <w:rPr>
      <w:vertAlign w:val="superscript"/>
    </w:rPr>
  </w:style>
  <w:style w:type="paragraph" w:styleId="BalloonText">
    <w:name w:val="Balloon Text"/>
    <w:basedOn w:val="Normal"/>
    <w:link w:val="BalloonTextChar"/>
    <w:uiPriority w:val="99"/>
    <w:semiHidden/>
    <w:unhideWhenUsed/>
    <w:rsid w:val="00BD741A"/>
    <w:pPr>
      <w:widowControl w:val="0"/>
      <w:spacing w:after="0" w:line="240" w:lineRule="auto"/>
      <w:jc w:val="both"/>
    </w:pPr>
    <w:rPr>
      <w:rFonts w:ascii="Segoe UI" w:hAnsi="Segoe UI" w:cs="Segoe UI"/>
      <w:kern w:val="2"/>
      <w:sz w:val="18"/>
      <w:szCs w:val="18"/>
      <w:lang w:val="en-US" w:eastAsia="zh-CN"/>
    </w:rPr>
  </w:style>
  <w:style w:type="character" w:customStyle="1" w:styleId="BalloonTextChar">
    <w:name w:val="Balloon Text Char"/>
    <w:basedOn w:val="DefaultParagraphFont"/>
    <w:link w:val="BalloonText"/>
    <w:uiPriority w:val="99"/>
    <w:semiHidden/>
    <w:rsid w:val="00BD741A"/>
    <w:rPr>
      <w:rFonts w:ascii="Segoe UI" w:eastAsiaTheme="minorEastAsia" w:hAnsi="Segoe UI" w:cs="Segoe UI"/>
      <w:kern w:val="2"/>
      <w:sz w:val="18"/>
      <w:szCs w:val="18"/>
      <w:lang w:val="en-US" w:eastAsia="zh-CN"/>
    </w:rPr>
  </w:style>
  <w:style w:type="paragraph" w:styleId="ListParagraph">
    <w:name w:val="List Paragraph"/>
    <w:basedOn w:val="Normal"/>
    <w:uiPriority w:val="34"/>
    <w:qFormat/>
    <w:rsid w:val="004C7CCD"/>
    <w:pPr>
      <w:ind w:left="720"/>
      <w:contextualSpacing/>
    </w:pPr>
  </w:style>
  <w:style w:type="character" w:styleId="CommentReference">
    <w:name w:val="annotation reference"/>
    <w:basedOn w:val="DefaultParagraphFont"/>
    <w:uiPriority w:val="99"/>
    <w:semiHidden/>
    <w:unhideWhenUsed/>
    <w:rsid w:val="00D61D58"/>
    <w:rPr>
      <w:sz w:val="16"/>
      <w:szCs w:val="16"/>
    </w:rPr>
  </w:style>
  <w:style w:type="paragraph" w:styleId="CommentText">
    <w:name w:val="annotation text"/>
    <w:basedOn w:val="Normal"/>
    <w:link w:val="CommentTextChar"/>
    <w:uiPriority w:val="99"/>
    <w:unhideWhenUsed/>
    <w:rsid w:val="00D61D58"/>
    <w:pPr>
      <w:spacing w:line="240" w:lineRule="auto"/>
    </w:pPr>
    <w:rPr>
      <w:sz w:val="20"/>
      <w:szCs w:val="20"/>
    </w:rPr>
  </w:style>
  <w:style w:type="character" w:customStyle="1" w:styleId="CommentTextChar">
    <w:name w:val="Comment Text Char"/>
    <w:basedOn w:val="DefaultParagraphFont"/>
    <w:link w:val="CommentText"/>
    <w:uiPriority w:val="99"/>
    <w:rsid w:val="00D61D58"/>
    <w:rPr>
      <w:sz w:val="20"/>
      <w:szCs w:val="20"/>
    </w:rPr>
  </w:style>
  <w:style w:type="paragraph" w:styleId="CommentSubject">
    <w:name w:val="annotation subject"/>
    <w:basedOn w:val="CommentText"/>
    <w:next w:val="CommentText"/>
    <w:link w:val="CommentSubjectChar"/>
    <w:uiPriority w:val="99"/>
    <w:semiHidden/>
    <w:unhideWhenUsed/>
    <w:rsid w:val="00D61D58"/>
    <w:rPr>
      <w:b/>
      <w:bCs/>
    </w:rPr>
  </w:style>
  <w:style w:type="character" w:customStyle="1" w:styleId="CommentSubjectChar">
    <w:name w:val="Comment Subject Char"/>
    <w:basedOn w:val="CommentTextChar"/>
    <w:link w:val="CommentSubject"/>
    <w:uiPriority w:val="99"/>
    <w:semiHidden/>
    <w:rsid w:val="00D61D58"/>
    <w:rPr>
      <w:b/>
      <w:bCs/>
      <w:sz w:val="20"/>
      <w:szCs w:val="20"/>
    </w:rPr>
  </w:style>
  <w:style w:type="paragraph" w:styleId="BodyText2">
    <w:name w:val="Body Text 2"/>
    <w:basedOn w:val="Normal"/>
    <w:link w:val="BodyText2Char"/>
    <w:unhideWhenUsed/>
    <w:rsid w:val="00495EFA"/>
    <w:pPr>
      <w:spacing w:after="0" w:line="240" w:lineRule="auto"/>
      <w:jc w:val="both"/>
    </w:pPr>
    <w:rPr>
      <w:rFonts w:ascii="Times New Roman" w:eastAsia="SimSun" w:hAnsi="Times New Roman" w:cs="Times New Roman"/>
      <w:sz w:val="20"/>
      <w:szCs w:val="20"/>
      <w:lang w:val="en-US"/>
    </w:rPr>
  </w:style>
  <w:style w:type="character" w:customStyle="1" w:styleId="BodyText2Char">
    <w:name w:val="Body Text 2 Char"/>
    <w:basedOn w:val="DefaultParagraphFont"/>
    <w:link w:val="BodyText2"/>
    <w:rsid w:val="00495EFA"/>
    <w:rPr>
      <w:rFonts w:ascii="Times New Roman" w:eastAsia="SimSun" w:hAnsi="Times New Roman" w:cs="Times New Roman"/>
      <w:sz w:val="20"/>
      <w:szCs w:val="20"/>
      <w:lang w:val="en-US"/>
    </w:rPr>
  </w:style>
  <w:style w:type="character" w:customStyle="1" w:styleId="UnresolvedMention1">
    <w:name w:val="Unresolved Mention1"/>
    <w:basedOn w:val="DefaultParagraphFont"/>
    <w:uiPriority w:val="99"/>
    <w:semiHidden/>
    <w:unhideWhenUsed/>
    <w:rsid w:val="00495EFA"/>
    <w:rPr>
      <w:color w:val="605E5C"/>
      <w:shd w:val="clear" w:color="auto" w:fill="E1DFDD"/>
    </w:rPr>
  </w:style>
  <w:style w:type="paragraph" w:styleId="EndnoteText">
    <w:name w:val="endnote text"/>
    <w:basedOn w:val="Normal"/>
    <w:link w:val="EndnoteTextChar"/>
    <w:uiPriority w:val="99"/>
    <w:semiHidden/>
    <w:unhideWhenUsed/>
    <w:rsid w:val="00762E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2E45"/>
    <w:rPr>
      <w:sz w:val="20"/>
      <w:szCs w:val="20"/>
    </w:rPr>
  </w:style>
  <w:style w:type="character" w:styleId="EndnoteReference">
    <w:name w:val="endnote reference"/>
    <w:basedOn w:val="DefaultParagraphFont"/>
    <w:uiPriority w:val="99"/>
    <w:semiHidden/>
    <w:unhideWhenUsed/>
    <w:rsid w:val="00762E45"/>
    <w:rPr>
      <w:vertAlign w:val="superscript"/>
    </w:rPr>
  </w:style>
  <w:style w:type="character" w:customStyle="1" w:styleId="UnresolvedMention2">
    <w:name w:val="Unresolved Mention2"/>
    <w:basedOn w:val="DefaultParagraphFont"/>
    <w:uiPriority w:val="99"/>
    <w:semiHidden/>
    <w:unhideWhenUsed/>
    <w:rsid w:val="00E12B2F"/>
    <w:rPr>
      <w:color w:val="605E5C"/>
      <w:shd w:val="clear" w:color="auto" w:fill="E1DFDD"/>
    </w:rPr>
  </w:style>
  <w:style w:type="character" w:styleId="Emphasis">
    <w:name w:val="Emphasis"/>
    <w:basedOn w:val="DefaultParagraphFont"/>
    <w:uiPriority w:val="20"/>
    <w:qFormat/>
    <w:rsid w:val="00DB7135"/>
    <w:rPr>
      <w:i/>
      <w:iCs/>
    </w:rPr>
  </w:style>
  <w:style w:type="character" w:styleId="Strong">
    <w:name w:val="Strong"/>
    <w:basedOn w:val="DefaultParagraphFont"/>
    <w:uiPriority w:val="22"/>
    <w:qFormat/>
    <w:rsid w:val="00BB52D6"/>
    <w:rPr>
      <w:b/>
      <w:bCs/>
    </w:rPr>
  </w:style>
  <w:style w:type="paragraph" w:styleId="BodyText">
    <w:name w:val="Body Text"/>
    <w:basedOn w:val="Normal"/>
    <w:link w:val="BodyTextChar"/>
    <w:uiPriority w:val="99"/>
    <w:unhideWhenUsed/>
    <w:rsid w:val="00D11294"/>
    <w:pPr>
      <w:spacing w:after="120"/>
    </w:pPr>
  </w:style>
  <w:style w:type="character" w:customStyle="1" w:styleId="BodyTextChar">
    <w:name w:val="Body Text Char"/>
    <w:basedOn w:val="DefaultParagraphFont"/>
    <w:link w:val="BodyText"/>
    <w:uiPriority w:val="99"/>
    <w:rsid w:val="00D11294"/>
  </w:style>
  <w:style w:type="character" w:styleId="FollowedHyperlink">
    <w:name w:val="FollowedHyperlink"/>
    <w:basedOn w:val="DefaultParagraphFont"/>
    <w:uiPriority w:val="99"/>
    <w:semiHidden/>
    <w:unhideWhenUsed/>
    <w:rsid w:val="00B4127C"/>
    <w:rPr>
      <w:color w:val="800080" w:themeColor="followedHyperlink"/>
      <w:u w:val="single"/>
    </w:rPr>
  </w:style>
  <w:style w:type="paragraph" w:styleId="Revision">
    <w:name w:val="Revision"/>
    <w:hidden/>
    <w:uiPriority w:val="99"/>
    <w:semiHidden/>
    <w:rsid w:val="00764941"/>
    <w:pPr>
      <w:spacing w:after="0" w:line="240" w:lineRule="auto"/>
    </w:pPr>
  </w:style>
  <w:style w:type="character" w:styleId="UnresolvedMention">
    <w:name w:val="Unresolved Mention"/>
    <w:basedOn w:val="DefaultParagraphFont"/>
    <w:uiPriority w:val="99"/>
    <w:semiHidden/>
    <w:unhideWhenUsed/>
    <w:rsid w:val="00755C0D"/>
    <w:rPr>
      <w:color w:val="605E5C"/>
      <w:shd w:val="clear" w:color="auto" w:fill="E1DFDD"/>
    </w:rPr>
  </w:style>
  <w:style w:type="character" w:customStyle="1" w:styleId="ykmvie">
    <w:name w:val="ykmvie"/>
    <w:basedOn w:val="DefaultParagraphFont"/>
    <w:rsid w:val="00F85622"/>
  </w:style>
  <w:style w:type="character" w:styleId="HTMLCite">
    <w:name w:val="HTML Cite"/>
    <w:basedOn w:val="DefaultParagraphFont"/>
    <w:uiPriority w:val="99"/>
    <w:semiHidden/>
    <w:unhideWhenUsed/>
    <w:rsid w:val="001C224F"/>
    <w:rPr>
      <w:i/>
      <w:iCs/>
    </w:rPr>
  </w:style>
  <w:style w:type="character" w:customStyle="1" w:styleId="year">
    <w:name w:val="year"/>
    <w:basedOn w:val="DefaultParagraphFont"/>
    <w:rsid w:val="001C224F"/>
  </w:style>
  <w:style w:type="character" w:customStyle="1" w:styleId="Title1">
    <w:name w:val="Title1"/>
    <w:basedOn w:val="DefaultParagraphFont"/>
    <w:rsid w:val="001C224F"/>
  </w:style>
  <w:style w:type="character" w:customStyle="1" w:styleId="journal">
    <w:name w:val="journal"/>
    <w:basedOn w:val="DefaultParagraphFont"/>
    <w:rsid w:val="001C224F"/>
  </w:style>
  <w:style w:type="character" w:customStyle="1" w:styleId="vol">
    <w:name w:val="vol"/>
    <w:basedOn w:val="DefaultParagraphFont"/>
    <w:rsid w:val="001C224F"/>
  </w:style>
  <w:style w:type="character" w:customStyle="1" w:styleId="pages">
    <w:name w:val="pages"/>
    <w:basedOn w:val="DefaultParagraphFont"/>
    <w:rsid w:val="001C224F"/>
  </w:style>
  <w:style w:type="character" w:customStyle="1" w:styleId="author">
    <w:name w:val="author"/>
    <w:basedOn w:val="DefaultParagraphFont"/>
    <w:rsid w:val="009B4FF2"/>
  </w:style>
  <w:style w:type="character" w:customStyle="1" w:styleId="pubyear">
    <w:name w:val="pubyear"/>
    <w:basedOn w:val="DefaultParagraphFont"/>
    <w:rsid w:val="009B4FF2"/>
  </w:style>
  <w:style w:type="character" w:customStyle="1" w:styleId="articletitle">
    <w:name w:val="articletitle"/>
    <w:basedOn w:val="DefaultParagraphFont"/>
    <w:rsid w:val="009B4FF2"/>
  </w:style>
  <w:style w:type="character" w:customStyle="1" w:styleId="pagefirst">
    <w:name w:val="pagefirst"/>
    <w:basedOn w:val="DefaultParagraphFont"/>
    <w:rsid w:val="009B4FF2"/>
  </w:style>
  <w:style w:type="character" w:customStyle="1" w:styleId="pagelast">
    <w:name w:val="pagelast"/>
    <w:basedOn w:val="DefaultParagraphFont"/>
    <w:rsid w:val="009B4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48344">
      <w:bodyDiv w:val="1"/>
      <w:marLeft w:val="0"/>
      <w:marRight w:val="0"/>
      <w:marTop w:val="0"/>
      <w:marBottom w:val="0"/>
      <w:divBdr>
        <w:top w:val="none" w:sz="0" w:space="0" w:color="auto"/>
        <w:left w:val="none" w:sz="0" w:space="0" w:color="auto"/>
        <w:bottom w:val="none" w:sz="0" w:space="0" w:color="auto"/>
        <w:right w:val="none" w:sz="0" w:space="0" w:color="auto"/>
      </w:divBdr>
    </w:div>
    <w:div w:id="109327433">
      <w:bodyDiv w:val="1"/>
      <w:marLeft w:val="0"/>
      <w:marRight w:val="0"/>
      <w:marTop w:val="0"/>
      <w:marBottom w:val="0"/>
      <w:divBdr>
        <w:top w:val="none" w:sz="0" w:space="0" w:color="auto"/>
        <w:left w:val="none" w:sz="0" w:space="0" w:color="auto"/>
        <w:bottom w:val="none" w:sz="0" w:space="0" w:color="auto"/>
        <w:right w:val="none" w:sz="0" w:space="0" w:color="auto"/>
      </w:divBdr>
      <w:divsChild>
        <w:div w:id="1826244894">
          <w:marLeft w:val="0"/>
          <w:marRight w:val="0"/>
          <w:marTop w:val="0"/>
          <w:marBottom w:val="0"/>
          <w:divBdr>
            <w:top w:val="none" w:sz="0" w:space="0" w:color="auto"/>
            <w:left w:val="none" w:sz="0" w:space="0" w:color="auto"/>
            <w:bottom w:val="none" w:sz="0" w:space="0" w:color="auto"/>
            <w:right w:val="none" w:sz="0" w:space="0" w:color="auto"/>
          </w:divBdr>
          <w:divsChild>
            <w:div w:id="766733946">
              <w:marLeft w:val="0"/>
              <w:marRight w:val="0"/>
              <w:marTop w:val="0"/>
              <w:marBottom w:val="0"/>
              <w:divBdr>
                <w:top w:val="none" w:sz="0" w:space="0" w:color="auto"/>
                <w:left w:val="none" w:sz="0" w:space="0" w:color="auto"/>
                <w:bottom w:val="none" w:sz="0" w:space="0" w:color="auto"/>
                <w:right w:val="none" w:sz="0" w:space="0" w:color="auto"/>
              </w:divBdr>
            </w:div>
          </w:divsChild>
        </w:div>
        <w:div w:id="526452815">
          <w:marLeft w:val="0"/>
          <w:marRight w:val="0"/>
          <w:marTop w:val="0"/>
          <w:marBottom w:val="0"/>
          <w:divBdr>
            <w:top w:val="none" w:sz="0" w:space="0" w:color="auto"/>
            <w:left w:val="none" w:sz="0" w:space="0" w:color="auto"/>
            <w:bottom w:val="none" w:sz="0" w:space="0" w:color="auto"/>
            <w:right w:val="none" w:sz="0" w:space="0" w:color="auto"/>
          </w:divBdr>
        </w:div>
        <w:div w:id="1356272905">
          <w:marLeft w:val="0"/>
          <w:marRight w:val="0"/>
          <w:marTop w:val="0"/>
          <w:marBottom w:val="0"/>
          <w:divBdr>
            <w:top w:val="none" w:sz="0" w:space="0" w:color="auto"/>
            <w:left w:val="none" w:sz="0" w:space="0" w:color="auto"/>
            <w:bottom w:val="none" w:sz="0" w:space="0" w:color="auto"/>
            <w:right w:val="none" w:sz="0" w:space="0" w:color="auto"/>
          </w:divBdr>
        </w:div>
      </w:divsChild>
    </w:div>
    <w:div w:id="235630672">
      <w:bodyDiv w:val="1"/>
      <w:marLeft w:val="0"/>
      <w:marRight w:val="0"/>
      <w:marTop w:val="0"/>
      <w:marBottom w:val="0"/>
      <w:divBdr>
        <w:top w:val="none" w:sz="0" w:space="0" w:color="auto"/>
        <w:left w:val="none" w:sz="0" w:space="0" w:color="auto"/>
        <w:bottom w:val="none" w:sz="0" w:space="0" w:color="auto"/>
        <w:right w:val="none" w:sz="0" w:space="0" w:color="auto"/>
      </w:divBdr>
    </w:div>
    <w:div w:id="247664906">
      <w:bodyDiv w:val="1"/>
      <w:marLeft w:val="0"/>
      <w:marRight w:val="0"/>
      <w:marTop w:val="0"/>
      <w:marBottom w:val="0"/>
      <w:divBdr>
        <w:top w:val="none" w:sz="0" w:space="0" w:color="auto"/>
        <w:left w:val="none" w:sz="0" w:space="0" w:color="auto"/>
        <w:bottom w:val="none" w:sz="0" w:space="0" w:color="auto"/>
        <w:right w:val="none" w:sz="0" w:space="0" w:color="auto"/>
      </w:divBdr>
    </w:div>
    <w:div w:id="303315417">
      <w:bodyDiv w:val="1"/>
      <w:marLeft w:val="0"/>
      <w:marRight w:val="0"/>
      <w:marTop w:val="0"/>
      <w:marBottom w:val="0"/>
      <w:divBdr>
        <w:top w:val="none" w:sz="0" w:space="0" w:color="auto"/>
        <w:left w:val="none" w:sz="0" w:space="0" w:color="auto"/>
        <w:bottom w:val="none" w:sz="0" w:space="0" w:color="auto"/>
        <w:right w:val="none" w:sz="0" w:space="0" w:color="auto"/>
      </w:divBdr>
    </w:div>
    <w:div w:id="318774405">
      <w:bodyDiv w:val="1"/>
      <w:marLeft w:val="0"/>
      <w:marRight w:val="0"/>
      <w:marTop w:val="0"/>
      <w:marBottom w:val="0"/>
      <w:divBdr>
        <w:top w:val="none" w:sz="0" w:space="0" w:color="auto"/>
        <w:left w:val="none" w:sz="0" w:space="0" w:color="auto"/>
        <w:bottom w:val="none" w:sz="0" w:space="0" w:color="auto"/>
        <w:right w:val="none" w:sz="0" w:space="0" w:color="auto"/>
      </w:divBdr>
    </w:div>
    <w:div w:id="319624982">
      <w:bodyDiv w:val="1"/>
      <w:marLeft w:val="0"/>
      <w:marRight w:val="0"/>
      <w:marTop w:val="0"/>
      <w:marBottom w:val="0"/>
      <w:divBdr>
        <w:top w:val="none" w:sz="0" w:space="0" w:color="auto"/>
        <w:left w:val="none" w:sz="0" w:space="0" w:color="auto"/>
        <w:bottom w:val="none" w:sz="0" w:space="0" w:color="auto"/>
        <w:right w:val="none" w:sz="0" w:space="0" w:color="auto"/>
      </w:divBdr>
      <w:divsChild>
        <w:div w:id="697395944">
          <w:marLeft w:val="360"/>
          <w:marRight w:val="0"/>
          <w:marTop w:val="200"/>
          <w:marBottom w:val="240"/>
          <w:divBdr>
            <w:top w:val="none" w:sz="0" w:space="0" w:color="auto"/>
            <w:left w:val="none" w:sz="0" w:space="0" w:color="auto"/>
            <w:bottom w:val="none" w:sz="0" w:space="0" w:color="auto"/>
            <w:right w:val="none" w:sz="0" w:space="0" w:color="auto"/>
          </w:divBdr>
        </w:div>
        <w:div w:id="397636929">
          <w:marLeft w:val="360"/>
          <w:marRight w:val="0"/>
          <w:marTop w:val="200"/>
          <w:marBottom w:val="240"/>
          <w:divBdr>
            <w:top w:val="none" w:sz="0" w:space="0" w:color="auto"/>
            <w:left w:val="none" w:sz="0" w:space="0" w:color="auto"/>
            <w:bottom w:val="none" w:sz="0" w:space="0" w:color="auto"/>
            <w:right w:val="none" w:sz="0" w:space="0" w:color="auto"/>
          </w:divBdr>
        </w:div>
        <w:div w:id="1866209381">
          <w:marLeft w:val="360"/>
          <w:marRight w:val="0"/>
          <w:marTop w:val="200"/>
          <w:marBottom w:val="360"/>
          <w:divBdr>
            <w:top w:val="none" w:sz="0" w:space="0" w:color="auto"/>
            <w:left w:val="none" w:sz="0" w:space="0" w:color="auto"/>
            <w:bottom w:val="none" w:sz="0" w:space="0" w:color="auto"/>
            <w:right w:val="none" w:sz="0" w:space="0" w:color="auto"/>
          </w:divBdr>
        </w:div>
        <w:div w:id="1089160034">
          <w:marLeft w:val="360"/>
          <w:marRight w:val="0"/>
          <w:marTop w:val="200"/>
          <w:marBottom w:val="360"/>
          <w:divBdr>
            <w:top w:val="none" w:sz="0" w:space="0" w:color="auto"/>
            <w:left w:val="none" w:sz="0" w:space="0" w:color="auto"/>
            <w:bottom w:val="none" w:sz="0" w:space="0" w:color="auto"/>
            <w:right w:val="none" w:sz="0" w:space="0" w:color="auto"/>
          </w:divBdr>
        </w:div>
      </w:divsChild>
    </w:div>
    <w:div w:id="460733043">
      <w:bodyDiv w:val="1"/>
      <w:marLeft w:val="0"/>
      <w:marRight w:val="0"/>
      <w:marTop w:val="0"/>
      <w:marBottom w:val="0"/>
      <w:divBdr>
        <w:top w:val="none" w:sz="0" w:space="0" w:color="auto"/>
        <w:left w:val="none" w:sz="0" w:space="0" w:color="auto"/>
        <w:bottom w:val="none" w:sz="0" w:space="0" w:color="auto"/>
        <w:right w:val="none" w:sz="0" w:space="0" w:color="auto"/>
      </w:divBdr>
    </w:div>
    <w:div w:id="562788351">
      <w:bodyDiv w:val="1"/>
      <w:marLeft w:val="0"/>
      <w:marRight w:val="0"/>
      <w:marTop w:val="0"/>
      <w:marBottom w:val="0"/>
      <w:divBdr>
        <w:top w:val="none" w:sz="0" w:space="0" w:color="auto"/>
        <w:left w:val="none" w:sz="0" w:space="0" w:color="auto"/>
        <w:bottom w:val="none" w:sz="0" w:space="0" w:color="auto"/>
        <w:right w:val="none" w:sz="0" w:space="0" w:color="auto"/>
      </w:divBdr>
      <w:divsChild>
        <w:div w:id="392393316">
          <w:marLeft w:val="0"/>
          <w:marRight w:val="0"/>
          <w:marTop w:val="0"/>
          <w:marBottom w:val="0"/>
          <w:divBdr>
            <w:top w:val="none" w:sz="0" w:space="0" w:color="auto"/>
            <w:left w:val="none" w:sz="0" w:space="0" w:color="auto"/>
            <w:bottom w:val="none" w:sz="0" w:space="0" w:color="auto"/>
            <w:right w:val="none" w:sz="0" w:space="0" w:color="auto"/>
          </w:divBdr>
          <w:divsChild>
            <w:div w:id="2142916112">
              <w:marLeft w:val="0"/>
              <w:marRight w:val="0"/>
              <w:marTop w:val="0"/>
              <w:marBottom w:val="0"/>
              <w:divBdr>
                <w:top w:val="none" w:sz="0" w:space="0" w:color="auto"/>
                <w:left w:val="none" w:sz="0" w:space="0" w:color="auto"/>
                <w:bottom w:val="none" w:sz="0" w:space="0" w:color="auto"/>
                <w:right w:val="none" w:sz="0" w:space="0" w:color="auto"/>
              </w:divBdr>
              <w:divsChild>
                <w:div w:id="952132161">
                  <w:marLeft w:val="0"/>
                  <w:marRight w:val="0"/>
                  <w:marTop w:val="0"/>
                  <w:marBottom w:val="0"/>
                  <w:divBdr>
                    <w:top w:val="none" w:sz="0" w:space="0" w:color="auto"/>
                    <w:left w:val="none" w:sz="0" w:space="0" w:color="auto"/>
                    <w:bottom w:val="none" w:sz="0" w:space="0" w:color="auto"/>
                    <w:right w:val="none" w:sz="0" w:space="0" w:color="auto"/>
                  </w:divBdr>
                  <w:divsChild>
                    <w:div w:id="162282727">
                      <w:marLeft w:val="0"/>
                      <w:marRight w:val="0"/>
                      <w:marTop w:val="0"/>
                      <w:marBottom w:val="0"/>
                      <w:divBdr>
                        <w:top w:val="none" w:sz="0" w:space="0" w:color="auto"/>
                        <w:left w:val="none" w:sz="0" w:space="0" w:color="auto"/>
                        <w:bottom w:val="none" w:sz="0" w:space="0" w:color="auto"/>
                        <w:right w:val="none" w:sz="0" w:space="0" w:color="auto"/>
                      </w:divBdr>
                    </w:div>
                    <w:div w:id="14118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4113">
              <w:marLeft w:val="0"/>
              <w:marRight w:val="0"/>
              <w:marTop w:val="0"/>
              <w:marBottom w:val="0"/>
              <w:divBdr>
                <w:top w:val="none" w:sz="0" w:space="0" w:color="auto"/>
                <w:left w:val="none" w:sz="0" w:space="0" w:color="auto"/>
                <w:bottom w:val="none" w:sz="0" w:space="0" w:color="auto"/>
                <w:right w:val="none" w:sz="0" w:space="0" w:color="auto"/>
              </w:divBdr>
              <w:divsChild>
                <w:div w:id="1347945671">
                  <w:marLeft w:val="0"/>
                  <w:marRight w:val="0"/>
                  <w:marTop w:val="0"/>
                  <w:marBottom w:val="0"/>
                  <w:divBdr>
                    <w:top w:val="none" w:sz="0" w:space="0" w:color="auto"/>
                    <w:left w:val="none" w:sz="0" w:space="0" w:color="auto"/>
                    <w:bottom w:val="none" w:sz="0" w:space="0" w:color="auto"/>
                    <w:right w:val="none" w:sz="0" w:space="0" w:color="auto"/>
                  </w:divBdr>
                </w:div>
                <w:div w:id="142310846">
                  <w:marLeft w:val="0"/>
                  <w:marRight w:val="0"/>
                  <w:marTop w:val="0"/>
                  <w:marBottom w:val="0"/>
                  <w:divBdr>
                    <w:top w:val="none" w:sz="0" w:space="0" w:color="auto"/>
                    <w:left w:val="none" w:sz="0" w:space="0" w:color="auto"/>
                    <w:bottom w:val="none" w:sz="0" w:space="0" w:color="auto"/>
                    <w:right w:val="none" w:sz="0" w:space="0" w:color="auto"/>
                  </w:divBdr>
                  <w:divsChild>
                    <w:div w:id="1099250352">
                      <w:marLeft w:val="0"/>
                      <w:marRight w:val="0"/>
                      <w:marTop w:val="0"/>
                      <w:marBottom w:val="0"/>
                      <w:divBdr>
                        <w:top w:val="none" w:sz="0" w:space="0" w:color="auto"/>
                        <w:left w:val="none" w:sz="0" w:space="0" w:color="auto"/>
                        <w:bottom w:val="none" w:sz="0" w:space="0" w:color="auto"/>
                        <w:right w:val="none" w:sz="0" w:space="0" w:color="auto"/>
                      </w:divBdr>
                    </w:div>
                  </w:divsChild>
                </w:div>
                <w:div w:id="28919575">
                  <w:marLeft w:val="0"/>
                  <w:marRight w:val="0"/>
                  <w:marTop w:val="0"/>
                  <w:marBottom w:val="0"/>
                  <w:divBdr>
                    <w:top w:val="none" w:sz="0" w:space="0" w:color="auto"/>
                    <w:left w:val="none" w:sz="0" w:space="0" w:color="auto"/>
                    <w:bottom w:val="none" w:sz="0" w:space="0" w:color="auto"/>
                    <w:right w:val="none" w:sz="0" w:space="0" w:color="auto"/>
                  </w:divBdr>
                </w:div>
              </w:divsChild>
            </w:div>
            <w:div w:id="1122504767">
              <w:marLeft w:val="0"/>
              <w:marRight w:val="0"/>
              <w:marTop w:val="0"/>
              <w:marBottom w:val="0"/>
              <w:divBdr>
                <w:top w:val="none" w:sz="0" w:space="0" w:color="auto"/>
                <w:left w:val="none" w:sz="0" w:space="0" w:color="auto"/>
                <w:bottom w:val="none" w:sz="0" w:space="0" w:color="auto"/>
                <w:right w:val="none" w:sz="0" w:space="0" w:color="auto"/>
              </w:divBdr>
              <w:divsChild>
                <w:div w:id="374162999">
                  <w:marLeft w:val="0"/>
                  <w:marRight w:val="0"/>
                  <w:marTop w:val="0"/>
                  <w:marBottom w:val="0"/>
                  <w:divBdr>
                    <w:top w:val="none" w:sz="0" w:space="0" w:color="auto"/>
                    <w:left w:val="none" w:sz="0" w:space="0" w:color="auto"/>
                    <w:bottom w:val="none" w:sz="0" w:space="0" w:color="auto"/>
                    <w:right w:val="none" w:sz="0" w:space="0" w:color="auto"/>
                  </w:divBdr>
                  <w:divsChild>
                    <w:div w:id="1580210201">
                      <w:marLeft w:val="0"/>
                      <w:marRight w:val="0"/>
                      <w:marTop w:val="0"/>
                      <w:marBottom w:val="0"/>
                      <w:divBdr>
                        <w:top w:val="none" w:sz="0" w:space="0" w:color="auto"/>
                        <w:left w:val="none" w:sz="0" w:space="0" w:color="auto"/>
                        <w:bottom w:val="none" w:sz="0" w:space="0" w:color="auto"/>
                        <w:right w:val="none" w:sz="0" w:space="0" w:color="auto"/>
                      </w:divBdr>
                      <w:divsChild>
                        <w:div w:id="64955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267101">
              <w:marLeft w:val="0"/>
              <w:marRight w:val="0"/>
              <w:marTop w:val="0"/>
              <w:marBottom w:val="0"/>
              <w:divBdr>
                <w:top w:val="none" w:sz="0" w:space="0" w:color="auto"/>
                <w:left w:val="none" w:sz="0" w:space="0" w:color="auto"/>
                <w:bottom w:val="none" w:sz="0" w:space="0" w:color="auto"/>
                <w:right w:val="none" w:sz="0" w:space="0" w:color="auto"/>
              </w:divBdr>
            </w:div>
            <w:div w:id="327633868">
              <w:marLeft w:val="0"/>
              <w:marRight w:val="0"/>
              <w:marTop w:val="0"/>
              <w:marBottom w:val="0"/>
              <w:divBdr>
                <w:top w:val="none" w:sz="0" w:space="0" w:color="auto"/>
                <w:left w:val="none" w:sz="0" w:space="0" w:color="auto"/>
                <w:bottom w:val="none" w:sz="0" w:space="0" w:color="auto"/>
                <w:right w:val="none" w:sz="0" w:space="0" w:color="auto"/>
              </w:divBdr>
              <w:divsChild>
                <w:div w:id="1020858097">
                  <w:marLeft w:val="0"/>
                  <w:marRight w:val="0"/>
                  <w:marTop w:val="0"/>
                  <w:marBottom w:val="0"/>
                  <w:divBdr>
                    <w:top w:val="none" w:sz="0" w:space="0" w:color="auto"/>
                    <w:left w:val="none" w:sz="0" w:space="0" w:color="auto"/>
                    <w:bottom w:val="none" w:sz="0" w:space="0" w:color="auto"/>
                    <w:right w:val="none" w:sz="0" w:space="0" w:color="auto"/>
                  </w:divBdr>
                  <w:divsChild>
                    <w:div w:id="1285498324">
                      <w:marLeft w:val="0"/>
                      <w:marRight w:val="0"/>
                      <w:marTop w:val="0"/>
                      <w:marBottom w:val="0"/>
                      <w:divBdr>
                        <w:top w:val="none" w:sz="0" w:space="0" w:color="auto"/>
                        <w:left w:val="none" w:sz="0" w:space="0" w:color="auto"/>
                        <w:bottom w:val="none" w:sz="0" w:space="0" w:color="auto"/>
                        <w:right w:val="none" w:sz="0" w:space="0" w:color="auto"/>
                      </w:divBdr>
                    </w:div>
                  </w:divsChild>
                </w:div>
                <w:div w:id="1964188655">
                  <w:marLeft w:val="0"/>
                  <w:marRight w:val="0"/>
                  <w:marTop w:val="0"/>
                  <w:marBottom w:val="0"/>
                  <w:divBdr>
                    <w:top w:val="none" w:sz="0" w:space="0" w:color="auto"/>
                    <w:left w:val="none" w:sz="0" w:space="0" w:color="auto"/>
                    <w:bottom w:val="none" w:sz="0" w:space="0" w:color="auto"/>
                    <w:right w:val="none" w:sz="0" w:space="0" w:color="auto"/>
                  </w:divBdr>
                  <w:divsChild>
                    <w:div w:id="8600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7045">
              <w:marLeft w:val="0"/>
              <w:marRight w:val="0"/>
              <w:marTop w:val="0"/>
              <w:marBottom w:val="0"/>
              <w:divBdr>
                <w:top w:val="none" w:sz="0" w:space="0" w:color="auto"/>
                <w:left w:val="none" w:sz="0" w:space="0" w:color="auto"/>
                <w:bottom w:val="none" w:sz="0" w:space="0" w:color="auto"/>
                <w:right w:val="none" w:sz="0" w:space="0" w:color="auto"/>
              </w:divBdr>
              <w:divsChild>
                <w:div w:id="1241868540">
                  <w:marLeft w:val="0"/>
                  <w:marRight w:val="0"/>
                  <w:marTop w:val="0"/>
                  <w:marBottom w:val="0"/>
                  <w:divBdr>
                    <w:top w:val="none" w:sz="0" w:space="0" w:color="auto"/>
                    <w:left w:val="none" w:sz="0" w:space="0" w:color="auto"/>
                    <w:bottom w:val="none" w:sz="0" w:space="0" w:color="auto"/>
                    <w:right w:val="none" w:sz="0" w:space="0" w:color="auto"/>
                  </w:divBdr>
                  <w:divsChild>
                    <w:div w:id="761726008">
                      <w:marLeft w:val="0"/>
                      <w:marRight w:val="0"/>
                      <w:marTop w:val="0"/>
                      <w:marBottom w:val="0"/>
                      <w:divBdr>
                        <w:top w:val="none" w:sz="0" w:space="0" w:color="auto"/>
                        <w:left w:val="none" w:sz="0" w:space="0" w:color="auto"/>
                        <w:bottom w:val="none" w:sz="0" w:space="0" w:color="auto"/>
                        <w:right w:val="none" w:sz="0" w:space="0" w:color="auto"/>
                      </w:divBdr>
                    </w:div>
                    <w:div w:id="1564872956">
                      <w:marLeft w:val="0"/>
                      <w:marRight w:val="0"/>
                      <w:marTop w:val="0"/>
                      <w:marBottom w:val="0"/>
                      <w:divBdr>
                        <w:top w:val="none" w:sz="0" w:space="0" w:color="auto"/>
                        <w:left w:val="none" w:sz="0" w:space="0" w:color="auto"/>
                        <w:bottom w:val="none" w:sz="0" w:space="0" w:color="auto"/>
                        <w:right w:val="none" w:sz="0" w:space="0" w:color="auto"/>
                      </w:divBdr>
                    </w:div>
                    <w:div w:id="322979072">
                      <w:marLeft w:val="0"/>
                      <w:marRight w:val="0"/>
                      <w:marTop w:val="0"/>
                      <w:marBottom w:val="0"/>
                      <w:divBdr>
                        <w:top w:val="none" w:sz="0" w:space="0" w:color="auto"/>
                        <w:left w:val="none" w:sz="0" w:space="0" w:color="auto"/>
                        <w:bottom w:val="none" w:sz="0" w:space="0" w:color="auto"/>
                        <w:right w:val="none" w:sz="0" w:space="0" w:color="auto"/>
                      </w:divBdr>
                    </w:div>
                    <w:div w:id="4752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6012">
              <w:marLeft w:val="0"/>
              <w:marRight w:val="0"/>
              <w:marTop w:val="0"/>
              <w:marBottom w:val="0"/>
              <w:divBdr>
                <w:top w:val="none" w:sz="0" w:space="0" w:color="auto"/>
                <w:left w:val="none" w:sz="0" w:space="0" w:color="auto"/>
                <w:bottom w:val="none" w:sz="0" w:space="0" w:color="auto"/>
                <w:right w:val="none" w:sz="0" w:space="0" w:color="auto"/>
              </w:divBdr>
              <w:divsChild>
                <w:div w:id="1011816">
                  <w:marLeft w:val="0"/>
                  <w:marRight w:val="0"/>
                  <w:marTop w:val="0"/>
                  <w:marBottom w:val="0"/>
                  <w:divBdr>
                    <w:top w:val="none" w:sz="0" w:space="0" w:color="auto"/>
                    <w:left w:val="none" w:sz="0" w:space="0" w:color="auto"/>
                    <w:bottom w:val="none" w:sz="0" w:space="0" w:color="auto"/>
                    <w:right w:val="none" w:sz="0" w:space="0" w:color="auto"/>
                  </w:divBdr>
                  <w:divsChild>
                    <w:div w:id="826484049">
                      <w:marLeft w:val="0"/>
                      <w:marRight w:val="0"/>
                      <w:marTop w:val="0"/>
                      <w:marBottom w:val="0"/>
                      <w:divBdr>
                        <w:top w:val="none" w:sz="0" w:space="0" w:color="auto"/>
                        <w:left w:val="none" w:sz="0" w:space="0" w:color="auto"/>
                        <w:bottom w:val="none" w:sz="0" w:space="0" w:color="auto"/>
                        <w:right w:val="none" w:sz="0" w:space="0" w:color="auto"/>
                      </w:divBdr>
                      <w:divsChild>
                        <w:div w:id="561403724">
                          <w:marLeft w:val="0"/>
                          <w:marRight w:val="0"/>
                          <w:marTop w:val="0"/>
                          <w:marBottom w:val="0"/>
                          <w:divBdr>
                            <w:top w:val="none" w:sz="0" w:space="0" w:color="auto"/>
                            <w:left w:val="none" w:sz="0" w:space="0" w:color="auto"/>
                            <w:bottom w:val="none" w:sz="0" w:space="0" w:color="auto"/>
                            <w:right w:val="none" w:sz="0" w:space="0" w:color="auto"/>
                          </w:divBdr>
                          <w:divsChild>
                            <w:div w:id="20757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35857">
                      <w:marLeft w:val="0"/>
                      <w:marRight w:val="0"/>
                      <w:marTop w:val="0"/>
                      <w:marBottom w:val="0"/>
                      <w:divBdr>
                        <w:top w:val="none" w:sz="0" w:space="0" w:color="auto"/>
                        <w:left w:val="none" w:sz="0" w:space="0" w:color="auto"/>
                        <w:bottom w:val="none" w:sz="0" w:space="0" w:color="auto"/>
                        <w:right w:val="none" w:sz="0" w:space="0" w:color="auto"/>
                      </w:divBdr>
                      <w:divsChild>
                        <w:div w:id="1859612661">
                          <w:marLeft w:val="0"/>
                          <w:marRight w:val="0"/>
                          <w:marTop w:val="0"/>
                          <w:marBottom w:val="0"/>
                          <w:divBdr>
                            <w:top w:val="none" w:sz="0" w:space="0" w:color="auto"/>
                            <w:left w:val="none" w:sz="0" w:space="0" w:color="auto"/>
                            <w:bottom w:val="none" w:sz="0" w:space="0" w:color="auto"/>
                            <w:right w:val="none" w:sz="0" w:space="0" w:color="auto"/>
                          </w:divBdr>
                          <w:divsChild>
                            <w:div w:id="128955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2242">
                      <w:marLeft w:val="0"/>
                      <w:marRight w:val="0"/>
                      <w:marTop w:val="0"/>
                      <w:marBottom w:val="0"/>
                      <w:divBdr>
                        <w:top w:val="none" w:sz="0" w:space="0" w:color="auto"/>
                        <w:left w:val="none" w:sz="0" w:space="0" w:color="auto"/>
                        <w:bottom w:val="none" w:sz="0" w:space="0" w:color="auto"/>
                        <w:right w:val="none" w:sz="0" w:space="0" w:color="auto"/>
                      </w:divBdr>
                      <w:divsChild>
                        <w:div w:id="1029990387">
                          <w:marLeft w:val="0"/>
                          <w:marRight w:val="0"/>
                          <w:marTop w:val="0"/>
                          <w:marBottom w:val="0"/>
                          <w:divBdr>
                            <w:top w:val="none" w:sz="0" w:space="0" w:color="auto"/>
                            <w:left w:val="none" w:sz="0" w:space="0" w:color="auto"/>
                            <w:bottom w:val="none" w:sz="0" w:space="0" w:color="auto"/>
                            <w:right w:val="none" w:sz="0" w:space="0" w:color="auto"/>
                          </w:divBdr>
                          <w:divsChild>
                            <w:div w:id="17954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5161">
                      <w:marLeft w:val="0"/>
                      <w:marRight w:val="0"/>
                      <w:marTop w:val="0"/>
                      <w:marBottom w:val="0"/>
                      <w:divBdr>
                        <w:top w:val="none" w:sz="0" w:space="0" w:color="auto"/>
                        <w:left w:val="none" w:sz="0" w:space="0" w:color="auto"/>
                        <w:bottom w:val="none" w:sz="0" w:space="0" w:color="auto"/>
                        <w:right w:val="none" w:sz="0" w:space="0" w:color="auto"/>
                      </w:divBdr>
                      <w:divsChild>
                        <w:div w:id="1356156693">
                          <w:marLeft w:val="0"/>
                          <w:marRight w:val="0"/>
                          <w:marTop w:val="0"/>
                          <w:marBottom w:val="0"/>
                          <w:divBdr>
                            <w:top w:val="none" w:sz="0" w:space="0" w:color="auto"/>
                            <w:left w:val="none" w:sz="0" w:space="0" w:color="auto"/>
                            <w:bottom w:val="none" w:sz="0" w:space="0" w:color="auto"/>
                            <w:right w:val="none" w:sz="0" w:space="0" w:color="auto"/>
                          </w:divBdr>
                          <w:divsChild>
                            <w:div w:id="12501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939">
                      <w:marLeft w:val="0"/>
                      <w:marRight w:val="0"/>
                      <w:marTop w:val="0"/>
                      <w:marBottom w:val="0"/>
                      <w:divBdr>
                        <w:top w:val="none" w:sz="0" w:space="0" w:color="auto"/>
                        <w:left w:val="none" w:sz="0" w:space="0" w:color="auto"/>
                        <w:bottom w:val="none" w:sz="0" w:space="0" w:color="auto"/>
                        <w:right w:val="none" w:sz="0" w:space="0" w:color="auto"/>
                      </w:divBdr>
                      <w:divsChild>
                        <w:div w:id="578910600">
                          <w:marLeft w:val="0"/>
                          <w:marRight w:val="0"/>
                          <w:marTop w:val="0"/>
                          <w:marBottom w:val="0"/>
                          <w:divBdr>
                            <w:top w:val="none" w:sz="0" w:space="0" w:color="auto"/>
                            <w:left w:val="none" w:sz="0" w:space="0" w:color="auto"/>
                            <w:bottom w:val="none" w:sz="0" w:space="0" w:color="auto"/>
                            <w:right w:val="none" w:sz="0" w:space="0" w:color="auto"/>
                          </w:divBdr>
                          <w:divsChild>
                            <w:div w:id="15648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8401">
                      <w:marLeft w:val="0"/>
                      <w:marRight w:val="0"/>
                      <w:marTop w:val="0"/>
                      <w:marBottom w:val="0"/>
                      <w:divBdr>
                        <w:top w:val="none" w:sz="0" w:space="0" w:color="auto"/>
                        <w:left w:val="none" w:sz="0" w:space="0" w:color="auto"/>
                        <w:bottom w:val="none" w:sz="0" w:space="0" w:color="auto"/>
                        <w:right w:val="none" w:sz="0" w:space="0" w:color="auto"/>
                      </w:divBdr>
                      <w:divsChild>
                        <w:div w:id="1340694949">
                          <w:marLeft w:val="0"/>
                          <w:marRight w:val="0"/>
                          <w:marTop w:val="0"/>
                          <w:marBottom w:val="0"/>
                          <w:divBdr>
                            <w:top w:val="none" w:sz="0" w:space="0" w:color="auto"/>
                            <w:left w:val="none" w:sz="0" w:space="0" w:color="auto"/>
                            <w:bottom w:val="none" w:sz="0" w:space="0" w:color="auto"/>
                            <w:right w:val="none" w:sz="0" w:space="0" w:color="auto"/>
                          </w:divBdr>
                          <w:divsChild>
                            <w:div w:id="10969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1982">
                      <w:marLeft w:val="0"/>
                      <w:marRight w:val="0"/>
                      <w:marTop w:val="0"/>
                      <w:marBottom w:val="0"/>
                      <w:divBdr>
                        <w:top w:val="none" w:sz="0" w:space="0" w:color="auto"/>
                        <w:left w:val="none" w:sz="0" w:space="0" w:color="auto"/>
                        <w:bottom w:val="none" w:sz="0" w:space="0" w:color="auto"/>
                        <w:right w:val="none" w:sz="0" w:space="0" w:color="auto"/>
                      </w:divBdr>
                      <w:divsChild>
                        <w:div w:id="1747680957">
                          <w:marLeft w:val="0"/>
                          <w:marRight w:val="0"/>
                          <w:marTop w:val="0"/>
                          <w:marBottom w:val="0"/>
                          <w:divBdr>
                            <w:top w:val="none" w:sz="0" w:space="0" w:color="auto"/>
                            <w:left w:val="none" w:sz="0" w:space="0" w:color="auto"/>
                            <w:bottom w:val="none" w:sz="0" w:space="0" w:color="auto"/>
                            <w:right w:val="none" w:sz="0" w:space="0" w:color="auto"/>
                          </w:divBdr>
                          <w:divsChild>
                            <w:div w:id="8930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4931">
                  <w:marLeft w:val="0"/>
                  <w:marRight w:val="0"/>
                  <w:marTop w:val="0"/>
                  <w:marBottom w:val="0"/>
                  <w:divBdr>
                    <w:top w:val="none" w:sz="0" w:space="0" w:color="auto"/>
                    <w:left w:val="none" w:sz="0" w:space="0" w:color="auto"/>
                    <w:bottom w:val="none" w:sz="0" w:space="0" w:color="auto"/>
                    <w:right w:val="none" w:sz="0" w:space="0" w:color="auto"/>
                  </w:divBdr>
                  <w:divsChild>
                    <w:div w:id="664892280">
                      <w:marLeft w:val="0"/>
                      <w:marRight w:val="0"/>
                      <w:marTop w:val="0"/>
                      <w:marBottom w:val="0"/>
                      <w:divBdr>
                        <w:top w:val="none" w:sz="0" w:space="0" w:color="auto"/>
                        <w:left w:val="none" w:sz="0" w:space="0" w:color="auto"/>
                        <w:bottom w:val="none" w:sz="0" w:space="0" w:color="auto"/>
                        <w:right w:val="none" w:sz="0" w:space="0" w:color="auto"/>
                      </w:divBdr>
                      <w:divsChild>
                        <w:div w:id="75945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28193">
              <w:marLeft w:val="0"/>
              <w:marRight w:val="0"/>
              <w:marTop w:val="0"/>
              <w:marBottom w:val="0"/>
              <w:divBdr>
                <w:top w:val="none" w:sz="0" w:space="0" w:color="auto"/>
                <w:left w:val="none" w:sz="0" w:space="0" w:color="auto"/>
                <w:bottom w:val="none" w:sz="0" w:space="0" w:color="auto"/>
                <w:right w:val="none" w:sz="0" w:space="0" w:color="auto"/>
              </w:divBdr>
              <w:divsChild>
                <w:div w:id="2099866417">
                  <w:marLeft w:val="0"/>
                  <w:marRight w:val="0"/>
                  <w:marTop w:val="0"/>
                  <w:marBottom w:val="0"/>
                  <w:divBdr>
                    <w:top w:val="none" w:sz="0" w:space="0" w:color="auto"/>
                    <w:left w:val="none" w:sz="0" w:space="0" w:color="auto"/>
                    <w:bottom w:val="none" w:sz="0" w:space="0" w:color="auto"/>
                    <w:right w:val="none" w:sz="0" w:space="0" w:color="auto"/>
                  </w:divBdr>
                </w:div>
              </w:divsChild>
            </w:div>
            <w:div w:id="1326937216">
              <w:marLeft w:val="0"/>
              <w:marRight w:val="0"/>
              <w:marTop w:val="0"/>
              <w:marBottom w:val="0"/>
              <w:divBdr>
                <w:top w:val="none" w:sz="0" w:space="0" w:color="auto"/>
                <w:left w:val="none" w:sz="0" w:space="0" w:color="auto"/>
                <w:bottom w:val="none" w:sz="0" w:space="0" w:color="auto"/>
                <w:right w:val="none" w:sz="0" w:space="0" w:color="auto"/>
              </w:divBdr>
            </w:div>
            <w:div w:id="1999192130">
              <w:marLeft w:val="0"/>
              <w:marRight w:val="0"/>
              <w:marTop w:val="0"/>
              <w:marBottom w:val="0"/>
              <w:divBdr>
                <w:top w:val="none" w:sz="0" w:space="0" w:color="auto"/>
                <w:left w:val="none" w:sz="0" w:space="0" w:color="auto"/>
                <w:bottom w:val="none" w:sz="0" w:space="0" w:color="auto"/>
                <w:right w:val="none" w:sz="0" w:space="0" w:color="auto"/>
              </w:divBdr>
            </w:div>
            <w:div w:id="1662737519">
              <w:marLeft w:val="0"/>
              <w:marRight w:val="0"/>
              <w:marTop w:val="0"/>
              <w:marBottom w:val="0"/>
              <w:divBdr>
                <w:top w:val="none" w:sz="0" w:space="0" w:color="auto"/>
                <w:left w:val="none" w:sz="0" w:space="0" w:color="auto"/>
                <w:bottom w:val="none" w:sz="0" w:space="0" w:color="auto"/>
                <w:right w:val="none" w:sz="0" w:space="0" w:color="auto"/>
              </w:divBdr>
              <w:divsChild>
                <w:div w:id="846022036">
                  <w:marLeft w:val="0"/>
                  <w:marRight w:val="0"/>
                  <w:marTop w:val="0"/>
                  <w:marBottom w:val="0"/>
                  <w:divBdr>
                    <w:top w:val="none" w:sz="0" w:space="0" w:color="auto"/>
                    <w:left w:val="none" w:sz="0" w:space="0" w:color="auto"/>
                    <w:bottom w:val="none" w:sz="0" w:space="0" w:color="auto"/>
                    <w:right w:val="none" w:sz="0" w:space="0" w:color="auto"/>
                  </w:divBdr>
                </w:div>
              </w:divsChild>
            </w:div>
            <w:div w:id="1100025045">
              <w:marLeft w:val="0"/>
              <w:marRight w:val="0"/>
              <w:marTop w:val="0"/>
              <w:marBottom w:val="0"/>
              <w:divBdr>
                <w:top w:val="none" w:sz="0" w:space="0" w:color="auto"/>
                <w:left w:val="none" w:sz="0" w:space="0" w:color="auto"/>
                <w:bottom w:val="none" w:sz="0" w:space="0" w:color="auto"/>
                <w:right w:val="none" w:sz="0" w:space="0" w:color="auto"/>
              </w:divBdr>
            </w:div>
            <w:div w:id="1232623230">
              <w:marLeft w:val="0"/>
              <w:marRight w:val="0"/>
              <w:marTop w:val="0"/>
              <w:marBottom w:val="0"/>
              <w:divBdr>
                <w:top w:val="none" w:sz="0" w:space="0" w:color="auto"/>
                <w:left w:val="none" w:sz="0" w:space="0" w:color="auto"/>
                <w:bottom w:val="none" w:sz="0" w:space="0" w:color="auto"/>
                <w:right w:val="none" w:sz="0" w:space="0" w:color="auto"/>
              </w:divBdr>
            </w:div>
            <w:div w:id="1544825513">
              <w:marLeft w:val="0"/>
              <w:marRight w:val="0"/>
              <w:marTop w:val="0"/>
              <w:marBottom w:val="0"/>
              <w:divBdr>
                <w:top w:val="none" w:sz="0" w:space="0" w:color="auto"/>
                <w:left w:val="none" w:sz="0" w:space="0" w:color="auto"/>
                <w:bottom w:val="none" w:sz="0" w:space="0" w:color="auto"/>
                <w:right w:val="none" w:sz="0" w:space="0" w:color="auto"/>
              </w:divBdr>
              <w:divsChild>
                <w:div w:id="874467633">
                  <w:marLeft w:val="0"/>
                  <w:marRight w:val="0"/>
                  <w:marTop w:val="0"/>
                  <w:marBottom w:val="0"/>
                  <w:divBdr>
                    <w:top w:val="none" w:sz="0" w:space="0" w:color="auto"/>
                    <w:left w:val="none" w:sz="0" w:space="0" w:color="auto"/>
                    <w:bottom w:val="none" w:sz="0" w:space="0" w:color="auto"/>
                    <w:right w:val="none" w:sz="0" w:space="0" w:color="auto"/>
                  </w:divBdr>
                </w:div>
              </w:divsChild>
            </w:div>
            <w:div w:id="516234881">
              <w:marLeft w:val="0"/>
              <w:marRight w:val="0"/>
              <w:marTop w:val="0"/>
              <w:marBottom w:val="0"/>
              <w:divBdr>
                <w:top w:val="none" w:sz="0" w:space="0" w:color="auto"/>
                <w:left w:val="none" w:sz="0" w:space="0" w:color="auto"/>
                <w:bottom w:val="none" w:sz="0" w:space="0" w:color="auto"/>
                <w:right w:val="none" w:sz="0" w:space="0" w:color="auto"/>
              </w:divBdr>
            </w:div>
            <w:div w:id="1227035290">
              <w:marLeft w:val="0"/>
              <w:marRight w:val="0"/>
              <w:marTop w:val="0"/>
              <w:marBottom w:val="0"/>
              <w:divBdr>
                <w:top w:val="none" w:sz="0" w:space="0" w:color="auto"/>
                <w:left w:val="none" w:sz="0" w:space="0" w:color="auto"/>
                <w:bottom w:val="none" w:sz="0" w:space="0" w:color="auto"/>
                <w:right w:val="none" w:sz="0" w:space="0" w:color="auto"/>
              </w:divBdr>
            </w:div>
            <w:div w:id="117339704">
              <w:marLeft w:val="0"/>
              <w:marRight w:val="0"/>
              <w:marTop w:val="0"/>
              <w:marBottom w:val="0"/>
              <w:divBdr>
                <w:top w:val="none" w:sz="0" w:space="0" w:color="auto"/>
                <w:left w:val="none" w:sz="0" w:space="0" w:color="auto"/>
                <w:bottom w:val="none" w:sz="0" w:space="0" w:color="auto"/>
                <w:right w:val="none" w:sz="0" w:space="0" w:color="auto"/>
              </w:divBdr>
              <w:divsChild>
                <w:div w:id="802692472">
                  <w:marLeft w:val="0"/>
                  <w:marRight w:val="0"/>
                  <w:marTop w:val="0"/>
                  <w:marBottom w:val="0"/>
                  <w:divBdr>
                    <w:top w:val="none" w:sz="0" w:space="0" w:color="auto"/>
                    <w:left w:val="none" w:sz="0" w:space="0" w:color="auto"/>
                    <w:bottom w:val="none" w:sz="0" w:space="0" w:color="auto"/>
                    <w:right w:val="none" w:sz="0" w:space="0" w:color="auto"/>
                  </w:divBdr>
                </w:div>
              </w:divsChild>
            </w:div>
            <w:div w:id="1772318817">
              <w:marLeft w:val="0"/>
              <w:marRight w:val="0"/>
              <w:marTop w:val="0"/>
              <w:marBottom w:val="0"/>
              <w:divBdr>
                <w:top w:val="none" w:sz="0" w:space="0" w:color="auto"/>
                <w:left w:val="none" w:sz="0" w:space="0" w:color="auto"/>
                <w:bottom w:val="none" w:sz="0" w:space="0" w:color="auto"/>
                <w:right w:val="none" w:sz="0" w:space="0" w:color="auto"/>
              </w:divBdr>
            </w:div>
            <w:div w:id="1622804919">
              <w:marLeft w:val="0"/>
              <w:marRight w:val="0"/>
              <w:marTop w:val="0"/>
              <w:marBottom w:val="0"/>
              <w:divBdr>
                <w:top w:val="none" w:sz="0" w:space="0" w:color="auto"/>
                <w:left w:val="none" w:sz="0" w:space="0" w:color="auto"/>
                <w:bottom w:val="none" w:sz="0" w:space="0" w:color="auto"/>
                <w:right w:val="none" w:sz="0" w:space="0" w:color="auto"/>
              </w:divBdr>
            </w:div>
            <w:div w:id="1906063232">
              <w:marLeft w:val="0"/>
              <w:marRight w:val="0"/>
              <w:marTop w:val="0"/>
              <w:marBottom w:val="0"/>
              <w:divBdr>
                <w:top w:val="none" w:sz="0" w:space="0" w:color="auto"/>
                <w:left w:val="none" w:sz="0" w:space="0" w:color="auto"/>
                <w:bottom w:val="none" w:sz="0" w:space="0" w:color="auto"/>
                <w:right w:val="none" w:sz="0" w:space="0" w:color="auto"/>
              </w:divBdr>
              <w:divsChild>
                <w:div w:id="1316491308">
                  <w:marLeft w:val="0"/>
                  <w:marRight w:val="0"/>
                  <w:marTop w:val="0"/>
                  <w:marBottom w:val="0"/>
                  <w:divBdr>
                    <w:top w:val="none" w:sz="0" w:space="0" w:color="auto"/>
                    <w:left w:val="none" w:sz="0" w:space="0" w:color="auto"/>
                    <w:bottom w:val="none" w:sz="0" w:space="0" w:color="auto"/>
                    <w:right w:val="none" w:sz="0" w:space="0" w:color="auto"/>
                  </w:divBdr>
                </w:div>
              </w:divsChild>
            </w:div>
            <w:div w:id="859471171">
              <w:marLeft w:val="0"/>
              <w:marRight w:val="0"/>
              <w:marTop w:val="0"/>
              <w:marBottom w:val="0"/>
              <w:divBdr>
                <w:top w:val="none" w:sz="0" w:space="0" w:color="auto"/>
                <w:left w:val="none" w:sz="0" w:space="0" w:color="auto"/>
                <w:bottom w:val="none" w:sz="0" w:space="0" w:color="auto"/>
                <w:right w:val="none" w:sz="0" w:space="0" w:color="auto"/>
              </w:divBdr>
            </w:div>
            <w:div w:id="567149422">
              <w:marLeft w:val="0"/>
              <w:marRight w:val="0"/>
              <w:marTop w:val="0"/>
              <w:marBottom w:val="0"/>
              <w:divBdr>
                <w:top w:val="none" w:sz="0" w:space="0" w:color="auto"/>
                <w:left w:val="none" w:sz="0" w:space="0" w:color="auto"/>
                <w:bottom w:val="none" w:sz="0" w:space="0" w:color="auto"/>
                <w:right w:val="none" w:sz="0" w:space="0" w:color="auto"/>
              </w:divBdr>
            </w:div>
            <w:div w:id="515921234">
              <w:marLeft w:val="0"/>
              <w:marRight w:val="0"/>
              <w:marTop w:val="0"/>
              <w:marBottom w:val="0"/>
              <w:divBdr>
                <w:top w:val="none" w:sz="0" w:space="0" w:color="auto"/>
                <w:left w:val="none" w:sz="0" w:space="0" w:color="auto"/>
                <w:bottom w:val="none" w:sz="0" w:space="0" w:color="auto"/>
                <w:right w:val="none" w:sz="0" w:space="0" w:color="auto"/>
              </w:divBdr>
            </w:div>
            <w:div w:id="1290666910">
              <w:marLeft w:val="0"/>
              <w:marRight w:val="0"/>
              <w:marTop w:val="0"/>
              <w:marBottom w:val="0"/>
              <w:divBdr>
                <w:top w:val="none" w:sz="0" w:space="0" w:color="auto"/>
                <w:left w:val="none" w:sz="0" w:space="0" w:color="auto"/>
                <w:bottom w:val="none" w:sz="0" w:space="0" w:color="auto"/>
                <w:right w:val="none" w:sz="0" w:space="0" w:color="auto"/>
              </w:divBdr>
              <w:divsChild>
                <w:div w:id="1363634228">
                  <w:marLeft w:val="0"/>
                  <w:marRight w:val="0"/>
                  <w:marTop w:val="0"/>
                  <w:marBottom w:val="0"/>
                  <w:divBdr>
                    <w:top w:val="none" w:sz="0" w:space="0" w:color="auto"/>
                    <w:left w:val="none" w:sz="0" w:space="0" w:color="auto"/>
                    <w:bottom w:val="none" w:sz="0" w:space="0" w:color="auto"/>
                    <w:right w:val="none" w:sz="0" w:space="0" w:color="auto"/>
                  </w:divBdr>
                </w:div>
              </w:divsChild>
            </w:div>
            <w:div w:id="1043137444">
              <w:marLeft w:val="0"/>
              <w:marRight w:val="0"/>
              <w:marTop w:val="0"/>
              <w:marBottom w:val="0"/>
              <w:divBdr>
                <w:top w:val="none" w:sz="0" w:space="0" w:color="auto"/>
                <w:left w:val="none" w:sz="0" w:space="0" w:color="auto"/>
                <w:bottom w:val="none" w:sz="0" w:space="0" w:color="auto"/>
                <w:right w:val="none" w:sz="0" w:space="0" w:color="auto"/>
              </w:divBdr>
            </w:div>
            <w:div w:id="611785257">
              <w:marLeft w:val="0"/>
              <w:marRight w:val="0"/>
              <w:marTop w:val="0"/>
              <w:marBottom w:val="0"/>
              <w:divBdr>
                <w:top w:val="none" w:sz="0" w:space="0" w:color="auto"/>
                <w:left w:val="none" w:sz="0" w:space="0" w:color="auto"/>
                <w:bottom w:val="none" w:sz="0" w:space="0" w:color="auto"/>
                <w:right w:val="none" w:sz="0" w:space="0" w:color="auto"/>
              </w:divBdr>
            </w:div>
            <w:div w:id="2025668424">
              <w:marLeft w:val="0"/>
              <w:marRight w:val="0"/>
              <w:marTop w:val="0"/>
              <w:marBottom w:val="0"/>
              <w:divBdr>
                <w:top w:val="none" w:sz="0" w:space="0" w:color="auto"/>
                <w:left w:val="none" w:sz="0" w:space="0" w:color="auto"/>
                <w:bottom w:val="none" w:sz="0" w:space="0" w:color="auto"/>
                <w:right w:val="none" w:sz="0" w:space="0" w:color="auto"/>
              </w:divBdr>
              <w:divsChild>
                <w:div w:id="969017194">
                  <w:marLeft w:val="0"/>
                  <w:marRight w:val="0"/>
                  <w:marTop w:val="0"/>
                  <w:marBottom w:val="0"/>
                  <w:divBdr>
                    <w:top w:val="none" w:sz="0" w:space="0" w:color="auto"/>
                    <w:left w:val="none" w:sz="0" w:space="0" w:color="auto"/>
                    <w:bottom w:val="none" w:sz="0" w:space="0" w:color="auto"/>
                    <w:right w:val="none" w:sz="0" w:space="0" w:color="auto"/>
                  </w:divBdr>
                </w:div>
              </w:divsChild>
            </w:div>
            <w:div w:id="1004670091">
              <w:marLeft w:val="0"/>
              <w:marRight w:val="0"/>
              <w:marTop w:val="0"/>
              <w:marBottom w:val="0"/>
              <w:divBdr>
                <w:top w:val="none" w:sz="0" w:space="0" w:color="auto"/>
                <w:left w:val="none" w:sz="0" w:space="0" w:color="auto"/>
                <w:bottom w:val="none" w:sz="0" w:space="0" w:color="auto"/>
                <w:right w:val="none" w:sz="0" w:space="0" w:color="auto"/>
              </w:divBdr>
            </w:div>
            <w:div w:id="939796749">
              <w:marLeft w:val="0"/>
              <w:marRight w:val="0"/>
              <w:marTop w:val="0"/>
              <w:marBottom w:val="0"/>
              <w:divBdr>
                <w:top w:val="none" w:sz="0" w:space="0" w:color="auto"/>
                <w:left w:val="none" w:sz="0" w:space="0" w:color="auto"/>
                <w:bottom w:val="none" w:sz="0" w:space="0" w:color="auto"/>
                <w:right w:val="none" w:sz="0" w:space="0" w:color="auto"/>
              </w:divBdr>
            </w:div>
            <w:div w:id="846360389">
              <w:marLeft w:val="0"/>
              <w:marRight w:val="0"/>
              <w:marTop w:val="0"/>
              <w:marBottom w:val="0"/>
              <w:divBdr>
                <w:top w:val="none" w:sz="0" w:space="0" w:color="auto"/>
                <w:left w:val="none" w:sz="0" w:space="0" w:color="auto"/>
                <w:bottom w:val="none" w:sz="0" w:space="0" w:color="auto"/>
                <w:right w:val="none" w:sz="0" w:space="0" w:color="auto"/>
              </w:divBdr>
              <w:divsChild>
                <w:div w:id="1960988609">
                  <w:marLeft w:val="0"/>
                  <w:marRight w:val="0"/>
                  <w:marTop w:val="0"/>
                  <w:marBottom w:val="0"/>
                  <w:divBdr>
                    <w:top w:val="none" w:sz="0" w:space="0" w:color="auto"/>
                    <w:left w:val="none" w:sz="0" w:space="0" w:color="auto"/>
                    <w:bottom w:val="none" w:sz="0" w:space="0" w:color="auto"/>
                    <w:right w:val="none" w:sz="0" w:space="0" w:color="auto"/>
                  </w:divBdr>
                </w:div>
              </w:divsChild>
            </w:div>
            <w:div w:id="1316300366">
              <w:marLeft w:val="0"/>
              <w:marRight w:val="0"/>
              <w:marTop w:val="0"/>
              <w:marBottom w:val="0"/>
              <w:divBdr>
                <w:top w:val="none" w:sz="0" w:space="0" w:color="auto"/>
                <w:left w:val="none" w:sz="0" w:space="0" w:color="auto"/>
                <w:bottom w:val="none" w:sz="0" w:space="0" w:color="auto"/>
                <w:right w:val="none" w:sz="0" w:space="0" w:color="auto"/>
              </w:divBdr>
            </w:div>
            <w:div w:id="100957845">
              <w:marLeft w:val="0"/>
              <w:marRight w:val="0"/>
              <w:marTop w:val="0"/>
              <w:marBottom w:val="0"/>
              <w:divBdr>
                <w:top w:val="none" w:sz="0" w:space="0" w:color="auto"/>
                <w:left w:val="none" w:sz="0" w:space="0" w:color="auto"/>
                <w:bottom w:val="none" w:sz="0" w:space="0" w:color="auto"/>
                <w:right w:val="none" w:sz="0" w:space="0" w:color="auto"/>
              </w:divBdr>
            </w:div>
            <w:div w:id="445856665">
              <w:marLeft w:val="0"/>
              <w:marRight w:val="0"/>
              <w:marTop w:val="0"/>
              <w:marBottom w:val="0"/>
              <w:divBdr>
                <w:top w:val="none" w:sz="0" w:space="0" w:color="auto"/>
                <w:left w:val="none" w:sz="0" w:space="0" w:color="auto"/>
                <w:bottom w:val="none" w:sz="0" w:space="0" w:color="auto"/>
                <w:right w:val="none" w:sz="0" w:space="0" w:color="auto"/>
              </w:divBdr>
              <w:divsChild>
                <w:div w:id="1172337513">
                  <w:marLeft w:val="0"/>
                  <w:marRight w:val="0"/>
                  <w:marTop w:val="0"/>
                  <w:marBottom w:val="0"/>
                  <w:divBdr>
                    <w:top w:val="none" w:sz="0" w:space="0" w:color="auto"/>
                    <w:left w:val="none" w:sz="0" w:space="0" w:color="auto"/>
                    <w:bottom w:val="none" w:sz="0" w:space="0" w:color="auto"/>
                    <w:right w:val="none" w:sz="0" w:space="0" w:color="auto"/>
                  </w:divBdr>
                </w:div>
              </w:divsChild>
            </w:div>
            <w:div w:id="1990938897">
              <w:marLeft w:val="0"/>
              <w:marRight w:val="0"/>
              <w:marTop w:val="0"/>
              <w:marBottom w:val="0"/>
              <w:divBdr>
                <w:top w:val="none" w:sz="0" w:space="0" w:color="auto"/>
                <w:left w:val="none" w:sz="0" w:space="0" w:color="auto"/>
                <w:bottom w:val="none" w:sz="0" w:space="0" w:color="auto"/>
                <w:right w:val="none" w:sz="0" w:space="0" w:color="auto"/>
              </w:divBdr>
            </w:div>
            <w:div w:id="367611350">
              <w:marLeft w:val="0"/>
              <w:marRight w:val="0"/>
              <w:marTop w:val="0"/>
              <w:marBottom w:val="0"/>
              <w:divBdr>
                <w:top w:val="none" w:sz="0" w:space="0" w:color="auto"/>
                <w:left w:val="none" w:sz="0" w:space="0" w:color="auto"/>
                <w:bottom w:val="none" w:sz="0" w:space="0" w:color="auto"/>
                <w:right w:val="none" w:sz="0" w:space="0" w:color="auto"/>
              </w:divBdr>
            </w:div>
            <w:div w:id="749430359">
              <w:marLeft w:val="0"/>
              <w:marRight w:val="0"/>
              <w:marTop w:val="0"/>
              <w:marBottom w:val="0"/>
              <w:divBdr>
                <w:top w:val="none" w:sz="0" w:space="0" w:color="auto"/>
                <w:left w:val="none" w:sz="0" w:space="0" w:color="auto"/>
                <w:bottom w:val="none" w:sz="0" w:space="0" w:color="auto"/>
                <w:right w:val="none" w:sz="0" w:space="0" w:color="auto"/>
              </w:divBdr>
              <w:divsChild>
                <w:div w:id="761412987">
                  <w:marLeft w:val="0"/>
                  <w:marRight w:val="0"/>
                  <w:marTop w:val="0"/>
                  <w:marBottom w:val="0"/>
                  <w:divBdr>
                    <w:top w:val="none" w:sz="0" w:space="0" w:color="auto"/>
                    <w:left w:val="none" w:sz="0" w:space="0" w:color="auto"/>
                    <w:bottom w:val="none" w:sz="0" w:space="0" w:color="auto"/>
                    <w:right w:val="none" w:sz="0" w:space="0" w:color="auto"/>
                  </w:divBdr>
                </w:div>
              </w:divsChild>
            </w:div>
            <w:div w:id="1307665927">
              <w:marLeft w:val="0"/>
              <w:marRight w:val="0"/>
              <w:marTop w:val="0"/>
              <w:marBottom w:val="0"/>
              <w:divBdr>
                <w:top w:val="none" w:sz="0" w:space="0" w:color="auto"/>
                <w:left w:val="none" w:sz="0" w:space="0" w:color="auto"/>
                <w:bottom w:val="none" w:sz="0" w:space="0" w:color="auto"/>
                <w:right w:val="none" w:sz="0" w:space="0" w:color="auto"/>
              </w:divBdr>
            </w:div>
            <w:div w:id="1334721404">
              <w:marLeft w:val="0"/>
              <w:marRight w:val="0"/>
              <w:marTop w:val="0"/>
              <w:marBottom w:val="0"/>
              <w:divBdr>
                <w:top w:val="none" w:sz="0" w:space="0" w:color="auto"/>
                <w:left w:val="none" w:sz="0" w:space="0" w:color="auto"/>
                <w:bottom w:val="none" w:sz="0" w:space="0" w:color="auto"/>
                <w:right w:val="none" w:sz="0" w:space="0" w:color="auto"/>
              </w:divBdr>
            </w:div>
            <w:div w:id="1983995044">
              <w:marLeft w:val="0"/>
              <w:marRight w:val="0"/>
              <w:marTop w:val="0"/>
              <w:marBottom w:val="0"/>
              <w:divBdr>
                <w:top w:val="none" w:sz="0" w:space="0" w:color="auto"/>
                <w:left w:val="none" w:sz="0" w:space="0" w:color="auto"/>
                <w:bottom w:val="none" w:sz="0" w:space="0" w:color="auto"/>
                <w:right w:val="none" w:sz="0" w:space="0" w:color="auto"/>
              </w:divBdr>
              <w:divsChild>
                <w:div w:id="647324382">
                  <w:marLeft w:val="0"/>
                  <w:marRight w:val="0"/>
                  <w:marTop w:val="0"/>
                  <w:marBottom w:val="0"/>
                  <w:divBdr>
                    <w:top w:val="none" w:sz="0" w:space="0" w:color="auto"/>
                    <w:left w:val="none" w:sz="0" w:space="0" w:color="auto"/>
                    <w:bottom w:val="none" w:sz="0" w:space="0" w:color="auto"/>
                    <w:right w:val="none" w:sz="0" w:space="0" w:color="auto"/>
                  </w:divBdr>
                </w:div>
              </w:divsChild>
            </w:div>
            <w:div w:id="435253204">
              <w:marLeft w:val="0"/>
              <w:marRight w:val="0"/>
              <w:marTop w:val="0"/>
              <w:marBottom w:val="0"/>
              <w:divBdr>
                <w:top w:val="none" w:sz="0" w:space="0" w:color="auto"/>
                <w:left w:val="none" w:sz="0" w:space="0" w:color="auto"/>
                <w:bottom w:val="none" w:sz="0" w:space="0" w:color="auto"/>
                <w:right w:val="none" w:sz="0" w:space="0" w:color="auto"/>
              </w:divBdr>
            </w:div>
            <w:div w:id="1080756476">
              <w:marLeft w:val="0"/>
              <w:marRight w:val="0"/>
              <w:marTop w:val="0"/>
              <w:marBottom w:val="0"/>
              <w:divBdr>
                <w:top w:val="none" w:sz="0" w:space="0" w:color="auto"/>
                <w:left w:val="none" w:sz="0" w:space="0" w:color="auto"/>
                <w:bottom w:val="none" w:sz="0" w:space="0" w:color="auto"/>
                <w:right w:val="none" w:sz="0" w:space="0" w:color="auto"/>
              </w:divBdr>
            </w:div>
            <w:div w:id="1233807102">
              <w:marLeft w:val="0"/>
              <w:marRight w:val="0"/>
              <w:marTop w:val="0"/>
              <w:marBottom w:val="0"/>
              <w:divBdr>
                <w:top w:val="none" w:sz="0" w:space="0" w:color="auto"/>
                <w:left w:val="none" w:sz="0" w:space="0" w:color="auto"/>
                <w:bottom w:val="none" w:sz="0" w:space="0" w:color="auto"/>
                <w:right w:val="none" w:sz="0" w:space="0" w:color="auto"/>
              </w:divBdr>
              <w:divsChild>
                <w:div w:id="1019501516">
                  <w:marLeft w:val="0"/>
                  <w:marRight w:val="0"/>
                  <w:marTop w:val="0"/>
                  <w:marBottom w:val="0"/>
                  <w:divBdr>
                    <w:top w:val="none" w:sz="0" w:space="0" w:color="auto"/>
                    <w:left w:val="none" w:sz="0" w:space="0" w:color="auto"/>
                    <w:bottom w:val="none" w:sz="0" w:space="0" w:color="auto"/>
                    <w:right w:val="none" w:sz="0" w:space="0" w:color="auto"/>
                  </w:divBdr>
                </w:div>
              </w:divsChild>
            </w:div>
            <w:div w:id="1018194456">
              <w:marLeft w:val="0"/>
              <w:marRight w:val="0"/>
              <w:marTop w:val="0"/>
              <w:marBottom w:val="0"/>
              <w:divBdr>
                <w:top w:val="none" w:sz="0" w:space="0" w:color="auto"/>
                <w:left w:val="none" w:sz="0" w:space="0" w:color="auto"/>
                <w:bottom w:val="none" w:sz="0" w:space="0" w:color="auto"/>
                <w:right w:val="none" w:sz="0" w:space="0" w:color="auto"/>
              </w:divBdr>
            </w:div>
            <w:div w:id="1433866553">
              <w:marLeft w:val="0"/>
              <w:marRight w:val="0"/>
              <w:marTop w:val="0"/>
              <w:marBottom w:val="0"/>
              <w:divBdr>
                <w:top w:val="none" w:sz="0" w:space="0" w:color="auto"/>
                <w:left w:val="none" w:sz="0" w:space="0" w:color="auto"/>
                <w:bottom w:val="none" w:sz="0" w:space="0" w:color="auto"/>
                <w:right w:val="none" w:sz="0" w:space="0" w:color="auto"/>
              </w:divBdr>
            </w:div>
            <w:div w:id="893735390">
              <w:marLeft w:val="0"/>
              <w:marRight w:val="0"/>
              <w:marTop w:val="0"/>
              <w:marBottom w:val="0"/>
              <w:divBdr>
                <w:top w:val="none" w:sz="0" w:space="0" w:color="auto"/>
                <w:left w:val="none" w:sz="0" w:space="0" w:color="auto"/>
                <w:bottom w:val="none" w:sz="0" w:space="0" w:color="auto"/>
                <w:right w:val="none" w:sz="0" w:space="0" w:color="auto"/>
              </w:divBdr>
              <w:divsChild>
                <w:div w:id="1153568413">
                  <w:marLeft w:val="0"/>
                  <w:marRight w:val="0"/>
                  <w:marTop w:val="0"/>
                  <w:marBottom w:val="0"/>
                  <w:divBdr>
                    <w:top w:val="none" w:sz="0" w:space="0" w:color="auto"/>
                    <w:left w:val="none" w:sz="0" w:space="0" w:color="auto"/>
                    <w:bottom w:val="none" w:sz="0" w:space="0" w:color="auto"/>
                    <w:right w:val="none" w:sz="0" w:space="0" w:color="auto"/>
                  </w:divBdr>
                </w:div>
              </w:divsChild>
            </w:div>
            <w:div w:id="1156146915">
              <w:marLeft w:val="0"/>
              <w:marRight w:val="0"/>
              <w:marTop w:val="0"/>
              <w:marBottom w:val="0"/>
              <w:divBdr>
                <w:top w:val="none" w:sz="0" w:space="0" w:color="auto"/>
                <w:left w:val="none" w:sz="0" w:space="0" w:color="auto"/>
                <w:bottom w:val="none" w:sz="0" w:space="0" w:color="auto"/>
                <w:right w:val="none" w:sz="0" w:space="0" w:color="auto"/>
              </w:divBdr>
            </w:div>
            <w:div w:id="821115052">
              <w:marLeft w:val="0"/>
              <w:marRight w:val="0"/>
              <w:marTop w:val="0"/>
              <w:marBottom w:val="0"/>
              <w:divBdr>
                <w:top w:val="none" w:sz="0" w:space="0" w:color="auto"/>
                <w:left w:val="none" w:sz="0" w:space="0" w:color="auto"/>
                <w:bottom w:val="none" w:sz="0" w:space="0" w:color="auto"/>
                <w:right w:val="none" w:sz="0" w:space="0" w:color="auto"/>
              </w:divBdr>
            </w:div>
            <w:div w:id="1410732874">
              <w:marLeft w:val="0"/>
              <w:marRight w:val="0"/>
              <w:marTop w:val="0"/>
              <w:marBottom w:val="0"/>
              <w:divBdr>
                <w:top w:val="none" w:sz="0" w:space="0" w:color="auto"/>
                <w:left w:val="none" w:sz="0" w:space="0" w:color="auto"/>
                <w:bottom w:val="none" w:sz="0" w:space="0" w:color="auto"/>
                <w:right w:val="none" w:sz="0" w:space="0" w:color="auto"/>
              </w:divBdr>
              <w:divsChild>
                <w:div w:id="847448697">
                  <w:marLeft w:val="0"/>
                  <w:marRight w:val="0"/>
                  <w:marTop w:val="0"/>
                  <w:marBottom w:val="0"/>
                  <w:divBdr>
                    <w:top w:val="none" w:sz="0" w:space="0" w:color="auto"/>
                    <w:left w:val="none" w:sz="0" w:space="0" w:color="auto"/>
                    <w:bottom w:val="none" w:sz="0" w:space="0" w:color="auto"/>
                    <w:right w:val="none" w:sz="0" w:space="0" w:color="auto"/>
                  </w:divBdr>
                </w:div>
              </w:divsChild>
            </w:div>
            <w:div w:id="296104541">
              <w:marLeft w:val="0"/>
              <w:marRight w:val="0"/>
              <w:marTop w:val="0"/>
              <w:marBottom w:val="0"/>
              <w:divBdr>
                <w:top w:val="none" w:sz="0" w:space="0" w:color="auto"/>
                <w:left w:val="none" w:sz="0" w:space="0" w:color="auto"/>
                <w:bottom w:val="none" w:sz="0" w:space="0" w:color="auto"/>
                <w:right w:val="none" w:sz="0" w:space="0" w:color="auto"/>
              </w:divBdr>
            </w:div>
            <w:div w:id="898588739">
              <w:marLeft w:val="0"/>
              <w:marRight w:val="0"/>
              <w:marTop w:val="0"/>
              <w:marBottom w:val="0"/>
              <w:divBdr>
                <w:top w:val="none" w:sz="0" w:space="0" w:color="auto"/>
                <w:left w:val="none" w:sz="0" w:space="0" w:color="auto"/>
                <w:bottom w:val="none" w:sz="0" w:space="0" w:color="auto"/>
                <w:right w:val="none" w:sz="0" w:space="0" w:color="auto"/>
              </w:divBdr>
            </w:div>
            <w:div w:id="220756985">
              <w:marLeft w:val="0"/>
              <w:marRight w:val="0"/>
              <w:marTop w:val="0"/>
              <w:marBottom w:val="0"/>
              <w:divBdr>
                <w:top w:val="none" w:sz="0" w:space="0" w:color="auto"/>
                <w:left w:val="none" w:sz="0" w:space="0" w:color="auto"/>
                <w:bottom w:val="none" w:sz="0" w:space="0" w:color="auto"/>
                <w:right w:val="none" w:sz="0" w:space="0" w:color="auto"/>
              </w:divBdr>
              <w:divsChild>
                <w:div w:id="43598903">
                  <w:marLeft w:val="0"/>
                  <w:marRight w:val="0"/>
                  <w:marTop w:val="0"/>
                  <w:marBottom w:val="0"/>
                  <w:divBdr>
                    <w:top w:val="none" w:sz="0" w:space="0" w:color="auto"/>
                    <w:left w:val="none" w:sz="0" w:space="0" w:color="auto"/>
                    <w:bottom w:val="none" w:sz="0" w:space="0" w:color="auto"/>
                    <w:right w:val="none" w:sz="0" w:space="0" w:color="auto"/>
                  </w:divBdr>
                </w:div>
              </w:divsChild>
            </w:div>
            <w:div w:id="916860782">
              <w:marLeft w:val="0"/>
              <w:marRight w:val="0"/>
              <w:marTop w:val="0"/>
              <w:marBottom w:val="0"/>
              <w:divBdr>
                <w:top w:val="none" w:sz="0" w:space="0" w:color="auto"/>
                <w:left w:val="none" w:sz="0" w:space="0" w:color="auto"/>
                <w:bottom w:val="none" w:sz="0" w:space="0" w:color="auto"/>
                <w:right w:val="none" w:sz="0" w:space="0" w:color="auto"/>
              </w:divBdr>
            </w:div>
            <w:div w:id="415127350">
              <w:marLeft w:val="0"/>
              <w:marRight w:val="0"/>
              <w:marTop w:val="0"/>
              <w:marBottom w:val="0"/>
              <w:divBdr>
                <w:top w:val="none" w:sz="0" w:space="0" w:color="auto"/>
                <w:left w:val="none" w:sz="0" w:space="0" w:color="auto"/>
                <w:bottom w:val="none" w:sz="0" w:space="0" w:color="auto"/>
                <w:right w:val="none" w:sz="0" w:space="0" w:color="auto"/>
              </w:divBdr>
            </w:div>
            <w:div w:id="1703938376">
              <w:marLeft w:val="0"/>
              <w:marRight w:val="0"/>
              <w:marTop w:val="0"/>
              <w:marBottom w:val="0"/>
              <w:divBdr>
                <w:top w:val="none" w:sz="0" w:space="0" w:color="auto"/>
                <w:left w:val="none" w:sz="0" w:space="0" w:color="auto"/>
                <w:bottom w:val="none" w:sz="0" w:space="0" w:color="auto"/>
                <w:right w:val="none" w:sz="0" w:space="0" w:color="auto"/>
              </w:divBdr>
              <w:divsChild>
                <w:div w:id="1214273368">
                  <w:marLeft w:val="0"/>
                  <w:marRight w:val="0"/>
                  <w:marTop w:val="0"/>
                  <w:marBottom w:val="0"/>
                  <w:divBdr>
                    <w:top w:val="none" w:sz="0" w:space="0" w:color="auto"/>
                    <w:left w:val="none" w:sz="0" w:space="0" w:color="auto"/>
                    <w:bottom w:val="none" w:sz="0" w:space="0" w:color="auto"/>
                    <w:right w:val="none" w:sz="0" w:space="0" w:color="auto"/>
                  </w:divBdr>
                </w:div>
              </w:divsChild>
            </w:div>
            <w:div w:id="282348303">
              <w:marLeft w:val="0"/>
              <w:marRight w:val="0"/>
              <w:marTop w:val="0"/>
              <w:marBottom w:val="0"/>
              <w:divBdr>
                <w:top w:val="none" w:sz="0" w:space="0" w:color="auto"/>
                <w:left w:val="none" w:sz="0" w:space="0" w:color="auto"/>
                <w:bottom w:val="none" w:sz="0" w:space="0" w:color="auto"/>
                <w:right w:val="none" w:sz="0" w:space="0" w:color="auto"/>
              </w:divBdr>
            </w:div>
            <w:div w:id="791435675">
              <w:marLeft w:val="0"/>
              <w:marRight w:val="0"/>
              <w:marTop w:val="0"/>
              <w:marBottom w:val="0"/>
              <w:divBdr>
                <w:top w:val="none" w:sz="0" w:space="0" w:color="auto"/>
                <w:left w:val="none" w:sz="0" w:space="0" w:color="auto"/>
                <w:bottom w:val="none" w:sz="0" w:space="0" w:color="auto"/>
                <w:right w:val="none" w:sz="0" w:space="0" w:color="auto"/>
              </w:divBdr>
            </w:div>
            <w:div w:id="1002196233">
              <w:marLeft w:val="0"/>
              <w:marRight w:val="0"/>
              <w:marTop w:val="0"/>
              <w:marBottom w:val="0"/>
              <w:divBdr>
                <w:top w:val="none" w:sz="0" w:space="0" w:color="auto"/>
                <w:left w:val="none" w:sz="0" w:space="0" w:color="auto"/>
                <w:bottom w:val="none" w:sz="0" w:space="0" w:color="auto"/>
                <w:right w:val="none" w:sz="0" w:space="0" w:color="auto"/>
              </w:divBdr>
              <w:divsChild>
                <w:div w:id="733428792">
                  <w:marLeft w:val="0"/>
                  <w:marRight w:val="0"/>
                  <w:marTop w:val="0"/>
                  <w:marBottom w:val="0"/>
                  <w:divBdr>
                    <w:top w:val="none" w:sz="0" w:space="0" w:color="auto"/>
                    <w:left w:val="none" w:sz="0" w:space="0" w:color="auto"/>
                    <w:bottom w:val="none" w:sz="0" w:space="0" w:color="auto"/>
                    <w:right w:val="none" w:sz="0" w:space="0" w:color="auto"/>
                  </w:divBdr>
                </w:div>
              </w:divsChild>
            </w:div>
            <w:div w:id="1661809791">
              <w:marLeft w:val="0"/>
              <w:marRight w:val="0"/>
              <w:marTop w:val="0"/>
              <w:marBottom w:val="0"/>
              <w:divBdr>
                <w:top w:val="none" w:sz="0" w:space="0" w:color="auto"/>
                <w:left w:val="none" w:sz="0" w:space="0" w:color="auto"/>
                <w:bottom w:val="none" w:sz="0" w:space="0" w:color="auto"/>
                <w:right w:val="none" w:sz="0" w:space="0" w:color="auto"/>
              </w:divBdr>
            </w:div>
            <w:div w:id="1934973257">
              <w:marLeft w:val="0"/>
              <w:marRight w:val="0"/>
              <w:marTop w:val="0"/>
              <w:marBottom w:val="0"/>
              <w:divBdr>
                <w:top w:val="none" w:sz="0" w:space="0" w:color="auto"/>
                <w:left w:val="none" w:sz="0" w:space="0" w:color="auto"/>
                <w:bottom w:val="none" w:sz="0" w:space="0" w:color="auto"/>
                <w:right w:val="none" w:sz="0" w:space="0" w:color="auto"/>
              </w:divBdr>
            </w:div>
            <w:div w:id="931932242">
              <w:marLeft w:val="0"/>
              <w:marRight w:val="0"/>
              <w:marTop w:val="0"/>
              <w:marBottom w:val="0"/>
              <w:divBdr>
                <w:top w:val="none" w:sz="0" w:space="0" w:color="auto"/>
                <w:left w:val="none" w:sz="0" w:space="0" w:color="auto"/>
                <w:bottom w:val="none" w:sz="0" w:space="0" w:color="auto"/>
                <w:right w:val="none" w:sz="0" w:space="0" w:color="auto"/>
              </w:divBdr>
              <w:divsChild>
                <w:div w:id="1843161640">
                  <w:marLeft w:val="0"/>
                  <w:marRight w:val="0"/>
                  <w:marTop w:val="0"/>
                  <w:marBottom w:val="0"/>
                  <w:divBdr>
                    <w:top w:val="none" w:sz="0" w:space="0" w:color="auto"/>
                    <w:left w:val="none" w:sz="0" w:space="0" w:color="auto"/>
                    <w:bottom w:val="none" w:sz="0" w:space="0" w:color="auto"/>
                    <w:right w:val="none" w:sz="0" w:space="0" w:color="auto"/>
                  </w:divBdr>
                </w:div>
              </w:divsChild>
            </w:div>
            <w:div w:id="1606618620">
              <w:marLeft w:val="0"/>
              <w:marRight w:val="0"/>
              <w:marTop w:val="0"/>
              <w:marBottom w:val="0"/>
              <w:divBdr>
                <w:top w:val="none" w:sz="0" w:space="0" w:color="auto"/>
                <w:left w:val="none" w:sz="0" w:space="0" w:color="auto"/>
                <w:bottom w:val="none" w:sz="0" w:space="0" w:color="auto"/>
                <w:right w:val="none" w:sz="0" w:space="0" w:color="auto"/>
              </w:divBdr>
            </w:div>
            <w:div w:id="406465359">
              <w:marLeft w:val="0"/>
              <w:marRight w:val="0"/>
              <w:marTop w:val="0"/>
              <w:marBottom w:val="0"/>
              <w:divBdr>
                <w:top w:val="none" w:sz="0" w:space="0" w:color="auto"/>
                <w:left w:val="none" w:sz="0" w:space="0" w:color="auto"/>
                <w:bottom w:val="none" w:sz="0" w:space="0" w:color="auto"/>
                <w:right w:val="none" w:sz="0" w:space="0" w:color="auto"/>
              </w:divBdr>
            </w:div>
            <w:div w:id="368602546">
              <w:marLeft w:val="0"/>
              <w:marRight w:val="0"/>
              <w:marTop w:val="0"/>
              <w:marBottom w:val="0"/>
              <w:divBdr>
                <w:top w:val="none" w:sz="0" w:space="0" w:color="auto"/>
                <w:left w:val="none" w:sz="0" w:space="0" w:color="auto"/>
                <w:bottom w:val="none" w:sz="0" w:space="0" w:color="auto"/>
                <w:right w:val="none" w:sz="0" w:space="0" w:color="auto"/>
              </w:divBdr>
              <w:divsChild>
                <w:div w:id="258150081">
                  <w:marLeft w:val="0"/>
                  <w:marRight w:val="0"/>
                  <w:marTop w:val="0"/>
                  <w:marBottom w:val="0"/>
                  <w:divBdr>
                    <w:top w:val="none" w:sz="0" w:space="0" w:color="auto"/>
                    <w:left w:val="none" w:sz="0" w:space="0" w:color="auto"/>
                    <w:bottom w:val="none" w:sz="0" w:space="0" w:color="auto"/>
                    <w:right w:val="none" w:sz="0" w:space="0" w:color="auto"/>
                  </w:divBdr>
                </w:div>
              </w:divsChild>
            </w:div>
            <w:div w:id="1658920533">
              <w:marLeft w:val="0"/>
              <w:marRight w:val="0"/>
              <w:marTop w:val="0"/>
              <w:marBottom w:val="0"/>
              <w:divBdr>
                <w:top w:val="none" w:sz="0" w:space="0" w:color="auto"/>
                <w:left w:val="none" w:sz="0" w:space="0" w:color="auto"/>
                <w:bottom w:val="none" w:sz="0" w:space="0" w:color="auto"/>
                <w:right w:val="none" w:sz="0" w:space="0" w:color="auto"/>
              </w:divBdr>
            </w:div>
            <w:div w:id="673992671">
              <w:marLeft w:val="0"/>
              <w:marRight w:val="0"/>
              <w:marTop w:val="0"/>
              <w:marBottom w:val="0"/>
              <w:divBdr>
                <w:top w:val="none" w:sz="0" w:space="0" w:color="auto"/>
                <w:left w:val="none" w:sz="0" w:space="0" w:color="auto"/>
                <w:bottom w:val="none" w:sz="0" w:space="0" w:color="auto"/>
                <w:right w:val="none" w:sz="0" w:space="0" w:color="auto"/>
              </w:divBdr>
            </w:div>
            <w:div w:id="154077049">
              <w:marLeft w:val="0"/>
              <w:marRight w:val="0"/>
              <w:marTop w:val="0"/>
              <w:marBottom w:val="0"/>
              <w:divBdr>
                <w:top w:val="none" w:sz="0" w:space="0" w:color="auto"/>
                <w:left w:val="none" w:sz="0" w:space="0" w:color="auto"/>
                <w:bottom w:val="none" w:sz="0" w:space="0" w:color="auto"/>
                <w:right w:val="none" w:sz="0" w:space="0" w:color="auto"/>
              </w:divBdr>
              <w:divsChild>
                <w:div w:id="857159627">
                  <w:marLeft w:val="0"/>
                  <w:marRight w:val="0"/>
                  <w:marTop w:val="0"/>
                  <w:marBottom w:val="0"/>
                  <w:divBdr>
                    <w:top w:val="none" w:sz="0" w:space="0" w:color="auto"/>
                    <w:left w:val="none" w:sz="0" w:space="0" w:color="auto"/>
                    <w:bottom w:val="none" w:sz="0" w:space="0" w:color="auto"/>
                    <w:right w:val="none" w:sz="0" w:space="0" w:color="auto"/>
                  </w:divBdr>
                </w:div>
              </w:divsChild>
            </w:div>
            <w:div w:id="793214722">
              <w:marLeft w:val="0"/>
              <w:marRight w:val="0"/>
              <w:marTop w:val="0"/>
              <w:marBottom w:val="0"/>
              <w:divBdr>
                <w:top w:val="none" w:sz="0" w:space="0" w:color="auto"/>
                <w:left w:val="none" w:sz="0" w:space="0" w:color="auto"/>
                <w:bottom w:val="none" w:sz="0" w:space="0" w:color="auto"/>
                <w:right w:val="none" w:sz="0" w:space="0" w:color="auto"/>
              </w:divBdr>
            </w:div>
            <w:div w:id="491140980">
              <w:marLeft w:val="0"/>
              <w:marRight w:val="0"/>
              <w:marTop w:val="0"/>
              <w:marBottom w:val="0"/>
              <w:divBdr>
                <w:top w:val="none" w:sz="0" w:space="0" w:color="auto"/>
                <w:left w:val="none" w:sz="0" w:space="0" w:color="auto"/>
                <w:bottom w:val="none" w:sz="0" w:space="0" w:color="auto"/>
                <w:right w:val="none" w:sz="0" w:space="0" w:color="auto"/>
              </w:divBdr>
            </w:div>
            <w:div w:id="1843662648">
              <w:marLeft w:val="0"/>
              <w:marRight w:val="0"/>
              <w:marTop w:val="0"/>
              <w:marBottom w:val="0"/>
              <w:divBdr>
                <w:top w:val="none" w:sz="0" w:space="0" w:color="auto"/>
                <w:left w:val="none" w:sz="0" w:space="0" w:color="auto"/>
                <w:bottom w:val="none" w:sz="0" w:space="0" w:color="auto"/>
                <w:right w:val="none" w:sz="0" w:space="0" w:color="auto"/>
              </w:divBdr>
              <w:divsChild>
                <w:div w:id="133763216">
                  <w:marLeft w:val="0"/>
                  <w:marRight w:val="0"/>
                  <w:marTop w:val="0"/>
                  <w:marBottom w:val="0"/>
                  <w:divBdr>
                    <w:top w:val="none" w:sz="0" w:space="0" w:color="auto"/>
                    <w:left w:val="none" w:sz="0" w:space="0" w:color="auto"/>
                    <w:bottom w:val="none" w:sz="0" w:space="0" w:color="auto"/>
                    <w:right w:val="none" w:sz="0" w:space="0" w:color="auto"/>
                  </w:divBdr>
                </w:div>
              </w:divsChild>
            </w:div>
            <w:div w:id="1719739031">
              <w:marLeft w:val="0"/>
              <w:marRight w:val="0"/>
              <w:marTop w:val="0"/>
              <w:marBottom w:val="0"/>
              <w:divBdr>
                <w:top w:val="none" w:sz="0" w:space="0" w:color="auto"/>
                <w:left w:val="none" w:sz="0" w:space="0" w:color="auto"/>
                <w:bottom w:val="none" w:sz="0" w:space="0" w:color="auto"/>
                <w:right w:val="none" w:sz="0" w:space="0" w:color="auto"/>
              </w:divBdr>
            </w:div>
            <w:div w:id="2124032851">
              <w:marLeft w:val="0"/>
              <w:marRight w:val="0"/>
              <w:marTop w:val="0"/>
              <w:marBottom w:val="0"/>
              <w:divBdr>
                <w:top w:val="none" w:sz="0" w:space="0" w:color="auto"/>
                <w:left w:val="none" w:sz="0" w:space="0" w:color="auto"/>
                <w:bottom w:val="none" w:sz="0" w:space="0" w:color="auto"/>
                <w:right w:val="none" w:sz="0" w:space="0" w:color="auto"/>
              </w:divBdr>
            </w:div>
            <w:div w:id="1400445096">
              <w:marLeft w:val="0"/>
              <w:marRight w:val="0"/>
              <w:marTop w:val="0"/>
              <w:marBottom w:val="0"/>
              <w:divBdr>
                <w:top w:val="none" w:sz="0" w:space="0" w:color="auto"/>
                <w:left w:val="none" w:sz="0" w:space="0" w:color="auto"/>
                <w:bottom w:val="none" w:sz="0" w:space="0" w:color="auto"/>
                <w:right w:val="none" w:sz="0" w:space="0" w:color="auto"/>
              </w:divBdr>
              <w:divsChild>
                <w:div w:id="519244796">
                  <w:marLeft w:val="0"/>
                  <w:marRight w:val="0"/>
                  <w:marTop w:val="0"/>
                  <w:marBottom w:val="0"/>
                  <w:divBdr>
                    <w:top w:val="none" w:sz="0" w:space="0" w:color="auto"/>
                    <w:left w:val="none" w:sz="0" w:space="0" w:color="auto"/>
                    <w:bottom w:val="none" w:sz="0" w:space="0" w:color="auto"/>
                    <w:right w:val="none" w:sz="0" w:space="0" w:color="auto"/>
                  </w:divBdr>
                </w:div>
              </w:divsChild>
            </w:div>
            <w:div w:id="2003388518">
              <w:marLeft w:val="0"/>
              <w:marRight w:val="0"/>
              <w:marTop w:val="0"/>
              <w:marBottom w:val="0"/>
              <w:divBdr>
                <w:top w:val="none" w:sz="0" w:space="0" w:color="auto"/>
                <w:left w:val="none" w:sz="0" w:space="0" w:color="auto"/>
                <w:bottom w:val="none" w:sz="0" w:space="0" w:color="auto"/>
                <w:right w:val="none" w:sz="0" w:space="0" w:color="auto"/>
              </w:divBdr>
            </w:div>
            <w:div w:id="450058342">
              <w:marLeft w:val="0"/>
              <w:marRight w:val="0"/>
              <w:marTop w:val="0"/>
              <w:marBottom w:val="0"/>
              <w:divBdr>
                <w:top w:val="none" w:sz="0" w:space="0" w:color="auto"/>
                <w:left w:val="none" w:sz="0" w:space="0" w:color="auto"/>
                <w:bottom w:val="none" w:sz="0" w:space="0" w:color="auto"/>
                <w:right w:val="none" w:sz="0" w:space="0" w:color="auto"/>
              </w:divBdr>
            </w:div>
            <w:div w:id="866480797">
              <w:marLeft w:val="0"/>
              <w:marRight w:val="0"/>
              <w:marTop w:val="0"/>
              <w:marBottom w:val="0"/>
              <w:divBdr>
                <w:top w:val="none" w:sz="0" w:space="0" w:color="auto"/>
                <w:left w:val="none" w:sz="0" w:space="0" w:color="auto"/>
                <w:bottom w:val="none" w:sz="0" w:space="0" w:color="auto"/>
                <w:right w:val="none" w:sz="0" w:space="0" w:color="auto"/>
              </w:divBdr>
              <w:divsChild>
                <w:div w:id="1578440947">
                  <w:marLeft w:val="0"/>
                  <w:marRight w:val="0"/>
                  <w:marTop w:val="0"/>
                  <w:marBottom w:val="0"/>
                  <w:divBdr>
                    <w:top w:val="none" w:sz="0" w:space="0" w:color="auto"/>
                    <w:left w:val="none" w:sz="0" w:space="0" w:color="auto"/>
                    <w:bottom w:val="none" w:sz="0" w:space="0" w:color="auto"/>
                    <w:right w:val="none" w:sz="0" w:space="0" w:color="auto"/>
                  </w:divBdr>
                </w:div>
              </w:divsChild>
            </w:div>
            <w:div w:id="741683386">
              <w:marLeft w:val="0"/>
              <w:marRight w:val="0"/>
              <w:marTop w:val="0"/>
              <w:marBottom w:val="0"/>
              <w:divBdr>
                <w:top w:val="none" w:sz="0" w:space="0" w:color="auto"/>
                <w:left w:val="none" w:sz="0" w:space="0" w:color="auto"/>
                <w:bottom w:val="none" w:sz="0" w:space="0" w:color="auto"/>
                <w:right w:val="none" w:sz="0" w:space="0" w:color="auto"/>
              </w:divBdr>
            </w:div>
            <w:div w:id="1907837933">
              <w:marLeft w:val="0"/>
              <w:marRight w:val="0"/>
              <w:marTop w:val="0"/>
              <w:marBottom w:val="0"/>
              <w:divBdr>
                <w:top w:val="none" w:sz="0" w:space="0" w:color="auto"/>
                <w:left w:val="none" w:sz="0" w:space="0" w:color="auto"/>
                <w:bottom w:val="none" w:sz="0" w:space="0" w:color="auto"/>
                <w:right w:val="none" w:sz="0" w:space="0" w:color="auto"/>
              </w:divBdr>
            </w:div>
            <w:div w:id="1636182768">
              <w:marLeft w:val="0"/>
              <w:marRight w:val="0"/>
              <w:marTop w:val="0"/>
              <w:marBottom w:val="0"/>
              <w:divBdr>
                <w:top w:val="none" w:sz="0" w:space="0" w:color="auto"/>
                <w:left w:val="none" w:sz="0" w:space="0" w:color="auto"/>
                <w:bottom w:val="none" w:sz="0" w:space="0" w:color="auto"/>
                <w:right w:val="none" w:sz="0" w:space="0" w:color="auto"/>
              </w:divBdr>
            </w:div>
            <w:div w:id="402871371">
              <w:marLeft w:val="0"/>
              <w:marRight w:val="0"/>
              <w:marTop w:val="0"/>
              <w:marBottom w:val="0"/>
              <w:divBdr>
                <w:top w:val="none" w:sz="0" w:space="0" w:color="auto"/>
                <w:left w:val="none" w:sz="0" w:space="0" w:color="auto"/>
                <w:bottom w:val="none" w:sz="0" w:space="0" w:color="auto"/>
                <w:right w:val="none" w:sz="0" w:space="0" w:color="auto"/>
              </w:divBdr>
              <w:divsChild>
                <w:div w:id="1126384939">
                  <w:marLeft w:val="0"/>
                  <w:marRight w:val="0"/>
                  <w:marTop w:val="0"/>
                  <w:marBottom w:val="0"/>
                  <w:divBdr>
                    <w:top w:val="none" w:sz="0" w:space="0" w:color="auto"/>
                    <w:left w:val="none" w:sz="0" w:space="0" w:color="auto"/>
                    <w:bottom w:val="none" w:sz="0" w:space="0" w:color="auto"/>
                    <w:right w:val="none" w:sz="0" w:space="0" w:color="auto"/>
                  </w:divBdr>
                </w:div>
              </w:divsChild>
            </w:div>
            <w:div w:id="1833719951">
              <w:marLeft w:val="0"/>
              <w:marRight w:val="0"/>
              <w:marTop w:val="0"/>
              <w:marBottom w:val="0"/>
              <w:divBdr>
                <w:top w:val="none" w:sz="0" w:space="0" w:color="auto"/>
                <w:left w:val="none" w:sz="0" w:space="0" w:color="auto"/>
                <w:bottom w:val="none" w:sz="0" w:space="0" w:color="auto"/>
                <w:right w:val="none" w:sz="0" w:space="0" w:color="auto"/>
              </w:divBdr>
            </w:div>
            <w:div w:id="281503545">
              <w:marLeft w:val="0"/>
              <w:marRight w:val="0"/>
              <w:marTop w:val="0"/>
              <w:marBottom w:val="0"/>
              <w:divBdr>
                <w:top w:val="none" w:sz="0" w:space="0" w:color="auto"/>
                <w:left w:val="none" w:sz="0" w:space="0" w:color="auto"/>
                <w:bottom w:val="none" w:sz="0" w:space="0" w:color="auto"/>
                <w:right w:val="none" w:sz="0" w:space="0" w:color="auto"/>
              </w:divBdr>
            </w:div>
            <w:div w:id="1770468480">
              <w:marLeft w:val="0"/>
              <w:marRight w:val="0"/>
              <w:marTop w:val="0"/>
              <w:marBottom w:val="0"/>
              <w:divBdr>
                <w:top w:val="none" w:sz="0" w:space="0" w:color="auto"/>
                <w:left w:val="none" w:sz="0" w:space="0" w:color="auto"/>
                <w:bottom w:val="none" w:sz="0" w:space="0" w:color="auto"/>
                <w:right w:val="none" w:sz="0" w:space="0" w:color="auto"/>
              </w:divBdr>
              <w:divsChild>
                <w:div w:id="560142330">
                  <w:marLeft w:val="0"/>
                  <w:marRight w:val="0"/>
                  <w:marTop w:val="0"/>
                  <w:marBottom w:val="0"/>
                  <w:divBdr>
                    <w:top w:val="none" w:sz="0" w:space="0" w:color="auto"/>
                    <w:left w:val="none" w:sz="0" w:space="0" w:color="auto"/>
                    <w:bottom w:val="none" w:sz="0" w:space="0" w:color="auto"/>
                    <w:right w:val="none" w:sz="0" w:space="0" w:color="auto"/>
                  </w:divBdr>
                </w:div>
              </w:divsChild>
            </w:div>
            <w:div w:id="752699933">
              <w:marLeft w:val="0"/>
              <w:marRight w:val="0"/>
              <w:marTop w:val="0"/>
              <w:marBottom w:val="0"/>
              <w:divBdr>
                <w:top w:val="none" w:sz="0" w:space="0" w:color="auto"/>
                <w:left w:val="none" w:sz="0" w:space="0" w:color="auto"/>
                <w:bottom w:val="none" w:sz="0" w:space="0" w:color="auto"/>
                <w:right w:val="none" w:sz="0" w:space="0" w:color="auto"/>
              </w:divBdr>
            </w:div>
            <w:div w:id="1244878968">
              <w:marLeft w:val="0"/>
              <w:marRight w:val="0"/>
              <w:marTop w:val="0"/>
              <w:marBottom w:val="0"/>
              <w:divBdr>
                <w:top w:val="none" w:sz="0" w:space="0" w:color="auto"/>
                <w:left w:val="none" w:sz="0" w:space="0" w:color="auto"/>
                <w:bottom w:val="none" w:sz="0" w:space="0" w:color="auto"/>
                <w:right w:val="none" w:sz="0" w:space="0" w:color="auto"/>
              </w:divBdr>
            </w:div>
            <w:div w:id="1680768606">
              <w:marLeft w:val="0"/>
              <w:marRight w:val="0"/>
              <w:marTop w:val="0"/>
              <w:marBottom w:val="0"/>
              <w:divBdr>
                <w:top w:val="none" w:sz="0" w:space="0" w:color="auto"/>
                <w:left w:val="none" w:sz="0" w:space="0" w:color="auto"/>
                <w:bottom w:val="none" w:sz="0" w:space="0" w:color="auto"/>
                <w:right w:val="none" w:sz="0" w:space="0" w:color="auto"/>
              </w:divBdr>
              <w:divsChild>
                <w:div w:id="515732340">
                  <w:marLeft w:val="0"/>
                  <w:marRight w:val="0"/>
                  <w:marTop w:val="0"/>
                  <w:marBottom w:val="0"/>
                  <w:divBdr>
                    <w:top w:val="none" w:sz="0" w:space="0" w:color="auto"/>
                    <w:left w:val="none" w:sz="0" w:space="0" w:color="auto"/>
                    <w:bottom w:val="none" w:sz="0" w:space="0" w:color="auto"/>
                    <w:right w:val="none" w:sz="0" w:space="0" w:color="auto"/>
                  </w:divBdr>
                </w:div>
              </w:divsChild>
            </w:div>
            <w:div w:id="2013096943">
              <w:marLeft w:val="0"/>
              <w:marRight w:val="0"/>
              <w:marTop w:val="0"/>
              <w:marBottom w:val="0"/>
              <w:divBdr>
                <w:top w:val="none" w:sz="0" w:space="0" w:color="auto"/>
                <w:left w:val="none" w:sz="0" w:space="0" w:color="auto"/>
                <w:bottom w:val="none" w:sz="0" w:space="0" w:color="auto"/>
                <w:right w:val="none" w:sz="0" w:space="0" w:color="auto"/>
              </w:divBdr>
            </w:div>
            <w:div w:id="1648052042">
              <w:marLeft w:val="0"/>
              <w:marRight w:val="0"/>
              <w:marTop w:val="0"/>
              <w:marBottom w:val="0"/>
              <w:divBdr>
                <w:top w:val="none" w:sz="0" w:space="0" w:color="auto"/>
                <w:left w:val="none" w:sz="0" w:space="0" w:color="auto"/>
                <w:bottom w:val="none" w:sz="0" w:space="0" w:color="auto"/>
                <w:right w:val="none" w:sz="0" w:space="0" w:color="auto"/>
              </w:divBdr>
            </w:div>
            <w:div w:id="700057018">
              <w:marLeft w:val="0"/>
              <w:marRight w:val="0"/>
              <w:marTop w:val="0"/>
              <w:marBottom w:val="0"/>
              <w:divBdr>
                <w:top w:val="none" w:sz="0" w:space="0" w:color="auto"/>
                <w:left w:val="none" w:sz="0" w:space="0" w:color="auto"/>
                <w:bottom w:val="none" w:sz="0" w:space="0" w:color="auto"/>
                <w:right w:val="none" w:sz="0" w:space="0" w:color="auto"/>
              </w:divBdr>
              <w:divsChild>
                <w:div w:id="103963852">
                  <w:marLeft w:val="0"/>
                  <w:marRight w:val="0"/>
                  <w:marTop w:val="0"/>
                  <w:marBottom w:val="0"/>
                  <w:divBdr>
                    <w:top w:val="none" w:sz="0" w:space="0" w:color="auto"/>
                    <w:left w:val="none" w:sz="0" w:space="0" w:color="auto"/>
                    <w:bottom w:val="none" w:sz="0" w:space="0" w:color="auto"/>
                    <w:right w:val="none" w:sz="0" w:space="0" w:color="auto"/>
                  </w:divBdr>
                </w:div>
              </w:divsChild>
            </w:div>
            <w:div w:id="1157571941">
              <w:marLeft w:val="0"/>
              <w:marRight w:val="0"/>
              <w:marTop w:val="0"/>
              <w:marBottom w:val="0"/>
              <w:divBdr>
                <w:top w:val="none" w:sz="0" w:space="0" w:color="auto"/>
                <w:left w:val="none" w:sz="0" w:space="0" w:color="auto"/>
                <w:bottom w:val="none" w:sz="0" w:space="0" w:color="auto"/>
                <w:right w:val="none" w:sz="0" w:space="0" w:color="auto"/>
              </w:divBdr>
            </w:div>
            <w:div w:id="848107433">
              <w:marLeft w:val="0"/>
              <w:marRight w:val="0"/>
              <w:marTop w:val="0"/>
              <w:marBottom w:val="0"/>
              <w:divBdr>
                <w:top w:val="none" w:sz="0" w:space="0" w:color="auto"/>
                <w:left w:val="none" w:sz="0" w:space="0" w:color="auto"/>
                <w:bottom w:val="none" w:sz="0" w:space="0" w:color="auto"/>
                <w:right w:val="none" w:sz="0" w:space="0" w:color="auto"/>
              </w:divBdr>
            </w:div>
            <w:div w:id="1180974743">
              <w:marLeft w:val="0"/>
              <w:marRight w:val="0"/>
              <w:marTop w:val="0"/>
              <w:marBottom w:val="0"/>
              <w:divBdr>
                <w:top w:val="none" w:sz="0" w:space="0" w:color="auto"/>
                <w:left w:val="none" w:sz="0" w:space="0" w:color="auto"/>
                <w:bottom w:val="none" w:sz="0" w:space="0" w:color="auto"/>
                <w:right w:val="none" w:sz="0" w:space="0" w:color="auto"/>
              </w:divBdr>
            </w:div>
            <w:div w:id="988091403">
              <w:marLeft w:val="0"/>
              <w:marRight w:val="0"/>
              <w:marTop w:val="0"/>
              <w:marBottom w:val="0"/>
              <w:divBdr>
                <w:top w:val="none" w:sz="0" w:space="0" w:color="auto"/>
                <w:left w:val="none" w:sz="0" w:space="0" w:color="auto"/>
                <w:bottom w:val="none" w:sz="0" w:space="0" w:color="auto"/>
                <w:right w:val="none" w:sz="0" w:space="0" w:color="auto"/>
              </w:divBdr>
              <w:divsChild>
                <w:div w:id="1036350627">
                  <w:marLeft w:val="0"/>
                  <w:marRight w:val="0"/>
                  <w:marTop w:val="0"/>
                  <w:marBottom w:val="0"/>
                  <w:divBdr>
                    <w:top w:val="none" w:sz="0" w:space="0" w:color="auto"/>
                    <w:left w:val="none" w:sz="0" w:space="0" w:color="auto"/>
                    <w:bottom w:val="none" w:sz="0" w:space="0" w:color="auto"/>
                    <w:right w:val="none" w:sz="0" w:space="0" w:color="auto"/>
                  </w:divBdr>
                </w:div>
              </w:divsChild>
            </w:div>
            <w:div w:id="1849325126">
              <w:marLeft w:val="0"/>
              <w:marRight w:val="0"/>
              <w:marTop w:val="0"/>
              <w:marBottom w:val="0"/>
              <w:divBdr>
                <w:top w:val="none" w:sz="0" w:space="0" w:color="auto"/>
                <w:left w:val="none" w:sz="0" w:space="0" w:color="auto"/>
                <w:bottom w:val="none" w:sz="0" w:space="0" w:color="auto"/>
                <w:right w:val="none" w:sz="0" w:space="0" w:color="auto"/>
              </w:divBdr>
            </w:div>
            <w:div w:id="262499610">
              <w:marLeft w:val="0"/>
              <w:marRight w:val="0"/>
              <w:marTop w:val="0"/>
              <w:marBottom w:val="0"/>
              <w:divBdr>
                <w:top w:val="none" w:sz="0" w:space="0" w:color="auto"/>
                <w:left w:val="none" w:sz="0" w:space="0" w:color="auto"/>
                <w:bottom w:val="none" w:sz="0" w:space="0" w:color="auto"/>
                <w:right w:val="none" w:sz="0" w:space="0" w:color="auto"/>
              </w:divBdr>
            </w:div>
            <w:div w:id="962997047">
              <w:marLeft w:val="0"/>
              <w:marRight w:val="0"/>
              <w:marTop w:val="0"/>
              <w:marBottom w:val="0"/>
              <w:divBdr>
                <w:top w:val="none" w:sz="0" w:space="0" w:color="auto"/>
                <w:left w:val="none" w:sz="0" w:space="0" w:color="auto"/>
                <w:bottom w:val="none" w:sz="0" w:space="0" w:color="auto"/>
                <w:right w:val="none" w:sz="0" w:space="0" w:color="auto"/>
              </w:divBdr>
            </w:div>
            <w:div w:id="1065950311">
              <w:marLeft w:val="0"/>
              <w:marRight w:val="0"/>
              <w:marTop w:val="0"/>
              <w:marBottom w:val="0"/>
              <w:divBdr>
                <w:top w:val="none" w:sz="0" w:space="0" w:color="auto"/>
                <w:left w:val="none" w:sz="0" w:space="0" w:color="auto"/>
                <w:bottom w:val="none" w:sz="0" w:space="0" w:color="auto"/>
                <w:right w:val="none" w:sz="0" w:space="0" w:color="auto"/>
              </w:divBdr>
              <w:divsChild>
                <w:div w:id="1672289827">
                  <w:marLeft w:val="0"/>
                  <w:marRight w:val="0"/>
                  <w:marTop w:val="0"/>
                  <w:marBottom w:val="0"/>
                  <w:divBdr>
                    <w:top w:val="none" w:sz="0" w:space="0" w:color="auto"/>
                    <w:left w:val="none" w:sz="0" w:space="0" w:color="auto"/>
                    <w:bottom w:val="none" w:sz="0" w:space="0" w:color="auto"/>
                    <w:right w:val="none" w:sz="0" w:space="0" w:color="auto"/>
                  </w:divBdr>
                </w:div>
              </w:divsChild>
            </w:div>
            <w:div w:id="788738854">
              <w:marLeft w:val="0"/>
              <w:marRight w:val="0"/>
              <w:marTop w:val="0"/>
              <w:marBottom w:val="0"/>
              <w:divBdr>
                <w:top w:val="none" w:sz="0" w:space="0" w:color="auto"/>
                <w:left w:val="none" w:sz="0" w:space="0" w:color="auto"/>
                <w:bottom w:val="none" w:sz="0" w:space="0" w:color="auto"/>
                <w:right w:val="none" w:sz="0" w:space="0" w:color="auto"/>
              </w:divBdr>
            </w:div>
            <w:div w:id="1312058621">
              <w:marLeft w:val="0"/>
              <w:marRight w:val="0"/>
              <w:marTop w:val="0"/>
              <w:marBottom w:val="0"/>
              <w:divBdr>
                <w:top w:val="none" w:sz="0" w:space="0" w:color="auto"/>
                <w:left w:val="none" w:sz="0" w:space="0" w:color="auto"/>
                <w:bottom w:val="none" w:sz="0" w:space="0" w:color="auto"/>
                <w:right w:val="none" w:sz="0" w:space="0" w:color="auto"/>
              </w:divBdr>
            </w:div>
            <w:div w:id="435641421">
              <w:marLeft w:val="0"/>
              <w:marRight w:val="0"/>
              <w:marTop w:val="0"/>
              <w:marBottom w:val="0"/>
              <w:divBdr>
                <w:top w:val="none" w:sz="0" w:space="0" w:color="auto"/>
                <w:left w:val="none" w:sz="0" w:space="0" w:color="auto"/>
                <w:bottom w:val="none" w:sz="0" w:space="0" w:color="auto"/>
                <w:right w:val="none" w:sz="0" w:space="0" w:color="auto"/>
              </w:divBdr>
              <w:divsChild>
                <w:div w:id="1602302433">
                  <w:marLeft w:val="0"/>
                  <w:marRight w:val="0"/>
                  <w:marTop w:val="0"/>
                  <w:marBottom w:val="0"/>
                  <w:divBdr>
                    <w:top w:val="none" w:sz="0" w:space="0" w:color="auto"/>
                    <w:left w:val="none" w:sz="0" w:space="0" w:color="auto"/>
                    <w:bottom w:val="none" w:sz="0" w:space="0" w:color="auto"/>
                    <w:right w:val="none" w:sz="0" w:space="0" w:color="auto"/>
                  </w:divBdr>
                </w:div>
              </w:divsChild>
            </w:div>
            <w:div w:id="526213068">
              <w:marLeft w:val="0"/>
              <w:marRight w:val="0"/>
              <w:marTop w:val="0"/>
              <w:marBottom w:val="0"/>
              <w:divBdr>
                <w:top w:val="none" w:sz="0" w:space="0" w:color="auto"/>
                <w:left w:val="none" w:sz="0" w:space="0" w:color="auto"/>
                <w:bottom w:val="none" w:sz="0" w:space="0" w:color="auto"/>
                <w:right w:val="none" w:sz="0" w:space="0" w:color="auto"/>
              </w:divBdr>
            </w:div>
            <w:div w:id="1162509783">
              <w:marLeft w:val="0"/>
              <w:marRight w:val="0"/>
              <w:marTop w:val="0"/>
              <w:marBottom w:val="0"/>
              <w:divBdr>
                <w:top w:val="none" w:sz="0" w:space="0" w:color="auto"/>
                <w:left w:val="none" w:sz="0" w:space="0" w:color="auto"/>
                <w:bottom w:val="none" w:sz="0" w:space="0" w:color="auto"/>
                <w:right w:val="none" w:sz="0" w:space="0" w:color="auto"/>
              </w:divBdr>
            </w:div>
            <w:div w:id="1108046130">
              <w:marLeft w:val="0"/>
              <w:marRight w:val="0"/>
              <w:marTop w:val="0"/>
              <w:marBottom w:val="0"/>
              <w:divBdr>
                <w:top w:val="none" w:sz="0" w:space="0" w:color="auto"/>
                <w:left w:val="none" w:sz="0" w:space="0" w:color="auto"/>
                <w:bottom w:val="none" w:sz="0" w:space="0" w:color="auto"/>
                <w:right w:val="none" w:sz="0" w:space="0" w:color="auto"/>
              </w:divBdr>
              <w:divsChild>
                <w:div w:id="1446118542">
                  <w:marLeft w:val="0"/>
                  <w:marRight w:val="0"/>
                  <w:marTop w:val="0"/>
                  <w:marBottom w:val="0"/>
                  <w:divBdr>
                    <w:top w:val="none" w:sz="0" w:space="0" w:color="auto"/>
                    <w:left w:val="none" w:sz="0" w:space="0" w:color="auto"/>
                    <w:bottom w:val="none" w:sz="0" w:space="0" w:color="auto"/>
                    <w:right w:val="none" w:sz="0" w:space="0" w:color="auto"/>
                  </w:divBdr>
                </w:div>
              </w:divsChild>
            </w:div>
            <w:div w:id="1123111471">
              <w:marLeft w:val="0"/>
              <w:marRight w:val="0"/>
              <w:marTop w:val="0"/>
              <w:marBottom w:val="0"/>
              <w:divBdr>
                <w:top w:val="none" w:sz="0" w:space="0" w:color="auto"/>
                <w:left w:val="none" w:sz="0" w:space="0" w:color="auto"/>
                <w:bottom w:val="none" w:sz="0" w:space="0" w:color="auto"/>
                <w:right w:val="none" w:sz="0" w:space="0" w:color="auto"/>
              </w:divBdr>
            </w:div>
            <w:div w:id="1943762844">
              <w:marLeft w:val="0"/>
              <w:marRight w:val="0"/>
              <w:marTop w:val="0"/>
              <w:marBottom w:val="0"/>
              <w:divBdr>
                <w:top w:val="none" w:sz="0" w:space="0" w:color="auto"/>
                <w:left w:val="none" w:sz="0" w:space="0" w:color="auto"/>
                <w:bottom w:val="none" w:sz="0" w:space="0" w:color="auto"/>
                <w:right w:val="none" w:sz="0" w:space="0" w:color="auto"/>
              </w:divBdr>
            </w:div>
            <w:div w:id="750079091">
              <w:marLeft w:val="0"/>
              <w:marRight w:val="0"/>
              <w:marTop w:val="0"/>
              <w:marBottom w:val="0"/>
              <w:divBdr>
                <w:top w:val="none" w:sz="0" w:space="0" w:color="auto"/>
                <w:left w:val="none" w:sz="0" w:space="0" w:color="auto"/>
                <w:bottom w:val="none" w:sz="0" w:space="0" w:color="auto"/>
                <w:right w:val="none" w:sz="0" w:space="0" w:color="auto"/>
              </w:divBdr>
              <w:divsChild>
                <w:div w:id="1466965012">
                  <w:marLeft w:val="0"/>
                  <w:marRight w:val="0"/>
                  <w:marTop w:val="0"/>
                  <w:marBottom w:val="0"/>
                  <w:divBdr>
                    <w:top w:val="none" w:sz="0" w:space="0" w:color="auto"/>
                    <w:left w:val="none" w:sz="0" w:space="0" w:color="auto"/>
                    <w:bottom w:val="none" w:sz="0" w:space="0" w:color="auto"/>
                    <w:right w:val="none" w:sz="0" w:space="0" w:color="auto"/>
                  </w:divBdr>
                </w:div>
              </w:divsChild>
            </w:div>
            <w:div w:id="1694377345">
              <w:marLeft w:val="0"/>
              <w:marRight w:val="0"/>
              <w:marTop w:val="0"/>
              <w:marBottom w:val="0"/>
              <w:divBdr>
                <w:top w:val="none" w:sz="0" w:space="0" w:color="auto"/>
                <w:left w:val="none" w:sz="0" w:space="0" w:color="auto"/>
                <w:bottom w:val="none" w:sz="0" w:space="0" w:color="auto"/>
                <w:right w:val="none" w:sz="0" w:space="0" w:color="auto"/>
              </w:divBdr>
            </w:div>
            <w:div w:id="1301301548">
              <w:marLeft w:val="0"/>
              <w:marRight w:val="0"/>
              <w:marTop w:val="0"/>
              <w:marBottom w:val="0"/>
              <w:divBdr>
                <w:top w:val="none" w:sz="0" w:space="0" w:color="auto"/>
                <w:left w:val="none" w:sz="0" w:space="0" w:color="auto"/>
                <w:bottom w:val="none" w:sz="0" w:space="0" w:color="auto"/>
                <w:right w:val="none" w:sz="0" w:space="0" w:color="auto"/>
              </w:divBdr>
            </w:div>
            <w:div w:id="677925624">
              <w:marLeft w:val="0"/>
              <w:marRight w:val="0"/>
              <w:marTop w:val="0"/>
              <w:marBottom w:val="0"/>
              <w:divBdr>
                <w:top w:val="none" w:sz="0" w:space="0" w:color="auto"/>
                <w:left w:val="none" w:sz="0" w:space="0" w:color="auto"/>
                <w:bottom w:val="none" w:sz="0" w:space="0" w:color="auto"/>
                <w:right w:val="none" w:sz="0" w:space="0" w:color="auto"/>
              </w:divBdr>
            </w:div>
            <w:div w:id="1192181285">
              <w:marLeft w:val="0"/>
              <w:marRight w:val="0"/>
              <w:marTop w:val="0"/>
              <w:marBottom w:val="0"/>
              <w:divBdr>
                <w:top w:val="none" w:sz="0" w:space="0" w:color="auto"/>
                <w:left w:val="none" w:sz="0" w:space="0" w:color="auto"/>
                <w:bottom w:val="none" w:sz="0" w:space="0" w:color="auto"/>
                <w:right w:val="none" w:sz="0" w:space="0" w:color="auto"/>
              </w:divBdr>
              <w:divsChild>
                <w:div w:id="105581350">
                  <w:marLeft w:val="0"/>
                  <w:marRight w:val="0"/>
                  <w:marTop w:val="0"/>
                  <w:marBottom w:val="0"/>
                  <w:divBdr>
                    <w:top w:val="none" w:sz="0" w:space="0" w:color="auto"/>
                    <w:left w:val="none" w:sz="0" w:space="0" w:color="auto"/>
                    <w:bottom w:val="none" w:sz="0" w:space="0" w:color="auto"/>
                    <w:right w:val="none" w:sz="0" w:space="0" w:color="auto"/>
                  </w:divBdr>
                </w:div>
              </w:divsChild>
            </w:div>
            <w:div w:id="843789328">
              <w:marLeft w:val="0"/>
              <w:marRight w:val="0"/>
              <w:marTop w:val="0"/>
              <w:marBottom w:val="0"/>
              <w:divBdr>
                <w:top w:val="none" w:sz="0" w:space="0" w:color="auto"/>
                <w:left w:val="none" w:sz="0" w:space="0" w:color="auto"/>
                <w:bottom w:val="none" w:sz="0" w:space="0" w:color="auto"/>
                <w:right w:val="none" w:sz="0" w:space="0" w:color="auto"/>
              </w:divBdr>
            </w:div>
            <w:div w:id="1785998462">
              <w:marLeft w:val="0"/>
              <w:marRight w:val="0"/>
              <w:marTop w:val="0"/>
              <w:marBottom w:val="0"/>
              <w:divBdr>
                <w:top w:val="none" w:sz="0" w:space="0" w:color="auto"/>
                <w:left w:val="none" w:sz="0" w:space="0" w:color="auto"/>
                <w:bottom w:val="none" w:sz="0" w:space="0" w:color="auto"/>
                <w:right w:val="none" w:sz="0" w:space="0" w:color="auto"/>
              </w:divBdr>
            </w:div>
            <w:div w:id="143358503">
              <w:marLeft w:val="0"/>
              <w:marRight w:val="0"/>
              <w:marTop w:val="0"/>
              <w:marBottom w:val="0"/>
              <w:divBdr>
                <w:top w:val="none" w:sz="0" w:space="0" w:color="auto"/>
                <w:left w:val="none" w:sz="0" w:space="0" w:color="auto"/>
                <w:bottom w:val="none" w:sz="0" w:space="0" w:color="auto"/>
                <w:right w:val="none" w:sz="0" w:space="0" w:color="auto"/>
              </w:divBdr>
              <w:divsChild>
                <w:div w:id="72972203">
                  <w:marLeft w:val="0"/>
                  <w:marRight w:val="0"/>
                  <w:marTop w:val="0"/>
                  <w:marBottom w:val="0"/>
                  <w:divBdr>
                    <w:top w:val="none" w:sz="0" w:space="0" w:color="auto"/>
                    <w:left w:val="none" w:sz="0" w:space="0" w:color="auto"/>
                    <w:bottom w:val="none" w:sz="0" w:space="0" w:color="auto"/>
                    <w:right w:val="none" w:sz="0" w:space="0" w:color="auto"/>
                  </w:divBdr>
                </w:div>
              </w:divsChild>
            </w:div>
            <w:div w:id="1692492801">
              <w:marLeft w:val="0"/>
              <w:marRight w:val="0"/>
              <w:marTop w:val="0"/>
              <w:marBottom w:val="0"/>
              <w:divBdr>
                <w:top w:val="none" w:sz="0" w:space="0" w:color="auto"/>
                <w:left w:val="none" w:sz="0" w:space="0" w:color="auto"/>
                <w:bottom w:val="none" w:sz="0" w:space="0" w:color="auto"/>
                <w:right w:val="none" w:sz="0" w:space="0" w:color="auto"/>
              </w:divBdr>
            </w:div>
            <w:div w:id="547375547">
              <w:marLeft w:val="0"/>
              <w:marRight w:val="0"/>
              <w:marTop w:val="0"/>
              <w:marBottom w:val="0"/>
              <w:divBdr>
                <w:top w:val="none" w:sz="0" w:space="0" w:color="auto"/>
                <w:left w:val="none" w:sz="0" w:space="0" w:color="auto"/>
                <w:bottom w:val="none" w:sz="0" w:space="0" w:color="auto"/>
                <w:right w:val="none" w:sz="0" w:space="0" w:color="auto"/>
              </w:divBdr>
            </w:div>
            <w:div w:id="1204946118">
              <w:marLeft w:val="0"/>
              <w:marRight w:val="0"/>
              <w:marTop w:val="0"/>
              <w:marBottom w:val="0"/>
              <w:divBdr>
                <w:top w:val="none" w:sz="0" w:space="0" w:color="auto"/>
                <w:left w:val="none" w:sz="0" w:space="0" w:color="auto"/>
                <w:bottom w:val="none" w:sz="0" w:space="0" w:color="auto"/>
                <w:right w:val="none" w:sz="0" w:space="0" w:color="auto"/>
              </w:divBdr>
              <w:divsChild>
                <w:div w:id="770131091">
                  <w:marLeft w:val="0"/>
                  <w:marRight w:val="0"/>
                  <w:marTop w:val="0"/>
                  <w:marBottom w:val="0"/>
                  <w:divBdr>
                    <w:top w:val="none" w:sz="0" w:space="0" w:color="auto"/>
                    <w:left w:val="none" w:sz="0" w:space="0" w:color="auto"/>
                    <w:bottom w:val="none" w:sz="0" w:space="0" w:color="auto"/>
                    <w:right w:val="none" w:sz="0" w:space="0" w:color="auto"/>
                  </w:divBdr>
                </w:div>
              </w:divsChild>
            </w:div>
            <w:div w:id="402070315">
              <w:marLeft w:val="0"/>
              <w:marRight w:val="0"/>
              <w:marTop w:val="0"/>
              <w:marBottom w:val="0"/>
              <w:divBdr>
                <w:top w:val="none" w:sz="0" w:space="0" w:color="auto"/>
                <w:left w:val="none" w:sz="0" w:space="0" w:color="auto"/>
                <w:bottom w:val="none" w:sz="0" w:space="0" w:color="auto"/>
                <w:right w:val="none" w:sz="0" w:space="0" w:color="auto"/>
              </w:divBdr>
            </w:div>
            <w:div w:id="1092511222">
              <w:marLeft w:val="0"/>
              <w:marRight w:val="0"/>
              <w:marTop w:val="0"/>
              <w:marBottom w:val="0"/>
              <w:divBdr>
                <w:top w:val="none" w:sz="0" w:space="0" w:color="auto"/>
                <w:left w:val="none" w:sz="0" w:space="0" w:color="auto"/>
                <w:bottom w:val="none" w:sz="0" w:space="0" w:color="auto"/>
                <w:right w:val="none" w:sz="0" w:space="0" w:color="auto"/>
              </w:divBdr>
            </w:div>
            <w:div w:id="459493834">
              <w:marLeft w:val="0"/>
              <w:marRight w:val="0"/>
              <w:marTop w:val="0"/>
              <w:marBottom w:val="0"/>
              <w:divBdr>
                <w:top w:val="none" w:sz="0" w:space="0" w:color="auto"/>
                <w:left w:val="none" w:sz="0" w:space="0" w:color="auto"/>
                <w:bottom w:val="none" w:sz="0" w:space="0" w:color="auto"/>
                <w:right w:val="none" w:sz="0" w:space="0" w:color="auto"/>
              </w:divBdr>
              <w:divsChild>
                <w:div w:id="655570568">
                  <w:marLeft w:val="0"/>
                  <w:marRight w:val="0"/>
                  <w:marTop w:val="0"/>
                  <w:marBottom w:val="0"/>
                  <w:divBdr>
                    <w:top w:val="none" w:sz="0" w:space="0" w:color="auto"/>
                    <w:left w:val="none" w:sz="0" w:space="0" w:color="auto"/>
                    <w:bottom w:val="none" w:sz="0" w:space="0" w:color="auto"/>
                    <w:right w:val="none" w:sz="0" w:space="0" w:color="auto"/>
                  </w:divBdr>
                </w:div>
              </w:divsChild>
            </w:div>
            <w:div w:id="1074738384">
              <w:marLeft w:val="0"/>
              <w:marRight w:val="0"/>
              <w:marTop w:val="0"/>
              <w:marBottom w:val="0"/>
              <w:divBdr>
                <w:top w:val="none" w:sz="0" w:space="0" w:color="auto"/>
                <w:left w:val="none" w:sz="0" w:space="0" w:color="auto"/>
                <w:bottom w:val="none" w:sz="0" w:space="0" w:color="auto"/>
                <w:right w:val="none" w:sz="0" w:space="0" w:color="auto"/>
              </w:divBdr>
            </w:div>
            <w:div w:id="465240658">
              <w:marLeft w:val="0"/>
              <w:marRight w:val="0"/>
              <w:marTop w:val="0"/>
              <w:marBottom w:val="0"/>
              <w:divBdr>
                <w:top w:val="none" w:sz="0" w:space="0" w:color="auto"/>
                <w:left w:val="none" w:sz="0" w:space="0" w:color="auto"/>
                <w:bottom w:val="none" w:sz="0" w:space="0" w:color="auto"/>
                <w:right w:val="none" w:sz="0" w:space="0" w:color="auto"/>
              </w:divBdr>
            </w:div>
            <w:div w:id="312562165">
              <w:marLeft w:val="0"/>
              <w:marRight w:val="0"/>
              <w:marTop w:val="0"/>
              <w:marBottom w:val="0"/>
              <w:divBdr>
                <w:top w:val="none" w:sz="0" w:space="0" w:color="auto"/>
                <w:left w:val="none" w:sz="0" w:space="0" w:color="auto"/>
                <w:bottom w:val="none" w:sz="0" w:space="0" w:color="auto"/>
                <w:right w:val="none" w:sz="0" w:space="0" w:color="auto"/>
              </w:divBdr>
              <w:divsChild>
                <w:div w:id="488449918">
                  <w:marLeft w:val="0"/>
                  <w:marRight w:val="0"/>
                  <w:marTop w:val="0"/>
                  <w:marBottom w:val="0"/>
                  <w:divBdr>
                    <w:top w:val="none" w:sz="0" w:space="0" w:color="auto"/>
                    <w:left w:val="none" w:sz="0" w:space="0" w:color="auto"/>
                    <w:bottom w:val="none" w:sz="0" w:space="0" w:color="auto"/>
                    <w:right w:val="none" w:sz="0" w:space="0" w:color="auto"/>
                  </w:divBdr>
                </w:div>
              </w:divsChild>
            </w:div>
            <w:div w:id="1414820510">
              <w:marLeft w:val="0"/>
              <w:marRight w:val="0"/>
              <w:marTop w:val="0"/>
              <w:marBottom w:val="0"/>
              <w:divBdr>
                <w:top w:val="none" w:sz="0" w:space="0" w:color="auto"/>
                <w:left w:val="none" w:sz="0" w:space="0" w:color="auto"/>
                <w:bottom w:val="none" w:sz="0" w:space="0" w:color="auto"/>
                <w:right w:val="none" w:sz="0" w:space="0" w:color="auto"/>
              </w:divBdr>
            </w:div>
            <w:div w:id="907954899">
              <w:marLeft w:val="0"/>
              <w:marRight w:val="0"/>
              <w:marTop w:val="0"/>
              <w:marBottom w:val="0"/>
              <w:divBdr>
                <w:top w:val="none" w:sz="0" w:space="0" w:color="auto"/>
                <w:left w:val="none" w:sz="0" w:space="0" w:color="auto"/>
                <w:bottom w:val="none" w:sz="0" w:space="0" w:color="auto"/>
                <w:right w:val="none" w:sz="0" w:space="0" w:color="auto"/>
              </w:divBdr>
            </w:div>
            <w:div w:id="338889449">
              <w:marLeft w:val="0"/>
              <w:marRight w:val="0"/>
              <w:marTop w:val="0"/>
              <w:marBottom w:val="0"/>
              <w:divBdr>
                <w:top w:val="none" w:sz="0" w:space="0" w:color="auto"/>
                <w:left w:val="none" w:sz="0" w:space="0" w:color="auto"/>
                <w:bottom w:val="none" w:sz="0" w:space="0" w:color="auto"/>
                <w:right w:val="none" w:sz="0" w:space="0" w:color="auto"/>
              </w:divBdr>
            </w:div>
            <w:div w:id="14816549">
              <w:marLeft w:val="0"/>
              <w:marRight w:val="0"/>
              <w:marTop w:val="0"/>
              <w:marBottom w:val="0"/>
              <w:divBdr>
                <w:top w:val="none" w:sz="0" w:space="0" w:color="auto"/>
                <w:left w:val="none" w:sz="0" w:space="0" w:color="auto"/>
                <w:bottom w:val="none" w:sz="0" w:space="0" w:color="auto"/>
                <w:right w:val="none" w:sz="0" w:space="0" w:color="auto"/>
              </w:divBdr>
              <w:divsChild>
                <w:div w:id="534074347">
                  <w:marLeft w:val="0"/>
                  <w:marRight w:val="0"/>
                  <w:marTop w:val="0"/>
                  <w:marBottom w:val="0"/>
                  <w:divBdr>
                    <w:top w:val="none" w:sz="0" w:space="0" w:color="auto"/>
                    <w:left w:val="none" w:sz="0" w:space="0" w:color="auto"/>
                    <w:bottom w:val="none" w:sz="0" w:space="0" w:color="auto"/>
                    <w:right w:val="none" w:sz="0" w:space="0" w:color="auto"/>
                  </w:divBdr>
                </w:div>
              </w:divsChild>
            </w:div>
            <w:div w:id="1249197818">
              <w:marLeft w:val="0"/>
              <w:marRight w:val="0"/>
              <w:marTop w:val="0"/>
              <w:marBottom w:val="0"/>
              <w:divBdr>
                <w:top w:val="none" w:sz="0" w:space="0" w:color="auto"/>
                <w:left w:val="none" w:sz="0" w:space="0" w:color="auto"/>
                <w:bottom w:val="none" w:sz="0" w:space="0" w:color="auto"/>
                <w:right w:val="none" w:sz="0" w:space="0" w:color="auto"/>
              </w:divBdr>
            </w:div>
            <w:div w:id="509178948">
              <w:marLeft w:val="0"/>
              <w:marRight w:val="0"/>
              <w:marTop w:val="0"/>
              <w:marBottom w:val="0"/>
              <w:divBdr>
                <w:top w:val="none" w:sz="0" w:space="0" w:color="auto"/>
                <w:left w:val="none" w:sz="0" w:space="0" w:color="auto"/>
                <w:bottom w:val="none" w:sz="0" w:space="0" w:color="auto"/>
                <w:right w:val="none" w:sz="0" w:space="0" w:color="auto"/>
              </w:divBdr>
            </w:div>
            <w:div w:id="1868447417">
              <w:marLeft w:val="0"/>
              <w:marRight w:val="0"/>
              <w:marTop w:val="0"/>
              <w:marBottom w:val="0"/>
              <w:divBdr>
                <w:top w:val="none" w:sz="0" w:space="0" w:color="auto"/>
                <w:left w:val="none" w:sz="0" w:space="0" w:color="auto"/>
                <w:bottom w:val="none" w:sz="0" w:space="0" w:color="auto"/>
                <w:right w:val="none" w:sz="0" w:space="0" w:color="auto"/>
              </w:divBdr>
              <w:divsChild>
                <w:div w:id="1867283654">
                  <w:marLeft w:val="0"/>
                  <w:marRight w:val="0"/>
                  <w:marTop w:val="0"/>
                  <w:marBottom w:val="0"/>
                  <w:divBdr>
                    <w:top w:val="none" w:sz="0" w:space="0" w:color="auto"/>
                    <w:left w:val="none" w:sz="0" w:space="0" w:color="auto"/>
                    <w:bottom w:val="none" w:sz="0" w:space="0" w:color="auto"/>
                    <w:right w:val="none" w:sz="0" w:space="0" w:color="auto"/>
                  </w:divBdr>
                </w:div>
              </w:divsChild>
            </w:div>
            <w:div w:id="1303271881">
              <w:marLeft w:val="0"/>
              <w:marRight w:val="0"/>
              <w:marTop w:val="0"/>
              <w:marBottom w:val="0"/>
              <w:divBdr>
                <w:top w:val="none" w:sz="0" w:space="0" w:color="auto"/>
                <w:left w:val="none" w:sz="0" w:space="0" w:color="auto"/>
                <w:bottom w:val="none" w:sz="0" w:space="0" w:color="auto"/>
                <w:right w:val="none" w:sz="0" w:space="0" w:color="auto"/>
              </w:divBdr>
            </w:div>
            <w:div w:id="603344161">
              <w:marLeft w:val="0"/>
              <w:marRight w:val="0"/>
              <w:marTop w:val="0"/>
              <w:marBottom w:val="0"/>
              <w:divBdr>
                <w:top w:val="none" w:sz="0" w:space="0" w:color="auto"/>
                <w:left w:val="none" w:sz="0" w:space="0" w:color="auto"/>
                <w:bottom w:val="none" w:sz="0" w:space="0" w:color="auto"/>
                <w:right w:val="none" w:sz="0" w:space="0" w:color="auto"/>
              </w:divBdr>
            </w:div>
            <w:div w:id="2125611005">
              <w:marLeft w:val="0"/>
              <w:marRight w:val="0"/>
              <w:marTop w:val="0"/>
              <w:marBottom w:val="0"/>
              <w:divBdr>
                <w:top w:val="none" w:sz="0" w:space="0" w:color="auto"/>
                <w:left w:val="none" w:sz="0" w:space="0" w:color="auto"/>
                <w:bottom w:val="none" w:sz="0" w:space="0" w:color="auto"/>
                <w:right w:val="none" w:sz="0" w:space="0" w:color="auto"/>
              </w:divBdr>
              <w:divsChild>
                <w:div w:id="39018850">
                  <w:marLeft w:val="0"/>
                  <w:marRight w:val="0"/>
                  <w:marTop w:val="0"/>
                  <w:marBottom w:val="0"/>
                  <w:divBdr>
                    <w:top w:val="none" w:sz="0" w:space="0" w:color="auto"/>
                    <w:left w:val="none" w:sz="0" w:space="0" w:color="auto"/>
                    <w:bottom w:val="none" w:sz="0" w:space="0" w:color="auto"/>
                    <w:right w:val="none" w:sz="0" w:space="0" w:color="auto"/>
                  </w:divBdr>
                </w:div>
              </w:divsChild>
            </w:div>
            <w:div w:id="1678577902">
              <w:marLeft w:val="0"/>
              <w:marRight w:val="0"/>
              <w:marTop w:val="0"/>
              <w:marBottom w:val="0"/>
              <w:divBdr>
                <w:top w:val="none" w:sz="0" w:space="0" w:color="auto"/>
                <w:left w:val="none" w:sz="0" w:space="0" w:color="auto"/>
                <w:bottom w:val="none" w:sz="0" w:space="0" w:color="auto"/>
                <w:right w:val="none" w:sz="0" w:space="0" w:color="auto"/>
              </w:divBdr>
            </w:div>
            <w:div w:id="175929642">
              <w:marLeft w:val="0"/>
              <w:marRight w:val="0"/>
              <w:marTop w:val="0"/>
              <w:marBottom w:val="0"/>
              <w:divBdr>
                <w:top w:val="none" w:sz="0" w:space="0" w:color="auto"/>
                <w:left w:val="none" w:sz="0" w:space="0" w:color="auto"/>
                <w:bottom w:val="none" w:sz="0" w:space="0" w:color="auto"/>
                <w:right w:val="none" w:sz="0" w:space="0" w:color="auto"/>
              </w:divBdr>
            </w:div>
            <w:div w:id="1841503435">
              <w:marLeft w:val="0"/>
              <w:marRight w:val="0"/>
              <w:marTop w:val="0"/>
              <w:marBottom w:val="0"/>
              <w:divBdr>
                <w:top w:val="none" w:sz="0" w:space="0" w:color="auto"/>
                <w:left w:val="none" w:sz="0" w:space="0" w:color="auto"/>
                <w:bottom w:val="none" w:sz="0" w:space="0" w:color="auto"/>
                <w:right w:val="none" w:sz="0" w:space="0" w:color="auto"/>
              </w:divBdr>
              <w:divsChild>
                <w:div w:id="1911504273">
                  <w:marLeft w:val="0"/>
                  <w:marRight w:val="0"/>
                  <w:marTop w:val="0"/>
                  <w:marBottom w:val="0"/>
                  <w:divBdr>
                    <w:top w:val="none" w:sz="0" w:space="0" w:color="auto"/>
                    <w:left w:val="none" w:sz="0" w:space="0" w:color="auto"/>
                    <w:bottom w:val="none" w:sz="0" w:space="0" w:color="auto"/>
                    <w:right w:val="none" w:sz="0" w:space="0" w:color="auto"/>
                  </w:divBdr>
                </w:div>
              </w:divsChild>
            </w:div>
            <w:div w:id="501773249">
              <w:marLeft w:val="0"/>
              <w:marRight w:val="0"/>
              <w:marTop w:val="0"/>
              <w:marBottom w:val="0"/>
              <w:divBdr>
                <w:top w:val="none" w:sz="0" w:space="0" w:color="auto"/>
                <w:left w:val="none" w:sz="0" w:space="0" w:color="auto"/>
                <w:bottom w:val="none" w:sz="0" w:space="0" w:color="auto"/>
                <w:right w:val="none" w:sz="0" w:space="0" w:color="auto"/>
              </w:divBdr>
            </w:div>
            <w:div w:id="1454136010">
              <w:marLeft w:val="0"/>
              <w:marRight w:val="0"/>
              <w:marTop w:val="0"/>
              <w:marBottom w:val="0"/>
              <w:divBdr>
                <w:top w:val="none" w:sz="0" w:space="0" w:color="auto"/>
                <w:left w:val="none" w:sz="0" w:space="0" w:color="auto"/>
                <w:bottom w:val="none" w:sz="0" w:space="0" w:color="auto"/>
                <w:right w:val="none" w:sz="0" w:space="0" w:color="auto"/>
              </w:divBdr>
            </w:div>
            <w:div w:id="367147866">
              <w:marLeft w:val="0"/>
              <w:marRight w:val="0"/>
              <w:marTop w:val="0"/>
              <w:marBottom w:val="0"/>
              <w:divBdr>
                <w:top w:val="none" w:sz="0" w:space="0" w:color="auto"/>
                <w:left w:val="none" w:sz="0" w:space="0" w:color="auto"/>
                <w:bottom w:val="none" w:sz="0" w:space="0" w:color="auto"/>
                <w:right w:val="none" w:sz="0" w:space="0" w:color="auto"/>
              </w:divBdr>
              <w:divsChild>
                <w:div w:id="296034237">
                  <w:marLeft w:val="0"/>
                  <w:marRight w:val="0"/>
                  <w:marTop w:val="0"/>
                  <w:marBottom w:val="0"/>
                  <w:divBdr>
                    <w:top w:val="none" w:sz="0" w:space="0" w:color="auto"/>
                    <w:left w:val="none" w:sz="0" w:space="0" w:color="auto"/>
                    <w:bottom w:val="none" w:sz="0" w:space="0" w:color="auto"/>
                    <w:right w:val="none" w:sz="0" w:space="0" w:color="auto"/>
                  </w:divBdr>
                </w:div>
              </w:divsChild>
            </w:div>
            <w:div w:id="357706537">
              <w:marLeft w:val="0"/>
              <w:marRight w:val="0"/>
              <w:marTop w:val="0"/>
              <w:marBottom w:val="0"/>
              <w:divBdr>
                <w:top w:val="none" w:sz="0" w:space="0" w:color="auto"/>
                <w:left w:val="none" w:sz="0" w:space="0" w:color="auto"/>
                <w:bottom w:val="none" w:sz="0" w:space="0" w:color="auto"/>
                <w:right w:val="none" w:sz="0" w:space="0" w:color="auto"/>
              </w:divBdr>
            </w:div>
            <w:div w:id="1670252913">
              <w:marLeft w:val="0"/>
              <w:marRight w:val="0"/>
              <w:marTop w:val="0"/>
              <w:marBottom w:val="0"/>
              <w:divBdr>
                <w:top w:val="none" w:sz="0" w:space="0" w:color="auto"/>
                <w:left w:val="none" w:sz="0" w:space="0" w:color="auto"/>
                <w:bottom w:val="none" w:sz="0" w:space="0" w:color="auto"/>
                <w:right w:val="none" w:sz="0" w:space="0" w:color="auto"/>
              </w:divBdr>
            </w:div>
            <w:div w:id="87695955">
              <w:marLeft w:val="0"/>
              <w:marRight w:val="0"/>
              <w:marTop w:val="0"/>
              <w:marBottom w:val="0"/>
              <w:divBdr>
                <w:top w:val="none" w:sz="0" w:space="0" w:color="auto"/>
                <w:left w:val="none" w:sz="0" w:space="0" w:color="auto"/>
                <w:bottom w:val="none" w:sz="0" w:space="0" w:color="auto"/>
                <w:right w:val="none" w:sz="0" w:space="0" w:color="auto"/>
              </w:divBdr>
              <w:divsChild>
                <w:div w:id="949120221">
                  <w:marLeft w:val="0"/>
                  <w:marRight w:val="0"/>
                  <w:marTop w:val="0"/>
                  <w:marBottom w:val="0"/>
                  <w:divBdr>
                    <w:top w:val="none" w:sz="0" w:space="0" w:color="auto"/>
                    <w:left w:val="none" w:sz="0" w:space="0" w:color="auto"/>
                    <w:bottom w:val="none" w:sz="0" w:space="0" w:color="auto"/>
                    <w:right w:val="none" w:sz="0" w:space="0" w:color="auto"/>
                  </w:divBdr>
                </w:div>
              </w:divsChild>
            </w:div>
            <w:div w:id="1797869963">
              <w:marLeft w:val="0"/>
              <w:marRight w:val="0"/>
              <w:marTop w:val="0"/>
              <w:marBottom w:val="0"/>
              <w:divBdr>
                <w:top w:val="none" w:sz="0" w:space="0" w:color="auto"/>
                <w:left w:val="none" w:sz="0" w:space="0" w:color="auto"/>
                <w:bottom w:val="none" w:sz="0" w:space="0" w:color="auto"/>
                <w:right w:val="none" w:sz="0" w:space="0" w:color="auto"/>
              </w:divBdr>
            </w:div>
            <w:div w:id="1435899774">
              <w:marLeft w:val="0"/>
              <w:marRight w:val="0"/>
              <w:marTop w:val="0"/>
              <w:marBottom w:val="0"/>
              <w:divBdr>
                <w:top w:val="none" w:sz="0" w:space="0" w:color="auto"/>
                <w:left w:val="none" w:sz="0" w:space="0" w:color="auto"/>
                <w:bottom w:val="none" w:sz="0" w:space="0" w:color="auto"/>
                <w:right w:val="none" w:sz="0" w:space="0" w:color="auto"/>
              </w:divBdr>
            </w:div>
            <w:div w:id="445005382">
              <w:marLeft w:val="0"/>
              <w:marRight w:val="0"/>
              <w:marTop w:val="0"/>
              <w:marBottom w:val="0"/>
              <w:divBdr>
                <w:top w:val="none" w:sz="0" w:space="0" w:color="auto"/>
                <w:left w:val="none" w:sz="0" w:space="0" w:color="auto"/>
                <w:bottom w:val="none" w:sz="0" w:space="0" w:color="auto"/>
                <w:right w:val="none" w:sz="0" w:space="0" w:color="auto"/>
              </w:divBdr>
              <w:divsChild>
                <w:div w:id="1540362395">
                  <w:marLeft w:val="0"/>
                  <w:marRight w:val="0"/>
                  <w:marTop w:val="0"/>
                  <w:marBottom w:val="0"/>
                  <w:divBdr>
                    <w:top w:val="none" w:sz="0" w:space="0" w:color="auto"/>
                    <w:left w:val="none" w:sz="0" w:space="0" w:color="auto"/>
                    <w:bottom w:val="none" w:sz="0" w:space="0" w:color="auto"/>
                    <w:right w:val="none" w:sz="0" w:space="0" w:color="auto"/>
                  </w:divBdr>
                </w:div>
              </w:divsChild>
            </w:div>
            <w:div w:id="504714009">
              <w:marLeft w:val="0"/>
              <w:marRight w:val="0"/>
              <w:marTop w:val="0"/>
              <w:marBottom w:val="0"/>
              <w:divBdr>
                <w:top w:val="none" w:sz="0" w:space="0" w:color="auto"/>
                <w:left w:val="none" w:sz="0" w:space="0" w:color="auto"/>
                <w:bottom w:val="none" w:sz="0" w:space="0" w:color="auto"/>
                <w:right w:val="none" w:sz="0" w:space="0" w:color="auto"/>
              </w:divBdr>
            </w:div>
            <w:div w:id="125852323">
              <w:marLeft w:val="0"/>
              <w:marRight w:val="0"/>
              <w:marTop w:val="0"/>
              <w:marBottom w:val="0"/>
              <w:divBdr>
                <w:top w:val="none" w:sz="0" w:space="0" w:color="auto"/>
                <w:left w:val="none" w:sz="0" w:space="0" w:color="auto"/>
                <w:bottom w:val="none" w:sz="0" w:space="0" w:color="auto"/>
                <w:right w:val="none" w:sz="0" w:space="0" w:color="auto"/>
              </w:divBdr>
            </w:div>
            <w:div w:id="1436442649">
              <w:marLeft w:val="0"/>
              <w:marRight w:val="0"/>
              <w:marTop w:val="0"/>
              <w:marBottom w:val="0"/>
              <w:divBdr>
                <w:top w:val="none" w:sz="0" w:space="0" w:color="auto"/>
                <w:left w:val="none" w:sz="0" w:space="0" w:color="auto"/>
                <w:bottom w:val="none" w:sz="0" w:space="0" w:color="auto"/>
                <w:right w:val="none" w:sz="0" w:space="0" w:color="auto"/>
              </w:divBdr>
              <w:divsChild>
                <w:div w:id="1116947283">
                  <w:marLeft w:val="0"/>
                  <w:marRight w:val="0"/>
                  <w:marTop w:val="0"/>
                  <w:marBottom w:val="0"/>
                  <w:divBdr>
                    <w:top w:val="none" w:sz="0" w:space="0" w:color="auto"/>
                    <w:left w:val="none" w:sz="0" w:space="0" w:color="auto"/>
                    <w:bottom w:val="none" w:sz="0" w:space="0" w:color="auto"/>
                    <w:right w:val="none" w:sz="0" w:space="0" w:color="auto"/>
                  </w:divBdr>
                </w:div>
              </w:divsChild>
            </w:div>
            <w:div w:id="1014576985">
              <w:marLeft w:val="0"/>
              <w:marRight w:val="0"/>
              <w:marTop w:val="0"/>
              <w:marBottom w:val="0"/>
              <w:divBdr>
                <w:top w:val="none" w:sz="0" w:space="0" w:color="auto"/>
                <w:left w:val="none" w:sz="0" w:space="0" w:color="auto"/>
                <w:bottom w:val="none" w:sz="0" w:space="0" w:color="auto"/>
                <w:right w:val="none" w:sz="0" w:space="0" w:color="auto"/>
              </w:divBdr>
            </w:div>
            <w:div w:id="1919241606">
              <w:marLeft w:val="0"/>
              <w:marRight w:val="0"/>
              <w:marTop w:val="0"/>
              <w:marBottom w:val="0"/>
              <w:divBdr>
                <w:top w:val="none" w:sz="0" w:space="0" w:color="auto"/>
                <w:left w:val="none" w:sz="0" w:space="0" w:color="auto"/>
                <w:bottom w:val="none" w:sz="0" w:space="0" w:color="auto"/>
                <w:right w:val="none" w:sz="0" w:space="0" w:color="auto"/>
              </w:divBdr>
            </w:div>
            <w:div w:id="896085505">
              <w:marLeft w:val="0"/>
              <w:marRight w:val="0"/>
              <w:marTop w:val="0"/>
              <w:marBottom w:val="0"/>
              <w:divBdr>
                <w:top w:val="none" w:sz="0" w:space="0" w:color="auto"/>
                <w:left w:val="none" w:sz="0" w:space="0" w:color="auto"/>
                <w:bottom w:val="none" w:sz="0" w:space="0" w:color="auto"/>
                <w:right w:val="none" w:sz="0" w:space="0" w:color="auto"/>
              </w:divBdr>
              <w:divsChild>
                <w:div w:id="590820073">
                  <w:marLeft w:val="0"/>
                  <w:marRight w:val="0"/>
                  <w:marTop w:val="0"/>
                  <w:marBottom w:val="0"/>
                  <w:divBdr>
                    <w:top w:val="none" w:sz="0" w:space="0" w:color="auto"/>
                    <w:left w:val="none" w:sz="0" w:space="0" w:color="auto"/>
                    <w:bottom w:val="none" w:sz="0" w:space="0" w:color="auto"/>
                    <w:right w:val="none" w:sz="0" w:space="0" w:color="auto"/>
                  </w:divBdr>
                </w:div>
              </w:divsChild>
            </w:div>
            <w:div w:id="17197733">
              <w:marLeft w:val="0"/>
              <w:marRight w:val="0"/>
              <w:marTop w:val="0"/>
              <w:marBottom w:val="0"/>
              <w:divBdr>
                <w:top w:val="none" w:sz="0" w:space="0" w:color="auto"/>
                <w:left w:val="none" w:sz="0" w:space="0" w:color="auto"/>
                <w:bottom w:val="none" w:sz="0" w:space="0" w:color="auto"/>
                <w:right w:val="none" w:sz="0" w:space="0" w:color="auto"/>
              </w:divBdr>
            </w:div>
            <w:div w:id="1849326302">
              <w:marLeft w:val="0"/>
              <w:marRight w:val="0"/>
              <w:marTop w:val="0"/>
              <w:marBottom w:val="0"/>
              <w:divBdr>
                <w:top w:val="none" w:sz="0" w:space="0" w:color="auto"/>
                <w:left w:val="none" w:sz="0" w:space="0" w:color="auto"/>
                <w:bottom w:val="none" w:sz="0" w:space="0" w:color="auto"/>
                <w:right w:val="none" w:sz="0" w:space="0" w:color="auto"/>
              </w:divBdr>
            </w:div>
            <w:div w:id="1944455382">
              <w:marLeft w:val="0"/>
              <w:marRight w:val="0"/>
              <w:marTop w:val="0"/>
              <w:marBottom w:val="0"/>
              <w:divBdr>
                <w:top w:val="none" w:sz="0" w:space="0" w:color="auto"/>
                <w:left w:val="none" w:sz="0" w:space="0" w:color="auto"/>
                <w:bottom w:val="none" w:sz="0" w:space="0" w:color="auto"/>
                <w:right w:val="none" w:sz="0" w:space="0" w:color="auto"/>
              </w:divBdr>
              <w:divsChild>
                <w:div w:id="920330629">
                  <w:marLeft w:val="0"/>
                  <w:marRight w:val="0"/>
                  <w:marTop w:val="0"/>
                  <w:marBottom w:val="0"/>
                  <w:divBdr>
                    <w:top w:val="none" w:sz="0" w:space="0" w:color="auto"/>
                    <w:left w:val="none" w:sz="0" w:space="0" w:color="auto"/>
                    <w:bottom w:val="none" w:sz="0" w:space="0" w:color="auto"/>
                    <w:right w:val="none" w:sz="0" w:space="0" w:color="auto"/>
                  </w:divBdr>
                </w:div>
              </w:divsChild>
            </w:div>
            <w:div w:id="2090074774">
              <w:marLeft w:val="0"/>
              <w:marRight w:val="0"/>
              <w:marTop w:val="0"/>
              <w:marBottom w:val="0"/>
              <w:divBdr>
                <w:top w:val="none" w:sz="0" w:space="0" w:color="auto"/>
                <w:left w:val="none" w:sz="0" w:space="0" w:color="auto"/>
                <w:bottom w:val="none" w:sz="0" w:space="0" w:color="auto"/>
                <w:right w:val="none" w:sz="0" w:space="0" w:color="auto"/>
              </w:divBdr>
            </w:div>
            <w:div w:id="1333601888">
              <w:marLeft w:val="0"/>
              <w:marRight w:val="0"/>
              <w:marTop w:val="0"/>
              <w:marBottom w:val="0"/>
              <w:divBdr>
                <w:top w:val="none" w:sz="0" w:space="0" w:color="auto"/>
                <w:left w:val="none" w:sz="0" w:space="0" w:color="auto"/>
                <w:bottom w:val="none" w:sz="0" w:space="0" w:color="auto"/>
                <w:right w:val="none" w:sz="0" w:space="0" w:color="auto"/>
              </w:divBdr>
            </w:div>
            <w:div w:id="1620599184">
              <w:marLeft w:val="0"/>
              <w:marRight w:val="0"/>
              <w:marTop w:val="0"/>
              <w:marBottom w:val="0"/>
              <w:divBdr>
                <w:top w:val="none" w:sz="0" w:space="0" w:color="auto"/>
                <w:left w:val="none" w:sz="0" w:space="0" w:color="auto"/>
                <w:bottom w:val="none" w:sz="0" w:space="0" w:color="auto"/>
                <w:right w:val="none" w:sz="0" w:space="0" w:color="auto"/>
              </w:divBdr>
              <w:divsChild>
                <w:div w:id="1258291816">
                  <w:marLeft w:val="0"/>
                  <w:marRight w:val="0"/>
                  <w:marTop w:val="0"/>
                  <w:marBottom w:val="0"/>
                  <w:divBdr>
                    <w:top w:val="none" w:sz="0" w:space="0" w:color="auto"/>
                    <w:left w:val="none" w:sz="0" w:space="0" w:color="auto"/>
                    <w:bottom w:val="none" w:sz="0" w:space="0" w:color="auto"/>
                    <w:right w:val="none" w:sz="0" w:space="0" w:color="auto"/>
                  </w:divBdr>
                </w:div>
              </w:divsChild>
            </w:div>
            <w:div w:id="97677851">
              <w:marLeft w:val="0"/>
              <w:marRight w:val="0"/>
              <w:marTop w:val="0"/>
              <w:marBottom w:val="0"/>
              <w:divBdr>
                <w:top w:val="none" w:sz="0" w:space="0" w:color="auto"/>
                <w:left w:val="none" w:sz="0" w:space="0" w:color="auto"/>
                <w:bottom w:val="none" w:sz="0" w:space="0" w:color="auto"/>
                <w:right w:val="none" w:sz="0" w:space="0" w:color="auto"/>
              </w:divBdr>
            </w:div>
            <w:div w:id="721752815">
              <w:marLeft w:val="0"/>
              <w:marRight w:val="0"/>
              <w:marTop w:val="0"/>
              <w:marBottom w:val="0"/>
              <w:divBdr>
                <w:top w:val="none" w:sz="0" w:space="0" w:color="auto"/>
                <w:left w:val="none" w:sz="0" w:space="0" w:color="auto"/>
                <w:bottom w:val="none" w:sz="0" w:space="0" w:color="auto"/>
                <w:right w:val="none" w:sz="0" w:space="0" w:color="auto"/>
              </w:divBdr>
            </w:div>
            <w:div w:id="1769082540">
              <w:marLeft w:val="0"/>
              <w:marRight w:val="0"/>
              <w:marTop w:val="0"/>
              <w:marBottom w:val="0"/>
              <w:divBdr>
                <w:top w:val="none" w:sz="0" w:space="0" w:color="auto"/>
                <w:left w:val="none" w:sz="0" w:space="0" w:color="auto"/>
                <w:bottom w:val="none" w:sz="0" w:space="0" w:color="auto"/>
                <w:right w:val="none" w:sz="0" w:space="0" w:color="auto"/>
              </w:divBdr>
              <w:divsChild>
                <w:div w:id="1491560641">
                  <w:marLeft w:val="0"/>
                  <w:marRight w:val="0"/>
                  <w:marTop w:val="0"/>
                  <w:marBottom w:val="0"/>
                  <w:divBdr>
                    <w:top w:val="none" w:sz="0" w:space="0" w:color="auto"/>
                    <w:left w:val="none" w:sz="0" w:space="0" w:color="auto"/>
                    <w:bottom w:val="none" w:sz="0" w:space="0" w:color="auto"/>
                    <w:right w:val="none" w:sz="0" w:space="0" w:color="auto"/>
                  </w:divBdr>
                </w:div>
              </w:divsChild>
            </w:div>
            <w:div w:id="1469712205">
              <w:marLeft w:val="0"/>
              <w:marRight w:val="0"/>
              <w:marTop w:val="0"/>
              <w:marBottom w:val="0"/>
              <w:divBdr>
                <w:top w:val="none" w:sz="0" w:space="0" w:color="auto"/>
                <w:left w:val="none" w:sz="0" w:space="0" w:color="auto"/>
                <w:bottom w:val="none" w:sz="0" w:space="0" w:color="auto"/>
                <w:right w:val="none" w:sz="0" w:space="0" w:color="auto"/>
              </w:divBdr>
            </w:div>
            <w:div w:id="317538852">
              <w:marLeft w:val="0"/>
              <w:marRight w:val="0"/>
              <w:marTop w:val="0"/>
              <w:marBottom w:val="0"/>
              <w:divBdr>
                <w:top w:val="none" w:sz="0" w:space="0" w:color="auto"/>
                <w:left w:val="none" w:sz="0" w:space="0" w:color="auto"/>
                <w:bottom w:val="none" w:sz="0" w:space="0" w:color="auto"/>
                <w:right w:val="none" w:sz="0" w:space="0" w:color="auto"/>
              </w:divBdr>
            </w:div>
            <w:div w:id="1343361940">
              <w:marLeft w:val="0"/>
              <w:marRight w:val="0"/>
              <w:marTop w:val="0"/>
              <w:marBottom w:val="0"/>
              <w:divBdr>
                <w:top w:val="none" w:sz="0" w:space="0" w:color="auto"/>
                <w:left w:val="none" w:sz="0" w:space="0" w:color="auto"/>
                <w:bottom w:val="none" w:sz="0" w:space="0" w:color="auto"/>
                <w:right w:val="none" w:sz="0" w:space="0" w:color="auto"/>
              </w:divBdr>
              <w:divsChild>
                <w:div w:id="1760952906">
                  <w:marLeft w:val="0"/>
                  <w:marRight w:val="0"/>
                  <w:marTop w:val="0"/>
                  <w:marBottom w:val="0"/>
                  <w:divBdr>
                    <w:top w:val="none" w:sz="0" w:space="0" w:color="auto"/>
                    <w:left w:val="none" w:sz="0" w:space="0" w:color="auto"/>
                    <w:bottom w:val="none" w:sz="0" w:space="0" w:color="auto"/>
                    <w:right w:val="none" w:sz="0" w:space="0" w:color="auto"/>
                  </w:divBdr>
                </w:div>
              </w:divsChild>
            </w:div>
            <w:div w:id="373311526">
              <w:marLeft w:val="0"/>
              <w:marRight w:val="0"/>
              <w:marTop w:val="0"/>
              <w:marBottom w:val="0"/>
              <w:divBdr>
                <w:top w:val="none" w:sz="0" w:space="0" w:color="auto"/>
                <w:left w:val="none" w:sz="0" w:space="0" w:color="auto"/>
                <w:bottom w:val="none" w:sz="0" w:space="0" w:color="auto"/>
                <w:right w:val="none" w:sz="0" w:space="0" w:color="auto"/>
              </w:divBdr>
            </w:div>
            <w:div w:id="2075814880">
              <w:marLeft w:val="0"/>
              <w:marRight w:val="0"/>
              <w:marTop w:val="0"/>
              <w:marBottom w:val="0"/>
              <w:divBdr>
                <w:top w:val="none" w:sz="0" w:space="0" w:color="auto"/>
                <w:left w:val="none" w:sz="0" w:space="0" w:color="auto"/>
                <w:bottom w:val="none" w:sz="0" w:space="0" w:color="auto"/>
                <w:right w:val="none" w:sz="0" w:space="0" w:color="auto"/>
              </w:divBdr>
            </w:div>
            <w:div w:id="220988171">
              <w:marLeft w:val="0"/>
              <w:marRight w:val="0"/>
              <w:marTop w:val="0"/>
              <w:marBottom w:val="0"/>
              <w:divBdr>
                <w:top w:val="none" w:sz="0" w:space="0" w:color="auto"/>
                <w:left w:val="none" w:sz="0" w:space="0" w:color="auto"/>
                <w:bottom w:val="none" w:sz="0" w:space="0" w:color="auto"/>
                <w:right w:val="none" w:sz="0" w:space="0" w:color="auto"/>
              </w:divBdr>
              <w:divsChild>
                <w:div w:id="420954063">
                  <w:marLeft w:val="0"/>
                  <w:marRight w:val="0"/>
                  <w:marTop w:val="0"/>
                  <w:marBottom w:val="0"/>
                  <w:divBdr>
                    <w:top w:val="none" w:sz="0" w:space="0" w:color="auto"/>
                    <w:left w:val="none" w:sz="0" w:space="0" w:color="auto"/>
                    <w:bottom w:val="none" w:sz="0" w:space="0" w:color="auto"/>
                    <w:right w:val="none" w:sz="0" w:space="0" w:color="auto"/>
                  </w:divBdr>
                </w:div>
              </w:divsChild>
            </w:div>
            <w:div w:id="946037479">
              <w:marLeft w:val="0"/>
              <w:marRight w:val="0"/>
              <w:marTop w:val="0"/>
              <w:marBottom w:val="0"/>
              <w:divBdr>
                <w:top w:val="none" w:sz="0" w:space="0" w:color="auto"/>
                <w:left w:val="none" w:sz="0" w:space="0" w:color="auto"/>
                <w:bottom w:val="none" w:sz="0" w:space="0" w:color="auto"/>
                <w:right w:val="none" w:sz="0" w:space="0" w:color="auto"/>
              </w:divBdr>
            </w:div>
            <w:div w:id="1401752025">
              <w:marLeft w:val="0"/>
              <w:marRight w:val="0"/>
              <w:marTop w:val="0"/>
              <w:marBottom w:val="0"/>
              <w:divBdr>
                <w:top w:val="none" w:sz="0" w:space="0" w:color="auto"/>
                <w:left w:val="none" w:sz="0" w:space="0" w:color="auto"/>
                <w:bottom w:val="none" w:sz="0" w:space="0" w:color="auto"/>
                <w:right w:val="none" w:sz="0" w:space="0" w:color="auto"/>
              </w:divBdr>
            </w:div>
            <w:div w:id="1373382984">
              <w:marLeft w:val="0"/>
              <w:marRight w:val="0"/>
              <w:marTop w:val="0"/>
              <w:marBottom w:val="0"/>
              <w:divBdr>
                <w:top w:val="none" w:sz="0" w:space="0" w:color="auto"/>
                <w:left w:val="none" w:sz="0" w:space="0" w:color="auto"/>
                <w:bottom w:val="none" w:sz="0" w:space="0" w:color="auto"/>
                <w:right w:val="none" w:sz="0" w:space="0" w:color="auto"/>
              </w:divBdr>
              <w:divsChild>
                <w:div w:id="1341196150">
                  <w:marLeft w:val="0"/>
                  <w:marRight w:val="0"/>
                  <w:marTop w:val="0"/>
                  <w:marBottom w:val="0"/>
                  <w:divBdr>
                    <w:top w:val="none" w:sz="0" w:space="0" w:color="auto"/>
                    <w:left w:val="none" w:sz="0" w:space="0" w:color="auto"/>
                    <w:bottom w:val="none" w:sz="0" w:space="0" w:color="auto"/>
                    <w:right w:val="none" w:sz="0" w:space="0" w:color="auto"/>
                  </w:divBdr>
                </w:div>
              </w:divsChild>
            </w:div>
            <w:div w:id="896627274">
              <w:marLeft w:val="0"/>
              <w:marRight w:val="0"/>
              <w:marTop w:val="0"/>
              <w:marBottom w:val="0"/>
              <w:divBdr>
                <w:top w:val="none" w:sz="0" w:space="0" w:color="auto"/>
                <w:left w:val="none" w:sz="0" w:space="0" w:color="auto"/>
                <w:bottom w:val="none" w:sz="0" w:space="0" w:color="auto"/>
                <w:right w:val="none" w:sz="0" w:space="0" w:color="auto"/>
              </w:divBdr>
            </w:div>
            <w:div w:id="623656058">
              <w:marLeft w:val="0"/>
              <w:marRight w:val="0"/>
              <w:marTop w:val="0"/>
              <w:marBottom w:val="0"/>
              <w:divBdr>
                <w:top w:val="none" w:sz="0" w:space="0" w:color="auto"/>
                <w:left w:val="none" w:sz="0" w:space="0" w:color="auto"/>
                <w:bottom w:val="none" w:sz="0" w:space="0" w:color="auto"/>
                <w:right w:val="none" w:sz="0" w:space="0" w:color="auto"/>
              </w:divBdr>
            </w:div>
            <w:div w:id="1772314621">
              <w:marLeft w:val="0"/>
              <w:marRight w:val="0"/>
              <w:marTop w:val="0"/>
              <w:marBottom w:val="0"/>
              <w:divBdr>
                <w:top w:val="none" w:sz="0" w:space="0" w:color="auto"/>
                <w:left w:val="none" w:sz="0" w:space="0" w:color="auto"/>
                <w:bottom w:val="none" w:sz="0" w:space="0" w:color="auto"/>
                <w:right w:val="none" w:sz="0" w:space="0" w:color="auto"/>
              </w:divBdr>
              <w:divsChild>
                <w:div w:id="977878270">
                  <w:marLeft w:val="0"/>
                  <w:marRight w:val="0"/>
                  <w:marTop w:val="0"/>
                  <w:marBottom w:val="0"/>
                  <w:divBdr>
                    <w:top w:val="none" w:sz="0" w:space="0" w:color="auto"/>
                    <w:left w:val="none" w:sz="0" w:space="0" w:color="auto"/>
                    <w:bottom w:val="none" w:sz="0" w:space="0" w:color="auto"/>
                    <w:right w:val="none" w:sz="0" w:space="0" w:color="auto"/>
                  </w:divBdr>
                </w:div>
              </w:divsChild>
            </w:div>
            <w:div w:id="32775960">
              <w:marLeft w:val="0"/>
              <w:marRight w:val="0"/>
              <w:marTop w:val="0"/>
              <w:marBottom w:val="0"/>
              <w:divBdr>
                <w:top w:val="none" w:sz="0" w:space="0" w:color="auto"/>
                <w:left w:val="none" w:sz="0" w:space="0" w:color="auto"/>
                <w:bottom w:val="none" w:sz="0" w:space="0" w:color="auto"/>
                <w:right w:val="none" w:sz="0" w:space="0" w:color="auto"/>
              </w:divBdr>
            </w:div>
            <w:div w:id="1709913299">
              <w:marLeft w:val="0"/>
              <w:marRight w:val="0"/>
              <w:marTop w:val="0"/>
              <w:marBottom w:val="0"/>
              <w:divBdr>
                <w:top w:val="none" w:sz="0" w:space="0" w:color="auto"/>
                <w:left w:val="none" w:sz="0" w:space="0" w:color="auto"/>
                <w:bottom w:val="none" w:sz="0" w:space="0" w:color="auto"/>
                <w:right w:val="none" w:sz="0" w:space="0" w:color="auto"/>
              </w:divBdr>
            </w:div>
            <w:div w:id="906691975">
              <w:marLeft w:val="0"/>
              <w:marRight w:val="0"/>
              <w:marTop w:val="0"/>
              <w:marBottom w:val="0"/>
              <w:divBdr>
                <w:top w:val="none" w:sz="0" w:space="0" w:color="auto"/>
                <w:left w:val="none" w:sz="0" w:space="0" w:color="auto"/>
                <w:bottom w:val="none" w:sz="0" w:space="0" w:color="auto"/>
                <w:right w:val="none" w:sz="0" w:space="0" w:color="auto"/>
              </w:divBdr>
              <w:divsChild>
                <w:div w:id="208033603">
                  <w:marLeft w:val="0"/>
                  <w:marRight w:val="0"/>
                  <w:marTop w:val="0"/>
                  <w:marBottom w:val="0"/>
                  <w:divBdr>
                    <w:top w:val="none" w:sz="0" w:space="0" w:color="auto"/>
                    <w:left w:val="none" w:sz="0" w:space="0" w:color="auto"/>
                    <w:bottom w:val="none" w:sz="0" w:space="0" w:color="auto"/>
                    <w:right w:val="none" w:sz="0" w:space="0" w:color="auto"/>
                  </w:divBdr>
                </w:div>
              </w:divsChild>
            </w:div>
            <w:div w:id="522786974">
              <w:marLeft w:val="0"/>
              <w:marRight w:val="0"/>
              <w:marTop w:val="0"/>
              <w:marBottom w:val="0"/>
              <w:divBdr>
                <w:top w:val="none" w:sz="0" w:space="0" w:color="auto"/>
                <w:left w:val="none" w:sz="0" w:space="0" w:color="auto"/>
                <w:bottom w:val="none" w:sz="0" w:space="0" w:color="auto"/>
                <w:right w:val="none" w:sz="0" w:space="0" w:color="auto"/>
              </w:divBdr>
            </w:div>
            <w:div w:id="1919633732">
              <w:marLeft w:val="0"/>
              <w:marRight w:val="0"/>
              <w:marTop w:val="0"/>
              <w:marBottom w:val="0"/>
              <w:divBdr>
                <w:top w:val="none" w:sz="0" w:space="0" w:color="auto"/>
                <w:left w:val="none" w:sz="0" w:space="0" w:color="auto"/>
                <w:bottom w:val="none" w:sz="0" w:space="0" w:color="auto"/>
                <w:right w:val="none" w:sz="0" w:space="0" w:color="auto"/>
              </w:divBdr>
            </w:div>
            <w:div w:id="1334261754">
              <w:marLeft w:val="0"/>
              <w:marRight w:val="0"/>
              <w:marTop w:val="0"/>
              <w:marBottom w:val="0"/>
              <w:divBdr>
                <w:top w:val="none" w:sz="0" w:space="0" w:color="auto"/>
                <w:left w:val="none" w:sz="0" w:space="0" w:color="auto"/>
                <w:bottom w:val="none" w:sz="0" w:space="0" w:color="auto"/>
                <w:right w:val="none" w:sz="0" w:space="0" w:color="auto"/>
              </w:divBdr>
            </w:div>
            <w:div w:id="1101149771">
              <w:marLeft w:val="0"/>
              <w:marRight w:val="0"/>
              <w:marTop w:val="0"/>
              <w:marBottom w:val="0"/>
              <w:divBdr>
                <w:top w:val="none" w:sz="0" w:space="0" w:color="auto"/>
                <w:left w:val="none" w:sz="0" w:space="0" w:color="auto"/>
                <w:bottom w:val="none" w:sz="0" w:space="0" w:color="auto"/>
                <w:right w:val="none" w:sz="0" w:space="0" w:color="auto"/>
              </w:divBdr>
              <w:divsChild>
                <w:div w:id="2019773610">
                  <w:marLeft w:val="0"/>
                  <w:marRight w:val="0"/>
                  <w:marTop w:val="0"/>
                  <w:marBottom w:val="0"/>
                  <w:divBdr>
                    <w:top w:val="none" w:sz="0" w:space="0" w:color="auto"/>
                    <w:left w:val="none" w:sz="0" w:space="0" w:color="auto"/>
                    <w:bottom w:val="none" w:sz="0" w:space="0" w:color="auto"/>
                    <w:right w:val="none" w:sz="0" w:space="0" w:color="auto"/>
                  </w:divBdr>
                </w:div>
              </w:divsChild>
            </w:div>
            <w:div w:id="1829518207">
              <w:marLeft w:val="0"/>
              <w:marRight w:val="0"/>
              <w:marTop w:val="0"/>
              <w:marBottom w:val="0"/>
              <w:divBdr>
                <w:top w:val="none" w:sz="0" w:space="0" w:color="auto"/>
                <w:left w:val="none" w:sz="0" w:space="0" w:color="auto"/>
                <w:bottom w:val="none" w:sz="0" w:space="0" w:color="auto"/>
                <w:right w:val="none" w:sz="0" w:space="0" w:color="auto"/>
              </w:divBdr>
            </w:div>
            <w:div w:id="537739105">
              <w:marLeft w:val="0"/>
              <w:marRight w:val="0"/>
              <w:marTop w:val="0"/>
              <w:marBottom w:val="0"/>
              <w:divBdr>
                <w:top w:val="none" w:sz="0" w:space="0" w:color="auto"/>
                <w:left w:val="none" w:sz="0" w:space="0" w:color="auto"/>
                <w:bottom w:val="none" w:sz="0" w:space="0" w:color="auto"/>
                <w:right w:val="none" w:sz="0" w:space="0" w:color="auto"/>
              </w:divBdr>
            </w:div>
            <w:div w:id="133526374">
              <w:marLeft w:val="0"/>
              <w:marRight w:val="0"/>
              <w:marTop w:val="0"/>
              <w:marBottom w:val="0"/>
              <w:divBdr>
                <w:top w:val="none" w:sz="0" w:space="0" w:color="auto"/>
                <w:left w:val="none" w:sz="0" w:space="0" w:color="auto"/>
                <w:bottom w:val="none" w:sz="0" w:space="0" w:color="auto"/>
                <w:right w:val="none" w:sz="0" w:space="0" w:color="auto"/>
              </w:divBdr>
              <w:divsChild>
                <w:div w:id="291790871">
                  <w:marLeft w:val="0"/>
                  <w:marRight w:val="0"/>
                  <w:marTop w:val="0"/>
                  <w:marBottom w:val="0"/>
                  <w:divBdr>
                    <w:top w:val="none" w:sz="0" w:space="0" w:color="auto"/>
                    <w:left w:val="none" w:sz="0" w:space="0" w:color="auto"/>
                    <w:bottom w:val="none" w:sz="0" w:space="0" w:color="auto"/>
                    <w:right w:val="none" w:sz="0" w:space="0" w:color="auto"/>
                  </w:divBdr>
                </w:div>
              </w:divsChild>
            </w:div>
            <w:div w:id="1056126851">
              <w:marLeft w:val="0"/>
              <w:marRight w:val="0"/>
              <w:marTop w:val="0"/>
              <w:marBottom w:val="0"/>
              <w:divBdr>
                <w:top w:val="none" w:sz="0" w:space="0" w:color="auto"/>
                <w:left w:val="none" w:sz="0" w:space="0" w:color="auto"/>
                <w:bottom w:val="none" w:sz="0" w:space="0" w:color="auto"/>
                <w:right w:val="none" w:sz="0" w:space="0" w:color="auto"/>
              </w:divBdr>
            </w:div>
            <w:div w:id="817037880">
              <w:marLeft w:val="0"/>
              <w:marRight w:val="0"/>
              <w:marTop w:val="0"/>
              <w:marBottom w:val="0"/>
              <w:divBdr>
                <w:top w:val="none" w:sz="0" w:space="0" w:color="auto"/>
                <w:left w:val="none" w:sz="0" w:space="0" w:color="auto"/>
                <w:bottom w:val="none" w:sz="0" w:space="0" w:color="auto"/>
                <w:right w:val="none" w:sz="0" w:space="0" w:color="auto"/>
              </w:divBdr>
            </w:div>
            <w:div w:id="1250969685">
              <w:marLeft w:val="0"/>
              <w:marRight w:val="0"/>
              <w:marTop w:val="0"/>
              <w:marBottom w:val="0"/>
              <w:divBdr>
                <w:top w:val="none" w:sz="0" w:space="0" w:color="auto"/>
                <w:left w:val="none" w:sz="0" w:space="0" w:color="auto"/>
                <w:bottom w:val="none" w:sz="0" w:space="0" w:color="auto"/>
                <w:right w:val="none" w:sz="0" w:space="0" w:color="auto"/>
              </w:divBdr>
              <w:divsChild>
                <w:div w:id="612521511">
                  <w:marLeft w:val="0"/>
                  <w:marRight w:val="0"/>
                  <w:marTop w:val="0"/>
                  <w:marBottom w:val="0"/>
                  <w:divBdr>
                    <w:top w:val="none" w:sz="0" w:space="0" w:color="auto"/>
                    <w:left w:val="none" w:sz="0" w:space="0" w:color="auto"/>
                    <w:bottom w:val="none" w:sz="0" w:space="0" w:color="auto"/>
                    <w:right w:val="none" w:sz="0" w:space="0" w:color="auto"/>
                  </w:divBdr>
                </w:div>
              </w:divsChild>
            </w:div>
            <w:div w:id="244731137">
              <w:marLeft w:val="0"/>
              <w:marRight w:val="0"/>
              <w:marTop w:val="0"/>
              <w:marBottom w:val="0"/>
              <w:divBdr>
                <w:top w:val="none" w:sz="0" w:space="0" w:color="auto"/>
                <w:left w:val="none" w:sz="0" w:space="0" w:color="auto"/>
                <w:bottom w:val="none" w:sz="0" w:space="0" w:color="auto"/>
                <w:right w:val="none" w:sz="0" w:space="0" w:color="auto"/>
              </w:divBdr>
            </w:div>
            <w:div w:id="1252199450">
              <w:marLeft w:val="0"/>
              <w:marRight w:val="0"/>
              <w:marTop w:val="0"/>
              <w:marBottom w:val="0"/>
              <w:divBdr>
                <w:top w:val="none" w:sz="0" w:space="0" w:color="auto"/>
                <w:left w:val="none" w:sz="0" w:space="0" w:color="auto"/>
                <w:bottom w:val="none" w:sz="0" w:space="0" w:color="auto"/>
                <w:right w:val="none" w:sz="0" w:space="0" w:color="auto"/>
              </w:divBdr>
            </w:div>
            <w:div w:id="95491962">
              <w:marLeft w:val="0"/>
              <w:marRight w:val="0"/>
              <w:marTop w:val="0"/>
              <w:marBottom w:val="0"/>
              <w:divBdr>
                <w:top w:val="none" w:sz="0" w:space="0" w:color="auto"/>
                <w:left w:val="none" w:sz="0" w:space="0" w:color="auto"/>
                <w:bottom w:val="none" w:sz="0" w:space="0" w:color="auto"/>
                <w:right w:val="none" w:sz="0" w:space="0" w:color="auto"/>
              </w:divBdr>
              <w:divsChild>
                <w:div w:id="1572353204">
                  <w:marLeft w:val="0"/>
                  <w:marRight w:val="0"/>
                  <w:marTop w:val="0"/>
                  <w:marBottom w:val="0"/>
                  <w:divBdr>
                    <w:top w:val="none" w:sz="0" w:space="0" w:color="auto"/>
                    <w:left w:val="none" w:sz="0" w:space="0" w:color="auto"/>
                    <w:bottom w:val="none" w:sz="0" w:space="0" w:color="auto"/>
                    <w:right w:val="none" w:sz="0" w:space="0" w:color="auto"/>
                  </w:divBdr>
                </w:div>
              </w:divsChild>
            </w:div>
            <w:div w:id="960457593">
              <w:marLeft w:val="0"/>
              <w:marRight w:val="0"/>
              <w:marTop w:val="0"/>
              <w:marBottom w:val="0"/>
              <w:divBdr>
                <w:top w:val="none" w:sz="0" w:space="0" w:color="auto"/>
                <w:left w:val="none" w:sz="0" w:space="0" w:color="auto"/>
                <w:bottom w:val="none" w:sz="0" w:space="0" w:color="auto"/>
                <w:right w:val="none" w:sz="0" w:space="0" w:color="auto"/>
              </w:divBdr>
            </w:div>
            <w:div w:id="762654706">
              <w:marLeft w:val="0"/>
              <w:marRight w:val="0"/>
              <w:marTop w:val="0"/>
              <w:marBottom w:val="0"/>
              <w:divBdr>
                <w:top w:val="none" w:sz="0" w:space="0" w:color="auto"/>
                <w:left w:val="none" w:sz="0" w:space="0" w:color="auto"/>
                <w:bottom w:val="none" w:sz="0" w:space="0" w:color="auto"/>
                <w:right w:val="none" w:sz="0" w:space="0" w:color="auto"/>
              </w:divBdr>
            </w:div>
            <w:div w:id="1439058013">
              <w:marLeft w:val="0"/>
              <w:marRight w:val="0"/>
              <w:marTop w:val="0"/>
              <w:marBottom w:val="0"/>
              <w:divBdr>
                <w:top w:val="none" w:sz="0" w:space="0" w:color="auto"/>
                <w:left w:val="none" w:sz="0" w:space="0" w:color="auto"/>
                <w:bottom w:val="none" w:sz="0" w:space="0" w:color="auto"/>
                <w:right w:val="none" w:sz="0" w:space="0" w:color="auto"/>
              </w:divBdr>
              <w:divsChild>
                <w:div w:id="2092118308">
                  <w:marLeft w:val="0"/>
                  <w:marRight w:val="0"/>
                  <w:marTop w:val="0"/>
                  <w:marBottom w:val="0"/>
                  <w:divBdr>
                    <w:top w:val="none" w:sz="0" w:space="0" w:color="auto"/>
                    <w:left w:val="none" w:sz="0" w:space="0" w:color="auto"/>
                    <w:bottom w:val="none" w:sz="0" w:space="0" w:color="auto"/>
                    <w:right w:val="none" w:sz="0" w:space="0" w:color="auto"/>
                  </w:divBdr>
                </w:div>
              </w:divsChild>
            </w:div>
            <w:div w:id="1031955939">
              <w:marLeft w:val="0"/>
              <w:marRight w:val="0"/>
              <w:marTop w:val="0"/>
              <w:marBottom w:val="0"/>
              <w:divBdr>
                <w:top w:val="none" w:sz="0" w:space="0" w:color="auto"/>
                <w:left w:val="none" w:sz="0" w:space="0" w:color="auto"/>
                <w:bottom w:val="none" w:sz="0" w:space="0" w:color="auto"/>
                <w:right w:val="none" w:sz="0" w:space="0" w:color="auto"/>
              </w:divBdr>
            </w:div>
            <w:div w:id="1322852128">
              <w:marLeft w:val="0"/>
              <w:marRight w:val="0"/>
              <w:marTop w:val="0"/>
              <w:marBottom w:val="0"/>
              <w:divBdr>
                <w:top w:val="none" w:sz="0" w:space="0" w:color="auto"/>
                <w:left w:val="none" w:sz="0" w:space="0" w:color="auto"/>
                <w:bottom w:val="none" w:sz="0" w:space="0" w:color="auto"/>
                <w:right w:val="none" w:sz="0" w:space="0" w:color="auto"/>
              </w:divBdr>
            </w:div>
            <w:div w:id="1462725628">
              <w:marLeft w:val="0"/>
              <w:marRight w:val="0"/>
              <w:marTop w:val="0"/>
              <w:marBottom w:val="0"/>
              <w:divBdr>
                <w:top w:val="none" w:sz="0" w:space="0" w:color="auto"/>
                <w:left w:val="none" w:sz="0" w:space="0" w:color="auto"/>
                <w:bottom w:val="none" w:sz="0" w:space="0" w:color="auto"/>
                <w:right w:val="none" w:sz="0" w:space="0" w:color="auto"/>
              </w:divBdr>
              <w:divsChild>
                <w:div w:id="703940362">
                  <w:marLeft w:val="0"/>
                  <w:marRight w:val="0"/>
                  <w:marTop w:val="0"/>
                  <w:marBottom w:val="0"/>
                  <w:divBdr>
                    <w:top w:val="none" w:sz="0" w:space="0" w:color="auto"/>
                    <w:left w:val="none" w:sz="0" w:space="0" w:color="auto"/>
                    <w:bottom w:val="none" w:sz="0" w:space="0" w:color="auto"/>
                    <w:right w:val="none" w:sz="0" w:space="0" w:color="auto"/>
                  </w:divBdr>
                </w:div>
              </w:divsChild>
            </w:div>
            <w:div w:id="1245259371">
              <w:marLeft w:val="0"/>
              <w:marRight w:val="0"/>
              <w:marTop w:val="0"/>
              <w:marBottom w:val="0"/>
              <w:divBdr>
                <w:top w:val="none" w:sz="0" w:space="0" w:color="auto"/>
                <w:left w:val="none" w:sz="0" w:space="0" w:color="auto"/>
                <w:bottom w:val="none" w:sz="0" w:space="0" w:color="auto"/>
                <w:right w:val="none" w:sz="0" w:space="0" w:color="auto"/>
              </w:divBdr>
            </w:div>
            <w:div w:id="1471634004">
              <w:marLeft w:val="0"/>
              <w:marRight w:val="0"/>
              <w:marTop w:val="0"/>
              <w:marBottom w:val="0"/>
              <w:divBdr>
                <w:top w:val="none" w:sz="0" w:space="0" w:color="auto"/>
                <w:left w:val="none" w:sz="0" w:space="0" w:color="auto"/>
                <w:bottom w:val="none" w:sz="0" w:space="0" w:color="auto"/>
                <w:right w:val="none" w:sz="0" w:space="0" w:color="auto"/>
              </w:divBdr>
            </w:div>
            <w:div w:id="1627160048">
              <w:marLeft w:val="0"/>
              <w:marRight w:val="0"/>
              <w:marTop w:val="0"/>
              <w:marBottom w:val="0"/>
              <w:divBdr>
                <w:top w:val="none" w:sz="0" w:space="0" w:color="auto"/>
                <w:left w:val="none" w:sz="0" w:space="0" w:color="auto"/>
                <w:bottom w:val="none" w:sz="0" w:space="0" w:color="auto"/>
                <w:right w:val="none" w:sz="0" w:space="0" w:color="auto"/>
              </w:divBdr>
              <w:divsChild>
                <w:div w:id="1947154478">
                  <w:marLeft w:val="0"/>
                  <w:marRight w:val="0"/>
                  <w:marTop w:val="0"/>
                  <w:marBottom w:val="0"/>
                  <w:divBdr>
                    <w:top w:val="none" w:sz="0" w:space="0" w:color="auto"/>
                    <w:left w:val="none" w:sz="0" w:space="0" w:color="auto"/>
                    <w:bottom w:val="none" w:sz="0" w:space="0" w:color="auto"/>
                    <w:right w:val="none" w:sz="0" w:space="0" w:color="auto"/>
                  </w:divBdr>
                </w:div>
              </w:divsChild>
            </w:div>
            <w:div w:id="362949287">
              <w:marLeft w:val="0"/>
              <w:marRight w:val="0"/>
              <w:marTop w:val="0"/>
              <w:marBottom w:val="0"/>
              <w:divBdr>
                <w:top w:val="none" w:sz="0" w:space="0" w:color="auto"/>
                <w:left w:val="none" w:sz="0" w:space="0" w:color="auto"/>
                <w:bottom w:val="none" w:sz="0" w:space="0" w:color="auto"/>
                <w:right w:val="none" w:sz="0" w:space="0" w:color="auto"/>
              </w:divBdr>
            </w:div>
            <w:div w:id="1688674208">
              <w:marLeft w:val="0"/>
              <w:marRight w:val="0"/>
              <w:marTop w:val="0"/>
              <w:marBottom w:val="0"/>
              <w:divBdr>
                <w:top w:val="none" w:sz="0" w:space="0" w:color="auto"/>
                <w:left w:val="none" w:sz="0" w:space="0" w:color="auto"/>
                <w:bottom w:val="none" w:sz="0" w:space="0" w:color="auto"/>
                <w:right w:val="none" w:sz="0" w:space="0" w:color="auto"/>
              </w:divBdr>
            </w:div>
            <w:div w:id="2105026748">
              <w:marLeft w:val="0"/>
              <w:marRight w:val="0"/>
              <w:marTop w:val="0"/>
              <w:marBottom w:val="0"/>
              <w:divBdr>
                <w:top w:val="none" w:sz="0" w:space="0" w:color="auto"/>
                <w:left w:val="none" w:sz="0" w:space="0" w:color="auto"/>
                <w:bottom w:val="none" w:sz="0" w:space="0" w:color="auto"/>
                <w:right w:val="none" w:sz="0" w:space="0" w:color="auto"/>
              </w:divBdr>
              <w:divsChild>
                <w:div w:id="1536962647">
                  <w:marLeft w:val="0"/>
                  <w:marRight w:val="0"/>
                  <w:marTop w:val="0"/>
                  <w:marBottom w:val="0"/>
                  <w:divBdr>
                    <w:top w:val="none" w:sz="0" w:space="0" w:color="auto"/>
                    <w:left w:val="none" w:sz="0" w:space="0" w:color="auto"/>
                    <w:bottom w:val="none" w:sz="0" w:space="0" w:color="auto"/>
                    <w:right w:val="none" w:sz="0" w:space="0" w:color="auto"/>
                  </w:divBdr>
                </w:div>
              </w:divsChild>
            </w:div>
            <w:div w:id="1104303569">
              <w:marLeft w:val="0"/>
              <w:marRight w:val="0"/>
              <w:marTop w:val="0"/>
              <w:marBottom w:val="0"/>
              <w:divBdr>
                <w:top w:val="none" w:sz="0" w:space="0" w:color="auto"/>
                <w:left w:val="none" w:sz="0" w:space="0" w:color="auto"/>
                <w:bottom w:val="none" w:sz="0" w:space="0" w:color="auto"/>
                <w:right w:val="none" w:sz="0" w:space="0" w:color="auto"/>
              </w:divBdr>
            </w:div>
            <w:div w:id="1339425903">
              <w:marLeft w:val="0"/>
              <w:marRight w:val="0"/>
              <w:marTop w:val="0"/>
              <w:marBottom w:val="0"/>
              <w:divBdr>
                <w:top w:val="none" w:sz="0" w:space="0" w:color="auto"/>
                <w:left w:val="none" w:sz="0" w:space="0" w:color="auto"/>
                <w:bottom w:val="none" w:sz="0" w:space="0" w:color="auto"/>
                <w:right w:val="none" w:sz="0" w:space="0" w:color="auto"/>
              </w:divBdr>
            </w:div>
            <w:div w:id="326175628">
              <w:marLeft w:val="0"/>
              <w:marRight w:val="0"/>
              <w:marTop w:val="0"/>
              <w:marBottom w:val="0"/>
              <w:divBdr>
                <w:top w:val="none" w:sz="0" w:space="0" w:color="auto"/>
                <w:left w:val="none" w:sz="0" w:space="0" w:color="auto"/>
                <w:bottom w:val="none" w:sz="0" w:space="0" w:color="auto"/>
                <w:right w:val="none" w:sz="0" w:space="0" w:color="auto"/>
              </w:divBdr>
              <w:divsChild>
                <w:div w:id="275333005">
                  <w:marLeft w:val="0"/>
                  <w:marRight w:val="0"/>
                  <w:marTop w:val="0"/>
                  <w:marBottom w:val="0"/>
                  <w:divBdr>
                    <w:top w:val="none" w:sz="0" w:space="0" w:color="auto"/>
                    <w:left w:val="none" w:sz="0" w:space="0" w:color="auto"/>
                    <w:bottom w:val="none" w:sz="0" w:space="0" w:color="auto"/>
                    <w:right w:val="none" w:sz="0" w:space="0" w:color="auto"/>
                  </w:divBdr>
                </w:div>
              </w:divsChild>
            </w:div>
            <w:div w:id="166025066">
              <w:marLeft w:val="0"/>
              <w:marRight w:val="0"/>
              <w:marTop w:val="0"/>
              <w:marBottom w:val="0"/>
              <w:divBdr>
                <w:top w:val="none" w:sz="0" w:space="0" w:color="auto"/>
                <w:left w:val="none" w:sz="0" w:space="0" w:color="auto"/>
                <w:bottom w:val="none" w:sz="0" w:space="0" w:color="auto"/>
                <w:right w:val="none" w:sz="0" w:space="0" w:color="auto"/>
              </w:divBdr>
            </w:div>
            <w:div w:id="542208056">
              <w:marLeft w:val="0"/>
              <w:marRight w:val="0"/>
              <w:marTop w:val="0"/>
              <w:marBottom w:val="0"/>
              <w:divBdr>
                <w:top w:val="none" w:sz="0" w:space="0" w:color="auto"/>
                <w:left w:val="none" w:sz="0" w:space="0" w:color="auto"/>
                <w:bottom w:val="none" w:sz="0" w:space="0" w:color="auto"/>
                <w:right w:val="none" w:sz="0" w:space="0" w:color="auto"/>
              </w:divBdr>
            </w:div>
            <w:div w:id="329724462">
              <w:marLeft w:val="0"/>
              <w:marRight w:val="0"/>
              <w:marTop w:val="0"/>
              <w:marBottom w:val="0"/>
              <w:divBdr>
                <w:top w:val="none" w:sz="0" w:space="0" w:color="auto"/>
                <w:left w:val="none" w:sz="0" w:space="0" w:color="auto"/>
                <w:bottom w:val="none" w:sz="0" w:space="0" w:color="auto"/>
                <w:right w:val="none" w:sz="0" w:space="0" w:color="auto"/>
              </w:divBdr>
              <w:divsChild>
                <w:div w:id="1269970541">
                  <w:marLeft w:val="0"/>
                  <w:marRight w:val="0"/>
                  <w:marTop w:val="0"/>
                  <w:marBottom w:val="0"/>
                  <w:divBdr>
                    <w:top w:val="none" w:sz="0" w:space="0" w:color="auto"/>
                    <w:left w:val="none" w:sz="0" w:space="0" w:color="auto"/>
                    <w:bottom w:val="none" w:sz="0" w:space="0" w:color="auto"/>
                    <w:right w:val="none" w:sz="0" w:space="0" w:color="auto"/>
                  </w:divBdr>
                </w:div>
              </w:divsChild>
            </w:div>
            <w:div w:id="940336638">
              <w:marLeft w:val="0"/>
              <w:marRight w:val="0"/>
              <w:marTop w:val="0"/>
              <w:marBottom w:val="0"/>
              <w:divBdr>
                <w:top w:val="none" w:sz="0" w:space="0" w:color="auto"/>
                <w:left w:val="none" w:sz="0" w:space="0" w:color="auto"/>
                <w:bottom w:val="none" w:sz="0" w:space="0" w:color="auto"/>
                <w:right w:val="none" w:sz="0" w:space="0" w:color="auto"/>
              </w:divBdr>
            </w:div>
            <w:div w:id="1733692975">
              <w:marLeft w:val="0"/>
              <w:marRight w:val="0"/>
              <w:marTop w:val="0"/>
              <w:marBottom w:val="0"/>
              <w:divBdr>
                <w:top w:val="none" w:sz="0" w:space="0" w:color="auto"/>
                <w:left w:val="none" w:sz="0" w:space="0" w:color="auto"/>
                <w:bottom w:val="none" w:sz="0" w:space="0" w:color="auto"/>
                <w:right w:val="none" w:sz="0" w:space="0" w:color="auto"/>
              </w:divBdr>
            </w:div>
            <w:div w:id="137652034">
              <w:marLeft w:val="0"/>
              <w:marRight w:val="0"/>
              <w:marTop w:val="0"/>
              <w:marBottom w:val="0"/>
              <w:divBdr>
                <w:top w:val="none" w:sz="0" w:space="0" w:color="auto"/>
                <w:left w:val="none" w:sz="0" w:space="0" w:color="auto"/>
                <w:bottom w:val="none" w:sz="0" w:space="0" w:color="auto"/>
                <w:right w:val="none" w:sz="0" w:space="0" w:color="auto"/>
              </w:divBdr>
              <w:divsChild>
                <w:div w:id="685249034">
                  <w:marLeft w:val="0"/>
                  <w:marRight w:val="0"/>
                  <w:marTop w:val="0"/>
                  <w:marBottom w:val="0"/>
                  <w:divBdr>
                    <w:top w:val="none" w:sz="0" w:space="0" w:color="auto"/>
                    <w:left w:val="none" w:sz="0" w:space="0" w:color="auto"/>
                    <w:bottom w:val="none" w:sz="0" w:space="0" w:color="auto"/>
                    <w:right w:val="none" w:sz="0" w:space="0" w:color="auto"/>
                  </w:divBdr>
                </w:div>
              </w:divsChild>
            </w:div>
            <w:div w:id="1991595729">
              <w:marLeft w:val="0"/>
              <w:marRight w:val="0"/>
              <w:marTop w:val="0"/>
              <w:marBottom w:val="0"/>
              <w:divBdr>
                <w:top w:val="none" w:sz="0" w:space="0" w:color="auto"/>
                <w:left w:val="none" w:sz="0" w:space="0" w:color="auto"/>
                <w:bottom w:val="none" w:sz="0" w:space="0" w:color="auto"/>
                <w:right w:val="none" w:sz="0" w:space="0" w:color="auto"/>
              </w:divBdr>
            </w:div>
            <w:div w:id="1118138487">
              <w:marLeft w:val="0"/>
              <w:marRight w:val="0"/>
              <w:marTop w:val="0"/>
              <w:marBottom w:val="0"/>
              <w:divBdr>
                <w:top w:val="none" w:sz="0" w:space="0" w:color="auto"/>
                <w:left w:val="none" w:sz="0" w:space="0" w:color="auto"/>
                <w:bottom w:val="none" w:sz="0" w:space="0" w:color="auto"/>
                <w:right w:val="none" w:sz="0" w:space="0" w:color="auto"/>
              </w:divBdr>
            </w:div>
            <w:div w:id="410810223">
              <w:marLeft w:val="0"/>
              <w:marRight w:val="0"/>
              <w:marTop w:val="0"/>
              <w:marBottom w:val="0"/>
              <w:divBdr>
                <w:top w:val="none" w:sz="0" w:space="0" w:color="auto"/>
                <w:left w:val="none" w:sz="0" w:space="0" w:color="auto"/>
                <w:bottom w:val="none" w:sz="0" w:space="0" w:color="auto"/>
                <w:right w:val="none" w:sz="0" w:space="0" w:color="auto"/>
              </w:divBdr>
              <w:divsChild>
                <w:div w:id="735470916">
                  <w:marLeft w:val="0"/>
                  <w:marRight w:val="0"/>
                  <w:marTop w:val="0"/>
                  <w:marBottom w:val="0"/>
                  <w:divBdr>
                    <w:top w:val="none" w:sz="0" w:space="0" w:color="auto"/>
                    <w:left w:val="none" w:sz="0" w:space="0" w:color="auto"/>
                    <w:bottom w:val="none" w:sz="0" w:space="0" w:color="auto"/>
                    <w:right w:val="none" w:sz="0" w:space="0" w:color="auto"/>
                  </w:divBdr>
                </w:div>
              </w:divsChild>
            </w:div>
            <w:div w:id="1991905140">
              <w:marLeft w:val="0"/>
              <w:marRight w:val="0"/>
              <w:marTop w:val="0"/>
              <w:marBottom w:val="0"/>
              <w:divBdr>
                <w:top w:val="none" w:sz="0" w:space="0" w:color="auto"/>
                <w:left w:val="none" w:sz="0" w:space="0" w:color="auto"/>
                <w:bottom w:val="none" w:sz="0" w:space="0" w:color="auto"/>
                <w:right w:val="none" w:sz="0" w:space="0" w:color="auto"/>
              </w:divBdr>
            </w:div>
            <w:div w:id="1329821444">
              <w:marLeft w:val="0"/>
              <w:marRight w:val="0"/>
              <w:marTop w:val="0"/>
              <w:marBottom w:val="0"/>
              <w:divBdr>
                <w:top w:val="none" w:sz="0" w:space="0" w:color="auto"/>
                <w:left w:val="none" w:sz="0" w:space="0" w:color="auto"/>
                <w:bottom w:val="none" w:sz="0" w:space="0" w:color="auto"/>
                <w:right w:val="none" w:sz="0" w:space="0" w:color="auto"/>
              </w:divBdr>
            </w:div>
            <w:div w:id="132916079">
              <w:marLeft w:val="0"/>
              <w:marRight w:val="0"/>
              <w:marTop w:val="0"/>
              <w:marBottom w:val="0"/>
              <w:divBdr>
                <w:top w:val="none" w:sz="0" w:space="0" w:color="auto"/>
                <w:left w:val="none" w:sz="0" w:space="0" w:color="auto"/>
                <w:bottom w:val="none" w:sz="0" w:space="0" w:color="auto"/>
                <w:right w:val="none" w:sz="0" w:space="0" w:color="auto"/>
              </w:divBdr>
              <w:divsChild>
                <w:div w:id="2112317057">
                  <w:marLeft w:val="0"/>
                  <w:marRight w:val="0"/>
                  <w:marTop w:val="0"/>
                  <w:marBottom w:val="0"/>
                  <w:divBdr>
                    <w:top w:val="none" w:sz="0" w:space="0" w:color="auto"/>
                    <w:left w:val="none" w:sz="0" w:space="0" w:color="auto"/>
                    <w:bottom w:val="none" w:sz="0" w:space="0" w:color="auto"/>
                    <w:right w:val="none" w:sz="0" w:space="0" w:color="auto"/>
                  </w:divBdr>
                </w:div>
              </w:divsChild>
            </w:div>
            <w:div w:id="1913151835">
              <w:marLeft w:val="0"/>
              <w:marRight w:val="0"/>
              <w:marTop w:val="0"/>
              <w:marBottom w:val="0"/>
              <w:divBdr>
                <w:top w:val="none" w:sz="0" w:space="0" w:color="auto"/>
                <w:left w:val="none" w:sz="0" w:space="0" w:color="auto"/>
                <w:bottom w:val="none" w:sz="0" w:space="0" w:color="auto"/>
                <w:right w:val="none" w:sz="0" w:space="0" w:color="auto"/>
              </w:divBdr>
            </w:div>
            <w:div w:id="1967202990">
              <w:marLeft w:val="0"/>
              <w:marRight w:val="0"/>
              <w:marTop w:val="0"/>
              <w:marBottom w:val="0"/>
              <w:divBdr>
                <w:top w:val="none" w:sz="0" w:space="0" w:color="auto"/>
                <w:left w:val="none" w:sz="0" w:space="0" w:color="auto"/>
                <w:bottom w:val="none" w:sz="0" w:space="0" w:color="auto"/>
                <w:right w:val="none" w:sz="0" w:space="0" w:color="auto"/>
              </w:divBdr>
            </w:div>
            <w:div w:id="2025283120">
              <w:marLeft w:val="0"/>
              <w:marRight w:val="0"/>
              <w:marTop w:val="0"/>
              <w:marBottom w:val="0"/>
              <w:divBdr>
                <w:top w:val="none" w:sz="0" w:space="0" w:color="auto"/>
                <w:left w:val="none" w:sz="0" w:space="0" w:color="auto"/>
                <w:bottom w:val="none" w:sz="0" w:space="0" w:color="auto"/>
                <w:right w:val="none" w:sz="0" w:space="0" w:color="auto"/>
              </w:divBdr>
            </w:div>
            <w:div w:id="1628320312">
              <w:marLeft w:val="0"/>
              <w:marRight w:val="0"/>
              <w:marTop w:val="0"/>
              <w:marBottom w:val="0"/>
              <w:divBdr>
                <w:top w:val="none" w:sz="0" w:space="0" w:color="auto"/>
                <w:left w:val="none" w:sz="0" w:space="0" w:color="auto"/>
                <w:bottom w:val="none" w:sz="0" w:space="0" w:color="auto"/>
                <w:right w:val="none" w:sz="0" w:space="0" w:color="auto"/>
              </w:divBdr>
              <w:divsChild>
                <w:div w:id="1763257603">
                  <w:marLeft w:val="0"/>
                  <w:marRight w:val="0"/>
                  <w:marTop w:val="0"/>
                  <w:marBottom w:val="0"/>
                  <w:divBdr>
                    <w:top w:val="none" w:sz="0" w:space="0" w:color="auto"/>
                    <w:left w:val="none" w:sz="0" w:space="0" w:color="auto"/>
                    <w:bottom w:val="none" w:sz="0" w:space="0" w:color="auto"/>
                    <w:right w:val="none" w:sz="0" w:space="0" w:color="auto"/>
                  </w:divBdr>
                </w:div>
              </w:divsChild>
            </w:div>
            <w:div w:id="395518748">
              <w:marLeft w:val="0"/>
              <w:marRight w:val="0"/>
              <w:marTop w:val="0"/>
              <w:marBottom w:val="0"/>
              <w:divBdr>
                <w:top w:val="none" w:sz="0" w:space="0" w:color="auto"/>
                <w:left w:val="none" w:sz="0" w:space="0" w:color="auto"/>
                <w:bottom w:val="none" w:sz="0" w:space="0" w:color="auto"/>
                <w:right w:val="none" w:sz="0" w:space="0" w:color="auto"/>
              </w:divBdr>
            </w:div>
            <w:div w:id="1838183668">
              <w:marLeft w:val="0"/>
              <w:marRight w:val="0"/>
              <w:marTop w:val="0"/>
              <w:marBottom w:val="0"/>
              <w:divBdr>
                <w:top w:val="none" w:sz="0" w:space="0" w:color="auto"/>
                <w:left w:val="none" w:sz="0" w:space="0" w:color="auto"/>
                <w:bottom w:val="none" w:sz="0" w:space="0" w:color="auto"/>
                <w:right w:val="none" w:sz="0" w:space="0" w:color="auto"/>
              </w:divBdr>
            </w:div>
            <w:div w:id="928853984">
              <w:marLeft w:val="0"/>
              <w:marRight w:val="0"/>
              <w:marTop w:val="0"/>
              <w:marBottom w:val="0"/>
              <w:divBdr>
                <w:top w:val="none" w:sz="0" w:space="0" w:color="auto"/>
                <w:left w:val="none" w:sz="0" w:space="0" w:color="auto"/>
                <w:bottom w:val="none" w:sz="0" w:space="0" w:color="auto"/>
                <w:right w:val="none" w:sz="0" w:space="0" w:color="auto"/>
              </w:divBdr>
              <w:divsChild>
                <w:div w:id="1565725448">
                  <w:marLeft w:val="0"/>
                  <w:marRight w:val="0"/>
                  <w:marTop w:val="0"/>
                  <w:marBottom w:val="0"/>
                  <w:divBdr>
                    <w:top w:val="none" w:sz="0" w:space="0" w:color="auto"/>
                    <w:left w:val="none" w:sz="0" w:space="0" w:color="auto"/>
                    <w:bottom w:val="none" w:sz="0" w:space="0" w:color="auto"/>
                    <w:right w:val="none" w:sz="0" w:space="0" w:color="auto"/>
                  </w:divBdr>
                </w:div>
              </w:divsChild>
            </w:div>
            <w:div w:id="828138661">
              <w:marLeft w:val="0"/>
              <w:marRight w:val="0"/>
              <w:marTop w:val="0"/>
              <w:marBottom w:val="0"/>
              <w:divBdr>
                <w:top w:val="none" w:sz="0" w:space="0" w:color="auto"/>
                <w:left w:val="none" w:sz="0" w:space="0" w:color="auto"/>
                <w:bottom w:val="none" w:sz="0" w:space="0" w:color="auto"/>
                <w:right w:val="none" w:sz="0" w:space="0" w:color="auto"/>
              </w:divBdr>
            </w:div>
            <w:div w:id="1006058650">
              <w:marLeft w:val="0"/>
              <w:marRight w:val="0"/>
              <w:marTop w:val="0"/>
              <w:marBottom w:val="0"/>
              <w:divBdr>
                <w:top w:val="none" w:sz="0" w:space="0" w:color="auto"/>
                <w:left w:val="none" w:sz="0" w:space="0" w:color="auto"/>
                <w:bottom w:val="none" w:sz="0" w:space="0" w:color="auto"/>
                <w:right w:val="none" w:sz="0" w:space="0" w:color="auto"/>
              </w:divBdr>
            </w:div>
            <w:div w:id="1503541351">
              <w:marLeft w:val="0"/>
              <w:marRight w:val="0"/>
              <w:marTop w:val="0"/>
              <w:marBottom w:val="0"/>
              <w:divBdr>
                <w:top w:val="none" w:sz="0" w:space="0" w:color="auto"/>
                <w:left w:val="none" w:sz="0" w:space="0" w:color="auto"/>
                <w:bottom w:val="none" w:sz="0" w:space="0" w:color="auto"/>
                <w:right w:val="none" w:sz="0" w:space="0" w:color="auto"/>
              </w:divBdr>
              <w:divsChild>
                <w:div w:id="2045520988">
                  <w:marLeft w:val="0"/>
                  <w:marRight w:val="0"/>
                  <w:marTop w:val="0"/>
                  <w:marBottom w:val="0"/>
                  <w:divBdr>
                    <w:top w:val="none" w:sz="0" w:space="0" w:color="auto"/>
                    <w:left w:val="none" w:sz="0" w:space="0" w:color="auto"/>
                    <w:bottom w:val="none" w:sz="0" w:space="0" w:color="auto"/>
                    <w:right w:val="none" w:sz="0" w:space="0" w:color="auto"/>
                  </w:divBdr>
                </w:div>
              </w:divsChild>
            </w:div>
            <w:div w:id="1344429585">
              <w:marLeft w:val="0"/>
              <w:marRight w:val="0"/>
              <w:marTop w:val="0"/>
              <w:marBottom w:val="0"/>
              <w:divBdr>
                <w:top w:val="none" w:sz="0" w:space="0" w:color="auto"/>
                <w:left w:val="none" w:sz="0" w:space="0" w:color="auto"/>
                <w:bottom w:val="none" w:sz="0" w:space="0" w:color="auto"/>
                <w:right w:val="none" w:sz="0" w:space="0" w:color="auto"/>
              </w:divBdr>
            </w:div>
            <w:div w:id="1286084765">
              <w:marLeft w:val="0"/>
              <w:marRight w:val="0"/>
              <w:marTop w:val="0"/>
              <w:marBottom w:val="0"/>
              <w:divBdr>
                <w:top w:val="none" w:sz="0" w:space="0" w:color="auto"/>
                <w:left w:val="none" w:sz="0" w:space="0" w:color="auto"/>
                <w:bottom w:val="none" w:sz="0" w:space="0" w:color="auto"/>
                <w:right w:val="none" w:sz="0" w:space="0" w:color="auto"/>
              </w:divBdr>
            </w:div>
            <w:div w:id="685448185">
              <w:marLeft w:val="0"/>
              <w:marRight w:val="0"/>
              <w:marTop w:val="0"/>
              <w:marBottom w:val="0"/>
              <w:divBdr>
                <w:top w:val="none" w:sz="0" w:space="0" w:color="auto"/>
                <w:left w:val="none" w:sz="0" w:space="0" w:color="auto"/>
                <w:bottom w:val="none" w:sz="0" w:space="0" w:color="auto"/>
                <w:right w:val="none" w:sz="0" w:space="0" w:color="auto"/>
              </w:divBdr>
              <w:divsChild>
                <w:div w:id="1347096168">
                  <w:marLeft w:val="0"/>
                  <w:marRight w:val="0"/>
                  <w:marTop w:val="0"/>
                  <w:marBottom w:val="0"/>
                  <w:divBdr>
                    <w:top w:val="none" w:sz="0" w:space="0" w:color="auto"/>
                    <w:left w:val="none" w:sz="0" w:space="0" w:color="auto"/>
                    <w:bottom w:val="none" w:sz="0" w:space="0" w:color="auto"/>
                    <w:right w:val="none" w:sz="0" w:space="0" w:color="auto"/>
                  </w:divBdr>
                </w:div>
              </w:divsChild>
            </w:div>
            <w:div w:id="1065182698">
              <w:marLeft w:val="0"/>
              <w:marRight w:val="0"/>
              <w:marTop w:val="0"/>
              <w:marBottom w:val="0"/>
              <w:divBdr>
                <w:top w:val="none" w:sz="0" w:space="0" w:color="auto"/>
                <w:left w:val="none" w:sz="0" w:space="0" w:color="auto"/>
                <w:bottom w:val="none" w:sz="0" w:space="0" w:color="auto"/>
                <w:right w:val="none" w:sz="0" w:space="0" w:color="auto"/>
              </w:divBdr>
            </w:div>
            <w:div w:id="2023782107">
              <w:marLeft w:val="0"/>
              <w:marRight w:val="0"/>
              <w:marTop w:val="0"/>
              <w:marBottom w:val="0"/>
              <w:divBdr>
                <w:top w:val="none" w:sz="0" w:space="0" w:color="auto"/>
                <w:left w:val="none" w:sz="0" w:space="0" w:color="auto"/>
                <w:bottom w:val="none" w:sz="0" w:space="0" w:color="auto"/>
                <w:right w:val="none" w:sz="0" w:space="0" w:color="auto"/>
              </w:divBdr>
            </w:div>
            <w:div w:id="1390152203">
              <w:marLeft w:val="0"/>
              <w:marRight w:val="0"/>
              <w:marTop w:val="0"/>
              <w:marBottom w:val="0"/>
              <w:divBdr>
                <w:top w:val="none" w:sz="0" w:space="0" w:color="auto"/>
                <w:left w:val="none" w:sz="0" w:space="0" w:color="auto"/>
                <w:bottom w:val="none" w:sz="0" w:space="0" w:color="auto"/>
                <w:right w:val="none" w:sz="0" w:space="0" w:color="auto"/>
              </w:divBdr>
              <w:divsChild>
                <w:div w:id="1540628131">
                  <w:marLeft w:val="0"/>
                  <w:marRight w:val="0"/>
                  <w:marTop w:val="0"/>
                  <w:marBottom w:val="0"/>
                  <w:divBdr>
                    <w:top w:val="none" w:sz="0" w:space="0" w:color="auto"/>
                    <w:left w:val="none" w:sz="0" w:space="0" w:color="auto"/>
                    <w:bottom w:val="none" w:sz="0" w:space="0" w:color="auto"/>
                    <w:right w:val="none" w:sz="0" w:space="0" w:color="auto"/>
                  </w:divBdr>
                </w:div>
              </w:divsChild>
            </w:div>
            <w:div w:id="1206874696">
              <w:marLeft w:val="0"/>
              <w:marRight w:val="0"/>
              <w:marTop w:val="0"/>
              <w:marBottom w:val="0"/>
              <w:divBdr>
                <w:top w:val="none" w:sz="0" w:space="0" w:color="auto"/>
                <w:left w:val="none" w:sz="0" w:space="0" w:color="auto"/>
                <w:bottom w:val="none" w:sz="0" w:space="0" w:color="auto"/>
                <w:right w:val="none" w:sz="0" w:space="0" w:color="auto"/>
              </w:divBdr>
            </w:div>
            <w:div w:id="1295789872">
              <w:marLeft w:val="0"/>
              <w:marRight w:val="0"/>
              <w:marTop w:val="0"/>
              <w:marBottom w:val="0"/>
              <w:divBdr>
                <w:top w:val="none" w:sz="0" w:space="0" w:color="auto"/>
                <w:left w:val="none" w:sz="0" w:space="0" w:color="auto"/>
                <w:bottom w:val="none" w:sz="0" w:space="0" w:color="auto"/>
                <w:right w:val="none" w:sz="0" w:space="0" w:color="auto"/>
              </w:divBdr>
            </w:div>
            <w:div w:id="203909634">
              <w:marLeft w:val="0"/>
              <w:marRight w:val="0"/>
              <w:marTop w:val="0"/>
              <w:marBottom w:val="0"/>
              <w:divBdr>
                <w:top w:val="none" w:sz="0" w:space="0" w:color="auto"/>
                <w:left w:val="none" w:sz="0" w:space="0" w:color="auto"/>
                <w:bottom w:val="none" w:sz="0" w:space="0" w:color="auto"/>
                <w:right w:val="none" w:sz="0" w:space="0" w:color="auto"/>
              </w:divBdr>
              <w:divsChild>
                <w:div w:id="1309896248">
                  <w:marLeft w:val="0"/>
                  <w:marRight w:val="0"/>
                  <w:marTop w:val="0"/>
                  <w:marBottom w:val="0"/>
                  <w:divBdr>
                    <w:top w:val="none" w:sz="0" w:space="0" w:color="auto"/>
                    <w:left w:val="none" w:sz="0" w:space="0" w:color="auto"/>
                    <w:bottom w:val="none" w:sz="0" w:space="0" w:color="auto"/>
                    <w:right w:val="none" w:sz="0" w:space="0" w:color="auto"/>
                  </w:divBdr>
                </w:div>
              </w:divsChild>
            </w:div>
            <w:div w:id="35086355">
              <w:marLeft w:val="0"/>
              <w:marRight w:val="0"/>
              <w:marTop w:val="0"/>
              <w:marBottom w:val="0"/>
              <w:divBdr>
                <w:top w:val="none" w:sz="0" w:space="0" w:color="auto"/>
                <w:left w:val="none" w:sz="0" w:space="0" w:color="auto"/>
                <w:bottom w:val="none" w:sz="0" w:space="0" w:color="auto"/>
                <w:right w:val="none" w:sz="0" w:space="0" w:color="auto"/>
              </w:divBdr>
            </w:div>
            <w:div w:id="1751543931">
              <w:marLeft w:val="0"/>
              <w:marRight w:val="0"/>
              <w:marTop w:val="0"/>
              <w:marBottom w:val="0"/>
              <w:divBdr>
                <w:top w:val="none" w:sz="0" w:space="0" w:color="auto"/>
                <w:left w:val="none" w:sz="0" w:space="0" w:color="auto"/>
                <w:bottom w:val="none" w:sz="0" w:space="0" w:color="auto"/>
                <w:right w:val="none" w:sz="0" w:space="0" w:color="auto"/>
              </w:divBdr>
            </w:div>
            <w:div w:id="1060011134">
              <w:marLeft w:val="0"/>
              <w:marRight w:val="0"/>
              <w:marTop w:val="0"/>
              <w:marBottom w:val="0"/>
              <w:divBdr>
                <w:top w:val="none" w:sz="0" w:space="0" w:color="auto"/>
                <w:left w:val="none" w:sz="0" w:space="0" w:color="auto"/>
                <w:bottom w:val="none" w:sz="0" w:space="0" w:color="auto"/>
                <w:right w:val="none" w:sz="0" w:space="0" w:color="auto"/>
              </w:divBdr>
            </w:div>
            <w:div w:id="577909722">
              <w:marLeft w:val="0"/>
              <w:marRight w:val="0"/>
              <w:marTop w:val="0"/>
              <w:marBottom w:val="0"/>
              <w:divBdr>
                <w:top w:val="none" w:sz="0" w:space="0" w:color="auto"/>
                <w:left w:val="none" w:sz="0" w:space="0" w:color="auto"/>
                <w:bottom w:val="none" w:sz="0" w:space="0" w:color="auto"/>
                <w:right w:val="none" w:sz="0" w:space="0" w:color="auto"/>
              </w:divBdr>
            </w:div>
            <w:div w:id="42758099">
              <w:marLeft w:val="0"/>
              <w:marRight w:val="0"/>
              <w:marTop w:val="0"/>
              <w:marBottom w:val="0"/>
              <w:divBdr>
                <w:top w:val="none" w:sz="0" w:space="0" w:color="auto"/>
                <w:left w:val="none" w:sz="0" w:space="0" w:color="auto"/>
                <w:bottom w:val="none" w:sz="0" w:space="0" w:color="auto"/>
                <w:right w:val="none" w:sz="0" w:space="0" w:color="auto"/>
              </w:divBdr>
              <w:divsChild>
                <w:div w:id="2095279555">
                  <w:marLeft w:val="0"/>
                  <w:marRight w:val="0"/>
                  <w:marTop w:val="0"/>
                  <w:marBottom w:val="0"/>
                  <w:divBdr>
                    <w:top w:val="none" w:sz="0" w:space="0" w:color="auto"/>
                    <w:left w:val="none" w:sz="0" w:space="0" w:color="auto"/>
                    <w:bottom w:val="none" w:sz="0" w:space="0" w:color="auto"/>
                    <w:right w:val="none" w:sz="0" w:space="0" w:color="auto"/>
                  </w:divBdr>
                  <w:divsChild>
                    <w:div w:id="1891723567">
                      <w:marLeft w:val="0"/>
                      <w:marRight w:val="0"/>
                      <w:marTop w:val="0"/>
                      <w:marBottom w:val="0"/>
                      <w:divBdr>
                        <w:top w:val="none" w:sz="0" w:space="0" w:color="auto"/>
                        <w:left w:val="none" w:sz="0" w:space="0" w:color="auto"/>
                        <w:bottom w:val="none" w:sz="0" w:space="0" w:color="auto"/>
                        <w:right w:val="none" w:sz="0" w:space="0" w:color="auto"/>
                      </w:divBdr>
                      <w:divsChild>
                        <w:div w:id="1818760893">
                          <w:marLeft w:val="0"/>
                          <w:marRight w:val="0"/>
                          <w:marTop w:val="0"/>
                          <w:marBottom w:val="0"/>
                          <w:divBdr>
                            <w:top w:val="none" w:sz="0" w:space="0" w:color="auto"/>
                            <w:left w:val="none" w:sz="0" w:space="0" w:color="auto"/>
                            <w:bottom w:val="none" w:sz="0" w:space="0" w:color="auto"/>
                            <w:right w:val="none" w:sz="0" w:space="0" w:color="auto"/>
                          </w:divBdr>
                          <w:divsChild>
                            <w:div w:id="1960602217">
                              <w:marLeft w:val="0"/>
                              <w:marRight w:val="0"/>
                              <w:marTop w:val="0"/>
                              <w:marBottom w:val="0"/>
                              <w:divBdr>
                                <w:top w:val="none" w:sz="0" w:space="0" w:color="auto"/>
                                <w:left w:val="none" w:sz="0" w:space="0" w:color="auto"/>
                                <w:bottom w:val="none" w:sz="0" w:space="0" w:color="auto"/>
                                <w:right w:val="none" w:sz="0" w:space="0" w:color="auto"/>
                              </w:divBdr>
                              <w:divsChild>
                                <w:div w:id="16525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8169">
                          <w:marLeft w:val="0"/>
                          <w:marRight w:val="0"/>
                          <w:marTop w:val="0"/>
                          <w:marBottom w:val="0"/>
                          <w:divBdr>
                            <w:top w:val="none" w:sz="0" w:space="0" w:color="auto"/>
                            <w:left w:val="none" w:sz="0" w:space="0" w:color="auto"/>
                            <w:bottom w:val="none" w:sz="0" w:space="0" w:color="auto"/>
                            <w:right w:val="none" w:sz="0" w:space="0" w:color="auto"/>
                          </w:divBdr>
                        </w:div>
                        <w:div w:id="502211547">
                          <w:marLeft w:val="0"/>
                          <w:marRight w:val="0"/>
                          <w:marTop w:val="0"/>
                          <w:marBottom w:val="0"/>
                          <w:divBdr>
                            <w:top w:val="none" w:sz="0" w:space="0" w:color="auto"/>
                            <w:left w:val="none" w:sz="0" w:space="0" w:color="auto"/>
                            <w:bottom w:val="none" w:sz="0" w:space="0" w:color="auto"/>
                            <w:right w:val="none" w:sz="0" w:space="0" w:color="auto"/>
                          </w:divBdr>
                          <w:divsChild>
                            <w:div w:id="1456368385">
                              <w:marLeft w:val="0"/>
                              <w:marRight w:val="0"/>
                              <w:marTop w:val="0"/>
                              <w:marBottom w:val="0"/>
                              <w:divBdr>
                                <w:top w:val="none" w:sz="0" w:space="0" w:color="auto"/>
                                <w:left w:val="none" w:sz="0" w:space="0" w:color="auto"/>
                                <w:bottom w:val="none" w:sz="0" w:space="0" w:color="auto"/>
                                <w:right w:val="none" w:sz="0" w:space="0" w:color="auto"/>
                              </w:divBdr>
                              <w:divsChild>
                                <w:div w:id="1732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2389">
                          <w:marLeft w:val="0"/>
                          <w:marRight w:val="0"/>
                          <w:marTop w:val="0"/>
                          <w:marBottom w:val="0"/>
                          <w:divBdr>
                            <w:top w:val="none" w:sz="0" w:space="0" w:color="auto"/>
                            <w:left w:val="none" w:sz="0" w:space="0" w:color="auto"/>
                            <w:bottom w:val="none" w:sz="0" w:space="0" w:color="auto"/>
                            <w:right w:val="none" w:sz="0" w:space="0" w:color="auto"/>
                          </w:divBdr>
                        </w:div>
                        <w:div w:id="333802515">
                          <w:marLeft w:val="0"/>
                          <w:marRight w:val="0"/>
                          <w:marTop w:val="0"/>
                          <w:marBottom w:val="0"/>
                          <w:divBdr>
                            <w:top w:val="none" w:sz="0" w:space="0" w:color="auto"/>
                            <w:left w:val="none" w:sz="0" w:space="0" w:color="auto"/>
                            <w:bottom w:val="none" w:sz="0" w:space="0" w:color="auto"/>
                            <w:right w:val="none" w:sz="0" w:space="0" w:color="auto"/>
                          </w:divBdr>
                          <w:divsChild>
                            <w:div w:id="17900994">
                              <w:marLeft w:val="0"/>
                              <w:marRight w:val="0"/>
                              <w:marTop w:val="0"/>
                              <w:marBottom w:val="0"/>
                              <w:divBdr>
                                <w:top w:val="none" w:sz="0" w:space="0" w:color="auto"/>
                                <w:left w:val="none" w:sz="0" w:space="0" w:color="auto"/>
                                <w:bottom w:val="none" w:sz="0" w:space="0" w:color="auto"/>
                                <w:right w:val="none" w:sz="0" w:space="0" w:color="auto"/>
                              </w:divBdr>
                              <w:divsChild>
                                <w:div w:id="154470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31978">
                          <w:marLeft w:val="0"/>
                          <w:marRight w:val="0"/>
                          <w:marTop w:val="0"/>
                          <w:marBottom w:val="0"/>
                          <w:divBdr>
                            <w:top w:val="none" w:sz="0" w:space="0" w:color="auto"/>
                            <w:left w:val="none" w:sz="0" w:space="0" w:color="auto"/>
                            <w:bottom w:val="none" w:sz="0" w:space="0" w:color="auto"/>
                            <w:right w:val="none" w:sz="0" w:space="0" w:color="auto"/>
                          </w:divBdr>
                        </w:div>
                      </w:divsChild>
                    </w:div>
                    <w:div w:id="1339308706">
                      <w:marLeft w:val="0"/>
                      <w:marRight w:val="0"/>
                      <w:marTop w:val="0"/>
                      <w:marBottom w:val="0"/>
                      <w:divBdr>
                        <w:top w:val="none" w:sz="0" w:space="0" w:color="auto"/>
                        <w:left w:val="none" w:sz="0" w:space="0" w:color="auto"/>
                        <w:bottom w:val="none" w:sz="0" w:space="0" w:color="auto"/>
                        <w:right w:val="none" w:sz="0" w:space="0" w:color="auto"/>
                      </w:divBdr>
                    </w:div>
                  </w:divsChild>
                </w:div>
                <w:div w:id="1155563155">
                  <w:marLeft w:val="0"/>
                  <w:marRight w:val="0"/>
                  <w:marTop w:val="0"/>
                  <w:marBottom w:val="0"/>
                  <w:divBdr>
                    <w:top w:val="none" w:sz="0" w:space="0" w:color="auto"/>
                    <w:left w:val="none" w:sz="0" w:space="0" w:color="auto"/>
                    <w:bottom w:val="none" w:sz="0" w:space="0" w:color="auto"/>
                    <w:right w:val="none" w:sz="0" w:space="0" w:color="auto"/>
                  </w:divBdr>
                  <w:divsChild>
                    <w:div w:id="1895504059">
                      <w:marLeft w:val="0"/>
                      <w:marRight w:val="0"/>
                      <w:marTop w:val="0"/>
                      <w:marBottom w:val="0"/>
                      <w:divBdr>
                        <w:top w:val="none" w:sz="0" w:space="0" w:color="auto"/>
                        <w:left w:val="none" w:sz="0" w:space="0" w:color="auto"/>
                        <w:bottom w:val="none" w:sz="0" w:space="0" w:color="auto"/>
                        <w:right w:val="none" w:sz="0" w:space="0" w:color="auto"/>
                      </w:divBdr>
                      <w:divsChild>
                        <w:div w:id="1320571562">
                          <w:marLeft w:val="0"/>
                          <w:marRight w:val="0"/>
                          <w:marTop w:val="0"/>
                          <w:marBottom w:val="0"/>
                          <w:divBdr>
                            <w:top w:val="none" w:sz="0" w:space="0" w:color="auto"/>
                            <w:left w:val="none" w:sz="0" w:space="0" w:color="auto"/>
                            <w:bottom w:val="none" w:sz="0" w:space="0" w:color="auto"/>
                            <w:right w:val="none" w:sz="0" w:space="0" w:color="auto"/>
                          </w:divBdr>
                          <w:divsChild>
                            <w:div w:id="1453015900">
                              <w:marLeft w:val="0"/>
                              <w:marRight w:val="0"/>
                              <w:marTop w:val="0"/>
                              <w:marBottom w:val="0"/>
                              <w:divBdr>
                                <w:top w:val="none" w:sz="0" w:space="0" w:color="auto"/>
                                <w:left w:val="none" w:sz="0" w:space="0" w:color="auto"/>
                                <w:bottom w:val="none" w:sz="0" w:space="0" w:color="auto"/>
                                <w:right w:val="none" w:sz="0" w:space="0" w:color="auto"/>
                              </w:divBdr>
                              <w:divsChild>
                                <w:div w:id="2127001026">
                                  <w:marLeft w:val="0"/>
                                  <w:marRight w:val="0"/>
                                  <w:marTop w:val="0"/>
                                  <w:marBottom w:val="0"/>
                                  <w:divBdr>
                                    <w:top w:val="none" w:sz="0" w:space="0" w:color="auto"/>
                                    <w:left w:val="none" w:sz="0" w:space="0" w:color="auto"/>
                                    <w:bottom w:val="none" w:sz="0" w:space="0" w:color="auto"/>
                                    <w:right w:val="none" w:sz="0" w:space="0" w:color="auto"/>
                                  </w:divBdr>
                                  <w:divsChild>
                                    <w:div w:id="1289314643">
                                      <w:marLeft w:val="0"/>
                                      <w:marRight w:val="0"/>
                                      <w:marTop w:val="0"/>
                                      <w:marBottom w:val="0"/>
                                      <w:divBdr>
                                        <w:top w:val="none" w:sz="0" w:space="0" w:color="auto"/>
                                        <w:left w:val="none" w:sz="0" w:space="0" w:color="auto"/>
                                        <w:bottom w:val="none" w:sz="0" w:space="0" w:color="auto"/>
                                        <w:right w:val="none" w:sz="0" w:space="0" w:color="auto"/>
                                      </w:divBdr>
                                      <w:divsChild>
                                        <w:div w:id="394552336">
                                          <w:marLeft w:val="0"/>
                                          <w:marRight w:val="0"/>
                                          <w:marTop w:val="0"/>
                                          <w:marBottom w:val="0"/>
                                          <w:divBdr>
                                            <w:top w:val="none" w:sz="0" w:space="0" w:color="auto"/>
                                            <w:left w:val="none" w:sz="0" w:space="0" w:color="auto"/>
                                            <w:bottom w:val="none" w:sz="0" w:space="0" w:color="auto"/>
                                            <w:right w:val="none" w:sz="0" w:space="0" w:color="auto"/>
                                          </w:divBdr>
                                          <w:divsChild>
                                            <w:div w:id="188679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8476">
                                      <w:marLeft w:val="0"/>
                                      <w:marRight w:val="0"/>
                                      <w:marTop w:val="0"/>
                                      <w:marBottom w:val="0"/>
                                      <w:divBdr>
                                        <w:top w:val="none" w:sz="0" w:space="0" w:color="auto"/>
                                        <w:left w:val="none" w:sz="0" w:space="0" w:color="auto"/>
                                        <w:bottom w:val="none" w:sz="0" w:space="0" w:color="auto"/>
                                        <w:right w:val="none" w:sz="0" w:space="0" w:color="auto"/>
                                      </w:divBdr>
                                      <w:divsChild>
                                        <w:div w:id="1275020010">
                                          <w:marLeft w:val="0"/>
                                          <w:marRight w:val="0"/>
                                          <w:marTop w:val="0"/>
                                          <w:marBottom w:val="0"/>
                                          <w:divBdr>
                                            <w:top w:val="none" w:sz="0" w:space="0" w:color="auto"/>
                                            <w:left w:val="none" w:sz="0" w:space="0" w:color="auto"/>
                                            <w:bottom w:val="none" w:sz="0" w:space="0" w:color="auto"/>
                                            <w:right w:val="none" w:sz="0" w:space="0" w:color="auto"/>
                                          </w:divBdr>
                                          <w:divsChild>
                                            <w:div w:id="13212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30677">
                                  <w:marLeft w:val="0"/>
                                  <w:marRight w:val="0"/>
                                  <w:marTop w:val="0"/>
                                  <w:marBottom w:val="0"/>
                                  <w:divBdr>
                                    <w:top w:val="none" w:sz="0" w:space="0" w:color="auto"/>
                                    <w:left w:val="none" w:sz="0" w:space="0" w:color="auto"/>
                                    <w:bottom w:val="none" w:sz="0" w:space="0" w:color="auto"/>
                                    <w:right w:val="none" w:sz="0" w:space="0" w:color="auto"/>
                                  </w:divBdr>
                                  <w:divsChild>
                                    <w:div w:id="11527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632943">
          <w:marLeft w:val="0"/>
          <w:marRight w:val="0"/>
          <w:marTop w:val="0"/>
          <w:marBottom w:val="0"/>
          <w:divBdr>
            <w:top w:val="none" w:sz="0" w:space="0" w:color="auto"/>
            <w:left w:val="none" w:sz="0" w:space="0" w:color="auto"/>
            <w:bottom w:val="none" w:sz="0" w:space="0" w:color="auto"/>
            <w:right w:val="none" w:sz="0" w:space="0" w:color="auto"/>
          </w:divBdr>
          <w:divsChild>
            <w:div w:id="186795374">
              <w:marLeft w:val="0"/>
              <w:marRight w:val="0"/>
              <w:marTop w:val="0"/>
              <w:marBottom w:val="0"/>
              <w:divBdr>
                <w:top w:val="none" w:sz="0" w:space="0" w:color="auto"/>
                <w:left w:val="none" w:sz="0" w:space="0" w:color="auto"/>
                <w:bottom w:val="none" w:sz="0" w:space="0" w:color="auto"/>
                <w:right w:val="none" w:sz="0" w:space="0" w:color="auto"/>
              </w:divBdr>
            </w:div>
          </w:divsChild>
        </w:div>
        <w:div w:id="329328836">
          <w:marLeft w:val="0"/>
          <w:marRight w:val="0"/>
          <w:marTop w:val="0"/>
          <w:marBottom w:val="0"/>
          <w:divBdr>
            <w:top w:val="none" w:sz="0" w:space="0" w:color="auto"/>
            <w:left w:val="none" w:sz="0" w:space="0" w:color="auto"/>
            <w:bottom w:val="none" w:sz="0" w:space="0" w:color="auto"/>
            <w:right w:val="none" w:sz="0" w:space="0" w:color="auto"/>
          </w:divBdr>
        </w:div>
        <w:div w:id="1986620223">
          <w:marLeft w:val="0"/>
          <w:marRight w:val="0"/>
          <w:marTop w:val="0"/>
          <w:marBottom w:val="0"/>
          <w:divBdr>
            <w:top w:val="none" w:sz="0" w:space="0" w:color="auto"/>
            <w:left w:val="none" w:sz="0" w:space="0" w:color="auto"/>
            <w:bottom w:val="none" w:sz="0" w:space="0" w:color="auto"/>
            <w:right w:val="none" w:sz="0" w:space="0" w:color="auto"/>
          </w:divBdr>
        </w:div>
        <w:div w:id="2131197655">
          <w:marLeft w:val="0"/>
          <w:marRight w:val="0"/>
          <w:marTop w:val="0"/>
          <w:marBottom w:val="0"/>
          <w:divBdr>
            <w:top w:val="none" w:sz="0" w:space="0" w:color="auto"/>
            <w:left w:val="none" w:sz="0" w:space="0" w:color="auto"/>
            <w:bottom w:val="none" w:sz="0" w:space="0" w:color="auto"/>
            <w:right w:val="none" w:sz="0" w:space="0" w:color="auto"/>
          </w:divBdr>
        </w:div>
      </w:divsChild>
    </w:div>
    <w:div w:id="704646810">
      <w:bodyDiv w:val="1"/>
      <w:marLeft w:val="0"/>
      <w:marRight w:val="0"/>
      <w:marTop w:val="0"/>
      <w:marBottom w:val="0"/>
      <w:divBdr>
        <w:top w:val="none" w:sz="0" w:space="0" w:color="auto"/>
        <w:left w:val="none" w:sz="0" w:space="0" w:color="auto"/>
        <w:bottom w:val="none" w:sz="0" w:space="0" w:color="auto"/>
        <w:right w:val="none" w:sz="0" w:space="0" w:color="auto"/>
      </w:divBdr>
      <w:divsChild>
        <w:div w:id="962423579">
          <w:marLeft w:val="360"/>
          <w:marRight w:val="0"/>
          <w:marTop w:val="0"/>
          <w:marBottom w:val="200"/>
          <w:divBdr>
            <w:top w:val="none" w:sz="0" w:space="0" w:color="auto"/>
            <w:left w:val="none" w:sz="0" w:space="0" w:color="auto"/>
            <w:bottom w:val="none" w:sz="0" w:space="0" w:color="auto"/>
            <w:right w:val="none" w:sz="0" w:space="0" w:color="auto"/>
          </w:divBdr>
        </w:div>
        <w:div w:id="1919555417">
          <w:marLeft w:val="360"/>
          <w:marRight w:val="0"/>
          <w:marTop w:val="0"/>
          <w:marBottom w:val="200"/>
          <w:divBdr>
            <w:top w:val="none" w:sz="0" w:space="0" w:color="auto"/>
            <w:left w:val="none" w:sz="0" w:space="0" w:color="auto"/>
            <w:bottom w:val="none" w:sz="0" w:space="0" w:color="auto"/>
            <w:right w:val="none" w:sz="0" w:space="0" w:color="auto"/>
          </w:divBdr>
        </w:div>
        <w:div w:id="1542984175">
          <w:marLeft w:val="360"/>
          <w:marRight w:val="0"/>
          <w:marTop w:val="0"/>
          <w:marBottom w:val="200"/>
          <w:divBdr>
            <w:top w:val="none" w:sz="0" w:space="0" w:color="auto"/>
            <w:left w:val="none" w:sz="0" w:space="0" w:color="auto"/>
            <w:bottom w:val="none" w:sz="0" w:space="0" w:color="auto"/>
            <w:right w:val="none" w:sz="0" w:space="0" w:color="auto"/>
          </w:divBdr>
        </w:div>
        <w:div w:id="902720571">
          <w:marLeft w:val="360"/>
          <w:marRight w:val="0"/>
          <w:marTop w:val="0"/>
          <w:marBottom w:val="200"/>
          <w:divBdr>
            <w:top w:val="none" w:sz="0" w:space="0" w:color="auto"/>
            <w:left w:val="none" w:sz="0" w:space="0" w:color="auto"/>
            <w:bottom w:val="none" w:sz="0" w:space="0" w:color="auto"/>
            <w:right w:val="none" w:sz="0" w:space="0" w:color="auto"/>
          </w:divBdr>
        </w:div>
      </w:divsChild>
    </w:div>
    <w:div w:id="799301306">
      <w:bodyDiv w:val="1"/>
      <w:marLeft w:val="0"/>
      <w:marRight w:val="0"/>
      <w:marTop w:val="0"/>
      <w:marBottom w:val="0"/>
      <w:divBdr>
        <w:top w:val="none" w:sz="0" w:space="0" w:color="auto"/>
        <w:left w:val="none" w:sz="0" w:space="0" w:color="auto"/>
        <w:bottom w:val="none" w:sz="0" w:space="0" w:color="auto"/>
        <w:right w:val="none" w:sz="0" w:space="0" w:color="auto"/>
      </w:divBdr>
    </w:div>
    <w:div w:id="890576582">
      <w:bodyDiv w:val="1"/>
      <w:marLeft w:val="0"/>
      <w:marRight w:val="0"/>
      <w:marTop w:val="0"/>
      <w:marBottom w:val="0"/>
      <w:divBdr>
        <w:top w:val="none" w:sz="0" w:space="0" w:color="auto"/>
        <w:left w:val="none" w:sz="0" w:space="0" w:color="auto"/>
        <w:bottom w:val="none" w:sz="0" w:space="0" w:color="auto"/>
        <w:right w:val="none" w:sz="0" w:space="0" w:color="auto"/>
      </w:divBdr>
    </w:div>
    <w:div w:id="1030374334">
      <w:bodyDiv w:val="1"/>
      <w:marLeft w:val="0"/>
      <w:marRight w:val="0"/>
      <w:marTop w:val="0"/>
      <w:marBottom w:val="0"/>
      <w:divBdr>
        <w:top w:val="none" w:sz="0" w:space="0" w:color="auto"/>
        <w:left w:val="none" w:sz="0" w:space="0" w:color="auto"/>
        <w:bottom w:val="none" w:sz="0" w:space="0" w:color="auto"/>
        <w:right w:val="none" w:sz="0" w:space="0" w:color="auto"/>
      </w:divBdr>
    </w:div>
    <w:div w:id="1091313252">
      <w:bodyDiv w:val="1"/>
      <w:marLeft w:val="0"/>
      <w:marRight w:val="0"/>
      <w:marTop w:val="0"/>
      <w:marBottom w:val="0"/>
      <w:divBdr>
        <w:top w:val="none" w:sz="0" w:space="0" w:color="auto"/>
        <w:left w:val="none" w:sz="0" w:space="0" w:color="auto"/>
        <w:bottom w:val="none" w:sz="0" w:space="0" w:color="auto"/>
        <w:right w:val="none" w:sz="0" w:space="0" w:color="auto"/>
      </w:divBdr>
    </w:div>
    <w:div w:id="1113745316">
      <w:bodyDiv w:val="1"/>
      <w:marLeft w:val="0"/>
      <w:marRight w:val="0"/>
      <w:marTop w:val="0"/>
      <w:marBottom w:val="0"/>
      <w:divBdr>
        <w:top w:val="none" w:sz="0" w:space="0" w:color="auto"/>
        <w:left w:val="none" w:sz="0" w:space="0" w:color="auto"/>
        <w:bottom w:val="none" w:sz="0" w:space="0" w:color="auto"/>
        <w:right w:val="none" w:sz="0" w:space="0" w:color="auto"/>
      </w:divBdr>
    </w:div>
    <w:div w:id="1218593565">
      <w:bodyDiv w:val="1"/>
      <w:marLeft w:val="0"/>
      <w:marRight w:val="0"/>
      <w:marTop w:val="0"/>
      <w:marBottom w:val="0"/>
      <w:divBdr>
        <w:top w:val="none" w:sz="0" w:space="0" w:color="auto"/>
        <w:left w:val="none" w:sz="0" w:space="0" w:color="auto"/>
        <w:bottom w:val="none" w:sz="0" w:space="0" w:color="auto"/>
        <w:right w:val="none" w:sz="0" w:space="0" w:color="auto"/>
      </w:divBdr>
    </w:div>
    <w:div w:id="1249850625">
      <w:bodyDiv w:val="1"/>
      <w:marLeft w:val="0"/>
      <w:marRight w:val="0"/>
      <w:marTop w:val="0"/>
      <w:marBottom w:val="0"/>
      <w:divBdr>
        <w:top w:val="none" w:sz="0" w:space="0" w:color="auto"/>
        <w:left w:val="none" w:sz="0" w:space="0" w:color="auto"/>
        <w:bottom w:val="none" w:sz="0" w:space="0" w:color="auto"/>
        <w:right w:val="none" w:sz="0" w:space="0" w:color="auto"/>
      </w:divBdr>
    </w:div>
    <w:div w:id="1283074744">
      <w:bodyDiv w:val="1"/>
      <w:marLeft w:val="0"/>
      <w:marRight w:val="0"/>
      <w:marTop w:val="0"/>
      <w:marBottom w:val="0"/>
      <w:divBdr>
        <w:top w:val="none" w:sz="0" w:space="0" w:color="auto"/>
        <w:left w:val="none" w:sz="0" w:space="0" w:color="auto"/>
        <w:bottom w:val="none" w:sz="0" w:space="0" w:color="auto"/>
        <w:right w:val="none" w:sz="0" w:space="0" w:color="auto"/>
      </w:divBdr>
    </w:div>
    <w:div w:id="1547453362">
      <w:bodyDiv w:val="1"/>
      <w:marLeft w:val="0"/>
      <w:marRight w:val="0"/>
      <w:marTop w:val="0"/>
      <w:marBottom w:val="0"/>
      <w:divBdr>
        <w:top w:val="none" w:sz="0" w:space="0" w:color="auto"/>
        <w:left w:val="none" w:sz="0" w:space="0" w:color="auto"/>
        <w:bottom w:val="none" w:sz="0" w:space="0" w:color="auto"/>
        <w:right w:val="none" w:sz="0" w:space="0" w:color="auto"/>
      </w:divBdr>
    </w:div>
    <w:div w:id="1817986601">
      <w:bodyDiv w:val="1"/>
      <w:marLeft w:val="0"/>
      <w:marRight w:val="0"/>
      <w:marTop w:val="0"/>
      <w:marBottom w:val="0"/>
      <w:divBdr>
        <w:top w:val="none" w:sz="0" w:space="0" w:color="auto"/>
        <w:left w:val="none" w:sz="0" w:space="0" w:color="auto"/>
        <w:bottom w:val="none" w:sz="0" w:space="0" w:color="auto"/>
        <w:right w:val="none" w:sz="0" w:space="0" w:color="auto"/>
      </w:divBdr>
      <w:divsChild>
        <w:div w:id="542442505">
          <w:marLeft w:val="0"/>
          <w:marRight w:val="0"/>
          <w:marTop w:val="0"/>
          <w:marBottom w:val="0"/>
          <w:divBdr>
            <w:top w:val="none" w:sz="0" w:space="0" w:color="auto"/>
            <w:left w:val="none" w:sz="0" w:space="0" w:color="auto"/>
            <w:bottom w:val="none" w:sz="0" w:space="0" w:color="auto"/>
            <w:right w:val="none" w:sz="0" w:space="0" w:color="auto"/>
          </w:divBdr>
          <w:divsChild>
            <w:div w:id="641234266">
              <w:marLeft w:val="0"/>
              <w:marRight w:val="0"/>
              <w:marTop w:val="0"/>
              <w:marBottom w:val="0"/>
              <w:divBdr>
                <w:top w:val="none" w:sz="0" w:space="0" w:color="auto"/>
                <w:left w:val="none" w:sz="0" w:space="0" w:color="auto"/>
                <w:bottom w:val="none" w:sz="0" w:space="0" w:color="auto"/>
                <w:right w:val="none" w:sz="0" w:space="0" w:color="auto"/>
              </w:divBdr>
            </w:div>
          </w:divsChild>
        </w:div>
        <w:div w:id="1145438523">
          <w:marLeft w:val="0"/>
          <w:marRight w:val="0"/>
          <w:marTop w:val="0"/>
          <w:marBottom w:val="0"/>
          <w:divBdr>
            <w:top w:val="none" w:sz="0" w:space="0" w:color="auto"/>
            <w:left w:val="none" w:sz="0" w:space="0" w:color="auto"/>
            <w:bottom w:val="none" w:sz="0" w:space="0" w:color="auto"/>
            <w:right w:val="none" w:sz="0" w:space="0" w:color="auto"/>
          </w:divBdr>
        </w:div>
        <w:div w:id="914820310">
          <w:marLeft w:val="0"/>
          <w:marRight w:val="0"/>
          <w:marTop w:val="0"/>
          <w:marBottom w:val="0"/>
          <w:divBdr>
            <w:top w:val="none" w:sz="0" w:space="0" w:color="auto"/>
            <w:left w:val="none" w:sz="0" w:space="0" w:color="auto"/>
            <w:bottom w:val="none" w:sz="0" w:space="0" w:color="auto"/>
            <w:right w:val="none" w:sz="0" w:space="0" w:color="auto"/>
          </w:divBdr>
        </w:div>
      </w:divsChild>
    </w:div>
    <w:div w:id="1844976706">
      <w:bodyDiv w:val="1"/>
      <w:marLeft w:val="0"/>
      <w:marRight w:val="0"/>
      <w:marTop w:val="0"/>
      <w:marBottom w:val="0"/>
      <w:divBdr>
        <w:top w:val="none" w:sz="0" w:space="0" w:color="auto"/>
        <w:left w:val="none" w:sz="0" w:space="0" w:color="auto"/>
        <w:bottom w:val="none" w:sz="0" w:space="0" w:color="auto"/>
        <w:right w:val="none" w:sz="0" w:space="0" w:color="auto"/>
      </w:divBdr>
      <w:divsChild>
        <w:div w:id="836381436">
          <w:marLeft w:val="360"/>
          <w:marRight w:val="0"/>
          <w:marTop w:val="200"/>
          <w:marBottom w:val="200"/>
          <w:divBdr>
            <w:top w:val="none" w:sz="0" w:space="0" w:color="auto"/>
            <w:left w:val="none" w:sz="0" w:space="0" w:color="auto"/>
            <w:bottom w:val="none" w:sz="0" w:space="0" w:color="auto"/>
            <w:right w:val="none" w:sz="0" w:space="0" w:color="auto"/>
          </w:divBdr>
        </w:div>
        <w:div w:id="649479592">
          <w:marLeft w:val="360"/>
          <w:marRight w:val="0"/>
          <w:marTop w:val="200"/>
          <w:marBottom w:val="200"/>
          <w:divBdr>
            <w:top w:val="none" w:sz="0" w:space="0" w:color="auto"/>
            <w:left w:val="none" w:sz="0" w:space="0" w:color="auto"/>
            <w:bottom w:val="none" w:sz="0" w:space="0" w:color="auto"/>
            <w:right w:val="none" w:sz="0" w:space="0" w:color="auto"/>
          </w:divBdr>
        </w:div>
        <w:div w:id="1337078452">
          <w:marLeft w:val="360"/>
          <w:marRight w:val="0"/>
          <w:marTop w:val="200"/>
          <w:marBottom w:val="200"/>
          <w:divBdr>
            <w:top w:val="none" w:sz="0" w:space="0" w:color="auto"/>
            <w:left w:val="none" w:sz="0" w:space="0" w:color="auto"/>
            <w:bottom w:val="none" w:sz="0" w:space="0" w:color="auto"/>
            <w:right w:val="none" w:sz="0" w:space="0" w:color="auto"/>
          </w:divBdr>
        </w:div>
        <w:div w:id="1079792651">
          <w:marLeft w:val="360"/>
          <w:marRight w:val="0"/>
          <w:marTop w:val="200"/>
          <w:marBottom w:val="200"/>
          <w:divBdr>
            <w:top w:val="none" w:sz="0" w:space="0" w:color="auto"/>
            <w:left w:val="none" w:sz="0" w:space="0" w:color="auto"/>
            <w:bottom w:val="none" w:sz="0" w:space="0" w:color="auto"/>
            <w:right w:val="none" w:sz="0" w:space="0" w:color="auto"/>
          </w:divBdr>
        </w:div>
        <w:div w:id="119959239">
          <w:marLeft w:val="360"/>
          <w:marRight w:val="0"/>
          <w:marTop w:val="200"/>
          <w:marBottom w:val="200"/>
          <w:divBdr>
            <w:top w:val="none" w:sz="0" w:space="0" w:color="auto"/>
            <w:left w:val="none" w:sz="0" w:space="0" w:color="auto"/>
            <w:bottom w:val="none" w:sz="0" w:space="0" w:color="auto"/>
            <w:right w:val="none" w:sz="0" w:space="0" w:color="auto"/>
          </w:divBdr>
        </w:div>
      </w:divsChild>
    </w:div>
    <w:div w:id="1987465168">
      <w:bodyDiv w:val="1"/>
      <w:marLeft w:val="0"/>
      <w:marRight w:val="0"/>
      <w:marTop w:val="0"/>
      <w:marBottom w:val="0"/>
      <w:divBdr>
        <w:top w:val="none" w:sz="0" w:space="0" w:color="auto"/>
        <w:left w:val="none" w:sz="0" w:space="0" w:color="auto"/>
        <w:bottom w:val="none" w:sz="0" w:space="0" w:color="auto"/>
        <w:right w:val="none" w:sz="0" w:space="0" w:color="auto"/>
      </w:divBdr>
      <w:divsChild>
        <w:div w:id="695353808">
          <w:marLeft w:val="0"/>
          <w:marRight w:val="0"/>
          <w:marTop w:val="0"/>
          <w:marBottom w:val="0"/>
          <w:divBdr>
            <w:top w:val="none" w:sz="0" w:space="0" w:color="auto"/>
            <w:left w:val="none" w:sz="0" w:space="0" w:color="auto"/>
            <w:bottom w:val="none" w:sz="0" w:space="0" w:color="auto"/>
            <w:right w:val="none" w:sz="0" w:space="0" w:color="auto"/>
          </w:divBdr>
          <w:divsChild>
            <w:div w:id="1218780093">
              <w:marLeft w:val="0"/>
              <w:marRight w:val="0"/>
              <w:marTop w:val="0"/>
              <w:marBottom w:val="0"/>
              <w:divBdr>
                <w:top w:val="none" w:sz="0" w:space="0" w:color="auto"/>
                <w:left w:val="none" w:sz="0" w:space="0" w:color="auto"/>
                <w:bottom w:val="none" w:sz="0" w:space="0" w:color="auto"/>
                <w:right w:val="none" w:sz="0" w:space="0" w:color="auto"/>
              </w:divBdr>
              <w:divsChild>
                <w:div w:id="323627560">
                  <w:marLeft w:val="0"/>
                  <w:marRight w:val="0"/>
                  <w:marTop w:val="0"/>
                  <w:marBottom w:val="0"/>
                  <w:divBdr>
                    <w:top w:val="none" w:sz="0" w:space="0" w:color="auto"/>
                    <w:left w:val="none" w:sz="0" w:space="0" w:color="auto"/>
                    <w:bottom w:val="none" w:sz="0" w:space="0" w:color="auto"/>
                    <w:right w:val="none" w:sz="0" w:space="0" w:color="auto"/>
                  </w:divBdr>
                </w:div>
              </w:divsChild>
            </w:div>
            <w:div w:id="84470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srn.com/abstract=235123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t.com/content/e9a7f4a9-7cf9-4733-b3a6-c371a1400cf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ac.org.cn/researchstatistics/datastatistics/mutualfundindustrydat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064F96A9316F438B512E044095CCF0" ma:contentTypeVersion="12" ma:contentTypeDescription="Create a new document." ma:contentTypeScope="" ma:versionID="0237c2e864bbd3048d8a9bd0fa60da1b">
  <xsd:schema xmlns:xsd="http://www.w3.org/2001/XMLSchema" xmlns:xs="http://www.w3.org/2001/XMLSchema" xmlns:p="http://schemas.microsoft.com/office/2006/metadata/properties" xmlns:ns3="0284d4ef-9ab5-4e57-9931-c8de16900d33" targetNamespace="http://schemas.microsoft.com/office/2006/metadata/properties" ma:root="true" ma:fieldsID="9756df4844d73531c75df57c005420dd" ns3:_="">
    <xsd:import namespace="0284d4ef-9ab5-4e57-9931-c8de16900d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4d4ef-9ab5-4e57-9931-c8de16900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284d4ef-9ab5-4e57-9931-c8de16900d33" xsi:nil="true"/>
  </documentManagement>
</p:properties>
</file>

<file path=customXml/itemProps1.xml><?xml version="1.0" encoding="utf-8"?>
<ds:datastoreItem xmlns:ds="http://schemas.openxmlformats.org/officeDocument/2006/customXml" ds:itemID="{9CED3001-A008-4AE6-BB00-0F65FCCBE637}">
  <ds:schemaRefs>
    <ds:schemaRef ds:uri="http://schemas.openxmlformats.org/officeDocument/2006/bibliography"/>
  </ds:schemaRefs>
</ds:datastoreItem>
</file>

<file path=customXml/itemProps2.xml><?xml version="1.0" encoding="utf-8"?>
<ds:datastoreItem xmlns:ds="http://schemas.openxmlformats.org/officeDocument/2006/customXml" ds:itemID="{B9A53DCF-2087-466C-B1CB-D75B5DE16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4d4ef-9ab5-4e57-9931-c8de16900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788F7-FCCD-4A73-B261-C94222C45637}">
  <ds:schemaRefs>
    <ds:schemaRef ds:uri="http://schemas.microsoft.com/sharepoint/v3/contenttype/forms"/>
  </ds:schemaRefs>
</ds:datastoreItem>
</file>

<file path=customXml/itemProps4.xml><?xml version="1.0" encoding="utf-8"?>
<ds:datastoreItem xmlns:ds="http://schemas.openxmlformats.org/officeDocument/2006/customXml" ds:itemID="{170F45D7-C986-4361-87EE-B2B5E34E56BC}">
  <ds:schemaRefs>
    <ds:schemaRef ds:uri="http://schemas.microsoft.com/office/2006/metadata/properties"/>
    <ds:schemaRef ds:uri="http://schemas.microsoft.com/office/infopath/2007/PartnerControls"/>
    <ds:schemaRef ds:uri="0284d4ef-9ab5-4e57-9931-c8de16900d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13432</Words>
  <Characters>76566</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Ashton</cp:lastModifiedBy>
  <cp:revision>2</cp:revision>
  <cp:lastPrinted>2024-02-28T21:59:00Z</cp:lastPrinted>
  <dcterms:created xsi:type="dcterms:W3CDTF">2024-08-01T10:34:00Z</dcterms:created>
  <dcterms:modified xsi:type="dcterms:W3CDTF">2024-08-01T10:34:00Z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0x010100BE064F96A9316F438B512E044095CCF0</vt:lpwstr>
  </property>
</Properties>
</file>