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4F33" w14:textId="77777777" w:rsidR="005417E6" w:rsidRPr="005417E6" w:rsidRDefault="000C172D" w:rsidP="005417E6">
      <w:pPr>
        <w:keepNext/>
        <w:keepLines/>
        <w:spacing w:before="480"/>
        <w:outlineLvl w:val="0"/>
        <w:rPr>
          <w:rFonts w:eastAsiaTheme="majorEastAsia"/>
          <w:b/>
          <w:bCs/>
          <w:color w:val="000000" w:themeColor="text1"/>
          <w:szCs w:val="28"/>
        </w:rPr>
      </w:pPr>
      <w:bookmarkStart w:id="0" w:name="_Toc102930452"/>
      <w:bookmarkStart w:id="1" w:name="_Hlk110543516"/>
      <w:bookmarkStart w:id="2" w:name="_Hlk118294697"/>
      <w:r w:rsidRPr="005417E6">
        <w:rPr>
          <w:rFonts w:eastAsiaTheme="majorEastAsia"/>
          <w:b/>
          <w:bCs/>
          <w:color w:val="000000" w:themeColor="text1"/>
          <w:szCs w:val="28"/>
        </w:rPr>
        <w:t>Good governance quality in Namibia’s Environmental Impact Assessment process</w:t>
      </w:r>
    </w:p>
    <w:p w14:paraId="45013F01" w14:textId="77777777" w:rsidR="005417E6" w:rsidRPr="005417E6" w:rsidRDefault="005417E6" w:rsidP="005417E6"/>
    <w:p w14:paraId="5BDADD48" w14:textId="77777777" w:rsidR="005417E6" w:rsidRPr="005417E6" w:rsidRDefault="000C172D" w:rsidP="005417E6">
      <w:pPr>
        <w:spacing w:line="360" w:lineRule="auto"/>
        <w:jc w:val="both"/>
      </w:pPr>
      <w:r w:rsidRPr="005417E6">
        <w:t xml:space="preserve">Dietlinde N. Nakwaya-Jacobus </w:t>
      </w:r>
      <w:r w:rsidRPr="005417E6">
        <w:rPr>
          <w:vertAlign w:val="superscript"/>
        </w:rPr>
        <w:t xml:space="preserve">a* </w:t>
      </w:r>
      <w:r w:rsidRPr="005417E6">
        <w:t xml:space="preserve">Martin </w:t>
      </w:r>
      <w:proofErr w:type="spellStart"/>
      <w:proofErr w:type="gramStart"/>
      <w:r w:rsidRPr="005417E6">
        <w:t>Hipondoka,</w:t>
      </w:r>
      <w:r w:rsidRPr="005417E6">
        <w:rPr>
          <w:vertAlign w:val="superscript"/>
        </w:rPr>
        <w:t>b</w:t>
      </w:r>
      <w:proofErr w:type="spellEnd"/>
      <w:proofErr w:type="gramEnd"/>
      <w:r w:rsidRPr="005417E6">
        <w:t xml:space="preserve"> Simon </w:t>
      </w:r>
      <w:proofErr w:type="spellStart"/>
      <w:r w:rsidRPr="005417E6">
        <w:t>Angombe</w:t>
      </w:r>
      <w:r w:rsidRPr="005417E6">
        <w:rPr>
          <w:vertAlign w:val="superscript"/>
        </w:rPr>
        <w:t>c</w:t>
      </w:r>
      <w:proofErr w:type="spellEnd"/>
      <w:r w:rsidRPr="005417E6">
        <w:t xml:space="preserve">, Lindsay C. </w:t>
      </w:r>
      <w:proofErr w:type="spellStart"/>
      <w:r w:rsidRPr="005417E6">
        <w:t>Stringer,</w:t>
      </w:r>
      <w:r w:rsidRPr="005417E6">
        <w:rPr>
          <w:vertAlign w:val="superscript"/>
        </w:rPr>
        <w:t>d</w:t>
      </w:r>
      <w:proofErr w:type="spellEnd"/>
      <w:r w:rsidRPr="005417E6">
        <w:rPr>
          <w:vertAlign w:val="superscript"/>
        </w:rPr>
        <w:t xml:space="preserve">, e </w:t>
      </w:r>
      <w:r w:rsidRPr="005417E6">
        <w:t xml:space="preserve">Andrew J. </w:t>
      </w:r>
      <w:proofErr w:type="spellStart"/>
      <w:r w:rsidRPr="005417E6">
        <w:t>Dougill</w:t>
      </w:r>
      <w:r w:rsidRPr="005417E6">
        <w:rPr>
          <w:vertAlign w:val="superscript"/>
        </w:rPr>
        <w:t>d</w:t>
      </w:r>
      <w:proofErr w:type="spellEnd"/>
      <w:r w:rsidRPr="005417E6">
        <w:t xml:space="preserve"> </w:t>
      </w:r>
    </w:p>
    <w:p w14:paraId="7667FDC7" w14:textId="77777777" w:rsidR="005417E6" w:rsidRPr="005417E6" w:rsidRDefault="000C172D" w:rsidP="005417E6">
      <w:pPr>
        <w:spacing w:line="360" w:lineRule="auto"/>
        <w:jc w:val="both"/>
        <w:rPr>
          <w:i/>
        </w:rPr>
      </w:pPr>
      <w:r w:rsidRPr="005417E6">
        <w:rPr>
          <w:i/>
        </w:rPr>
        <w:t>*Corresponding author Email address: dnakwaya@unam.na</w:t>
      </w:r>
    </w:p>
    <w:p w14:paraId="0E7FA758" w14:textId="77777777" w:rsidR="005417E6" w:rsidRPr="005417E6" w:rsidRDefault="000C172D" w:rsidP="005417E6">
      <w:pPr>
        <w:spacing w:line="360" w:lineRule="auto"/>
        <w:jc w:val="both"/>
        <w:rPr>
          <w:i/>
          <w:color w:val="000000"/>
          <w:shd w:val="clear" w:color="auto" w:fill="FFFFFF"/>
        </w:rPr>
      </w:pPr>
      <w:r w:rsidRPr="005417E6">
        <w:rPr>
          <w:i/>
          <w:vertAlign w:val="superscript"/>
        </w:rPr>
        <w:t xml:space="preserve">a </w:t>
      </w:r>
      <w:r w:rsidRPr="005417E6">
        <w:rPr>
          <w:i/>
        </w:rPr>
        <w:t xml:space="preserve">Department of Fisheries and Ocean Sciences, University of Namibia, </w:t>
      </w:r>
      <w:r w:rsidRPr="005417E6">
        <w:rPr>
          <w:i/>
          <w:color w:val="000000"/>
          <w:shd w:val="clear" w:color="auto" w:fill="FFFFFF"/>
        </w:rPr>
        <w:t xml:space="preserve">Sam Nujoma Campus, P. O. Box 462, </w:t>
      </w:r>
      <w:proofErr w:type="spellStart"/>
      <w:r w:rsidRPr="005417E6">
        <w:rPr>
          <w:i/>
          <w:color w:val="000000"/>
          <w:shd w:val="clear" w:color="auto" w:fill="FFFFFF"/>
        </w:rPr>
        <w:t>Henties</w:t>
      </w:r>
      <w:proofErr w:type="spellEnd"/>
      <w:r w:rsidRPr="005417E6">
        <w:rPr>
          <w:i/>
          <w:color w:val="000000"/>
          <w:shd w:val="clear" w:color="auto" w:fill="FFFFFF"/>
        </w:rPr>
        <w:t xml:space="preserve"> Bay, Namibia</w:t>
      </w:r>
    </w:p>
    <w:p w14:paraId="52438BBF" w14:textId="77777777" w:rsidR="005417E6" w:rsidRPr="005417E6" w:rsidRDefault="000C172D" w:rsidP="005417E6">
      <w:pPr>
        <w:spacing w:line="360" w:lineRule="auto"/>
        <w:jc w:val="both"/>
        <w:rPr>
          <w:i/>
        </w:rPr>
      </w:pPr>
      <w:r w:rsidRPr="005417E6">
        <w:rPr>
          <w:i/>
          <w:vertAlign w:val="superscript"/>
        </w:rPr>
        <w:t xml:space="preserve">b </w:t>
      </w:r>
      <w:r w:rsidRPr="005417E6">
        <w:rPr>
          <w:i/>
        </w:rPr>
        <w:t>Department of Environmental Studies, University of Namibia, P/ Bag 13301 Windhoek, Namibia</w:t>
      </w:r>
    </w:p>
    <w:p w14:paraId="045501BF" w14:textId="27226109" w:rsidR="005417E6" w:rsidRPr="005417E6" w:rsidRDefault="000C172D" w:rsidP="005417E6">
      <w:pPr>
        <w:spacing w:line="360" w:lineRule="auto"/>
        <w:jc w:val="both"/>
        <w:rPr>
          <w:i/>
        </w:rPr>
      </w:pPr>
      <w:r w:rsidRPr="005417E6">
        <w:rPr>
          <w:i/>
          <w:vertAlign w:val="superscript"/>
        </w:rPr>
        <w:t>c</w:t>
      </w:r>
      <w:r w:rsidR="00E03919">
        <w:rPr>
          <w:i/>
          <w:vertAlign w:val="superscript"/>
        </w:rPr>
        <w:t xml:space="preserve"> </w:t>
      </w:r>
      <w:r w:rsidRPr="005417E6">
        <w:rPr>
          <w:i/>
        </w:rPr>
        <w:t>Faculty of Agriculture and Natural Resources, University of Namibia, P/Bag 13301, Windhoek</w:t>
      </w:r>
    </w:p>
    <w:p w14:paraId="4C30AA51" w14:textId="01E41927" w:rsidR="005417E6" w:rsidRPr="005417E6" w:rsidRDefault="000C172D" w:rsidP="005417E6">
      <w:pPr>
        <w:spacing w:line="360" w:lineRule="auto"/>
        <w:jc w:val="both"/>
        <w:rPr>
          <w:i/>
        </w:rPr>
      </w:pPr>
      <w:r w:rsidRPr="005417E6">
        <w:rPr>
          <w:i/>
          <w:vertAlign w:val="superscript"/>
        </w:rPr>
        <w:t xml:space="preserve">d </w:t>
      </w:r>
      <w:r w:rsidRPr="005417E6">
        <w:rPr>
          <w:i/>
        </w:rPr>
        <w:t>Department of Environment and Geography</w:t>
      </w:r>
      <w:r w:rsidR="006077BB">
        <w:rPr>
          <w:i/>
        </w:rPr>
        <w:t xml:space="preserve">, and York Environmental Sustainability </w:t>
      </w:r>
      <w:r w:rsidR="00E03919">
        <w:rPr>
          <w:i/>
        </w:rPr>
        <w:t>Institute,</w:t>
      </w:r>
      <w:r w:rsidRPr="005417E6">
        <w:rPr>
          <w:i/>
        </w:rPr>
        <w:t xml:space="preserve"> University of York, York, YO10 5NG, UK</w:t>
      </w:r>
    </w:p>
    <w:p w14:paraId="0202CC88" w14:textId="77777777" w:rsidR="005417E6" w:rsidRPr="005417E6" w:rsidRDefault="000C172D" w:rsidP="005417E6">
      <w:pPr>
        <w:spacing w:line="360" w:lineRule="auto"/>
        <w:jc w:val="both"/>
        <w:rPr>
          <w:i/>
        </w:rPr>
      </w:pPr>
      <w:r w:rsidRPr="005417E6">
        <w:rPr>
          <w:vertAlign w:val="superscript"/>
        </w:rPr>
        <w:t>e</w:t>
      </w:r>
      <w:r w:rsidRPr="005417E6">
        <w:rPr>
          <w:i/>
        </w:rPr>
        <w:t xml:space="preserve"> Department of Environment and Geography, University of York, York, YO10 5NG, UK</w:t>
      </w:r>
    </w:p>
    <w:p w14:paraId="406D2E7C" w14:textId="77777777" w:rsidR="005417E6" w:rsidRPr="005417E6" w:rsidRDefault="005417E6" w:rsidP="005417E6">
      <w:pPr>
        <w:spacing w:line="360" w:lineRule="auto"/>
        <w:jc w:val="both"/>
        <w:rPr>
          <w:i/>
        </w:rPr>
      </w:pPr>
    </w:p>
    <w:p w14:paraId="379D23EA" w14:textId="77777777" w:rsidR="005417E6" w:rsidRPr="005417E6" w:rsidRDefault="000C172D" w:rsidP="005417E6">
      <w:pPr>
        <w:spacing w:line="360" w:lineRule="auto"/>
        <w:jc w:val="both"/>
      </w:pPr>
      <w:r w:rsidRPr="005417E6">
        <w:t>*Corresponding author Ms Dietlinde N. Nakwaya-Jacobus</w:t>
      </w:r>
    </w:p>
    <w:p w14:paraId="2277A2D3" w14:textId="77777777" w:rsidR="005417E6" w:rsidRPr="005417E6" w:rsidRDefault="000C172D" w:rsidP="005417E6">
      <w:pPr>
        <w:spacing w:line="360" w:lineRule="auto"/>
        <w:jc w:val="both"/>
        <w:rPr>
          <w:i/>
          <w:color w:val="000000"/>
          <w:shd w:val="clear" w:color="auto" w:fill="FFFFFF"/>
        </w:rPr>
      </w:pPr>
      <w:r w:rsidRPr="005417E6">
        <w:rPr>
          <w:i/>
          <w:vertAlign w:val="superscript"/>
        </w:rPr>
        <w:t xml:space="preserve">a </w:t>
      </w:r>
      <w:r w:rsidRPr="005417E6">
        <w:rPr>
          <w:i/>
        </w:rPr>
        <w:t xml:space="preserve">Department of Fisheries and </w:t>
      </w:r>
      <w:r w:rsidR="00633E1A">
        <w:rPr>
          <w:i/>
        </w:rPr>
        <w:t>Ocean</w:t>
      </w:r>
      <w:r w:rsidRPr="005417E6">
        <w:rPr>
          <w:i/>
        </w:rPr>
        <w:t xml:space="preserve"> Sciences, University of Namibia, </w:t>
      </w:r>
      <w:r w:rsidRPr="005417E6">
        <w:rPr>
          <w:i/>
          <w:color w:val="000000"/>
          <w:shd w:val="clear" w:color="auto" w:fill="FFFFFF"/>
        </w:rPr>
        <w:t xml:space="preserve">Sam Nujoma Campus, P. O. Box 462, </w:t>
      </w:r>
      <w:proofErr w:type="spellStart"/>
      <w:r w:rsidRPr="005417E6">
        <w:rPr>
          <w:i/>
          <w:color w:val="000000"/>
          <w:shd w:val="clear" w:color="auto" w:fill="FFFFFF"/>
        </w:rPr>
        <w:t>Henties</w:t>
      </w:r>
      <w:proofErr w:type="spellEnd"/>
      <w:r w:rsidRPr="005417E6">
        <w:rPr>
          <w:i/>
          <w:color w:val="000000"/>
          <w:shd w:val="clear" w:color="auto" w:fill="FFFFFF"/>
        </w:rPr>
        <w:t xml:space="preserve"> Bay, Namibia</w:t>
      </w:r>
    </w:p>
    <w:p w14:paraId="4FBA35D5" w14:textId="18BF9F73" w:rsidR="005417E6" w:rsidRPr="007372A6" w:rsidRDefault="000C172D" w:rsidP="007372A6">
      <w:pPr>
        <w:spacing w:line="360" w:lineRule="auto"/>
        <w:jc w:val="both"/>
        <w:rPr>
          <w:i/>
        </w:rPr>
      </w:pPr>
      <w:r w:rsidRPr="005417E6">
        <w:t>Email address</w:t>
      </w:r>
      <w:r w:rsidRPr="005417E6">
        <w:rPr>
          <w:i/>
        </w:rPr>
        <w:t xml:space="preserve">: </w:t>
      </w:r>
      <w:hyperlink r:id="rId11" w:history="1">
        <w:r w:rsidRPr="005417E6">
          <w:rPr>
            <w:rFonts w:eastAsiaTheme="majorEastAsia"/>
            <w:i/>
            <w:color w:val="0563C1" w:themeColor="hyperlink"/>
            <w:u w:val="single"/>
          </w:rPr>
          <w:t>dnakwaya@unam.na/</w:t>
        </w:r>
      </w:hyperlink>
      <w:r w:rsidRPr="005417E6">
        <w:rPr>
          <w:i/>
        </w:rPr>
        <w:t xml:space="preserve"> dnakwaya@gmail.com</w:t>
      </w:r>
    </w:p>
    <w:p w14:paraId="35AFFF7A" w14:textId="77777777" w:rsidR="00903D87" w:rsidRPr="00E174F4" w:rsidRDefault="000C172D" w:rsidP="006E061A">
      <w:pPr>
        <w:pStyle w:val="Heading1"/>
        <w:numPr>
          <w:ilvl w:val="0"/>
          <w:numId w:val="0"/>
        </w:numPr>
        <w:ind w:left="284"/>
        <w:rPr>
          <w:rFonts w:cs="Times New Roman"/>
        </w:rPr>
      </w:pPr>
      <w:r w:rsidRPr="00E174F4">
        <w:rPr>
          <w:rFonts w:cs="Times New Roman"/>
        </w:rPr>
        <w:t>GOOD GOVERNANCE</w:t>
      </w:r>
      <w:r w:rsidR="00C36E02">
        <w:rPr>
          <w:rFonts w:cs="Times New Roman"/>
        </w:rPr>
        <w:t xml:space="preserve"> </w:t>
      </w:r>
      <w:r w:rsidR="00C36E02" w:rsidRPr="00E174F4">
        <w:rPr>
          <w:rFonts w:cs="Times New Roman"/>
        </w:rPr>
        <w:t>QUALITY</w:t>
      </w:r>
      <w:r w:rsidRPr="00E174F4">
        <w:rPr>
          <w:rFonts w:cs="Times New Roman"/>
        </w:rPr>
        <w:t xml:space="preserve"> IN </w:t>
      </w:r>
      <w:r w:rsidR="00EC38B4" w:rsidRPr="00E174F4">
        <w:rPr>
          <w:rFonts w:cs="Times New Roman"/>
        </w:rPr>
        <w:t xml:space="preserve">NAMIBIA’S EIA </w:t>
      </w:r>
      <w:bookmarkEnd w:id="0"/>
      <w:r w:rsidR="00BB01BF" w:rsidRPr="00E174F4">
        <w:rPr>
          <w:rFonts w:cs="Times New Roman"/>
        </w:rPr>
        <w:t>PROCESS</w:t>
      </w:r>
      <w:bookmarkEnd w:id="1"/>
    </w:p>
    <w:bookmarkEnd w:id="2"/>
    <w:p w14:paraId="3BE8AFA8" w14:textId="77777777" w:rsidR="00617A3E" w:rsidRPr="00E174F4" w:rsidRDefault="00617A3E" w:rsidP="0072281D"/>
    <w:p w14:paraId="68A78CAE" w14:textId="77777777" w:rsidR="00617A3E" w:rsidRPr="00E174F4" w:rsidRDefault="000C172D" w:rsidP="007B5B7F">
      <w:pPr>
        <w:jc w:val="center"/>
        <w:rPr>
          <w:b/>
          <w:bCs/>
        </w:rPr>
      </w:pPr>
      <w:r w:rsidRPr="00E174F4">
        <w:rPr>
          <w:b/>
          <w:bCs/>
        </w:rPr>
        <w:t>Abstract</w:t>
      </w:r>
    </w:p>
    <w:p w14:paraId="7ECCE871" w14:textId="77777777" w:rsidR="003A16B0" w:rsidRDefault="003A16B0" w:rsidP="007B5B7F">
      <w:pPr>
        <w:jc w:val="center"/>
        <w:rPr>
          <w:b/>
          <w:bCs/>
        </w:rPr>
      </w:pPr>
    </w:p>
    <w:p w14:paraId="15FE3336" w14:textId="719C2264" w:rsidR="00F043CC" w:rsidRPr="00320F63" w:rsidRDefault="000C172D" w:rsidP="00F043CC">
      <w:pPr>
        <w:spacing w:line="480" w:lineRule="auto"/>
        <w:jc w:val="both"/>
        <w:rPr>
          <w:color w:val="000000" w:themeColor="text1"/>
        </w:rPr>
      </w:pPr>
      <w:r w:rsidRPr="00013604">
        <w:t xml:space="preserve">EIA is a well-known </w:t>
      </w:r>
      <w:r w:rsidR="004B1FAE" w:rsidRPr="00013604">
        <w:t>environmental</w:t>
      </w:r>
      <w:r w:rsidRPr="00013604">
        <w:t xml:space="preserve"> governance tool</w:t>
      </w:r>
      <w:r w:rsidR="004B1FAE" w:rsidRPr="00013604">
        <w:t>. However,</w:t>
      </w:r>
      <w:r w:rsidRPr="00013604">
        <w:t xml:space="preserve"> its quality is influenced by the governance setting and context in </w:t>
      </w:r>
      <w:r w:rsidR="004B1FAE" w:rsidRPr="00013604">
        <w:t xml:space="preserve">the </w:t>
      </w:r>
      <w:r w:rsidRPr="00013604">
        <w:t>countr</w:t>
      </w:r>
      <w:r w:rsidR="004B1FAE" w:rsidRPr="00013604">
        <w:t>y</w:t>
      </w:r>
      <w:r w:rsidRPr="00013604">
        <w:t xml:space="preserve"> of implementation. EIA in Namibia started in the 1980s</w:t>
      </w:r>
      <w:r w:rsidR="006077BB">
        <w:t>,</w:t>
      </w:r>
      <w:r w:rsidRPr="00013604">
        <w:t xml:space="preserve"> voluntarily, with only a minimal post facto EIAs in the mining sector. After independence, the Environmental Management Act and regulations were developed. </w:t>
      </w:r>
      <w:bookmarkStart w:id="3" w:name="_Hlk151728831"/>
      <w:r w:rsidR="004B1FAE" w:rsidRPr="00013604">
        <w:t>Since the</w:t>
      </w:r>
      <w:r w:rsidRPr="00013604">
        <w:t xml:space="preserve"> development and implementation of EIA</w:t>
      </w:r>
      <w:r w:rsidR="004B1FAE" w:rsidRPr="00013604">
        <w:t xml:space="preserve"> in Namibia, no study has assessed the</w:t>
      </w:r>
      <w:r w:rsidRPr="00013604">
        <w:t xml:space="preserve"> </w:t>
      </w:r>
      <w:r w:rsidR="0098030D">
        <w:t xml:space="preserve">quality </w:t>
      </w:r>
      <w:r w:rsidR="006077BB">
        <w:t xml:space="preserve">of Namibia’s assessments </w:t>
      </w:r>
      <w:r w:rsidR="0098030D">
        <w:t xml:space="preserve">and </w:t>
      </w:r>
      <w:r w:rsidR="006077BB">
        <w:t xml:space="preserve">the </w:t>
      </w:r>
      <w:r w:rsidRPr="00013604">
        <w:t>governance</w:t>
      </w:r>
      <w:r w:rsidR="004B1FAE" w:rsidRPr="00013604">
        <w:t xml:space="preserve"> context under which EIA is conducted. </w:t>
      </w:r>
      <w:bookmarkStart w:id="4" w:name="_Hlk152052131"/>
      <w:r w:rsidR="004B1FAE" w:rsidRPr="00013604">
        <w:t>T</w:t>
      </w:r>
      <w:r w:rsidRPr="00013604">
        <w:t xml:space="preserve">his </w:t>
      </w:r>
      <w:r w:rsidR="00E04A96">
        <w:t>study</w:t>
      </w:r>
      <w:r w:rsidRPr="00013604">
        <w:t xml:space="preserve"> </w:t>
      </w:r>
      <w:r w:rsidR="004B1FAE" w:rsidRPr="00013604">
        <w:t>assesses</w:t>
      </w:r>
      <w:r w:rsidRPr="00013604">
        <w:t xml:space="preserve"> the </w:t>
      </w:r>
      <w:r w:rsidR="004B1FAE" w:rsidRPr="00013604">
        <w:t xml:space="preserve">quality and </w:t>
      </w:r>
      <w:r w:rsidRPr="00013604">
        <w:t xml:space="preserve">adequacy of </w:t>
      </w:r>
      <w:r w:rsidR="004B1FAE" w:rsidRPr="00013604">
        <w:t>the EIA</w:t>
      </w:r>
      <w:r w:rsidRPr="00013604">
        <w:t xml:space="preserve"> mechanism in Namibia </w:t>
      </w:r>
      <w:r w:rsidR="0098030D">
        <w:t xml:space="preserve">and </w:t>
      </w:r>
      <w:r w:rsidRPr="00013604">
        <w:t>the extent to which th</w:t>
      </w:r>
      <w:r w:rsidR="004B1FAE" w:rsidRPr="00013604">
        <w:t>e</w:t>
      </w:r>
      <w:r w:rsidRPr="00013604">
        <w:t xml:space="preserve"> EIA process satisfies good </w:t>
      </w:r>
      <w:r w:rsidRPr="00013604">
        <w:lastRenderedPageBreak/>
        <w:t>governance</w:t>
      </w:r>
      <w:r w:rsidR="004B1FAE" w:rsidRPr="00013604">
        <w:t xml:space="preserve"> principles</w:t>
      </w:r>
      <w:r w:rsidRPr="00013604">
        <w:t xml:space="preserve">. </w:t>
      </w:r>
      <w:bookmarkEnd w:id="3"/>
      <w:bookmarkEnd w:id="4"/>
      <w:r w:rsidRPr="00013604">
        <w:t xml:space="preserve">The evaluation criteria used were obtained from several sources in the literature </w:t>
      </w:r>
      <w:r w:rsidR="004B1FAE" w:rsidRPr="00013604">
        <w:t xml:space="preserve">and </w:t>
      </w:r>
      <w:r w:rsidRPr="00013604">
        <w:t>based on the U</w:t>
      </w:r>
      <w:r w:rsidR="003045E8" w:rsidRPr="00013604">
        <w:t>nited Nations</w:t>
      </w:r>
      <w:r w:rsidRPr="00013604">
        <w:t xml:space="preserve"> governance principles. Data were collected through a questionnaire survey and subsequent semi-structured interviews with experts. O</w:t>
      </w:r>
      <w:r w:rsidR="004B1FAE" w:rsidRPr="00013604">
        <w:t>ut of 12 criteria used to examine adequacy, only four were scored as adequate</w:t>
      </w:r>
      <w:r w:rsidR="00436589">
        <w:t>,</w:t>
      </w:r>
      <w:r w:rsidR="004B1FAE" w:rsidRPr="00013604">
        <w:t xml:space="preserve"> including </w:t>
      </w:r>
      <w:r w:rsidRPr="00013604">
        <w:t>legal basis, EIA scope, compliance, and procedures</w:t>
      </w:r>
      <w:r w:rsidR="004B1FAE" w:rsidRPr="00013604">
        <w:t>. Important EIA requirements on</w:t>
      </w:r>
      <w:r w:rsidRPr="00013604">
        <w:t xml:space="preserve"> cumulative impacts, alternatives, follow-up, and administration were rated as inadequate. Namibia's EIA process partially satisfies eight out of ten qualities of </w:t>
      </w:r>
      <w:r w:rsidR="00320F63" w:rsidRPr="00013604">
        <w:t xml:space="preserve">good </w:t>
      </w:r>
      <w:r w:rsidRPr="00013604">
        <w:t>governance</w:t>
      </w:r>
      <w:r w:rsidR="00436589">
        <w:t>,</w:t>
      </w:r>
      <w:r w:rsidRPr="00013604">
        <w:t xml:space="preserve"> with accountability and transparency rated as poor</w:t>
      </w:r>
      <w:bookmarkStart w:id="5" w:name="_Hlk148518469"/>
      <w:r w:rsidR="00320F63" w:rsidRPr="00013604">
        <w:t xml:space="preserve">. </w:t>
      </w:r>
      <w:r w:rsidRPr="00013604">
        <w:t xml:space="preserve">These inadequacies may have implications </w:t>
      </w:r>
      <w:r w:rsidR="00436589">
        <w:t>for</w:t>
      </w:r>
      <w:r w:rsidRPr="00013604">
        <w:t xml:space="preserve"> the quality of assessment </w:t>
      </w:r>
      <w:r w:rsidR="00320F63" w:rsidRPr="00013604">
        <w:t xml:space="preserve">undertaken </w:t>
      </w:r>
      <w:r w:rsidRPr="00013604">
        <w:t xml:space="preserve">and the decisions </w:t>
      </w:r>
      <w:r w:rsidR="00436589">
        <w:t>that are made</w:t>
      </w:r>
      <w:r w:rsidRPr="00013604">
        <w:t xml:space="preserve">. An EIA process that fails to meet good governance qualities can be deemed unfit to achieve the intended purpose. </w:t>
      </w:r>
      <w:r w:rsidR="00320F63" w:rsidRPr="00013604">
        <w:t xml:space="preserve">According to interviewed experts, </w:t>
      </w:r>
      <w:r w:rsidRPr="00013604">
        <w:t xml:space="preserve">Namibia can improve EIA quality by supporting legislation with clear guidelines, </w:t>
      </w:r>
      <w:r w:rsidR="00320F63" w:rsidRPr="00013604">
        <w:t>procedures</w:t>
      </w:r>
      <w:r w:rsidR="00FB53FB" w:rsidRPr="00013604">
        <w:t xml:space="preserve">, and financial </w:t>
      </w:r>
      <w:r w:rsidR="00013604" w:rsidRPr="00013604">
        <w:t>commitment,</w:t>
      </w:r>
      <w:r w:rsidR="00320F63" w:rsidRPr="00013604">
        <w:t xml:space="preserve"> </w:t>
      </w:r>
      <w:r w:rsidR="00F6458A" w:rsidRPr="00013604">
        <w:t>and decentralising</w:t>
      </w:r>
      <w:r w:rsidRPr="00013604">
        <w:t xml:space="preserve"> EIA services to local </w:t>
      </w:r>
      <w:r>
        <w:t>administrative tiers</w:t>
      </w:r>
      <w:r w:rsidR="00F6458A">
        <w:t xml:space="preserve"> including traditional authorities.</w:t>
      </w:r>
    </w:p>
    <w:bookmarkEnd w:id="5"/>
    <w:p w14:paraId="53FF5158" w14:textId="77777777" w:rsidR="006553BC" w:rsidRDefault="006553BC" w:rsidP="006E3C60">
      <w:pPr>
        <w:spacing w:line="480" w:lineRule="auto"/>
        <w:jc w:val="both"/>
      </w:pPr>
    </w:p>
    <w:p w14:paraId="04E075B0" w14:textId="2E7F732F" w:rsidR="006E3C60" w:rsidRDefault="000C172D" w:rsidP="006E3C60">
      <w:pPr>
        <w:spacing w:line="480" w:lineRule="auto"/>
        <w:jc w:val="both"/>
      </w:pPr>
      <w:r>
        <w:t xml:space="preserve">Keywords: EIA process, </w:t>
      </w:r>
      <w:r w:rsidR="00521D5E">
        <w:t>accountability</w:t>
      </w:r>
      <w:r>
        <w:t xml:space="preserve">, </w:t>
      </w:r>
      <w:r w:rsidR="00521D5E">
        <w:t>decision-making</w:t>
      </w:r>
      <w:r>
        <w:t>,</w:t>
      </w:r>
      <w:r w:rsidR="00521D5E">
        <w:t xml:space="preserve"> context,</w:t>
      </w:r>
      <w:r>
        <w:t xml:space="preserve"> Namibia</w:t>
      </w:r>
    </w:p>
    <w:p w14:paraId="320F96D0" w14:textId="77777777" w:rsidR="00903D87" w:rsidRDefault="00903D87" w:rsidP="007D0ED2">
      <w:pPr>
        <w:spacing w:line="480" w:lineRule="auto"/>
        <w:jc w:val="both"/>
      </w:pPr>
    </w:p>
    <w:p w14:paraId="1B19740B" w14:textId="77777777" w:rsidR="00903D87" w:rsidRPr="00E174F4" w:rsidRDefault="000C172D" w:rsidP="007B5B7F">
      <w:pPr>
        <w:pStyle w:val="Heading2"/>
        <w:numPr>
          <w:ilvl w:val="0"/>
          <w:numId w:val="0"/>
        </w:numPr>
        <w:rPr>
          <w:rFonts w:cs="Times New Roman"/>
        </w:rPr>
      </w:pPr>
      <w:bookmarkStart w:id="6" w:name="_Toc102930453"/>
      <w:r w:rsidRPr="00E174F4">
        <w:rPr>
          <w:rFonts w:cs="Times New Roman"/>
        </w:rPr>
        <w:t>4.1 Introduction</w:t>
      </w:r>
      <w:bookmarkEnd w:id="6"/>
    </w:p>
    <w:p w14:paraId="3A85929A" w14:textId="77777777" w:rsidR="00B05E6D" w:rsidRPr="00E174F4" w:rsidRDefault="00B05E6D" w:rsidP="00B05E6D"/>
    <w:p w14:paraId="3155F829" w14:textId="0E3C6886" w:rsidR="0088148D" w:rsidRDefault="000C172D" w:rsidP="00B1312F">
      <w:pPr>
        <w:spacing w:line="480" w:lineRule="auto"/>
        <w:jc w:val="both"/>
        <w:rPr>
          <w:color w:val="000000" w:themeColor="text1"/>
        </w:rPr>
      </w:pPr>
      <w:r w:rsidRPr="00E174F4">
        <w:rPr>
          <w:color w:val="000000" w:themeColor="text1"/>
        </w:rPr>
        <w:t>P</w:t>
      </w:r>
      <w:r w:rsidR="00B05E6D" w:rsidRPr="00E174F4">
        <w:rPr>
          <w:color w:val="000000" w:themeColor="text1"/>
        </w:rPr>
        <w:t>olitical and socio-economic context plays an important role in the quality and efficacy with which legislative and institutional regimes for environmental management are developed and implemented (Marara et al</w:t>
      </w:r>
      <w:r w:rsidR="00370267" w:rsidRPr="00E174F4">
        <w:rPr>
          <w:color w:val="000000" w:themeColor="text1"/>
        </w:rPr>
        <w:t>.</w:t>
      </w:r>
      <w:r w:rsidR="00B05E6D" w:rsidRPr="00E174F4">
        <w:rPr>
          <w:color w:val="000000" w:themeColor="text1"/>
        </w:rPr>
        <w:t>, 2011). In developing countries, the impact of different backgrounds and contexts is manifested in the interest and attention given to environmental protection and environmental governance tools</w:t>
      </w:r>
      <w:r w:rsidR="00BA71CD" w:rsidRPr="00E174F4">
        <w:rPr>
          <w:color w:val="000000" w:themeColor="text1"/>
        </w:rPr>
        <w:t xml:space="preserve"> such as Environmental Impact Assessment (EIA</w:t>
      </w:r>
      <w:bookmarkStart w:id="7" w:name="_Hlk152051704"/>
      <w:r w:rsidR="00BA71CD" w:rsidRPr="00E174F4">
        <w:rPr>
          <w:color w:val="000000" w:themeColor="text1"/>
        </w:rPr>
        <w:t>)</w:t>
      </w:r>
      <w:r w:rsidR="00B05E6D" w:rsidRPr="00E174F4">
        <w:rPr>
          <w:color w:val="000000" w:themeColor="text1"/>
        </w:rPr>
        <w:t>. EIA has become a popular decision-</w:t>
      </w:r>
      <w:r w:rsidR="00320F63">
        <w:rPr>
          <w:color w:val="000000" w:themeColor="text1"/>
        </w:rPr>
        <w:t>support</w:t>
      </w:r>
      <w:r w:rsidR="00B05E6D" w:rsidRPr="00E174F4">
        <w:rPr>
          <w:color w:val="000000" w:themeColor="text1"/>
        </w:rPr>
        <w:t xml:space="preserve"> tool because it</w:t>
      </w:r>
      <w:r w:rsidR="00436589">
        <w:rPr>
          <w:color w:val="000000" w:themeColor="text1"/>
        </w:rPr>
        <w:t xml:space="preserve"> is intended to</w:t>
      </w:r>
      <w:r w:rsidR="00B05E6D" w:rsidRPr="00E174F4">
        <w:rPr>
          <w:color w:val="000000" w:themeColor="text1"/>
        </w:rPr>
        <w:t xml:space="preserve"> </w:t>
      </w:r>
      <w:r w:rsidR="00B851BD">
        <w:rPr>
          <w:color w:val="000000" w:themeColor="text1"/>
        </w:rPr>
        <w:t>enhance</w:t>
      </w:r>
      <w:r w:rsidR="00B05E6D" w:rsidRPr="00E174F4">
        <w:rPr>
          <w:color w:val="000000" w:themeColor="text1"/>
        </w:rPr>
        <w:t xml:space="preserve"> good governance and </w:t>
      </w:r>
      <w:r w:rsidR="00B05E6D" w:rsidRPr="00E174F4">
        <w:rPr>
          <w:color w:val="000000" w:themeColor="text1"/>
        </w:rPr>
        <w:lastRenderedPageBreak/>
        <w:t xml:space="preserve">sustainable </w:t>
      </w:r>
      <w:bookmarkEnd w:id="7"/>
      <w:r w:rsidR="00B05E6D" w:rsidRPr="00E174F4">
        <w:rPr>
          <w:color w:val="000000" w:themeColor="text1"/>
        </w:rPr>
        <w:t xml:space="preserve">development. EIA systems are put in place to increase accountability in environmental decision-making by utilizing a reliable </w:t>
      </w:r>
      <w:r w:rsidR="0012478A">
        <w:rPr>
          <w:color w:val="000000" w:themeColor="text1"/>
        </w:rPr>
        <w:t xml:space="preserve">and </w:t>
      </w:r>
      <w:r w:rsidR="00B05E6D" w:rsidRPr="00E174F4">
        <w:rPr>
          <w:color w:val="000000" w:themeColor="text1"/>
        </w:rPr>
        <w:t>verifiable basis (Bond et al., 2020).</w:t>
      </w:r>
      <w:r w:rsidR="00627956">
        <w:rPr>
          <w:color w:val="000000" w:themeColor="text1"/>
        </w:rPr>
        <w:t xml:space="preserve"> </w:t>
      </w:r>
    </w:p>
    <w:p w14:paraId="4A1E0B0B" w14:textId="77777777" w:rsidR="007A13CB" w:rsidRPr="00E174F4" w:rsidRDefault="007A13CB" w:rsidP="00B1312F">
      <w:pPr>
        <w:spacing w:line="480" w:lineRule="auto"/>
        <w:jc w:val="both"/>
      </w:pPr>
    </w:p>
    <w:p w14:paraId="7D9A9024" w14:textId="1EAFDE83" w:rsidR="00D320CE" w:rsidRPr="00E174F4" w:rsidRDefault="000C172D" w:rsidP="00D320CE">
      <w:pPr>
        <w:spacing w:line="480" w:lineRule="auto"/>
        <w:jc w:val="both"/>
      </w:pPr>
      <w:r w:rsidRPr="00E174F4">
        <w:t>EIA is</w:t>
      </w:r>
      <w:r w:rsidR="00320F63">
        <w:t xml:space="preserve"> used as</w:t>
      </w:r>
      <w:r w:rsidRPr="00E174F4">
        <w:t xml:space="preserve"> a planning tool with many purposes, but generally, </w:t>
      </w:r>
      <w:r w:rsidR="00C24A0E">
        <w:t xml:space="preserve">it aims </w:t>
      </w:r>
      <w:r w:rsidRPr="00E174F4">
        <w:t xml:space="preserve">to identify in advance the possible environmental consequences of planned projects and to seek means to prevent negative impacts </w:t>
      </w:r>
      <w:r w:rsidR="00C24A0E">
        <w:t>from</w:t>
      </w:r>
      <w:r w:rsidR="00C24A0E" w:rsidRPr="00E174F4">
        <w:t xml:space="preserve"> </w:t>
      </w:r>
      <w:r w:rsidRPr="00E174F4">
        <w:t xml:space="preserve">development. EIA as a governance tool has the </w:t>
      </w:r>
      <w:r w:rsidRPr="00E174F4">
        <w:rPr>
          <w:rStyle w:val="markedcontent"/>
          <w:rFonts w:eastAsiaTheme="majorEastAsia"/>
        </w:rPr>
        <w:t xml:space="preserve">objective to restore and maintain environmental quality, </w:t>
      </w:r>
      <w:r w:rsidR="00C24A0E">
        <w:rPr>
          <w:rStyle w:val="markedcontent"/>
          <w:rFonts w:eastAsiaTheme="majorEastAsia"/>
        </w:rPr>
        <w:t>supporting</w:t>
      </w:r>
      <w:r w:rsidR="00C24A0E" w:rsidRPr="00E174F4">
        <w:rPr>
          <w:rStyle w:val="markedcontent"/>
          <w:rFonts w:eastAsiaTheme="majorEastAsia"/>
        </w:rPr>
        <w:t xml:space="preserve"> </w:t>
      </w:r>
      <w:r w:rsidRPr="00E174F4">
        <w:rPr>
          <w:rStyle w:val="markedcontent"/>
          <w:rFonts w:eastAsiaTheme="majorEastAsia"/>
        </w:rPr>
        <w:t xml:space="preserve">sustainable development that is </w:t>
      </w:r>
      <w:r w:rsidR="00436589">
        <w:rPr>
          <w:rStyle w:val="markedcontent"/>
          <w:rFonts w:eastAsiaTheme="majorEastAsia"/>
        </w:rPr>
        <w:t xml:space="preserve">more </w:t>
      </w:r>
      <w:r w:rsidRPr="00E174F4">
        <w:rPr>
          <w:rStyle w:val="markedcontent"/>
          <w:rFonts w:eastAsiaTheme="majorEastAsia"/>
        </w:rPr>
        <w:t>in harmony with the conservation of ecosystems and protection of human health and social wellbeing</w:t>
      </w:r>
      <w:r w:rsidR="00EB4F80" w:rsidRPr="00E174F4">
        <w:rPr>
          <w:rStyle w:val="markedcontent"/>
          <w:rFonts w:eastAsiaTheme="majorEastAsia"/>
        </w:rPr>
        <w:t xml:space="preserve"> </w:t>
      </w:r>
      <w:r w:rsidR="00EB4F80" w:rsidRPr="00E174F4">
        <w:t>(Jalava et al., 201</w:t>
      </w:r>
      <w:r w:rsidR="00EB4F80">
        <w:t>3</w:t>
      </w:r>
      <w:r w:rsidR="00EB4F80" w:rsidRPr="00E174F4">
        <w:t>;</w:t>
      </w:r>
      <w:r w:rsidR="00EB4F80" w:rsidRPr="00E174F4">
        <w:rPr>
          <w:rStyle w:val="markedcontent"/>
          <w:rFonts w:eastAsiaTheme="majorEastAsia"/>
        </w:rPr>
        <w:t xml:space="preserve"> </w:t>
      </w:r>
      <w:proofErr w:type="spellStart"/>
      <w:r w:rsidR="00EB4F80" w:rsidRPr="00E174F4">
        <w:rPr>
          <w:rStyle w:val="markedcontent"/>
          <w:rFonts w:eastAsiaTheme="majorEastAsia"/>
        </w:rPr>
        <w:t>Keken</w:t>
      </w:r>
      <w:proofErr w:type="spellEnd"/>
      <w:r w:rsidR="00EB4F80" w:rsidRPr="00E174F4">
        <w:rPr>
          <w:rStyle w:val="markedcontent"/>
          <w:rFonts w:eastAsiaTheme="majorEastAsia"/>
        </w:rPr>
        <w:t xml:space="preserve"> et al., 2022</w:t>
      </w:r>
      <w:r w:rsidR="00EB4F80">
        <w:rPr>
          <w:rStyle w:val="markedcontent"/>
          <w:rFonts w:eastAsiaTheme="majorEastAsia"/>
        </w:rPr>
        <w:t>;</w:t>
      </w:r>
      <w:r w:rsidR="00EB4F80" w:rsidRPr="00E174F4">
        <w:rPr>
          <w:rStyle w:val="markedcontent"/>
          <w:rFonts w:eastAsiaTheme="majorEastAsia"/>
        </w:rPr>
        <w:t xml:space="preserve"> Morgan, 2012</w:t>
      </w:r>
      <w:r w:rsidR="00EB4F80" w:rsidRPr="00E174F4">
        <w:t>)</w:t>
      </w:r>
      <w:r w:rsidRPr="00E174F4">
        <w:t xml:space="preserve">. A quality EIA process also plays an important role in delivering the evidence necessary to support critical environmental </w:t>
      </w:r>
      <w:r w:rsidR="00C24A0E">
        <w:t xml:space="preserve">imperatives </w:t>
      </w:r>
      <w:r w:rsidRPr="00E174F4">
        <w:t xml:space="preserve">including climate change mitigation, promotion of environmental justice, and sustainable investments (Bice &amp; Fischer, 2020). EIA's </w:t>
      </w:r>
      <w:r w:rsidRPr="00E174F4">
        <w:rPr>
          <w:rStyle w:val="markedcontent"/>
          <w:rFonts w:eastAsiaTheme="majorEastAsia"/>
        </w:rPr>
        <w:t xml:space="preserve">gradual development and improvement in achieving accurate predictions of impacts can </w:t>
      </w:r>
      <w:r w:rsidR="008656A6">
        <w:rPr>
          <w:rStyle w:val="markedcontent"/>
          <w:rFonts w:eastAsiaTheme="majorEastAsia"/>
        </w:rPr>
        <w:t xml:space="preserve">also </w:t>
      </w:r>
      <w:r w:rsidRPr="00E174F4">
        <w:rPr>
          <w:rStyle w:val="markedcontent"/>
          <w:rFonts w:eastAsiaTheme="majorEastAsia"/>
        </w:rPr>
        <w:t>be a crucial factor in preventing, reducing, or compensating for environmental risks</w:t>
      </w:r>
      <w:r w:rsidRPr="00E174F4">
        <w:rPr>
          <w:rStyle w:val="Heading1Char"/>
          <w:rFonts w:cs="Times New Roman"/>
          <w:szCs w:val="24"/>
        </w:rPr>
        <w:t xml:space="preserve"> </w:t>
      </w:r>
      <w:r w:rsidRPr="00E174F4">
        <w:rPr>
          <w:rStyle w:val="markedcontent"/>
          <w:rFonts w:eastAsiaTheme="majorEastAsia"/>
        </w:rPr>
        <w:t xml:space="preserve">associated with different development activities </w:t>
      </w:r>
      <w:r w:rsidR="00EB4F80" w:rsidRPr="00E174F4">
        <w:rPr>
          <w:rStyle w:val="markedcontent"/>
          <w:rFonts w:eastAsiaTheme="majorEastAsia"/>
        </w:rPr>
        <w:t>(</w:t>
      </w:r>
      <w:r w:rsidR="00EB4F80" w:rsidRPr="00E174F4">
        <w:t>Bice &amp; Fischer, 2020</w:t>
      </w:r>
      <w:r w:rsidR="00EB4F80">
        <w:t>;</w:t>
      </w:r>
      <w:r w:rsidR="00EB4F80" w:rsidRPr="00E174F4">
        <w:rPr>
          <w:rStyle w:val="markedcontent"/>
          <w:rFonts w:eastAsiaTheme="majorEastAsia"/>
        </w:rPr>
        <w:t xml:space="preserve"> </w:t>
      </w:r>
      <w:proofErr w:type="spellStart"/>
      <w:r w:rsidR="00EB4F80" w:rsidRPr="00E174F4">
        <w:rPr>
          <w:rStyle w:val="markedcontent"/>
          <w:rFonts w:eastAsiaTheme="majorEastAsia"/>
        </w:rPr>
        <w:t>Keken</w:t>
      </w:r>
      <w:proofErr w:type="spellEnd"/>
      <w:r w:rsidR="00EB4F80" w:rsidRPr="00E174F4">
        <w:rPr>
          <w:rStyle w:val="markedcontent"/>
          <w:rFonts w:eastAsiaTheme="majorEastAsia"/>
        </w:rPr>
        <w:t xml:space="preserve"> et al., 2022</w:t>
      </w:r>
      <w:r w:rsidR="00EB4F80" w:rsidRPr="00E174F4">
        <w:t>)</w:t>
      </w:r>
      <w:r w:rsidR="00EB4F80" w:rsidRPr="00E174F4">
        <w:rPr>
          <w:rStyle w:val="markedcontent"/>
          <w:rFonts w:eastAsiaTheme="majorEastAsia"/>
        </w:rPr>
        <w:t>.</w:t>
      </w:r>
      <w:r w:rsidR="00EB4F80" w:rsidRPr="00E174F4">
        <w:t xml:space="preserve"> </w:t>
      </w:r>
      <w:r w:rsidRPr="00E174F4">
        <w:t>While EIA is a trusted tool, critiques surrounding its functioning and quality are growing.</w:t>
      </w:r>
    </w:p>
    <w:p w14:paraId="2D98AB8B" w14:textId="025DA54B" w:rsidR="00FF1026" w:rsidRDefault="000C172D" w:rsidP="00FF1026">
      <w:pPr>
        <w:spacing w:before="100" w:beforeAutospacing="1" w:after="100" w:afterAutospacing="1" w:line="480" w:lineRule="auto"/>
        <w:jc w:val="both"/>
      </w:pPr>
      <w:r>
        <w:rPr>
          <w:color w:val="000000" w:themeColor="text1"/>
        </w:rPr>
        <w:t>Numerous r</w:t>
      </w:r>
      <w:r w:rsidR="007C4473">
        <w:rPr>
          <w:color w:val="000000" w:themeColor="text1"/>
        </w:rPr>
        <w:t>esearch has focused on</w:t>
      </w:r>
      <w:r w:rsidR="00EC38B4" w:rsidRPr="00E174F4">
        <w:t xml:space="preserve"> evaluating and understanding the regulatory and technical aspects of EIA </w:t>
      </w:r>
      <w:proofErr w:type="spellStart"/>
      <w:r w:rsidR="00EB4F80" w:rsidRPr="00E174F4">
        <w:t>EIA</w:t>
      </w:r>
      <w:proofErr w:type="spellEnd"/>
      <w:r w:rsidR="00EB4F80" w:rsidRPr="00E174F4">
        <w:t xml:space="preserve"> (Ahmad &amp; Wood</w:t>
      </w:r>
      <w:r w:rsidR="00EB4F80">
        <w:t xml:space="preserve">, </w:t>
      </w:r>
      <w:r w:rsidR="00EB4F80" w:rsidRPr="00E174F4">
        <w:t xml:space="preserve">2002; </w:t>
      </w:r>
      <w:r w:rsidR="00EB4F80" w:rsidRPr="00E174F4">
        <w:rPr>
          <w:noProof/>
        </w:rPr>
        <w:t>Chanchitpricha &amp; Bond, 2013; Elvan, 2018</w:t>
      </w:r>
      <w:r w:rsidR="00EB4F80" w:rsidRPr="00E174F4">
        <w:t>)</w:t>
      </w:r>
      <w:r w:rsidR="00EB4F80">
        <w:t xml:space="preserve">. </w:t>
      </w:r>
      <w:r w:rsidR="008656A6">
        <w:t>E</w:t>
      </w:r>
      <w:proofErr w:type="spellStart"/>
      <w:r w:rsidRPr="00E174F4">
        <w:rPr>
          <w:color w:val="000000" w:themeColor="text1"/>
          <w:lang w:val="en-US"/>
        </w:rPr>
        <w:t>xtensive</w:t>
      </w:r>
      <w:proofErr w:type="spellEnd"/>
      <w:r w:rsidRPr="00E174F4">
        <w:rPr>
          <w:color w:val="000000" w:themeColor="text1"/>
          <w:lang w:val="en-US"/>
        </w:rPr>
        <w:t xml:space="preserve"> research evaluate</w:t>
      </w:r>
      <w:r w:rsidR="008656A6">
        <w:rPr>
          <w:color w:val="000000" w:themeColor="text1"/>
          <w:lang w:val="en-US"/>
        </w:rPr>
        <w:t>d</w:t>
      </w:r>
      <w:r w:rsidRPr="00E174F4">
        <w:rPr>
          <w:color w:val="000000" w:themeColor="text1"/>
          <w:lang w:val="en-US"/>
        </w:rPr>
        <w:t xml:space="preserve"> the quality of the EIA by reviewing EIA reports </w:t>
      </w:r>
      <w:r w:rsidR="00EB4F80" w:rsidRPr="00E174F4">
        <w:rPr>
          <w:color w:val="000000" w:themeColor="text1"/>
          <w:lang w:val="en-US"/>
        </w:rPr>
        <w:t>(</w:t>
      </w:r>
      <w:r w:rsidR="00EB4F80" w:rsidRPr="00E174F4">
        <w:rPr>
          <w:rStyle w:val="markedcontent"/>
          <w:rFonts w:eastAsiaTheme="majorEastAsia"/>
        </w:rPr>
        <w:t>Mounir, 2015</w:t>
      </w:r>
      <w:r w:rsidR="00EB4F80">
        <w:rPr>
          <w:rStyle w:val="markedcontent"/>
          <w:rFonts w:eastAsiaTheme="majorEastAsia"/>
        </w:rPr>
        <w:t>;</w:t>
      </w:r>
      <w:r w:rsidR="00EB4F80" w:rsidRPr="00E174F4">
        <w:rPr>
          <w:rStyle w:val="markedcontent"/>
          <w:rFonts w:eastAsiaTheme="majorEastAsia"/>
        </w:rPr>
        <w:t xml:space="preserve"> Sandham et al., 2013</w:t>
      </w:r>
      <w:r w:rsidR="00EB4F80" w:rsidRPr="00E174F4">
        <w:rPr>
          <w:color w:val="000000" w:themeColor="text1"/>
          <w:lang w:val="en-US"/>
        </w:rPr>
        <w:t xml:space="preserve">). </w:t>
      </w:r>
      <w:r w:rsidRPr="00E174F4">
        <w:rPr>
          <w:color w:val="000000" w:themeColor="text1"/>
          <w:lang w:val="en-US"/>
        </w:rPr>
        <w:t xml:space="preserve">The weaknesses typically </w:t>
      </w:r>
      <w:r>
        <w:rPr>
          <w:color w:val="000000" w:themeColor="text1"/>
          <w:lang w:val="en-US"/>
        </w:rPr>
        <w:t>identified in those studies</w:t>
      </w:r>
      <w:r w:rsidRPr="00E174F4">
        <w:rPr>
          <w:color w:val="000000" w:themeColor="text1"/>
          <w:lang w:val="en-US"/>
        </w:rPr>
        <w:t xml:space="preserve"> </w:t>
      </w:r>
      <w:r>
        <w:rPr>
          <w:color w:val="000000" w:themeColor="text1"/>
          <w:lang w:val="en-US"/>
        </w:rPr>
        <w:t>relate</w:t>
      </w:r>
      <w:r w:rsidRPr="00E174F4">
        <w:rPr>
          <w:color w:val="000000" w:themeColor="text1"/>
          <w:lang w:val="en-US"/>
        </w:rPr>
        <w:t xml:space="preserve"> to the capacity of authorities involved, public participation, scoping and impact prediction, EIA follow-up, monitoring, consideration of alternatives and cumulative impacts (</w:t>
      </w:r>
      <w:r w:rsidR="00EB4F80" w:rsidRPr="00E174F4">
        <w:rPr>
          <w:rStyle w:val="markedcontent"/>
          <w:rFonts w:eastAsiaTheme="majorEastAsia"/>
        </w:rPr>
        <w:t>Mounir, 2015</w:t>
      </w:r>
      <w:r w:rsidR="00EB4F80">
        <w:rPr>
          <w:rStyle w:val="markedcontent"/>
          <w:rFonts w:eastAsiaTheme="majorEastAsia"/>
        </w:rPr>
        <w:t>;</w:t>
      </w:r>
      <w:r w:rsidR="00EB4F80" w:rsidRPr="00E174F4">
        <w:rPr>
          <w:color w:val="000000" w:themeColor="text1"/>
          <w:lang w:val="en-US"/>
        </w:rPr>
        <w:t xml:space="preserve"> Sandham et al., 2013). </w:t>
      </w:r>
      <w:r>
        <w:rPr>
          <w:color w:val="000000" w:themeColor="text1"/>
          <w:lang w:val="en-US"/>
        </w:rPr>
        <w:t xml:space="preserve">While </w:t>
      </w:r>
      <w:r w:rsidRPr="00E174F4">
        <w:t xml:space="preserve">EIA quality studies have shown that the overall quality of EIAs has often improved with time </w:t>
      </w:r>
      <w:r w:rsidR="00EB4F80" w:rsidRPr="00E174F4">
        <w:rPr>
          <w:rStyle w:val="markedcontent"/>
          <w:rFonts w:eastAsiaTheme="majorEastAsia"/>
        </w:rPr>
        <w:t>(Barker &amp; Jones</w:t>
      </w:r>
      <w:r w:rsidR="00EB4F80">
        <w:rPr>
          <w:rStyle w:val="markedcontent"/>
          <w:rFonts w:eastAsiaTheme="majorEastAsia"/>
        </w:rPr>
        <w:t xml:space="preserve">, </w:t>
      </w:r>
      <w:r w:rsidR="00EB4F80" w:rsidRPr="00E174F4">
        <w:rPr>
          <w:rStyle w:val="markedcontent"/>
          <w:rFonts w:eastAsiaTheme="majorEastAsia"/>
        </w:rPr>
        <w:t>2013; Bond et al., 2018; Jalava et al., 201</w:t>
      </w:r>
      <w:r w:rsidR="00EB4F80">
        <w:rPr>
          <w:rStyle w:val="markedcontent"/>
          <w:rFonts w:eastAsiaTheme="majorEastAsia"/>
        </w:rPr>
        <w:t>3</w:t>
      </w:r>
      <w:r w:rsidR="00EB4F80" w:rsidRPr="00E174F4">
        <w:rPr>
          <w:rStyle w:val="markedcontent"/>
          <w:rFonts w:eastAsiaTheme="majorEastAsia"/>
        </w:rPr>
        <w:t>; Sandham et al., 2013</w:t>
      </w:r>
      <w:r w:rsidR="00EB4F80" w:rsidRPr="00E174F4">
        <w:t>)</w:t>
      </w:r>
      <w:r w:rsidR="00EB4F80">
        <w:t xml:space="preserve">, </w:t>
      </w:r>
      <w:r w:rsidRPr="00E174F4">
        <w:lastRenderedPageBreak/>
        <w:t>quality review</w:t>
      </w:r>
      <w:r w:rsidR="00436589">
        <w:t>s</w:t>
      </w:r>
      <w:r w:rsidRPr="00E174F4">
        <w:t xml:space="preserve"> should not </w:t>
      </w:r>
      <w:r w:rsidR="00436589">
        <w:t xml:space="preserve">merely </w:t>
      </w:r>
      <w:r w:rsidRPr="00E174F4">
        <w:t>be a matter of checking that required contents are produced in the report</w:t>
      </w:r>
      <w:r w:rsidR="00436589">
        <w:t>s</w:t>
      </w:r>
      <w:r w:rsidRPr="00E174F4">
        <w:t xml:space="preserve"> and that relevant information is presented. A useful review should consider the quality and success of the whole EIA process </w:t>
      </w:r>
      <w:r w:rsidR="00436589">
        <w:t xml:space="preserve">in </w:t>
      </w:r>
      <w:r w:rsidRPr="00E174F4">
        <w:t xml:space="preserve">its </w:t>
      </w:r>
      <w:r w:rsidR="00436589">
        <w:t xml:space="preserve">specific </w:t>
      </w:r>
      <w:r w:rsidRPr="00E174F4">
        <w:t xml:space="preserve">governance context. </w:t>
      </w:r>
    </w:p>
    <w:p w14:paraId="54F9ADB7" w14:textId="73A188AD" w:rsidR="008656A6" w:rsidRDefault="000C172D" w:rsidP="006C6211">
      <w:pPr>
        <w:spacing w:before="100" w:beforeAutospacing="1" w:after="100" w:afterAutospacing="1" w:line="480" w:lineRule="auto"/>
        <w:jc w:val="both"/>
      </w:pPr>
      <w:r w:rsidRPr="007A6ABE">
        <w:t>The quality of the EIA process in different countries is influenced by the dynamic governance contexts, characterized by varied demographics and urbanization (Retief et al., 2016), intensive project delivery (Bice et al., 2020),</w:t>
      </w:r>
      <w:r w:rsidR="00EB4F80" w:rsidRPr="00EB4F80">
        <w:t xml:space="preserve"> </w:t>
      </w:r>
      <w:r w:rsidR="00EB4F80" w:rsidRPr="007A6ABE">
        <w:t>(</w:t>
      </w:r>
      <w:r w:rsidR="00EB4F80" w:rsidRPr="00717859">
        <w:t xml:space="preserve">Bice &amp; Fischer, </w:t>
      </w:r>
      <w:r w:rsidR="00EB4F80" w:rsidRPr="007A6ABE">
        <w:t>2020),</w:t>
      </w:r>
      <w:r w:rsidRPr="007A6ABE">
        <w:t xml:space="preserve"> developing technologies (Sinclair et al., 2017), increasingly interconnected geographies and political uncertainties (Chi et al., 2016). </w:t>
      </w:r>
      <w:r>
        <w:t xml:space="preserve">This means </w:t>
      </w:r>
      <w:r w:rsidRPr="00E174F4">
        <w:t>EIA operates within incredibly complex contexts, rife with vagueness and uncertainty (Bice &amp; Fischer, 2020)</w:t>
      </w:r>
      <w:r>
        <w:t>, an indication that g</w:t>
      </w:r>
      <w:r w:rsidRPr="00E174F4">
        <w:t>overnance</w:t>
      </w:r>
      <w:r>
        <w:t xml:space="preserve"> context</w:t>
      </w:r>
      <w:r w:rsidRPr="00E174F4">
        <w:t xml:space="preserve"> and EIA instruments cannot be dissociated</w:t>
      </w:r>
      <w:r>
        <w:t>.</w:t>
      </w:r>
      <w:r w:rsidRPr="00E174F4">
        <w:t xml:space="preserve"> </w:t>
      </w:r>
    </w:p>
    <w:p w14:paraId="098A247E" w14:textId="081014F2" w:rsidR="00B24B59" w:rsidRDefault="000C172D" w:rsidP="00B24B59">
      <w:pPr>
        <w:spacing w:before="100" w:beforeAutospacing="1" w:after="100" w:afterAutospacing="1" w:line="480" w:lineRule="auto"/>
        <w:jc w:val="both"/>
      </w:pPr>
      <w:r w:rsidRPr="007A6ABE">
        <w:t>In</w:t>
      </w:r>
      <w:r w:rsidR="00B93353" w:rsidRPr="00E174F4">
        <w:t xml:space="preserve"> a review of the EIA</w:t>
      </w:r>
      <w:r w:rsidR="008656A6">
        <w:t xml:space="preserve"> system</w:t>
      </w:r>
      <w:r w:rsidR="00B93353" w:rsidRPr="00E174F4">
        <w:t xml:space="preserve"> in</w:t>
      </w:r>
      <w:r w:rsidR="00462172" w:rsidRPr="00E174F4">
        <w:t xml:space="preserve"> </w:t>
      </w:r>
      <w:r w:rsidR="00B93353" w:rsidRPr="00E174F4">
        <w:t xml:space="preserve">Australia, </w:t>
      </w:r>
      <w:r w:rsidR="00AB4207" w:rsidRPr="00E174F4">
        <w:t xml:space="preserve">eight governance </w:t>
      </w:r>
      <w:r w:rsidR="00462172" w:rsidRPr="00E174F4">
        <w:t>principles</w:t>
      </w:r>
      <w:r w:rsidR="00AB4207" w:rsidRPr="00E174F4">
        <w:t xml:space="preserve"> were </w:t>
      </w:r>
      <w:r w:rsidR="00B441D5" w:rsidRPr="00E174F4">
        <w:t xml:space="preserve">identified </w:t>
      </w:r>
      <w:r w:rsidR="00462172" w:rsidRPr="00E174F4">
        <w:t>as</w:t>
      </w:r>
      <w:r w:rsidR="00B93353" w:rsidRPr="00E174F4">
        <w:t xml:space="preserve"> appropriate</w:t>
      </w:r>
      <w:r w:rsidR="00AB4207" w:rsidRPr="00E174F4">
        <w:t xml:space="preserve"> to evaluate </w:t>
      </w:r>
      <w:r w:rsidR="00FB1D1C" w:rsidRPr="00E174F4">
        <w:t>the quality and efficiency of the EIA process</w:t>
      </w:r>
      <w:r w:rsidR="00436589">
        <w:t>,</w:t>
      </w:r>
      <w:r>
        <w:t xml:space="preserve"> namely</w:t>
      </w:r>
      <w:r w:rsidR="00B93353" w:rsidRPr="00E174F4">
        <w:t xml:space="preserve"> participation; transparency; certainty; accountability;</w:t>
      </w:r>
      <w:r w:rsidR="00462172" w:rsidRPr="00E174F4">
        <w:t xml:space="preserve"> </w:t>
      </w:r>
      <w:r w:rsidR="00B93353" w:rsidRPr="00E174F4">
        <w:t xml:space="preserve">integrity; cost-effectiveness; flexibility; and practicality </w:t>
      </w:r>
      <w:r w:rsidR="00462172" w:rsidRPr="00E174F4">
        <w:t xml:space="preserve">(Morrison-Saunders </w:t>
      </w:r>
      <w:r w:rsidR="0024018C" w:rsidRPr="00E174F4">
        <w:t xml:space="preserve">&amp; </w:t>
      </w:r>
      <w:r w:rsidR="00462172" w:rsidRPr="00E174F4">
        <w:t>Bailey</w:t>
      </w:r>
      <w:r w:rsidR="00EB4F80">
        <w:t>,</w:t>
      </w:r>
      <w:r w:rsidR="00462172" w:rsidRPr="00E174F4">
        <w:t xml:space="preserve"> 2000).</w:t>
      </w:r>
      <w:r>
        <w:t xml:space="preserve"> In another </w:t>
      </w:r>
      <w:r w:rsidR="00FB53FB">
        <w:t xml:space="preserve">study, </w:t>
      </w:r>
      <w:r w:rsidR="00FB53FB" w:rsidRPr="00E174F4">
        <w:t>Chi</w:t>
      </w:r>
      <w:r w:rsidR="000A11E6" w:rsidRPr="00E174F4">
        <w:t xml:space="preserve"> </w:t>
      </w:r>
      <w:r w:rsidR="00706E1D" w:rsidRPr="00E174F4">
        <w:t>et al. (</w:t>
      </w:r>
      <w:r w:rsidR="000A11E6" w:rsidRPr="00E174F4">
        <w:t>2016</w:t>
      </w:r>
      <w:r w:rsidR="005E008A" w:rsidRPr="00E174F4">
        <w:t>)</w:t>
      </w:r>
      <w:r w:rsidR="000A11E6" w:rsidRPr="00E174F4">
        <w:t xml:space="preserve"> evaluated EIA from a governance perspective using a framework with process integration, professional governance, and public engagement </w:t>
      </w:r>
      <w:r w:rsidR="00B441D5" w:rsidRPr="00E174F4">
        <w:t>as</w:t>
      </w:r>
      <w:r w:rsidR="000A11E6" w:rsidRPr="00E174F4">
        <w:t xml:space="preserve"> </w:t>
      </w:r>
      <w:r>
        <w:t xml:space="preserve">quality </w:t>
      </w:r>
      <w:r w:rsidR="000A11E6" w:rsidRPr="00E174F4">
        <w:t>enabl</w:t>
      </w:r>
      <w:r>
        <w:t>ers</w:t>
      </w:r>
      <w:r w:rsidR="000A11E6" w:rsidRPr="00E174F4">
        <w:t xml:space="preserve"> or inhibit</w:t>
      </w:r>
      <w:r>
        <w:t>ors</w:t>
      </w:r>
      <w:r w:rsidR="000A11E6" w:rsidRPr="00E174F4">
        <w:t xml:space="preserve"> of EIA</w:t>
      </w:r>
      <w:r w:rsidR="005E008A" w:rsidRPr="00E174F4">
        <w:t xml:space="preserve"> </w:t>
      </w:r>
      <w:r w:rsidR="000A11E6" w:rsidRPr="00E174F4">
        <w:t>in China, the United States, and Finland</w:t>
      </w:r>
      <w:r w:rsidR="005E008A" w:rsidRPr="00E174F4">
        <w:t>.</w:t>
      </w:r>
      <w:r w:rsidR="00FB1D1C" w:rsidRPr="00E174F4">
        <w:t xml:space="preserve"> </w:t>
      </w:r>
      <w:r>
        <w:t xml:space="preserve">According to </w:t>
      </w:r>
      <w:r w:rsidR="00433819" w:rsidRPr="00E174F4">
        <w:t>Meuleman (2015)</w:t>
      </w:r>
      <w:r w:rsidR="004004C8">
        <w:t>,</w:t>
      </w:r>
      <w:r w:rsidR="00433819" w:rsidRPr="00E174F4">
        <w:t xml:space="preserve"> governance </w:t>
      </w:r>
      <w:r>
        <w:t>frameworks</w:t>
      </w:r>
      <w:r w:rsidR="004004C8">
        <w:t xml:space="preserve"> have an impact on EIA as they</w:t>
      </w:r>
      <w:r w:rsidR="00433819" w:rsidRPr="00E174F4">
        <w:t xml:space="preserve"> offer both constraints and opportunities </w:t>
      </w:r>
      <w:r w:rsidR="00EC198B">
        <w:t>for</w:t>
      </w:r>
      <w:r w:rsidR="00433819" w:rsidRPr="00E174F4">
        <w:t xml:space="preserve"> </w:t>
      </w:r>
      <w:r w:rsidR="00BA0472" w:rsidRPr="00E174F4">
        <w:t>EIA</w:t>
      </w:r>
      <w:r w:rsidR="00433819" w:rsidRPr="00E174F4">
        <w:t xml:space="preserve"> systems and procedures</w:t>
      </w:r>
      <w:r w:rsidR="00BA0472" w:rsidRPr="00E174F4">
        <w:t>. Monte</w:t>
      </w:r>
      <w:r w:rsidR="00DA6E96" w:rsidRPr="00E174F4">
        <w:t>iro</w:t>
      </w:r>
      <w:r w:rsidR="00BA0472" w:rsidRPr="00E174F4">
        <w:t xml:space="preserve"> </w:t>
      </w:r>
      <w:r w:rsidR="00646CED" w:rsidRPr="00E174F4">
        <w:t xml:space="preserve">and </w:t>
      </w:r>
      <w:proofErr w:type="spellStart"/>
      <w:r w:rsidR="00646CED" w:rsidRPr="00E174F4">
        <w:t>Partidário</w:t>
      </w:r>
      <w:proofErr w:type="spellEnd"/>
      <w:r w:rsidR="00646CED" w:rsidRPr="00E174F4">
        <w:t xml:space="preserve"> (</w:t>
      </w:r>
      <w:r w:rsidR="00BA0472" w:rsidRPr="00E174F4">
        <w:t xml:space="preserve">2017) investigated why governance </w:t>
      </w:r>
      <w:proofErr w:type="gramStart"/>
      <w:r w:rsidR="00BA0472" w:rsidRPr="00E174F4">
        <w:t>is</w:t>
      </w:r>
      <w:proofErr w:type="gramEnd"/>
      <w:r w:rsidR="00BA0472" w:rsidRPr="00E174F4">
        <w:t xml:space="preserve"> important in </w:t>
      </w:r>
      <w:r w:rsidR="004004C8">
        <w:t>EIA</w:t>
      </w:r>
      <w:r w:rsidR="00BA0472" w:rsidRPr="00E174F4">
        <w:t xml:space="preserve"> by reflecting on </w:t>
      </w:r>
      <w:r w:rsidR="00436589">
        <w:t xml:space="preserve">its role </w:t>
      </w:r>
      <w:r w:rsidR="00646CED" w:rsidRPr="00E174F4">
        <w:t>in</w:t>
      </w:r>
      <w:r w:rsidR="00BA0472" w:rsidRPr="00E174F4">
        <w:t xml:space="preserve"> promoting</w:t>
      </w:r>
      <w:r w:rsidR="00646CED" w:rsidRPr="00E174F4">
        <w:t xml:space="preserve"> </w:t>
      </w:r>
      <w:r w:rsidR="00BA0472" w:rsidRPr="00E174F4">
        <w:t xml:space="preserve">engagement, </w:t>
      </w:r>
      <w:r w:rsidR="00646CED" w:rsidRPr="00E174F4">
        <w:t>collaborations</w:t>
      </w:r>
      <w:r w:rsidR="00BA0472" w:rsidRPr="00E174F4">
        <w:t xml:space="preserve">, learning processes, </w:t>
      </w:r>
      <w:r w:rsidR="00646CED" w:rsidRPr="00E174F4">
        <w:t>and sustainability.</w:t>
      </w:r>
      <w:r w:rsidR="007C4473" w:rsidRPr="00BE1401">
        <w:t xml:space="preserve"> </w:t>
      </w:r>
      <w:r w:rsidR="007C4473" w:rsidRPr="00E174F4">
        <w:t xml:space="preserve">Building on this body of work, </w:t>
      </w:r>
      <w:r w:rsidR="004004C8">
        <w:t xml:space="preserve">we argue that, if EIA is known and accepted globally as a governance tool, then the system and the processes should uphold and conform to good governance principles. </w:t>
      </w:r>
      <w:r>
        <w:t xml:space="preserve">In this study, good </w:t>
      </w:r>
      <w:r>
        <w:lastRenderedPageBreak/>
        <w:t xml:space="preserve">governance principles are used as measures to </w:t>
      </w:r>
      <w:r w:rsidR="00E22F4F">
        <w:t>analyse</w:t>
      </w:r>
      <w:r>
        <w:t xml:space="preserve"> the quality</w:t>
      </w:r>
      <w:r w:rsidR="00E22F4F">
        <w:t xml:space="preserve"> </w:t>
      </w:r>
      <w:r w:rsidR="00177CBB">
        <w:t>and governance</w:t>
      </w:r>
      <w:r w:rsidR="00E22F4F">
        <w:t xml:space="preserve"> context in which the EIA system </w:t>
      </w:r>
      <w:r w:rsidR="00177CBB">
        <w:t>is</w:t>
      </w:r>
      <w:r w:rsidR="00E22F4F">
        <w:t xml:space="preserve"> implemented</w:t>
      </w:r>
      <w:r>
        <w:t xml:space="preserve"> in Namibia. </w:t>
      </w:r>
    </w:p>
    <w:p w14:paraId="223458E5" w14:textId="77744829" w:rsidR="00DC3AAE" w:rsidRDefault="000C172D" w:rsidP="006B227C">
      <w:pPr>
        <w:spacing w:line="480" w:lineRule="auto"/>
        <w:jc w:val="both"/>
        <w:rPr>
          <w:color w:val="000000" w:themeColor="text1"/>
        </w:rPr>
      </w:pPr>
      <w:r w:rsidRPr="006B227C">
        <w:t>Q</w:t>
      </w:r>
      <w:r w:rsidR="004004C8" w:rsidRPr="006B227C">
        <w:t xml:space="preserve">uality </w:t>
      </w:r>
      <w:r w:rsidR="00063C2E" w:rsidRPr="006B227C">
        <w:t xml:space="preserve">is defined according to project management </w:t>
      </w:r>
      <w:r w:rsidR="004004C8" w:rsidRPr="006B227C">
        <w:t>to mean the degree to which all project elements put together</w:t>
      </w:r>
      <w:r w:rsidR="00DC3AAE">
        <w:t>,</w:t>
      </w:r>
      <w:r w:rsidR="004004C8" w:rsidRPr="006B227C">
        <w:t xml:space="preserve"> including processes and end products</w:t>
      </w:r>
      <w:r w:rsidR="00DC3AAE">
        <w:t>,</w:t>
      </w:r>
      <w:r w:rsidR="004004C8" w:rsidRPr="006B227C">
        <w:t xml:space="preserve"> fulfil requirements and standards and satisfy stakeholder needs </w:t>
      </w:r>
      <w:bookmarkStart w:id="8" w:name="_Hlk149224560"/>
      <w:r w:rsidR="00EB4F80" w:rsidRPr="006B227C">
        <w:t>(</w:t>
      </w:r>
      <w:r w:rsidR="00EB4F80" w:rsidRPr="00FA059D">
        <w:t>Project Management Institute</w:t>
      </w:r>
      <w:r w:rsidR="00EB4F80">
        <w:t xml:space="preserve"> [</w:t>
      </w:r>
      <w:r w:rsidR="00EB4F80" w:rsidRPr="006B227C">
        <w:t>PMI</w:t>
      </w:r>
      <w:r w:rsidR="00EB4F80">
        <w:t>]</w:t>
      </w:r>
      <w:r w:rsidR="00EB4F80" w:rsidRPr="006B227C">
        <w:t xml:space="preserve">, 2017). </w:t>
      </w:r>
      <w:r w:rsidR="004004C8" w:rsidRPr="006B227C">
        <w:t>The elements and processes in this study refer</w:t>
      </w:r>
      <w:r w:rsidR="00063C2E" w:rsidRPr="006B227C">
        <w:t xml:space="preserve"> therefore </w:t>
      </w:r>
      <w:r w:rsidR="004004C8" w:rsidRPr="006B227C">
        <w:t>to the process and the different stages of Namibia's EIA system</w:t>
      </w:r>
      <w:r w:rsidR="00DC3AAE">
        <w:t>;</w:t>
      </w:r>
      <w:r w:rsidR="004004C8" w:rsidRPr="006B227C">
        <w:t xml:space="preserve"> the standards are the United Nations good governance </w:t>
      </w:r>
      <w:r w:rsidR="00EB4F80" w:rsidRPr="006B227C">
        <w:t>principles</w:t>
      </w:r>
      <w:r w:rsidR="00EB4F80">
        <w:t>,</w:t>
      </w:r>
      <w:r w:rsidR="004004C8" w:rsidRPr="006B227C">
        <w:t xml:space="preserve"> while stakeholder needs are </w:t>
      </w:r>
      <w:r w:rsidR="00063C2E" w:rsidRPr="006B227C">
        <w:t xml:space="preserve">the views of </w:t>
      </w:r>
      <w:r w:rsidR="004004C8" w:rsidRPr="006B227C">
        <w:t>interviewed experts</w:t>
      </w:r>
      <w:bookmarkEnd w:id="8"/>
      <w:r w:rsidR="004004C8" w:rsidRPr="006B227C">
        <w:t xml:space="preserve">. </w:t>
      </w:r>
      <w:r w:rsidR="007C4473" w:rsidRPr="006B227C">
        <w:t xml:space="preserve">For Namibia, analysis of </w:t>
      </w:r>
      <w:r w:rsidR="00063C2E" w:rsidRPr="006B227C">
        <w:t xml:space="preserve">the quality of EIA </w:t>
      </w:r>
      <w:r w:rsidR="00E22F4F" w:rsidRPr="006B227C">
        <w:t>and the</w:t>
      </w:r>
      <w:r w:rsidR="00063C2E" w:rsidRPr="006B227C">
        <w:t xml:space="preserve"> </w:t>
      </w:r>
      <w:r w:rsidR="007C4473" w:rsidRPr="006B227C">
        <w:t>governance</w:t>
      </w:r>
      <w:r w:rsidR="00EC796B" w:rsidRPr="006B227C">
        <w:t xml:space="preserve"> context</w:t>
      </w:r>
      <w:r w:rsidR="007C4473" w:rsidRPr="006B227C">
        <w:t xml:space="preserve"> is an important </w:t>
      </w:r>
      <w:r w:rsidR="00AD1021" w:rsidRPr="006B227C">
        <w:t>endeavour</w:t>
      </w:r>
      <w:r w:rsidR="007C4473" w:rsidRPr="006B227C">
        <w:t xml:space="preserve"> because </w:t>
      </w:r>
      <w:r w:rsidR="007C4473" w:rsidRPr="006B227C">
        <w:rPr>
          <w:color w:val="000000" w:themeColor="text1"/>
        </w:rPr>
        <w:t xml:space="preserve">environmental </w:t>
      </w:r>
      <w:r w:rsidR="000A648C" w:rsidRPr="006B227C">
        <w:rPr>
          <w:color w:val="000000" w:themeColor="text1"/>
        </w:rPr>
        <w:t xml:space="preserve">assessment </w:t>
      </w:r>
      <w:r w:rsidR="008F18A9" w:rsidRPr="006B227C">
        <w:rPr>
          <w:color w:val="000000" w:themeColor="text1"/>
        </w:rPr>
        <w:t xml:space="preserve">is still </w:t>
      </w:r>
      <w:r w:rsidR="00DC3AAE">
        <w:rPr>
          <w:color w:val="000000" w:themeColor="text1"/>
        </w:rPr>
        <w:t xml:space="preserve">relatively </w:t>
      </w:r>
      <w:r w:rsidR="008F18A9" w:rsidRPr="006B227C">
        <w:rPr>
          <w:color w:val="000000" w:themeColor="text1"/>
        </w:rPr>
        <w:t>new in Namibia</w:t>
      </w:r>
      <w:r w:rsidR="00063C2E" w:rsidRPr="006B227C">
        <w:rPr>
          <w:color w:val="000000" w:themeColor="text1"/>
        </w:rPr>
        <w:t>,</w:t>
      </w:r>
      <w:r w:rsidR="008F18A9" w:rsidRPr="006B227C">
        <w:rPr>
          <w:color w:val="000000" w:themeColor="text1"/>
        </w:rPr>
        <w:t xml:space="preserve"> with</w:t>
      </w:r>
      <w:r w:rsidR="004004C8" w:rsidRPr="006B227C">
        <w:rPr>
          <w:color w:val="000000" w:themeColor="text1"/>
        </w:rPr>
        <w:t xml:space="preserve"> </w:t>
      </w:r>
      <w:r w:rsidR="00EC16C2" w:rsidRPr="006B227C">
        <w:rPr>
          <w:color w:val="000000"/>
        </w:rPr>
        <w:t xml:space="preserve">the Environmental </w:t>
      </w:r>
      <w:r w:rsidR="00186900">
        <w:rPr>
          <w:color w:val="000000"/>
        </w:rPr>
        <w:t>A</w:t>
      </w:r>
      <w:r w:rsidR="00EC16C2" w:rsidRPr="006B227C">
        <w:rPr>
          <w:color w:val="000000"/>
        </w:rPr>
        <w:t xml:space="preserve">ssessment </w:t>
      </w:r>
      <w:r w:rsidR="00186900">
        <w:rPr>
          <w:color w:val="000000"/>
        </w:rPr>
        <w:t>P</w:t>
      </w:r>
      <w:r w:rsidR="00EC16C2" w:rsidRPr="006B227C">
        <w:rPr>
          <w:color w:val="000000"/>
        </w:rPr>
        <w:t xml:space="preserve">olicy (1995), followed by the </w:t>
      </w:r>
      <w:r w:rsidR="00EC16C2" w:rsidRPr="006B227C">
        <w:rPr>
          <w:color w:val="000000" w:themeColor="text1"/>
        </w:rPr>
        <w:t xml:space="preserve">Environmental Management Act </w:t>
      </w:r>
      <w:r w:rsidR="00DC3AAE">
        <w:rPr>
          <w:color w:val="000000" w:themeColor="text1"/>
        </w:rPr>
        <w:t xml:space="preserve">(EMA) </w:t>
      </w:r>
      <w:r w:rsidR="00EC16C2" w:rsidRPr="006B227C">
        <w:rPr>
          <w:color w:val="000000" w:themeColor="text1"/>
        </w:rPr>
        <w:t>promulgated in 2007 and subsequently the EIA regulations in 2012.</w:t>
      </w:r>
      <w:r w:rsidR="008F18A9" w:rsidRPr="006B227C">
        <w:rPr>
          <w:color w:val="000000" w:themeColor="text1"/>
        </w:rPr>
        <w:t xml:space="preserve"> </w:t>
      </w:r>
    </w:p>
    <w:p w14:paraId="7C2DB971" w14:textId="77777777" w:rsidR="00DC3AAE" w:rsidRDefault="00DC3AAE" w:rsidP="006B227C">
      <w:pPr>
        <w:spacing w:line="480" w:lineRule="auto"/>
        <w:jc w:val="both"/>
        <w:rPr>
          <w:color w:val="000000" w:themeColor="text1"/>
        </w:rPr>
      </w:pPr>
    </w:p>
    <w:p w14:paraId="7D8F38B5" w14:textId="3E00DC06" w:rsidR="0054688B" w:rsidRPr="006B227C" w:rsidRDefault="000C172D" w:rsidP="006B227C">
      <w:pPr>
        <w:spacing w:line="480" w:lineRule="auto"/>
        <w:jc w:val="both"/>
        <w:rPr>
          <w:rFonts w:eastAsiaTheme="minorHAnsi"/>
          <w:color w:val="000000"/>
          <w:lang w:val="en-US"/>
        </w:rPr>
      </w:pPr>
      <w:r w:rsidRPr="006B227C">
        <w:rPr>
          <w:rFonts w:eastAsiaTheme="minorHAnsi"/>
          <w:color w:val="000000"/>
          <w:lang w:val="en-US"/>
        </w:rPr>
        <w:t xml:space="preserve">Namibia inherited a colonial legacy of institutional segregation </w:t>
      </w:r>
      <w:r w:rsidR="002B7C85" w:rsidRPr="006B227C">
        <w:rPr>
          <w:rFonts w:eastAsiaTheme="minorHAnsi"/>
          <w:color w:val="000000"/>
          <w:lang w:val="en-US"/>
        </w:rPr>
        <w:t xml:space="preserve">and </w:t>
      </w:r>
      <w:r w:rsidRPr="006B227C">
        <w:rPr>
          <w:rFonts w:eastAsiaTheme="minorHAnsi"/>
          <w:color w:val="000000"/>
          <w:lang w:val="en-US"/>
        </w:rPr>
        <w:t xml:space="preserve">economic </w:t>
      </w:r>
      <w:r w:rsidR="002B7C85" w:rsidRPr="006B227C">
        <w:rPr>
          <w:rFonts w:eastAsiaTheme="minorHAnsi"/>
          <w:color w:val="000000"/>
          <w:lang w:val="en-US"/>
        </w:rPr>
        <w:t xml:space="preserve">inequality which generally </w:t>
      </w:r>
      <w:r w:rsidRPr="006B227C">
        <w:rPr>
          <w:rFonts w:eastAsiaTheme="minorHAnsi"/>
          <w:color w:val="000000"/>
          <w:lang w:val="en-US"/>
        </w:rPr>
        <w:t xml:space="preserve">contributed </w:t>
      </w:r>
      <w:r w:rsidR="00EC16C2" w:rsidRPr="006B227C">
        <w:rPr>
          <w:rFonts w:eastAsiaTheme="minorHAnsi"/>
          <w:color w:val="000000"/>
          <w:lang w:val="en-US"/>
        </w:rPr>
        <w:t xml:space="preserve">to </w:t>
      </w:r>
      <w:r w:rsidRPr="006B227C">
        <w:rPr>
          <w:rFonts w:eastAsiaTheme="minorHAnsi"/>
          <w:color w:val="000000"/>
          <w:lang w:val="en-US"/>
        </w:rPr>
        <w:t xml:space="preserve">environmental degradation and habitat destruction in certain areas </w:t>
      </w:r>
      <w:r w:rsidR="00EB4F80" w:rsidRPr="006B227C">
        <w:rPr>
          <w:rFonts w:eastAsiaTheme="minorHAnsi"/>
          <w:color w:val="000000"/>
          <w:lang w:val="en-US"/>
        </w:rPr>
        <w:t>(</w:t>
      </w:r>
      <w:r w:rsidR="00EB4F80" w:rsidRPr="005C20B9">
        <w:rPr>
          <w:rFonts w:eastAsiaTheme="minorHAnsi"/>
          <w:color w:val="000000"/>
          <w:lang w:val="en-US"/>
        </w:rPr>
        <w:t>Ministry of Environment and Tourism [MET]</w:t>
      </w:r>
      <w:r w:rsidR="00EB4F80">
        <w:rPr>
          <w:rFonts w:eastAsiaTheme="minorHAnsi"/>
          <w:color w:val="000000"/>
          <w:lang w:val="en-US"/>
        </w:rPr>
        <w:t>, 1995</w:t>
      </w:r>
      <w:r w:rsidR="00EB4F80" w:rsidRPr="006B227C">
        <w:rPr>
          <w:rFonts w:eastAsiaTheme="minorHAnsi"/>
          <w:color w:val="000000"/>
          <w:lang w:val="en-US"/>
        </w:rPr>
        <w:t>).</w:t>
      </w:r>
      <w:r w:rsidR="00EB4F80">
        <w:rPr>
          <w:rFonts w:eastAsiaTheme="minorHAnsi"/>
          <w:color w:val="000000"/>
          <w:lang w:val="en-US"/>
        </w:rPr>
        <w:t xml:space="preserve"> </w:t>
      </w:r>
      <w:r w:rsidRPr="006B227C">
        <w:rPr>
          <w:rFonts w:eastAsiaTheme="minorHAnsi"/>
          <w:color w:val="000000"/>
          <w:lang w:val="en-US"/>
        </w:rPr>
        <w:t xml:space="preserve">The economy of </w:t>
      </w:r>
      <w:r w:rsidRPr="0054688B">
        <w:rPr>
          <w:rFonts w:eastAsiaTheme="minorHAnsi"/>
          <w:color w:val="000000"/>
          <w:lang w:val="en-US"/>
        </w:rPr>
        <w:t>Namibia is dependent on natural resources</w:t>
      </w:r>
      <w:r w:rsidR="00DC3AAE">
        <w:rPr>
          <w:rFonts w:eastAsiaTheme="minorHAnsi"/>
          <w:color w:val="000000"/>
          <w:lang w:val="en-US"/>
        </w:rPr>
        <w:t>,</w:t>
      </w:r>
      <w:r w:rsidRPr="006B227C">
        <w:rPr>
          <w:rFonts w:eastAsiaTheme="minorHAnsi"/>
          <w:color w:val="000000"/>
          <w:lang w:val="en-US"/>
        </w:rPr>
        <w:t xml:space="preserve"> mainly based on mining, fishing, tourism, and agriculture</w:t>
      </w:r>
      <w:r w:rsidR="00DC3AAE">
        <w:rPr>
          <w:rFonts w:eastAsiaTheme="minorHAnsi"/>
          <w:color w:val="000000"/>
          <w:lang w:val="en-US"/>
        </w:rPr>
        <w:t>,</w:t>
      </w:r>
      <w:r w:rsidRPr="0054688B">
        <w:rPr>
          <w:rFonts w:eastAsiaTheme="minorHAnsi"/>
          <w:color w:val="000000"/>
          <w:lang w:val="en-US"/>
        </w:rPr>
        <w:t xml:space="preserve"> </w:t>
      </w:r>
      <w:r w:rsidRPr="006B227C">
        <w:rPr>
          <w:rFonts w:eastAsiaTheme="minorHAnsi"/>
          <w:color w:val="000000"/>
          <w:lang w:val="en-US"/>
        </w:rPr>
        <w:t xml:space="preserve">which </w:t>
      </w:r>
      <w:r w:rsidRPr="0054688B">
        <w:rPr>
          <w:rFonts w:eastAsiaTheme="minorHAnsi"/>
          <w:color w:val="000000"/>
          <w:lang w:val="en-US"/>
        </w:rPr>
        <w:t>are vulnerable to environmental degradation</w:t>
      </w:r>
      <w:r w:rsidRPr="006B227C">
        <w:rPr>
          <w:rFonts w:eastAsiaTheme="minorHAnsi"/>
          <w:color w:val="000000"/>
          <w:lang w:val="en-US"/>
        </w:rPr>
        <w:t xml:space="preserve"> and depletion</w:t>
      </w:r>
      <w:r w:rsidRPr="0054688B">
        <w:rPr>
          <w:rFonts w:eastAsiaTheme="minorHAnsi"/>
          <w:color w:val="000000"/>
          <w:lang w:val="en-US"/>
        </w:rPr>
        <w:t xml:space="preserve">. </w:t>
      </w:r>
      <w:r w:rsidRPr="006B227C">
        <w:rPr>
          <w:color w:val="000000"/>
        </w:rPr>
        <w:t xml:space="preserve">The Environmental Assessment Policy </w:t>
      </w:r>
      <w:r w:rsidR="00EB4F80">
        <w:rPr>
          <w:color w:val="000000"/>
        </w:rPr>
        <w:t xml:space="preserve">of </w:t>
      </w:r>
      <w:r w:rsidRPr="006B227C">
        <w:rPr>
          <w:color w:val="000000"/>
        </w:rPr>
        <w:t>1995 emphasized an urgent and fundamental need for an instrument to facilitate economic development, foreign investment, and the alleviation of poverty in a newly independent Namibia</w:t>
      </w:r>
      <w:r w:rsidR="00EB4F80">
        <w:rPr>
          <w:color w:val="000000"/>
        </w:rPr>
        <w:t xml:space="preserve"> (MET, 1995)</w:t>
      </w:r>
      <w:r w:rsidRPr="006B227C">
        <w:rPr>
          <w:color w:val="000000"/>
        </w:rPr>
        <w:t>.</w:t>
      </w:r>
      <w:r w:rsidRPr="006B227C">
        <w:rPr>
          <w:rFonts w:eastAsiaTheme="minorHAnsi"/>
          <w:color w:val="000000"/>
          <w:lang w:val="en-US"/>
        </w:rPr>
        <w:t xml:space="preserve"> The policy </w:t>
      </w:r>
      <w:r w:rsidRPr="0054688B">
        <w:rPr>
          <w:rFonts w:eastAsiaTheme="minorHAnsi"/>
          <w:color w:val="000000"/>
          <w:lang w:val="en-US"/>
        </w:rPr>
        <w:t xml:space="preserve">specifically acknowledged that Namibia is an arid country and that </w:t>
      </w:r>
      <w:r w:rsidRPr="006B227C">
        <w:rPr>
          <w:rFonts w:eastAsiaTheme="minorHAnsi"/>
          <w:color w:val="000000"/>
          <w:lang w:val="en-US"/>
        </w:rPr>
        <w:t>water</w:t>
      </w:r>
      <w:r w:rsidRPr="0054688B">
        <w:rPr>
          <w:rFonts w:eastAsiaTheme="minorHAnsi"/>
          <w:color w:val="000000"/>
          <w:lang w:val="en-US"/>
        </w:rPr>
        <w:t xml:space="preserve"> scarcity and </w:t>
      </w:r>
      <w:r w:rsidR="00DC3AAE">
        <w:rPr>
          <w:rFonts w:eastAsiaTheme="minorHAnsi"/>
          <w:color w:val="000000"/>
          <w:lang w:val="en-US"/>
        </w:rPr>
        <w:t xml:space="preserve">the </w:t>
      </w:r>
      <w:r w:rsidRPr="006B227C">
        <w:rPr>
          <w:rFonts w:eastAsiaTheme="minorHAnsi"/>
          <w:color w:val="000000"/>
          <w:lang w:val="en-US"/>
        </w:rPr>
        <w:t>land</w:t>
      </w:r>
      <w:r w:rsidR="00DC3AAE">
        <w:rPr>
          <w:rFonts w:eastAsiaTheme="minorHAnsi"/>
          <w:color w:val="000000"/>
          <w:lang w:val="en-US"/>
        </w:rPr>
        <w:t xml:space="preserve">’s </w:t>
      </w:r>
      <w:r w:rsidRPr="0054688B">
        <w:rPr>
          <w:rFonts w:eastAsiaTheme="minorHAnsi"/>
          <w:color w:val="000000"/>
          <w:lang w:val="en-US"/>
        </w:rPr>
        <w:t xml:space="preserve">carrying capacity need to be </w:t>
      </w:r>
      <w:r w:rsidR="006B227C" w:rsidRPr="006B227C">
        <w:rPr>
          <w:rFonts w:eastAsiaTheme="minorHAnsi"/>
          <w:color w:val="000000"/>
          <w:lang w:val="en-US"/>
        </w:rPr>
        <w:t>considered</w:t>
      </w:r>
      <w:r w:rsidRPr="0054688B">
        <w:rPr>
          <w:rFonts w:eastAsiaTheme="minorHAnsi"/>
          <w:color w:val="000000"/>
          <w:lang w:val="en-US"/>
        </w:rPr>
        <w:t xml:space="preserve"> before policy formulation and during all stages of planning.</w:t>
      </w:r>
      <w:r w:rsidRPr="006B227C">
        <w:rPr>
          <w:rFonts w:eastAsiaTheme="minorHAnsi"/>
          <w:color w:val="000000"/>
          <w:lang w:val="en-US"/>
        </w:rPr>
        <w:t xml:space="preserve"> The EMA </w:t>
      </w:r>
      <w:r w:rsidR="006B227C" w:rsidRPr="006B227C">
        <w:rPr>
          <w:rFonts w:eastAsiaTheme="minorHAnsi"/>
          <w:color w:val="000000"/>
          <w:lang w:val="en-US"/>
        </w:rPr>
        <w:t xml:space="preserve">emphasized EIA as </w:t>
      </w:r>
      <w:r w:rsidRPr="006B227C">
        <w:rPr>
          <w:rFonts w:eastAsiaTheme="minorHAnsi"/>
          <w:color w:val="000000"/>
          <w:lang w:val="en-US"/>
        </w:rPr>
        <w:t xml:space="preserve">a key tool, amongst others, to further the </w:t>
      </w:r>
      <w:r w:rsidRPr="006B227C">
        <w:rPr>
          <w:rFonts w:eastAsiaTheme="minorHAnsi"/>
          <w:color w:val="000000"/>
          <w:lang w:val="en-US"/>
        </w:rPr>
        <w:lastRenderedPageBreak/>
        <w:t xml:space="preserve">implementation of a sound environmental policy which strives to achieve </w:t>
      </w:r>
      <w:r w:rsidR="00DC3AAE">
        <w:rPr>
          <w:rFonts w:eastAsiaTheme="minorHAnsi"/>
          <w:color w:val="000000"/>
          <w:lang w:val="en-US"/>
        </w:rPr>
        <w:t>i</w:t>
      </w:r>
      <w:r w:rsidRPr="006B227C">
        <w:rPr>
          <w:rFonts w:eastAsiaTheme="minorHAnsi"/>
          <w:color w:val="000000"/>
          <w:lang w:val="en-US"/>
        </w:rPr>
        <w:t xml:space="preserve">ntegrated </w:t>
      </w:r>
      <w:r w:rsidR="00DC3AAE">
        <w:rPr>
          <w:rFonts w:eastAsiaTheme="minorHAnsi"/>
          <w:color w:val="000000"/>
          <w:lang w:val="en-US"/>
        </w:rPr>
        <w:t>e</w:t>
      </w:r>
      <w:r w:rsidRPr="006B227C">
        <w:rPr>
          <w:rFonts w:eastAsiaTheme="minorHAnsi"/>
          <w:color w:val="000000"/>
          <w:lang w:val="en-US"/>
        </w:rPr>
        <w:t xml:space="preserve">nvironmental </w:t>
      </w:r>
      <w:r w:rsidR="00DC3AAE">
        <w:rPr>
          <w:rFonts w:eastAsiaTheme="minorHAnsi"/>
          <w:color w:val="000000"/>
          <w:lang w:val="en-US"/>
        </w:rPr>
        <w:t>m</w:t>
      </w:r>
      <w:r w:rsidRPr="006B227C">
        <w:rPr>
          <w:rFonts w:eastAsiaTheme="minorHAnsi"/>
          <w:color w:val="000000"/>
          <w:lang w:val="en-US"/>
        </w:rPr>
        <w:t>anagement</w:t>
      </w:r>
      <w:r w:rsidR="006B227C">
        <w:rPr>
          <w:rFonts w:eastAsiaTheme="minorHAnsi"/>
          <w:color w:val="000000"/>
          <w:lang w:val="en-US"/>
        </w:rPr>
        <w:t xml:space="preserve"> and sustainable development</w:t>
      </w:r>
      <w:r w:rsidR="006B227C" w:rsidRPr="006B227C">
        <w:rPr>
          <w:rFonts w:eastAsiaTheme="minorHAnsi"/>
          <w:color w:val="000000"/>
          <w:lang w:val="en-US"/>
        </w:rPr>
        <w:t>.</w:t>
      </w:r>
    </w:p>
    <w:p w14:paraId="094BEB2F" w14:textId="3D353874" w:rsidR="00627956" w:rsidRPr="00042E1B" w:rsidRDefault="000C172D" w:rsidP="00042E1B">
      <w:pPr>
        <w:spacing w:before="100" w:beforeAutospacing="1" w:after="100" w:afterAutospacing="1" w:line="480" w:lineRule="auto"/>
        <w:jc w:val="both"/>
      </w:pPr>
      <w:r w:rsidRPr="00AC2DD3">
        <w:t>Thus</w:t>
      </w:r>
      <w:r w:rsidR="00EC796B" w:rsidRPr="00AC2DD3">
        <w:t xml:space="preserve"> far, only a f</w:t>
      </w:r>
      <w:r w:rsidR="007C4473" w:rsidRPr="00AC2DD3">
        <w:t xml:space="preserve">ew studies </w:t>
      </w:r>
      <w:r w:rsidR="002341A8" w:rsidRPr="00AC2DD3">
        <w:t xml:space="preserve">have </w:t>
      </w:r>
      <w:r w:rsidR="00EC796B" w:rsidRPr="00AC2DD3">
        <w:t>assessed</w:t>
      </w:r>
      <w:r w:rsidR="008F18A9" w:rsidRPr="00AC2DD3">
        <w:t xml:space="preserve"> the Namibia</w:t>
      </w:r>
      <w:r w:rsidR="007C4473" w:rsidRPr="00AC2DD3">
        <w:t xml:space="preserve"> EIA </w:t>
      </w:r>
      <w:r w:rsidR="008F18A9" w:rsidRPr="00AC2DD3">
        <w:t>system</w:t>
      </w:r>
      <w:r w:rsidR="007C4473" w:rsidRPr="00AC2DD3">
        <w:t xml:space="preserve"> and no research </w:t>
      </w:r>
      <w:r w:rsidR="002341A8" w:rsidRPr="00AC2DD3">
        <w:t xml:space="preserve">to date </w:t>
      </w:r>
      <w:r w:rsidR="00DC3AAE">
        <w:t xml:space="preserve">has </w:t>
      </w:r>
      <w:r w:rsidR="008F18A9" w:rsidRPr="00AC2DD3">
        <w:t>examined</w:t>
      </w:r>
      <w:r w:rsidR="007C4473" w:rsidRPr="00AC2DD3">
        <w:t xml:space="preserve"> the</w:t>
      </w:r>
      <w:r w:rsidR="007C4473" w:rsidRPr="00E174F4">
        <w:t xml:space="preserve"> </w:t>
      </w:r>
      <w:r w:rsidR="00063C2E">
        <w:t xml:space="preserve">quality and </w:t>
      </w:r>
      <w:r w:rsidR="000A648C">
        <w:t xml:space="preserve">governance </w:t>
      </w:r>
      <w:r w:rsidR="006B227C">
        <w:t>context</w:t>
      </w:r>
      <w:r w:rsidR="008F18A9">
        <w:t xml:space="preserve"> </w:t>
      </w:r>
      <w:r w:rsidR="00EC796B">
        <w:t xml:space="preserve">of EIA </w:t>
      </w:r>
      <w:r w:rsidR="006818C4">
        <w:t xml:space="preserve">in </w:t>
      </w:r>
      <w:r w:rsidR="008F18A9">
        <w:t>Namibia</w:t>
      </w:r>
      <w:r w:rsidR="00EC796B">
        <w:t xml:space="preserve">. The </w:t>
      </w:r>
      <w:r>
        <w:t>objective</w:t>
      </w:r>
      <w:r w:rsidR="00EC796B">
        <w:t xml:space="preserve"> of this research is therefore to </w:t>
      </w:r>
      <w:r w:rsidR="008A3233">
        <w:t>analyse</w:t>
      </w:r>
      <w:r w:rsidR="00EC796B">
        <w:t xml:space="preserve"> the </w:t>
      </w:r>
      <w:r w:rsidR="008A3233">
        <w:t>quality of</w:t>
      </w:r>
      <w:r w:rsidR="00EC796B">
        <w:t xml:space="preserve"> the Namibia EIA system </w:t>
      </w:r>
      <w:r w:rsidR="008A3233">
        <w:t xml:space="preserve">by examining the governance mechanism </w:t>
      </w:r>
      <w:r w:rsidR="00EC796B">
        <w:t>in place</w:t>
      </w:r>
      <w:r w:rsidR="008A3233">
        <w:t xml:space="preserve"> for the conduct of EIA and the </w:t>
      </w:r>
      <w:r w:rsidR="00EC796B">
        <w:t xml:space="preserve">extent to which </w:t>
      </w:r>
      <w:r w:rsidR="004E5AD0">
        <w:t>the process</w:t>
      </w:r>
      <w:r w:rsidR="008A3233">
        <w:t xml:space="preserve"> </w:t>
      </w:r>
      <w:r w:rsidR="00EC796B">
        <w:t>satisfies good governance principles.</w:t>
      </w:r>
      <w:r w:rsidRPr="00FF1026">
        <w:t xml:space="preserve"> </w:t>
      </w:r>
    </w:p>
    <w:p w14:paraId="408A1469" w14:textId="77777777" w:rsidR="00A432A2" w:rsidRPr="00E174F4" w:rsidRDefault="000C172D" w:rsidP="0059185E">
      <w:pPr>
        <w:pStyle w:val="Heading2"/>
        <w:numPr>
          <w:ilvl w:val="0"/>
          <w:numId w:val="0"/>
        </w:numPr>
        <w:spacing w:line="480" w:lineRule="auto"/>
        <w:jc w:val="both"/>
        <w:rPr>
          <w:rFonts w:cs="Times New Roman"/>
          <w:szCs w:val="24"/>
        </w:rPr>
      </w:pPr>
      <w:r w:rsidRPr="00E174F4">
        <w:rPr>
          <w:rFonts w:cs="Times New Roman"/>
          <w:szCs w:val="24"/>
        </w:rPr>
        <w:t xml:space="preserve">4.2 </w:t>
      </w:r>
      <w:r w:rsidR="00903D87" w:rsidRPr="00E174F4">
        <w:rPr>
          <w:rFonts w:cs="Times New Roman"/>
          <w:szCs w:val="24"/>
        </w:rPr>
        <w:t>Methodology</w:t>
      </w:r>
    </w:p>
    <w:p w14:paraId="39BB62EC" w14:textId="4D41B8DE" w:rsidR="00504608" w:rsidRDefault="000C172D" w:rsidP="00B1312F">
      <w:pPr>
        <w:spacing w:line="480" w:lineRule="auto"/>
        <w:jc w:val="both"/>
        <w:rPr>
          <w:rFonts w:eastAsia="Calibri"/>
          <w:color w:val="000000" w:themeColor="text1"/>
        </w:rPr>
      </w:pPr>
      <w:r w:rsidRPr="00E174F4">
        <w:rPr>
          <w:color w:val="000000" w:themeColor="text1"/>
        </w:rPr>
        <w:t xml:space="preserve">Our </w:t>
      </w:r>
      <w:r w:rsidR="00B97588" w:rsidRPr="00E174F4">
        <w:rPr>
          <w:color w:val="000000" w:themeColor="text1"/>
        </w:rPr>
        <w:t xml:space="preserve">approach to evaluating the </w:t>
      </w:r>
      <w:r w:rsidR="008F18A9">
        <w:rPr>
          <w:color w:val="000000" w:themeColor="text1"/>
        </w:rPr>
        <w:t xml:space="preserve">adequacy and </w:t>
      </w:r>
      <w:r w:rsidR="00B97588" w:rsidRPr="00E174F4">
        <w:rPr>
          <w:color w:val="000000" w:themeColor="text1"/>
        </w:rPr>
        <w:t xml:space="preserve">quality of the EIA </w:t>
      </w:r>
      <w:r w:rsidR="008F18A9">
        <w:rPr>
          <w:color w:val="000000" w:themeColor="text1"/>
        </w:rPr>
        <w:t>system</w:t>
      </w:r>
      <w:r w:rsidR="00B97588" w:rsidRPr="00E174F4">
        <w:rPr>
          <w:color w:val="000000" w:themeColor="text1"/>
        </w:rPr>
        <w:t xml:space="preserve"> in Namibia is based on evaluative and quality</w:t>
      </w:r>
      <w:r w:rsidR="008930D2" w:rsidRPr="00E174F4">
        <w:rPr>
          <w:color w:val="000000" w:themeColor="text1"/>
        </w:rPr>
        <w:t xml:space="preserve"> control criteria derived from the </w:t>
      </w:r>
      <w:r w:rsidR="00481199" w:rsidRPr="00E174F4">
        <w:rPr>
          <w:color w:val="000000" w:themeColor="text1"/>
        </w:rPr>
        <w:t>literature</w:t>
      </w:r>
      <w:r w:rsidR="00481199">
        <w:rPr>
          <w:color w:val="000000" w:themeColor="text1"/>
        </w:rPr>
        <w:t xml:space="preserve"> and supported by the perception</w:t>
      </w:r>
      <w:r w:rsidR="00DC3AAE">
        <w:rPr>
          <w:color w:val="000000" w:themeColor="text1"/>
        </w:rPr>
        <w:t>s</w:t>
      </w:r>
      <w:r w:rsidR="00481199">
        <w:rPr>
          <w:color w:val="000000" w:themeColor="text1"/>
        </w:rPr>
        <w:t xml:space="preserve"> of EIA actors</w:t>
      </w:r>
      <w:r w:rsidR="008930D2" w:rsidRPr="00E174F4">
        <w:rPr>
          <w:color w:val="000000" w:themeColor="text1"/>
        </w:rPr>
        <w:t xml:space="preserve">. The </w:t>
      </w:r>
      <w:r w:rsidR="006818C4">
        <w:rPr>
          <w:color w:val="000000" w:themeColor="text1"/>
        </w:rPr>
        <w:t xml:space="preserve">ten </w:t>
      </w:r>
      <w:r w:rsidR="008930D2" w:rsidRPr="00E174F4">
        <w:rPr>
          <w:color w:val="000000" w:themeColor="text1"/>
        </w:rPr>
        <w:t xml:space="preserve">criteria </w:t>
      </w:r>
      <w:r w:rsidR="006818C4">
        <w:rPr>
          <w:color w:val="000000" w:themeColor="text1"/>
        </w:rPr>
        <w:t xml:space="preserve">used </w:t>
      </w:r>
      <w:r w:rsidR="008930D2" w:rsidRPr="00E174F4">
        <w:rPr>
          <w:color w:val="000000" w:themeColor="text1"/>
        </w:rPr>
        <w:t xml:space="preserve">are based on the good governance qualities as agreed international standards used by </w:t>
      </w:r>
      <w:r w:rsidR="00E606B4" w:rsidRPr="00E174F4">
        <w:rPr>
          <w:color w:val="000000" w:themeColor="text1"/>
        </w:rPr>
        <w:t>international</w:t>
      </w:r>
      <w:r w:rsidR="008930D2" w:rsidRPr="00E174F4">
        <w:rPr>
          <w:color w:val="000000" w:themeColor="text1"/>
        </w:rPr>
        <w:t xml:space="preserve"> bodies including the World Bank and </w:t>
      </w:r>
      <w:r w:rsidR="004C622E" w:rsidRPr="00E174F4">
        <w:rPr>
          <w:rFonts w:eastAsia="Calibri"/>
          <w:color w:val="000000" w:themeColor="text1"/>
        </w:rPr>
        <w:t>United Nation</w:t>
      </w:r>
      <w:r w:rsidRPr="00E174F4">
        <w:rPr>
          <w:rFonts w:eastAsia="Calibri"/>
          <w:color w:val="000000" w:themeColor="text1"/>
        </w:rPr>
        <w:t>s</w:t>
      </w:r>
      <w:r w:rsidR="004C622E" w:rsidRPr="00E174F4">
        <w:rPr>
          <w:rFonts w:eastAsia="Calibri"/>
          <w:color w:val="000000" w:themeColor="text1"/>
        </w:rPr>
        <w:t xml:space="preserve"> Development Programme</w:t>
      </w:r>
      <w:r w:rsidR="004C622E" w:rsidRPr="00E174F4">
        <w:rPr>
          <w:color w:val="000000" w:themeColor="text1"/>
        </w:rPr>
        <w:t xml:space="preserve"> (</w:t>
      </w:r>
      <w:r w:rsidR="008930D2" w:rsidRPr="00E174F4">
        <w:rPr>
          <w:color w:val="000000" w:themeColor="text1"/>
        </w:rPr>
        <w:t>UNDP</w:t>
      </w:r>
      <w:r w:rsidR="008F1E53">
        <w:rPr>
          <w:color w:val="000000" w:themeColor="text1"/>
        </w:rPr>
        <w:t>, 2011</w:t>
      </w:r>
      <w:r w:rsidR="004C622E" w:rsidRPr="00E174F4">
        <w:rPr>
          <w:color w:val="000000" w:themeColor="text1"/>
        </w:rPr>
        <w:t>)</w:t>
      </w:r>
      <w:r w:rsidR="008930D2" w:rsidRPr="00E174F4">
        <w:rPr>
          <w:color w:val="000000" w:themeColor="text1"/>
        </w:rPr>
        <w:t xml:space="preserve">. </w:t>
      </w:r>
      <w:r w:rsidRPr="00E174F4">
        <w:rPr>
          <w:rFonts w:eastAsia="Calibri"/>
          <w:color w:val="000000" w:themeColor="text1"/>
        </w:rPr>
        <w:t xml:space="preserve">The </w:t>
      </w:r>
      <w:r w:rsidR="004C622E" w:rsidRPr="00E174F4">
        <w:rPr>
          <w:rFonts w:eastAsia="Calibri"/>
          <w:color w:val="000000" w:themeColor="text1"/>
        </w:rPr>
        <w:t xml:space="preserve">extent to which an EIA process meets the </w:t>
      </w:r>
      <w:r w:rsidR="004A3EA8" w:rsidRPr="00E174F4">
        <w:rPr>
          <w:rFonts w:eastAsia="Calibri"/>
          <w:color w:val="000000" w:themeColor="text1"/>
        </w:rPr>
        <w:t>good governance qualities</w:t>
      </w:r>
      <w:r w:rsidRPr="00E174F4">
        <w:rPr>
          <w:rFonts w:eastAsia="Calibri"/>
          <w:color w:val="000000" w:themeColor="text1"/>
        </w:rPr>
        <w:t xml:space="preserve"> can be used to distinguish between weak and good governance</w:t>
      </w:r>
      <w:r w:rsidR="004C622E" w:rsidRPr="00E174F4">
        <w:rPr>
          <w:rFonts w:eastAsia="Calibri"/>
          <w:color w:val="000000" w:themeColor="text1"/>
        </w:rPr>
        <w:t xml:space="preserve"> of the EIA system</w:t>
      </w:r>
      <w:r w:rsidR="004A3EA8" w:rsidRPr="00E174F4">
        <w:rPr>
          <w:rFonts w:eastAsia="Calibri"/>
          <w:color w:val="000000" w:themeColor="text1"/>
        </w:rPr>
        <w:t xml:space="preserve"> </w:t>
      </w:r>
      <w:r w:rsidR="00B871AC" w:rsidRPr="00E174F4">
        <w:rPr>
          <w:rFonts w:eastAsia="Calibri"/>
          <w:color w:val="000000" w:themeColor="text1"/>
        </w:rPr>
        <w:t xml:space="preserve">and subsequently </w:t>
      </w:r>
      <w:r w:rsidR="008F18A9">
        <w:rPr>
          <w:rFonts w:eastAsia="Calibri"/>
          <w:color w:val="000000" w:themeColor="text1"/>
        </w:rPr>
        <w:t>its</w:t>
      </w:r>
      <w:r w:rsidR="00B871AC" w:rsidRPr="00E174F4">
        <w:rPr>
          <w:rFonts w:eastAsia="Calibri"/>
          <w:color w:val="000000" w:themeColor="text1"/>
        </w:rPr>
        <w:t xml:space="preserve"> state</w:t>
      </w:r>
      <w:r w:rsidR="00D37298" w:rsidRPr="00E174F4">
        <w:rPr>
          <w:rFonts w:eastAsia="Calibri"/>
          <w:color w:val="000000" w:themeColor="text1"/>
        </w:rPr>
        <w:t>.</w:t>
      </w:r>
      <w:r w:rsidRPr="00E174F4">
        <w:rPr>
          <w:rFonts w:eastAsia="Calibri"/>
          <w:color w:val="000000" w:themeColor="text1"/>
        </w:rPr>
        <w:t xml:space="preserve"> </w:t>
      </w:r>
      <w:r w:rsidR="00D37298" w:rsidRPr="00E174F4">
        <w:rPr>
          <w:rFonts w:eastAsia="Calibri"/>
          <w:color w:val="000000" w:themeColor="text1"/>
        </w:rPr>
        <w:t>W</w:t>
      </w:r>
      <w:r w:rsidRPr="00E174F4">
        <w:rPr>
          <w:rFonts w:eastAsia="Calibri"/>
          <w:color w:val="000000" w:themeColor="text1"/>
        </w:rPr>
        <w:t>eak governance is associated with negative outcomes closely linked to social mishaps such as corruption, social exclusion, and a lack of trust in authorities, whereas good governance has the potential to regulate and enforce sound policies and pro</w:t>
      </w:r>
      <w:r w:rsidR="00B871AC" w:rsidRPr="00E174F4">
        <w:rPr>
          <w:rFonts w:eastAsia="Calibri"/>
          <w:color w:val="000000" w:themeColor="text1"/>
        </w:rPr>
        <w:t>duce</w:t>
      </w:r>
      <w:r w:rsidRPr="00E174F4">
        <w:rPr>
          <w:rFonts w:eastAsia="Calibri"/>
          <w:color w:val="000000" w:themeColor="text1"/>
        </w:rPr>
        <w:t xml:space="preserve"> positive outcomes </w:t>
      </w:r>
      <w:r w:rsidR="00B2699A">
        <w:rPr>
          <w:rFonts w:eastAsia="Calibri"/>
          <w:color w:val="000000" w:themeColor="text1"/>
        </w:rPr>
        <w:t>(Asefa &amp; Huang, 2015).</w:t>
      </w:r>
    </w:p>
    <w:p w14:paraId="64CEBE9D" w14:textId="34F31D1B" w:rsidR="009A6D13" w:rsidRDefault="000C172D" w:rsidP="00B1312F">
      <w:pPr>
        <w:pStyle w:val="ListParagraph"/>
        <w:spacing w:before="240" w:line="480" w:lineRule="auto"/>
        <w:ind w:left="0"/>
        <w:jc w:val="both"/>
      </w:pPr>
      <w:r w:rsidRPr="00E174F4">
        <w:rPr>
          <w:bCs/>
          <w:color w:val="000000" w:themeColor="text1"/>
        </w:rPr>
        <w:t>Dat</w:t>
      </w:r>
      <w:r w:rsidR="004C622E" w:rsidRPr="00E174F4">
        <w:rPr>
          <w:bCs/>
          <w:color w:val="000000" w:themeColor="text1"/>
        </w:rPr>
        <w:t>a</w:t>
      </w:r>
      <w:r w:rsidRPr="00E174F4">
        <w:rPr>
          <w:bCs/>
          <w:color w:val="000000" w:themeColor="text1"/>
        </w:rPr>
        <w:t xml:space="preserve"> was gathered through a questionnaire </w:t>
      </w:r>
      <w:r w:rsidR="009B11BD">
        <w:rPr>
          <w:bCs/>
          <w:color w:val="000000" w:themeColor="text1"/>
        </w:rPr>
        <w:t>s</w:t>
      </w:r>
      <w:r w:rsidR="00E96A66">
        <w:rPr>
          <w:bCs/>
          <w:color w:val="000000" w:themeColor="text1"/>
        </w:rPr>
        <w:t xml:space="preserve">urvey </w:t>
      </w:r>
      <w:r w:rsidRPr="00E174F4">
        <w:rPr>
          <w:bCs/>
          <w:color w:val="000000" w:themeColor="text1"/>
        </w:rPr>
        <w:t xml:space="preserve">and </w:t>
      </w:r>
      <w:r w:rsidR="005F4F55" w:rsidRPr="00E174F4">
        <w:rPr>
          <w:bCs/>
          <w:color w:val="000000" w:themeColor="text1"/>
        </w:rPr>
        <w:t xml:space="preserve">semi-structured interviews. </w:t>
      </w:r>
      <w:r w:rsidR="00404DB7" w:rsidRPr="00E174F4">
        <w:rPr>
          <w:bCs/>
          <w:color w:val="000000" w:themeColor="text1"/>
        </w:rPr>
        <w:t xml:space="preserve">The questionnaire was sent to about 300 </w:t>
      </w:r>
      <w:r w:rsidR="006466B5" w:rsidRPr="00E174F4">
        <w:rPr>
          <w:bCs/>
          <w:color w:val="000000" w:themeColor="text1"/>
        </w:rPr>
        <w:t xml:space="preserve">experts </w:t>
      </w:r>
      <w:r w:rsidR="00404DB7" w:rsidRPr="00E174F4">
        <w:rPr>
          <w:bCs/>
          <w:color w:val="000000" w:themeColor="text1"/>
        </w:rPr>
        <w:t xml:space="preserve">from a database of environmental experts and actors </w:t>
      </w:r>
      <w:r w:rsidR="00F6458A">
        <w:rPr>
          <w:bCs/>
          <w:color w:val="000000" w:themeColor="text1"/>
        </w:rPr>
        <w:t xml:space="preserve">obtained from the Ministry of Environment, Forestry, and Tourism </w:t>
      </w:r>
      <w:r w:rsidR="00B2699A">
        <w:rPr>
          <w:bCs/>
          <w:color w:val="000000" w:themeColor="text1"/>
        </w:rPr>
        <w:t>[</w:t>
      </w:r>
      <w:r w:rsidR="00F6458A">
        <w:rPr>
          <w:bCs/>
          <w:color w:val="000000" w:themeColor="text1"/>
        </w:rPr>
        <w:t>MEFT</w:t>
      </w:r>
      <w:r w:rsidR="00B2699A">
        <w:rPr>
          <w:bCs/>
          <w:color w:val="000000" w:themeColor="text1"/>
        </w:rPr>
        <w:t>]</w:t>
      </w:r>
      <w:r w:rsidR="00F6458A">
        <w:rPr>
          <w:bCs/>
          <w:color w:val="000000" w:themeColor="text1"/>
        </w:rPr>
        <w:t>. A</w:t>
      </w:r>
      <w:r w:rsidRPr="00E174F4">
        <w:rPr>
          <w:bCs/>
          <w:color w:val="000000" w:themeColor="text1"/>
        </w:rPr>
        <w:t xml:space="preserve"> total </w:t>
      </w:r>
      <w:r w:rsidR="00244403" w:rsidRPr="00E174F4">
        <w:rPr>
          <w:bCs/>
          <w:color w:val="000000" w:themeColor="text1"/>
        </w:rPr>
        <w:t>of 11</w:t>
      </w:r>
      <w:r w:rsidR="001D2ED8" w:rsidRPr="00E174F4">
        <w:rPr>
          <w:bCs/>
          <w:color w:val="000000" w:themeColor="text1"/>
        </w:rPr>
        <w:t>0</w:t>
      </w:r>
      <w:r w:rsidRPr="00E174F4">
        <w:rPr>
          <w:bCs/>
          <w:color w:val="000000" w:themeColor="text1"/>
        </w:rPr>
        <w:t xml:space="preserve"> experts </w:t>
      </w:r>
      <w:r w:rsidR="008F18A9">
        <w:rPr>
          <w:bCs/>
          <w:color w:val="000000" w:themeColor="text1"/>
        </w:rPr>
        <w:t xml:space="preserve">familiar with </w:t>
      </w:r>
      <w:r w:rsidR="00481199">
        <w:rPr>
          <w:bCs/>
          <w:color w:val="000000" w:themeColor="text1"/>
        </w:rPr>
        <w:t xml:space="preserve">the EIA process </w:t>
      </w:r>
      <w:r w:rsidRPr="00E174F4">
        <w:rPr>
          <w:bCs/>
          <w:color w:val="000000" w:themeColor="text1"/>
        </w:rPr>
        <w:t xml:space="preserve">responded </w:t>
      </w:r>
      <w:r w:rsidR="00C10B45">
        <w:rPr>
          <w:bCs/>
          <w:color w:val="000000" w:themeColor="text1"/>
        </w:rPr>
        <w:t>during the period</w:t>
      </w:r>
      <w:r w:rsidR="0031568C" w:rsidRPr="00E174F4">
        <w:rPr>
          <w:bCs/>
          <w:color w:val="000000" w:themeColor="text1"/>
        </w:rPr>
        <w:t xml:space="preserve"> </w:t>
      </w:r>
      <w:r w:rsidR="00683263" w:rsidRPr="00E174F4">
        <w:rPr>
          <w:bCs/>
          <w:color w:val="000000" w:themeColor="text1"/>
        </w:rPr>
        <w:t>October 2018</w:t>
      </w:r>
      <w:r w:rsidR="004309ED">
        <w:rPr>
          <w:bCs/>
          <w:color w:val="000000" w:themeColor="text1"/>
        </w:rPr>
        <w:t xml:space="preserve"> </w:t>
      </w:r>
      <w:r w:rsidR="006E3C60" w:rsidRPr="00F6458A">
        <w:rPr>
          <w:bCs/>
          <w:color w:val="000000" w:themeColor="text1"/>
        </w:rPr>
        <w:t>to</w:t>
      </w:r>
      <w:r w:rsidR="004309ED">
        <w:rPr>
          <w:bCs/>
          <w:color w:val="000000" w:themeColor="text1"/>
        </w:rPr>
        <w:t xml:space="preserve"> </w:t>
      </w:r>
      <w:r w:rsidR="00683263" w:rsidRPr="00E174F4">
        <w:rPr>
          <w:bCs/>
          <w:color w:val="000000" w:themeColor="text1"/>
        </w:rPr>
        <w:t>March 2019.</w:t>
      </w:r>
      <w:r w:rsidR="00244403" w:rsidRPr="00E174F4">
        <w:rPr>
          <w:bCs/>
          <w:color w:val="000000" w:themeColor="text1"/>
        </w:rPr>
        <w:t xml:space="preserve"> </w:t>
      </w:r>
      <w:r w:rsidR="000F74CE">
        <w:rPr>
          <w:bCs/>
          <w:color w:val="000000" w:themeColor="text1"/>
        </w:rPr>
        <w:t>To</w:t>
      </w:r>
      <w:r w:rsidR="008F18A9">
        <w:rPr>
          <w:bCs/>
          <w:color w:val="000000" w:themeColor="text1"/>
        </w:rPr>
        <w:t xml:space="preserve"> </w:t>
      </w:r>
      <w:r w:rsidR="000F74CE">
        <w:rPr>
          <w:bCs/>
          <w:color w:val="000000" w:themeColor="text1"/>
        </w:rPr>
        <w:t xml:space="preserve">obtain </w:t>
      </w:r>
      <w:r w:rsidR="008F18A9">
        <w:rPr>
          <w:bCs/>
          <w:color w:val="000000" w:themeColor="text1"/>
        </w:rPr>
        <w:lastRenderedPageBreak/>
        <w:t xml:space="preserve">more explicit information and </w:t>
      </w:r>
      <w:r w:rsidR="000F74CE">
        <w:rPr>
          <w:bCs/>
          <w:color w:val="000000" w:themeColor="text1"/>
        </w:rPr>
        <w:t xml:space="preserve">for </w:t>
      </w:r>
      <w:r w:rsidR="008F18A9">
        <w:rPr>
          <w:bCs/>
          <w:color w:val="000000" w:themeColor="text1"/>
        </w:rPr>
        <w:t>triangulation</w:t>
      </w:r>
      <w:r w:rsidR="00DC3AAE">
        <w:rPr>
          <w:bCs/>
          <w:color w:val="000000" w:themeColor="text1"/>
        </w:rPr>
        <w:t xml:space="preserve"> purposes</w:t>
      </w:r>
      <w:r w:rsidR="008F18A9">
        <w:rPr>
          <w:bCs/>
          <w:color w:val="000000" w:themeColor="text1"/>
        </w:rPr>
        <w:t>, survey</w:t>
      </w:r>
      <w:r w:rsidRPr="00E174F4">
        <w:rPr>
          <w:bCs/>
          <w:color w:val="000000" w:themeColor="text1"/>
        </w:rPr>
        <w:t xml:space="preserve"> respondents were requested to indicate their willingness to participate in face-to-face interviews.</w:t>
      </w:r>
      <w:r w:rsidR="00300C6F" w:rsidRPr="00E174F4">
        <w:rPr>
          <w:bCs/>
          <w:color w:val="000000" w:themeColor="text1"/>
        </w:rPr>
        <w:t xml:space="preserve"> </w:t>
      </w:r>
      <w:r w:rsidR="00D14BD8">
        <w:rPr>
          <w:bCs/>
          <w:color w:val="000000" w:themeColor="text1"/>
        </w:rPr>
        <w:t xml:space="preserve">As a result, 25 respondents were interviewed representing the </w:t>
      </w:r>
      <w:r w:rsidRPr="00E174F4">
        <w:rPr>
          <w:bCs/>
          <w:color w:val="000000" w:themeColor="text1"/>
        </w:rPr>
        <w:t xml:space="preserve">Department of Environmental Affairs (DEA) (three), Government </w:t>
      </w:r>
      <w:r w:rsidR="00D14BD8">
        <w:rPr>
          <w:bCs/>
          <w:color w:val="000000" w:themeColor="text1"/>
        </w:rPr>
        <w:t>ministries</w:t>
      </w:r>
      <w:r w:rsidRPr="00E174F4">
        <w:rPr>
          <w:bCs/>
          <w:color w:val="000000" w:themeColor="text1"/>
        </w:rPr>
        <w:t xml:space="preserve"> assigned as Competent Authorities (CA) (</w:t>
      </w:r>
      <w:r w:rsidR="00F71907">
        <w:rPr>
          <w:bCs/>
          <w:color w:val="000000" w:themeColor="text1"/>
        </w:rPr>
        <w:t>f</w:t>
      </w:r>
      <w:r w:rsidR="00F71907" w:rsidRPr="00E174F4">
        <w:rPr>
          <w:bCs/>
          <w:color w:val="000000" w:themeColor="text1"/>
        </w:rPr>
        <w:t>ive</w:t>
      </w:r>
      <w:r w:rsidRPr="00E174F4">
        <w:rPr>
          <w:bCs/>
          <w:color w:val="000000" w:themeColor="text1"/>
        </w:rPr>
        <w:t>), Local Authorities (two), Environmental Assessment Practitioners (EAP) (eight), Academics (two), State Owned Enterprises (SOE)</w:t>
      </w:r>
      <w:r w:rsidR="00F57F0B" w:rsidRPr="00E174F4">
        <w:rPr>
          <w:bCs/>
          <w:color w:val="000000" w:themeColor="text1"/>
        </w:rPr>
        <w:t xml:space="preserve"> </w:t>
      </w:r>
      <w:r w:rsidRPr="00E174F4">
        <w:rPr>
          <w:bCs/>
          <w:color w:val="000000" w:themeColor="text1"/>
        </w:rPr>
        <w:t>(two) and Non-Governmental Organization (NGO) (two). Q</w:t>
      </w:r>
      <w:r w:rsidR="00903D87" w:rsidRPr="00E174F4">
        <w:rPr>
          <w:bCs/>
          <w:color w:val="000000" w:themeColor="text1"/>
        </w:rPr>
        <w:t xml:space="preserve">uestions </w:t>
      </w:r>
      <w:r w:rsidRPr="00E174F4">
        <w:rPr>
          <w:bCs/>
          <w:color w:val="000000" w:themeColor="text1"/>
        </w:rPr>
        <w:t xml:space="preserve">in the survey and interviews </w:t>
      </w:r>
      <w:r w:rsidR="00903D87" w:rsidRPr="00E174F4">
        <w:rPr>
          <w:bCs/>
          <w:color w:val="000000" w:themeColor="text1"/>
        </w:rPr>
        <w:t xml:space="preserve">were technical and EIA-specific, therefore </w:t>
      </w:r>
      <w:r w:rsidR="00D37298" w:rsidRPr="00E174F4">
        <w:rPr>
          <w:bCs/>
          <w:color w:val="000000" w:themeColor="text1"/>
        </w:rPr>
        <w:t xml:space="preserve">the </w:t>
      </w:r>
      <w:r w:rsidR="00B05E6D" w:rsidRPr="00E174F4">
        <w:rPr>
          <w:bCs/>
          <w:color w:val="000000" w:themeColor="text1"/>
        </w:rPr>
        <w:t>public</w:t>
      </w:r>
      <w:r w:rsidR="00D14BD8">
        <w:rPr>
          <w:bCs/>
          <w:color w:val="000000" w:themeColor="text1"/>
        </w:rPr>
        <w:t xml:space="preserve"> and people without knowledge of EIA were excluded</w:t>
      </w:r>
      <w:r w:rsidR="00903D87" w:rsidRPr="00E174F4">
        <w:rPr>
          <w:bCs/>
          <w:color w:val="000000" w:themeColor="text1"/>
        </w:rPr>
        <w:t xml:space="preserve">. </w:t>
      </w:r>
      <w:r w:rsidRPr="00E174F4">
        <w:t xml:space="preserve">Due to a limited number of experts in Namibia, the sample </w:t>
      </w:r>
      <w:r w:rsidR="003831B8" w:rsidRPr="00E174F4">
        <w:t xml:space="preserve">of </w:t>
      </w:r>
      <w:r w:rsidR="00300C6F" w:rsidRPr="00E174F4">
        <w:t>twenty-five</w:t>
      </w:r>
      <w:r w:rsidRPr="00E174F4">
        <w:t xml:space="preserve"> is representative of all the key EIA actors nationally. A detailed profile of </w:t>
      </w:r>
      <w:r w:rsidR="00DC3AAE">
        <w:t xml:space="preserve">participants </w:t>
      </w:r>
      <w:r w:rsidR="002E7BFD">
        <w:t xml:space="preserve">in the survey and interviews is provided in </w:t>
      </w:r>
      <w:r w:rsidR="00633E1A">
        <w:t>Table 1</w:t>
      </w:r>
      <w:r w:rsidR="002E7BFD">
        <w:t>.</w:t>
      </w:r>
      <w:r w:rsidR="00DE4D6D">
        <w:t xml:space="preserve"> Responses of interviewed participants are presented using coded names for the purpose of confidentiality and ethics of the research.</w:t>
      </w:r>
    </w:p>
    <w:p w14:paraId="6C8A2CF9" w14:textId="77777777" w:rsidR="00D8748B" w:rsidRPr="00AF0007" w:rsidRDefault="00D8748B" w:rsidP="00B1312F">
      <w:pPr>
        <w:pStyle w:val="ListParagraph"/>
        <w:spacing w:before="240" w:line="480" w:lineRule="auto"/>
        <w:ind w:left="0"/>
        <w:jc w:val="both"/>
        <w:rPr>
          <w:color w:val="FFC000" w:themeColor="accent4"/>
        </w:rPr>
      </w:pPr>
    </w:p>
    <w:p w14:paraId="6A7386CB" w14:textId="77777777" w:rsidR="002E7BFD" w:rsidRPr="00633E1A" w:rsidRDefault="000C172D" w:rsidP="002E7BFD">
      <w:pPr>
        <w:widowControl w:val="0"/>
        <w:rPr>
          <w:bCs/>
        </w:rPr>
      </w:pPr>
      <w:r>
        <w:rPr>
          <w:b/>
        </w:rPr>
        <w:t xml:space="preserve">Table 1: </w:t>
      </w:r>
      <w:r w:rsidRPr="00633E1A">
        <w:rPr>
          <w:bCs/>
        </w:rPr>
        <w:t>Background information of the survey respondents</w:t>
      </w:r>
    </w:p>
    <w:p w14:paraId="6D06F9F4" w14:textId="77777777" w:rsidR="002E7BFD" w:rsidRDefault="002E7BFD" w:rsidP="002E7BFD">
      <w:pPr>
        <w:widowControl w:val="0"/>
        <w:rPr>
          <w:b/>
        </w:rPr>
      </w:pPr>
    </w:p>
    <w:tbl>
      <w:tblPr>
        <w:tblStyle w:val="a"/>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3659"/>
        <w:gridCol w:w="1808"/>
        <w:gridCol w:w="1346"/>
        <w:gridCol w:w="1195"/>
        <w:gridCol w:w="1078"/>
        <w:gridCol w:w="900"/>
      </w:tblGrid>
      <w:tr w:rsidR="00340CD2" w14:paraId="4A98AEA3" w14:textId="77777777" w:rsidTr="00412ECF">
        <w:trPr>
          <w:gridBefore w:val="2"/>
          <w:wBefore w:w="5467" w:type="dxa"/>
          <w:trHeight w:val="260"/>
        </w:trPr>
        <w:tc>
          <w:tcPr>
            <w:tcW w:w="2541" w:type="dxa"/>
            <w:gridSpan w:val="2"/>
          </w:tcPr>
          <w:p w14:paraId="3FAFE82C" w14:textId="77777777" w:rsidR="002E7BFD" w:rsidRDefault="000C172D" w:rsidP="00412ECF">
            <w:pPr>
              <w:widowControl w:val="0"/>
              <w:rPr>
                <w:b/>
                <w:sz w:val="20"/>
                <w:szCs w:val="20"/>
              </w:rPr>
            </w:pPr>
            <w:r>
              <w:rPr>
                <w:b/>
                <w:sz w:val="20"/>
                <w:szCs w:val="20"/>
              </w:rPr>
              <w:t>Survey</w:t>
            </w:r>
          </w:p>
        </w:tc>
        <w:tc>
          <w:tcPr>
            <w:tcW w:w="1978" w:type="dxa"/>
            <w:gridSpan w:val="2"/>
          </w:tcPr>
          <w:p w14:paraId="5A6AB46D" w14:textId="77777777" w:rsidR="002E7BFD" w:rsidRDefault="000C172D" w:rsidP="00412ECF">
            <w:pPr>
              <w:widowControl w:val="0"/>
              <w:rPr>
                <w:b/>
                <w:sz w:val="20"/>
                <w:szCs w:val="20"/>
              </w:rPr>
            </w:pPr>
            <w:r>
              <w:rPr>
                <w:b/>
                <w:sz w:val="20"/>
                <w:szCs w:val="20"/>
              </w:rPr>
              <w:t>Interviews</w:t>
            </w:r>
          </w:p>
        </w:tc>
      </w:tr>
      <w:tr w:rsidR="00340CD2" w14:paraId="01BDBC56"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blHeader/>
        </w:trPr>
        <w:tc>
          <w:tcPr>
            <w:tcW w:w="3659" w:type="dxa"/>
            <w:tcBorders>
              <w:bottom w:val="single" w:sz="18" w:space="0" w:color="000000"/>
            </w:tcBorders>
            <w:shd w:val="clear" w:color="auto" w:fill="A6A6A6"/>
          </w:tcPr>
          <w:p w14:paraId="5E70726A" w14:textId="77777777" w:rsidR="002E7BFD" w:rsidRDefault="000C172D" w:rsidP="00412ECF">
            <w:pPr>
              <w:widowControl w:val="0"/>
              <w:rPr>
                <w:b/>
                <w:i/>
                <w:color w:val="1C1C1C"/>
                <w:sz w:val="20"/>
                <w:szCs w:val="20"/>
              </w:rPr>
            </w:pPr>
            <w:r>
              <w:rPr>
                <w:b/>
                <w:sz w:val="20"/>
                <w:szCs w:val="20"/>
              </w:rPr>
              <w:t>Variable</w:t>
            </w:r>
          </w:p>
        </w:tc>
        <w:tc>
          <w:tcPr>
            <w:tcW w:w="1808" w:type="dxa"/>
            <w:tcBorders>
              <w:bottom w:val="single" w:sz="18" w:space="0" w:color="000000"/>
            </w:tcBorders>
            <w:shd w:val="clear" w:color="auto" w:fill="A6A6A6"/>
          </w:tcPr>
          <w:p w14:paraId="1AE22620" w14:textId="77777777" w:rsidR="002E7BFD" w:rsidRDefault="000C172D" w:rsidP="00412ECF">
            <w:pPr>
              <w:widowControl w:val="0"/>
              <w:rPr>
                <w:b/>
                <w:color w:val="1C1C1C"/>
                <w:sz w:val="20"/>
                <w:szCs w:val="20"/>
              </w:rPr>
            </w:pPr>
            <w:r>
              <w:rPr>
                <w:b/>
                <w:sz w:val="20"/>
                <w:szCs w:val="20"/>
              </w:rPr>
              <w:t>Category</w:t>
            </w:r>
          </w:p>
        </w:tc>
        <w:tc>
          <w:tcPr>
            <w:tcW w:w="1346" w:type="dxa"/>
            <w:tcBorders>
              <w:bottom w:val="single" w:sz="18" w:space="0" w:color="000000"/>
            </w:tcBorders>
            <w:shd w:val="clear" w:color="auto" w:fill="A6A6A6"/>
          </w:tcPr>
          <w:p w14:paraId="70DD5664" w14:textId="77777777" w:rsidR="002E7BFD" w:rsidRDefault="000C172D" w:rsidP="00412ECF">
            <w:pPr>
              <w:widowControl w:val="0"/>
              <w:rPr>
                <w:b/>
                <w:color w:val="000000"/>
                <w:sz w:val="20"/>
                <w:szCs w:val="20"/>
              </w:rPr>
            </w:pPr>
            <w:r>
              <w:rPr>
                <w:b/>
                <w:sz w:val="20"/>
                <w:szCs w:val="20"/>
              </w:rPr>
              <w:t>(n)</w:t>
            </w:r>
          </w:p>
        </w:tc>
        <w:tc>
          <w:tcPr>
            <w:tcW w:w="1195" w:type="dxa"/>
            <w:tcBorders>
              <w:bottom w:val="single" w:sz="18" w:space="0" w:color="000000"/>
              <w:right w:val="single" w:sz="4" w:space="0" w:color="auto"/>
            </w:tcBorders>
            <w:shd w:val="clear" w:color="auto" w:fill="A6A6A6"/>
          </w:tcPr>
          <w:p w14:paraId="76482014" w14:textId="77777777" w:rsidR="002E7BFD" w:rsidRDefault="000C172D" w:rsidP="00412ECF">
            <w:pPr>
              <w:widowControl w:val="0"/>
              <w:rPr>
                <w:b/>
                <w:color w:val="000000"/>
                <w:sz w:val="20"/>
                <w:szCs w:val="20"/>
              </w:rPr>
            </w:pPr>
            <w:r>
              <w:rPr>
                <w:b/>
                <w:sz w:val="20"/>
                <w:szCs w:val="20"/>
              </w:rPr>
              <w:t>(%)</w:t>
            </w:r>
          </w:p>
        </w:tc>
        <w:tc>
          <w:tcPr>
            <w:tcW w:w="1078" w:type="dxa"/>
            <w:tcBorders>
              <w:left w:val="single" w:sz="4" w:space="0" w:color="auto"/>
              <w:bottom w:val="single" w:sz="18" w:space="0" w:color="000000"/>
            </w:tcBorders>
            <w:shd w:val="clear" w:color="auto" w:fill="A6A6A6"/>
          </w:tcPr>
          <w:p w14:paraId="480392E1" w14:textId="77777777" w:rsidR="002E7BFD" w:rsidRDefault="000C172D" w:rsidP="00412ECF">
            <w:pPr>
              <w:widowControl w:val="0"/>
              <w:rPr>
                <w:b/>
                <w:sz w:val="20"/>
                <w:szCs w:val="20"/>
              </w:rPr>
            </w:pPr>
            <w:r>
              <w:rPr>
                <w:b/>
                <w:sz w:val="20"/>
                <w:szCs w:val="20"/>
              </w:rPr>
              <w:t>(n)</w:t>
            </w:r>
          </w:p>
        </w:tc>
        <w:tc>
          <w:tcPr>
            <w:tcW w:w="900" w:type="dxa"/>
            <w:tcBorders>
              <w:bottom w:val="single" w:sz="18" w:space="0" w:color="000000"/>
              <w:right w:val="single" w:sz="4" w:space="0" w:color="auto"/>
            </w:tcBorders>
            <w:shd w:val="clear" w:color="auto" w:fill="A6A6A6"/>
          </w:tcPr>
          <w:p w14:paraId="4C26A611" w14:textId="77777777" w:rsidR="002E7BFD" w:rsidRDefault="000C172D" w:rsidP="00412ECF">
            <w:pPr>
              <w:widowControl w:val="0"/>
              <w:rPr>
                <w:b/>
                <w:sz w:val="20"/>
                <w:szCs w:val="20"/>
              </w:rPr>
            </w:pPr>
            <w:r>
              <w:rPr>
                <w:b/>
                <w:sz w:val="20"/>
                <w:szCs w:val="20"/>
              </w:rPr>
              <w:t>(%)</w:t>
            </w:r>
          </w:p>
        </w:tc>
      </w:tr>
      <w:tr w:rsidR="00340CD2" w14:paraId="34540EE3"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rPr>
        <w:tc>
          <w:tcPr>
            <w:tcW w:w="3659" w:type="dxa"/>
            <w:vMerge w:val="restart"/>
            <w:tcBorders>
              <w:top w:val="single" w:sz="18" w:space="0" w:color="000000"/>
              <w:left w:val="single" w:sz="4" w:space="0" w:color="000000"/>
              <w:bottom w:val="single" w:sz="12" w:space="0" w:color="000000"/>
              <w:right w:val="single" w:sz="12" w:space="0" w:color="000000"/>
            </w:tcBorders>
            <w:shd w:val="clear" w:color="auto" w:fill="A6A6A6"/>
          </w:tcPr>
          <w:p w14:paraId="66EEE0C5" w14:textId="77777777" w:rsidR="002E7BFD" w:rsidRDefault="000C172D" w:rsidP="00412ECF">
            <w:pPr>
              <w:widowControl w:val="0"/>
              <w:rPr>
                <w:b/>
                <w:i/>
                <w:color w:val="1C1C1C"/>
                <w:sz w:val="20"/>
                <w:szCs w:val="20"/>
              </w:rPr>
            </w:pPr>
            <w:r>
              <w:rPr>
                <w:b/>
                <w:i/>
                <w:color w:val="1C1C1C"/>
                <w:sz w:val="20"/>
                <w:szCs w:val="20"/>
              </w:rPr>
              <w:t>Gender</w:t>
            </w:r>
          </w:p>
        </w:tc>
        <w:tc>
          <w:tcPr>
            <w:tcW w:w="1808" w:type="dxa"/>
            <w:tcBorders>
              <w:top w:val="single" w:sz="18" w:space="0" w:color="000000"/>
              <w:left w:val="single" w:sz="12" w:space="0" w:color="000000"/>
              <w:bottom w:val="nil"/>
              <w:right w:val="single" w:sz="4" w:space="0" w:color="000000"/>
            </w:tcBorders>
            <w:shd w:val="clear" w:color="auto" w:fill="auto"/>
          </w:tcPr>
          <w:p w14:paraId="7531C1E1" w14:textId="77777777" w:rsidR="002E7BFD" w:rsidRDefault="000C172D" w:rsidP="00412ECF">
            <w:pPr>
              <w:widowControl w:val="0"/>
              <w:rPr>
                <w:color w:val="1C1C1C"/>
                <w:sz w:val="20"/>
                <w:szCs w:val="20"/>
              </w:rPr>
            </w:pPr>
            <w:r>
              <w:rPr>
                <w:color w:val="1C1C1C"/>
                <w:sz w:val="20"/>
                <w:szCs w:val="20"/>
              </w:rPr>
              <w:t>Female</w:t>
            </w:r>
          </w:p>
        </w:tc>
        <w:tc>
          <w:tcPr>
            <w:tcW w:w="1346" w:type="dxa"/>
            <w:tcBorders>
              <w:top w:val="single" w:sz="18" w:space="0" w:color="000000"/>
              <w:left w:val="single" w:sz="4" w:space="0" w:color="000000"/>
              <w:bottom w:val="nil"/>
              <w:right w:val="single" w:sz="4" w:space="0" w:color="000000"/>
            </w:tcBorders>
            <w:shd w:val="clear" w:color="auto" w:fill="auto"/>
          </w:tcPr>
          <w:p w14:paraId="10E7BD31" w14:textId="77777777" w:rsidR="002E7BFD" w:rsidRDefault="000C172D" w:rsidP="00412ECF">
            <w:pPr>
              <w:widowControl w:val="0"/>
              <w:rPr>
                <w:color w:val="000000"/>
                <w:sz w:val="20"/>
                <w:szCs w:val="20"/>
              </w:rPr>
            </w:pPr>
            <w:r>
              <w:rPr>
                <w:color w:val="000000"/>
                <w:sz w:val="20"/>
                <w:szCs w:val="20"/>
              </w:rPr>
              <w:t>42</w:t>
            </w:r>
          </w:p>
        </w:tc>
        <w:tc>
          <w:tcPr>
            <w:tcW w:w="1195" w:type="dxa"/>
            <w:tcBorders>
              <w:top w:val="single" w:sz="18" w:space="0" w:color="000000"/>
              <w:left w:val="single" w:sz="4" w:space="0" w:color="000000"/>
              <w:bottom w:val="nil"/>
              <w:right w:val="single" w:sz="4" w:space="0" w:color="000000"/>
            </w:tcBorders>
            <w:shd w:val="clear" w:color="auto" w:fill="auto"/>
          </w:tcPr>
          <w:p w14:paraId="2551BC5F" w14:textId="77777777" w:rsidR="002E7BFD" w:rsidRDefault="000C172D" w:rsidP="00412ECF">
            <w:pPr>
              <w:widowControl w:val="0"/>
              <w:rPr>
                <w:color w:val="000000"/>
                <w:sz w:val="20"/>
                <w:szCs w:val="20"/>
              </w:rPr>
            </w:pPr>
            <w:r>
              <w:rPr>
                <w:color w:val="000000"/>
                <w:sz w:val="20"/>
                <w:szCs w:val="20"/>
              </w:rPr>
              <w:t>38</w:t>
            </w:r>
          </w:p>
        </w:tc>
        <w:tc>
          <w:tcPr>
            <w:tcW w:w="1078" w:type="dxa"/>
            <w:tcBorders>
              <w:top w:val="single" w:sz="18" w:space="0" w:color="000000"/>
              <w:left w:val="single" w:sz="4" w:space="0" w:color="000000"/>
              <w:bottom w:val="nil"/>
              <w:right w:val="single" w:sz="4" w:space="0" w:color="000000"/>
            </w:tcBorders>
          </w:tcPr>
          <w:p w14:paraId="4BB44B7F" w14:textId="77777777" w:rsidR="002E7BFD" w:rsidRDefault="000C172D" w:rsidP="00412ECF">
            <w:pPr>
              <w:widowControl w:val="0"/>
              <w:rPr>
                <w:color w:val="000000"/>
                <w:sz w:val="20"/>
                <w:szCs w:val="20"/>
              </w:rPr>
            </w:pPr>
            <w:r>
              <w:rPr>
                <w:color w:val="000000"/>
                <w:sz w:val="20"/>
                <w:szCs w:val="20"/>
              </w:rPr>
              <w:t>7</w:t>
            </w:r>
          </w:p>
        </w:tc>
        <w:tc>
          <w:tcPr>
            <w:tcW w:w="900" w:type="dxa"/>
            <w:tcBorders>
              <w:top w:val="single" w:sz="18" w:space="0" w:color="000000"/>
              <w:left w:val="single" w:sz="4" w:space="0" w:color="000000"/>
              <w:bottom w:val="nil"/>
              <w:right w:val="single" w:sz="4" w:space="0" w:color="auto"/>
            </w:tcBorders>
          </w:tcPr>
          <w:p w14:paraId="5EC12FCF" w14:textId="77777777" w:rsidR="002E7BFD" w:rsidRDefault="000C172D" w:rsidP="00412ECF">
            <w:pPr>
              <w:widowControl w:val="0"/>
              <w:rPr>
                <w:color w:val="000000"/>
                <w:sz w:val="20"/>
                <w:szCs w:val="20"/>
              </w:rPr>
            </w:pPr>
            <w:r>
              <w:rPr>
                <w:color w:val="000000"/>
                <w:sz w:val="20"/>
                <w:szCs w:val="20"/>
              </w:rPr>
              <w:t>28</w:t>
            </w:r>
          </w:p>
        </w:tc>
      </w:tr>
      <w:tr w:rsidR="00340CD2" w14:paraId="0E172DA0"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41"/>
        </w:trPr>
        <w:tc>
          <w:tcPr>
            <w:tcW w:w="3659" w:type="dxa"/>
            <w:vMerge/>
            <w:tcBorders>
              <w:top w:val="single" w:sz="18" w:space="0" w:color="000000"/>
              <w:left w:val="single" w:sz="4" w:space="0" w:color="000000"/>
              <w:bottom w:val="single" w:sz="12" w:space="0" w:color="000000"/>
              <w:right w:val="single" w:sz="12" w:space="0" w:color="000000"/>
            </w:tcBorders>
            <w:shd w:val="clear" w:color="auto" w:fill="A6A6A6"/>
          </w:tcPr>
          <w:p w14:paraId="17CBE984"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tcBorders>
              <w:top w:val="nil"/>
              <w:left w:val="single" w:sz="12" w:space="0" w:color="000000"/>
              <w:bottom w:val="single" w:sz="12" w:space="0" w:color="000000"/>
              <w:right w:val="single" w:sz="4" w:space="0" w:color="000000"/>
            </w:tcBorders>
            <w:shd w:val="clear" w:color="auto" w:fill="auto"/>
          </w:tcPr>
          <w:p w14:paraId="04CA38A2" w14:textId="77777777" w:rsidR="002E7BFD" w:rsidRDefault="000C172D" w:rsidP="00412ECF">
            <w:pPr>
              <w:widowControl w:val="0"/>
              <w:rPr>
                <w:color w:val="1C1C1C"/>
                <w:sz w:val="20"/>
                <w:szCs w:val="20"/>
              </w:rPr>
            </w:pPr>
            <w:r>
              <w:rPr>
                <w:color w:val="1C1C1C"/>
                <w:sz w:val="20"/>
                <w:szCs w:val="20"/>
              </w:rPr>
              <w:t>Male</w:t>
            </w:r>
          </w:p>
        </w:tc>
        <w:tc>
          <w:tcPr>
            <w:tcW w:w="1346" w:type="dxa"/>
            <w:tcBorders>
              <w:top w:val="nil"/>
              <w:left w:val="single" w:sz="4" w:space="0" w:color="000000"/>
              <w:bottom w:val="single" w:sz="12" w:space="0" w:color="000000"/>
              <w:right w:val="single" w:sz="4" w:space="0" w:color="000000"/>
            </w:tcBorders>
            <w:shd w:val="clear" w:color="auto" w:fill="auto"/>
          </w:tcPr>
          <w:p w14:paraId="5CEB63DC" w14:textId="77777777" w:rsidR="002E7BFD" w:rsidRDefault="000C172D" w:rsidP="00412ECF">
            <w:pPr>
              <w:widowControl w:val="0"/>
              <w:rPr>
                <w:color w:val="000000"/>
                <w:sz w:val="20"/>
                <w:szCs w:val="20"/>
              </w:rPr>
            </w:pPr>
            <w:r>
              <w:rPr>
                <w:color w:val="000000"/>
                <w:sz w:val="20"/>
                <w:szCs w:val="20"/>
              </w:rPr>
              <w:t>68</w:t>
            </w:r>
          </w:p>
        </w:tc>
        <w:tc>
          <w:tcPr>
            <w:tcW w:w="1195" w:type="dxa"/>
            <w:tcBorders>
              <w:top w:val="nil"/>
              <w:left w:val="single" w:sz="4" w:space="0" w:color="000000"/>
              <w:bottom w:val="single" w:sz="12" w:space="0" w:color="000000"/>
              <w:right w:val="single" w:sz="4" w:space="0" w:color="000000"/>
            </w:tcBorders>
            <w:shd w:val="clear" w:color="auto" w:fill="auto"/>
          </w:tcPr>
          <w:p w14:paraId="4D62D3ED" w14:textId="77777777" w:rsidR="002E7BFD" w:rsidRDefault="000C172D" w:rsidP="00412ECF">
            <w:pPr>
              <w:widowControl w:val="0"/>
              <w:rPr>
                <w:color w:val="000000"/>
                <w:sz w:val="20"/>
                <w:szCs w:val="20"/>
              </w:rPr>
            </w:pPr>
            <w:r>
              <w:rPr>
                <w:color w:val="000000"/>
                <w:sz w:val="20"/>
                <w:szCs w:val="20"/>
              </w:rPr>
              <w:t>62</w:t>
            </w:r>
          </w:p>
        </w:tc>
        <w:tc>
          <w:tcPr>
            <w:tcW w:w="1078" w:type="dxa"/>
            <w:tcBorders>
              <w:top w:val="nil"/>
              <w:left w:val="single" w:sz="4" w:space="0" w:color="000000"/>
              <w:bottom w:val="single" w:sz="12" w:space="0" w:color="000000"/>
              <w:right w:val="single" w:sz="4" w:space="0" w:color="000000"/>
            </w:tcBorders>
          </w:tcPr>
          <w:p w14:paraId="6368FF3E" w14:textId="77777777" w:rsidR="002E7BFD" w:rsidRDefault="000C172D" w:rsidP="00412ECF">
            <w:pPr>
              <w:widowControl w:val="0"/>
              <w:rPr>
                <w:color w:val="000000"/>
                <w:sz w:val="20"/>
                <w:szCs w:val="20"/>
              </w:rPr>
            </w:pPr>
            <w:r>
              <w:rPr>
                <w:color w:val="000000"/>
                <w:sz w:val="20"/>
                <w:szCs w:val="20"/>
              </w:rPr>
              <w:t>18</w:t>
            </w:r>
          </w:p>
        </w:tc>
        <w:tc>
          <w:tcPr>
            <w:tcW w:w="900" w:type="dxa"/>
            <w:tcBorders>
              <w:top w:val="nil"/>
              <w:left w:val="single" w:sz="4" w:space="0" w:color="000000"/>
              <w:bottom w:val="single" w:sz="12" w:space="0" w:color="000000"/>
              <w:right w:val="single" w:sz="4" w:space="0" w:color="auto"/>
            </w:tcBorders>
          </w:tcPr>
          <w:p w14:paraId="4E14C6B0" w14:textId="77777777" w:rsidR="002E7BFD" w:rsidRDefault="000C172D" w:rsidP="00412ECF">
            <w:pPr>
              <w:widowControl w:val="0"/>
              <w:rPr>
                <w:color w:val="000000"/>
                <w:sz w:val="20"/>
                <w:szCs w:val="20"/>
              </w:rPr>
            </w:pPr>
            <w:r>
              <w:rPr>
                <w:color w:val="000000"/>
                <w:sz w:val="20"/>
                <w:szCs w:val="20"/>
              </w:rPr>
              <w:t>72</w:t>
            </w:r>
          </w:p>
        </w:tc>
      </w:tr>
      <w:tr w:rsidR="00340CD2" w14:paraId="486389BB"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41"/>
        </w:trPr>
        <w:tc>
          <w:tcPr>
            <w:tcW w:w="3659" w:type="dxa"/>
            <w:vMerge w:val="restart"/>
            <w:tcBorders>
              <w:top w:val="single" w:sz="12" w:space="0" w:color="000000"/>
            </w:tcBorders>
            <w:shd w:val="clear" w:color="auto" w:fill="A6A6A6"/>
          </w:tcPr>
          <w:p w14:paraId="2A3E04E1" w14:textId="77777777" w:rsidR="002E7BFD" w:rsidRDefault="000C172D" w:rsidP="00412ECF">
            <w:pPr>
              <w:widowControl w:val="0"/>
              <w:rPr>
                <w:b/>
                <w:i/>
                <w:color w:val="1C1C1C"/>
                <w:sz w:val="20"/>
                <w:szCs w:val="20"/>
              </w:rPr>
            </w:pPr>
            <w:r>
              <w:rPr>
                <w:b/>
                <w:i/>
                <w:color w:val="1C1C1C"/>
                <w:sz w:val="20"/>
                <w:szCs w:val="20"/>
              </w:rPr>
              <w:t>Highest Qualification</w:t>
            </w:r>
          </w:p>
        </w:tc>
        <w:tc>
          <w:tcPr>
            <w:tcW w:w="1808" w:type="dxa"/>
            <w:tcBorders>
              <w:top w:val="single" w:sz="12" w:space="0" w:color="000000"/>
            </w:tcBorders>
            <w:shd w:val="clear" w:color="auto" w:fill="auto"/>
          </w:tcPr>
          <w:p w14:paraId="284DF698" w14:textId="77777777" w:rsidR="002E7BFD" w:rsidRDefault="000C172D" w:rsidP="00412ECF">
            <w:pPr>
              <w:widowControl w:val="0"/>
              <w:rPr>
                <w:color w:val="1C1C1C"/>
                <w:sz w:val="20"/>
                <w:szCs w:val="20"/>
              </w:rPr>
            </w:pPr>
            <w:r>
              <w:rPr>
                <w:color w:val="1C1C1C"/>
                <w:sz w:val="20"/>
                <w:szCs w:val="20"/>
              </w:rPr>
              <w:t>Grade 12</w:t>
            </w:r>
          </w:p>
        </w:tc>
        <w:tc>
          <w:tcPr>
            <w:tcW w:w="1346" w:type="dxa"/>
            <w:tcBorders>
              <w:top w:val="single" w:sz="12" w:space="0" w:color="000000"/>
              <w:right w:val="single" w:sz="4" w:space="0" w:color="000000"/>
            </w:tcBorders>
            <w:shd w:val="clear" w:color="auto" w:fill="auto"/>
          </w:tcPr>
          <w:p w14:paraId="51F9EA4D" w14:textId="77777777" w:rsidR="002E7BFD" w:rsidRDefault="000C172D" w:rsidP="00412ECF">
            <w:pPr>
              <w:widowControl w:val="0"/>
              <w:rPr>
                <w:color w:val="000000"/>
                <w:sz w:val="20"/>
                <w:szCs w:val="20"/>
              </w:rPr>
            </w:pPr>
            <w:r>
              <w:rPr>
                <w:color w:val="000000"/>
                <w:sz w:val="20"/>
                <w:szCs w:val="20"/>
              </w:rPr>
              <w:t>0</w:t>
            </w:r>
          </w:p>
        </w:tc>
        <w:tc>
          <w:tcPr>
            <w:tcW w:w="1195" w:type="dxa"/>
            <w:tcBorders>
              <w:top w:val="single" w:sz="12" w:space="0" w:color="000000"/>
              <w:left w:val="single" w:sz="4" w:space="0" w:color="000000"/>
            </w:tcBorders>
            <w:shd w:val="clear" w:color="auto" w:fill="auto"/>
          </w:tcPr>
          <w:p w14:paraId="7B9E77F1" w14:textId="77777777" w:rsidR="002E7BFD" w:rsidRDefault="000C172D" w:rsidP="00412ECF">
            <w:pPr>
              <w:widowControl w:val="0"/>
              <w:rPr>
                <w:color w:val="000000"/>
                <w:sz w:val="20"/>
                <w:szCs w:val="20"/>
              </w:rPr>
            </w:pPr>
            <w:r>
              <w:rPr>
                <w:color w:val="000000"/>
                <w:sz w:val="20"/>
                <w:szCs w:val="20"/>
              </w:rPr>
              <w:t>0</w:t>
            </w:r>
          </w:p>
        </w:tc>
        <w:tc>
          <w:tcPr>
            <w:tcW w:w="1078" w:type="dxa"/>
            <w:tcBorders>
              <w:top w:val="single" w:sz="12" w:space="0" w:color="000000"/>
              <w:left w:val="single" w:sz="4" w:space="0" w:color="000000"/>
              <w:right w:val="single" w:sz="4" w:space="0" w:color="000000"/>
            </w:tcBorders>
          </w:tcPr>
          <w:p w14:paraId="096C4EF1" w14:textId="77777777" w:rsidR="002E7BFD" w:rsidRDefault="000C172D" w:rsidP="00412ECF">
            <w:pPr>
              <w:widowControl w:val="0"/>
              <w:rPr>
                <w:color w:val="000000"/>
                <w:sz w:val="20"/>
                <w:szCs w:val="20"/>
              </w:rPr>
            </w:pPr>
            <w:r>
              <w:rPr>
                <w:color w:val="000000"/>
                <w:sz w:val="20"/>
                <w:szCs w:val="20"/>
              </w:rPr>
              <w:t>0</w:t>
            </w:r>
          </w:p>
        </w:tc>
        <w:tc>
          <w:tcPr>
            <w:tcW w:w="900" w:type="dxa"/>
            <w:tcBorders>
              <w:top w:val="single" w:sz="12" w:space="0" w:color="000000"/>
              <w:left w:val="single" w:sz="4" w:space="0" w:color="000000"/>
              <w:right w:val="single" w:sz="4" w:space="0" w:color="auto"/>
            </w:tcBorders>
          </w:tcPr>
          <w:p w14:paraId="1B1D26BB" w14:textId="77777777" w:rsidR="002E7BFD" w:rsidRDefault="000C172D" w:rsidP="00412ECF">
            <w:pPr>
              <w:widowControl w:val="0"/>
              <w:rPr>
                <w:color w:val="000000"/>
                <w:sz w:val="20"/>
                <w:szCs w:val="20"/>
              </w:rPr>
            </w:pPr>
            <w:r>
              <w:rPr>
                <w:color w:val="000000"/>
                <w:sz w:val="20"/>
                <w:szCs w:val="20"/>
              </w:rPr>
              <w:t>0</w:t>
            </w:r>
          </w:p>
        </w:tc>
      </w:tr>
      <w:tr w:rsidR="00340CD2" w14:paraId="79D67490"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9"/>
        </w:trPr>
        <w:tc>
          <w:tcPr>
            <w:tcW w:w="3659" w:type="dxa"/>
            <w:vMerge/>
            <w:tcBorders>
              <w:top w:val="single" w:sz="12" w:space="0" w:color="000000"/>
            </w:tcBorders>
            <w:shd w:val="clear" w:color="auto" w:fill="A6A6A6"/>
          </w:tcPr>
          <w:p w14:paraId="2DA7B4CF"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shd w:val="clear" w:color="auto" w:fill="auto"/>
          </w:tcPr>
          <w:p w14:paraId="15D035EE" w14:textId="77777777" w:rsidR="002E7BFD" w:rsidRDefault="000C172D" w:rsidP="00412ECF">
            <w:pPr>
              <w:widowControl w:val="0"/>
              <w:rPr>
                <w:color w:val="1C1C1C"/>
                <w:sz w:val="20"/>
                <w:szCs w:val="20"/>
              </w:rPr>
            </w:pPr>
            <w:r>
              <w:rPr>
                <w:color w:val="1C1C1C"/>
                <w:sz w:val="20"/>
                <w:szCs w:val="20"/>
              </w:rPr>
              <w:t>Bachelor</w:t>
            </w:r>
          </w:p>
        </w:tc>
        <w:tc>
          <w:tcPr>
            <w:tcW w:w="1346" w:type="dxa"/>
            <w:tcBorders>
              <w:right w:val="single" w:sz="4" w:space="0" w:color="000000"/>
            </w:tcBorders>
            <w:shd w:val="clear" w:color="auto" w:fill="auto"/>
          </w:tcPr>
          <w:p w14:paraId="6FB19EEF" w14:textId="77777777" w:rsidR="002E7BFD" w:rsidRDefault="000C172D" w:rsidP="00412ECF">
            <w:pPr>
              <w:widowControl w:val="0"/>
              <w:rPr>
                <w:color w:val="000000"/>
                <w:sz w:val="20"/>
                <w:szCs w:val="20"/>
              </w:rPr>
            </w:pPr>
            <w:r>
              <w:rPr>
                <w:color w:val="000000"/>
                <w:sz w:val="20"/>
                <w:szCs w:val="20"/>
              </w:rPr>
              <w:t>28</w:t>
            </w:r>
          </w:p>
        </w:tc>
        <w:tc>
          <w:tcPr>
            <w:tcW w:w="1195" w:type="dxa"/>
            <w:tcBorders>
              <w:left w:val="single" w:sz="4" w:space="0" w:color="000000"/>
            </w:tcBorders>
            <w:shd w:val="clear" w:color="auto" w:fill="auto"/>
          </w:tcPr>
          <w:p w14:paraId="0C2B2EDD" w14:textId="77777777" w:rsidR="002E7BFD" w:rsidRDefault="000C172D" w:rsidP="00412ECF">
            <w:pPr>
              <w:widowControl w:val="0"/>
              <w:rPr>
                <w:color w:val="000000"/>
                <w:sz w:val="20"/>
                <w:szCs w:val="20"/>
              </w:rPr>
            </w:pPr>
            <w:r>
              <w:rPr>
                <w:color w:val="000000"/>
                <w:sz w:val="20"/>
                <w:szCs w:val="20"/>
              </w:rPr>
              <w:t>25</w:t>
            </w:r>
          </w:p>
        </w:tc>
        <w:tc>
          <w:tcPr>
            <w:tcW w:w="1078" w:type="dxa"/>
            <w:tcBorders>
              <w:left w:val="single" w:sz="4" w:space="0" w:color="000000"/>
              <w:right w:val="single" w:sz="4" w:space="0" w:color="000000"/>
            </w:tcBorders>
          </w:tcPr>
          <w:p w14:paraId="6FB18775" w14:textId="77777777" w:rsidR="002E7BFD" w:rsidRDefault="000C172D" w:rsidP="00412ECF">
            <w:pPr>
              <w:widowControl w:val="0"/>
              <w:rPr>
                <w:color w:val="000000"/>
                <w:sz w:val="20"/>
                <w:szCs w:val="20"/>
              </w:rPr>
            </w:pPr>
            <w:r>
              <w:rPr>
                <w:color w:val="000000"/>
                <w:sz w:val="20"/>
                <w:szCs w:val="20"/>
              </w:rPr>
              <w:t>0</w:t>
            </w:r>
          </w:p>
        </w:tc>
        <w:tc>
          <w:tcPr>
            <w:tcW w:w="900" w:type="dxa"/>
            <w:tcBorders>
              <w:left w:val="single" w:sz="4" w:space="0" w:color="000000"/>
              <w:right w:val="single" w:sz="4" w:space="0" w:color="auto"/>
            </w:tcBorders>
          </w:tcPr>
          <w:p w14:paraId="08A69608" w14:textId="77777777" w:rsidR="002E7BFD" w:rsidRDefault="000C172D" w:rsidP="00412ECF">
            <w:pPr>
              <w:widowControl w:val="0"/>
              <w:rPr>
                <w:color w:val="000000"/>
                <w:sz w:val="20"/>
                <w:szCs w:val="20"/>
              </w:rPr>
            </w:pPr>
            <w:r>
              <w:rPr>
                <w:color w:val="000000"/>
                <w:sz w:val="20"/>
                <w:szCs w:val="20"/>
              </w:rPr>
              <w:t>0</w:t>
            </w:r>
          </w:p>
        </w:tc>
      </w:tr>
      <w:tr w:rsidR="00340CD2" w14:paraId="4A8714A6"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41"/>
        </w:trPr>
        <w:tc>
          <w:tcPr>
            <w:tcW w:w="3659" w:type="dxa"/>
            <w:vMerge/>
            <w:tcBorders>
              <w:top w:val="single" w:sz="12" w:space="0" w:color="000000"/>
            </w:tcBorders>
            <w:shd w:val="clear" w:color="auto" w:fill="A6A6A6"/>
          </w:tcPr>
          <w:p w14:paraId="3342B957"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shd w:val="clear" w:color="auto" w:fill="auto"/>
          </w:tcPr>
          <w:p w14:paraId="21CD105B" w14:textId="77777777" w:rsidR="002E7BFD" w:rsidRDefault="000C172D" w:rsidP="00412ECF">
            <w:pPr>
              <w:widowControl w:val="0"/>
              <w:rPr>
                <w:color w:val="1C1C1C"/>
                <w:sz w:val="20"/>
                <w:szCs w:val="20"/>
              </w:rPr>
            </w:pPr>
            <w:r>
              <w:rPr>
                <w:color w:val="1C1C1C"/>
                <w:sz w:val="20"/>
                <w:szCs w:val="20"/>
              </w:rPr>
              <w:t>Masters</w:t>
            </w:r>
          </w:p>
        </w:tc>
        <w:tc>
          <w:tcPr>
            <w:tcW w:w="1346" w:type="dxa"/>
            <w:shd w:val="clear" w:color="auto" w:fill="auto"/>
          </w:tcPr>
          <w:p w14:paraId="52F92D0D" w14:textId="77777777" w:rsidR="002E7BFD" w:rsidRDefault="000C172D" w:rsidP="00412ECF">
            <w:pPr>
              <w:widowControl w:val="0"/>
              <w:rPr>
                <w:color w:val="000000"/>
                <w:sz w:val="20"/>
                <w:szCs w:val="20"/>
              </w:rPr>
            </w:pPr>
            <w:r>
              <w:rPr>
                <w:color w:val="000000"/>
                <w:sz w:val="20"/>
                <w:szCs w:val="20"/>
              </w:rPr>
              <w:t>64</w:t>
            </w:r>
          </w:p>
        </w:tc>
        <w:tc>
          <w:tcPr>
            <w:tcW w:w="1195" w:type="dxa"/>
            <w:shd w:val="clear" w:color="auto" w:fill="auto"/>
          </w:tcPr>
          <w:p w14:paraId="3C423C31" w14:textId="77777777" w:rsidR="002E7BFD" w:rsidRDefault="000C172D" w:rsidP="00412ECF">
            <w:pPr>
              <w:widowControl w:val="0"/>
              <w:rPr>
                <w:color w:val="000000"/>
                <w:sz w:val="20"/>
                <w:szCs w:val="20"/>
              </w:rPr>
            </w:pPr>
            <w:r>
              <w:rPr>
                <w:color w:val="000000"/>
                <w:sz w:val="20"/>
                <w:szCs w:val="20"/>
              </w:rPr>
              <w:t>57</w:t>
            </w:r>
          </w:p>
        </w:tc>
        <w:tc>
          <w:tcPr>
            <w:tcW w:w="1078" w:type="dxa"/>
          </w:tcPr>
          <w:p w14:paraId="540BEFED" w14:textId="77777777" w:rsidR="002E7BFD" w:rsidRDefault="000C172D" w:rsidP="00412ECF">
            <w:pPr>
              <w:widowControl w:val="0"/>
              <w:rPr>
                <w:color w:val="000000"/>
                <w:sz w:val="20"/>
                <w:szCs w:val="20"/>
              </w:rPr>
            </w:pPr>
            <w:r>
              <w:rPr>
                <w:color w:val="000000"/>
                <w:sz w:val="20"/>
                <w:szCs w:val="20"/>
              </w:rPr>
              <w:t>15</w:t>
            </w:r>
          </w:p>
        </w:tc>
        <w:tc>
          <w:tcPr>
            <w:tcW w:w="900" w:type="dxa"/>
            <w:tcBorders>
              <w:right w:val="single" w:sz="4" w:space="0" w:color="auto"/>
            </w:tcBorders>
          </w:tcPr>
          <w:p w14:paraId="690045EA" w14:textId="77777777" w:rsidR="002E7BFD" w:rsidRDefault="000C172D" w:rsidP="00412ECF">
            <w:pPr>
              <w:widowControl w:val="0"/>
              <w:rPr>
                <w:color w:val="000000"/>
                <w:sz w:val="20"/>
                <w:szCs w:val="20"/>
              </w:rPr>
            </w:pPr>
            <w:r>
              <w:rPr>
                <w:color w:val="000000"/>
                <w:sz w:val="20"/>
                <w:szCs w:val="20"/>
              </w:rPr>
              <w:t>60</w:t>
            </w:r>
          </w:p>
        </w:tc>
      </w:tr>
      <w:tr w:rsidR="00340CD2" w14:paraId="597F62C1"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9"/>
        </w:trPr>
        <w:tc>
          <w:tcPr>
            <w:tcW w:w="3659" w:type="dxa"/>
            <w:vMerge/>
            <w:tcBorders>
              <w:top w:val="single" w:sz="12" w:space="0" w:color="000000"/>
            </w:tcBorders>
            <w:shd w:val="clear" w:color="auto" w:fill="A6A6A6"/>
          </w:tcPr>
          <w:p w14:paraId="3B2FFAB3"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tcBorders>
              <w:bottom w:val="single" w:sz="12" w:space="0" w:color="000000"/>
            </w:tcBorders>
            <w:shd w:val="clear" w:color="auto" w:fill="auto"/>
          </w:tcPr>
          <w:p w14:paraId="3AB16910" w14:textId="77777777" w:rsidR="002E7BFD" w:rsidRDefault="000C172D" w:rsidP="00412ECF">
            <w:pPr>
              <w:widowControl w:val="0"/>
              <w:rPr>
                <w:color w:val="1C1C1C"/>
                <w:sz w:val="20"/>
                <w:szCs w:val="20"/>
              </w:rPr>
            </w:pPr>
            <w:r>
              <w:rPr>
                <w:color w:val="1C1C1C"/>
                <w:sz w:val="20"/>
                <w:szCs w:val="20"/>
              </w:rPr>
              <w:t>PhD</w:t>
            </w:r>
          </w:p>
        </w:tc>
        <w:tc>
          <w:tcPr>
            <w:tcW w:w="1346" w:type="dxa"/>
            <w:tcBorders>
              <w:bottom w:val="single" w:sz="12" w:space="0" w:color="000000"/>
            </w:tcBorders>
            <w:shd w:val="clear" w:color="auto" w:fill="auto"/>
          </w:tcPr>
          <w:p w14:paraId="431861F4" w14:textId="77777777" w:rsidR="002E7BFD" w:rsidRDefault="000C172D" w:rsidP="00412ECF">
            <w:pPr>
              <w:widowControl w:val="0"/>
              <w:rPr>
                <w:color w:val="000000"/>
                <w:sz w:val="20"/>
                <w:szCs w:val="20"/>
              </w:rPr>
            </w:pPr>
            <w:r>
              <w:rPr>
                <w:color w:val="000000"/>
                <w:sz w:val="20"/>
                <w:szCs w:val="20"/>
              </w:rPr>
              <w:t>20</w:t>
            </w:r>
          </w:p>
        </w:tc>
        <w:tc>
          <w:tcPr>
            <w:tcW w:w="1195" w:type="dxa"/>
            <w:tcBorders>
              <w:bottom w:val="single" w:sz="12" w:space="0" w:color="000000"/>
            </w:tcBorders>
            <w:shd w:val="clear" w:color="auto" w:fill="auto"/>
          </w:tcPr>
          <w:p w14:paraId="1972B100" w14:textId="77777777" w:rsidR="002E7BFD" w:rsidRDefault="000C172D" w:rsidP="00412ECF">
            <w:pPr>
              <w:widowControl w:val="0"/>
              <w:rPr>
                <w:color w:val="000000"/>
                <w:sz w:val="20"/>
                <w:szCs w:val="20"/>
              </w:rPr>
            </w:pPr>
            <w:r>
              <w:rPr>
                <w:color w:val="000000"/>
                <w:sz w:val="20"/>
                <w:szCs w:val="20"/>
              </w:rPr>
              <w:t>18</w:t>
            </w:r>
          </w:p>
        </w:tc>
        <w:tc>
          <w:tcPr>
            <w:tcW w:w="1078" w:type="dxa"/>
            <w:tcBorders>
              <w:bottom w:val="single" w:sz="12" w:space="0" w:color="000000"/>
            </w:tcBorders>
          </w:tcPr>
          <w:p w14:paraId="5FFCFAEE" w14:textId="77777777" w:rsidR="002E7BFD" w:rsidRDefault="000C172D" w:rsidP="00412ECF">
            <w:pPr>
              <w:widowControl w:val="0"/>
              <w:rPr>
                <w:color w:val="000000"/>
                <w:sz w:val="20"/>
                <w:szCs w:val="20"/>
              </w:rPr>
            </w:pPr>
            <w:r>
              <w:rPr>
                <w:color w:val="000000"/>
                <w:sz w:val="20"/>
                <w:szCs w:val="20"/>
              </w:rPr>
              <w:t>10</w:t>
            </w:r>
          </w:p>
        </w:tc>
        <w:tc>
          <w:tcPr>
            <w:tcW w:w="900" w:type="dxa"/>
            <w:tcBorders>
              <w:bottom w:val="single" w:sz="12" w:space="0" w:color="000000"/>
              <w:right w:val="single" w:sz="4" w:space="0" w:color="auto"/>
            </w:tcBorders>
          </w:tcPr>
          <w:p w14:paraId="07336391" w14:textId="77777777" w:rsidR="002E7BFD" w:rsidRDefault="000C172D" w:rsidP="00412ECF">
            <w:pPr>
              <w:widowControl w:val="0"/>
              <w:rPr>
                <w:color w:val="000000"/>
                <w:sz w:val="20"/>
                <w:szCs w:val="20"/>
              </w:rPr>
            </w:pPr>
            <w:r>
              <w:rPr>
                <w:color w:val="000000"/>
                <w:sz w:val="20"/>
                <w:szCs w:val="20"/>
              </w:rPr>
              <w:t>40</w:t>
            </w:r>
          </w:p>
        </w:tc>
      </w:tr>
      <w:tr w:rsidR="00340CD2" w14:paraId="722AA4CE"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
        </w:trPr>
        <w:tc>
          <w:tcPr>
            <w:tcW w:w="3659" w:type="dxa"/>
            <w:vMerge w:val="restart"/>
            <w:tcBorders>
              <w:top w:val="single" w:sz="12" w:space="0" w:color="000000"/>
              <w:bottom w:val="single" w:sz="12" w:space="0" w:color="000000"/>
            </w:tcBorders>
            <w:shd w:val="clear" w:color="auto" w:fill="A6A6A6"/>
          </w:tcPr>
          <w:p w14:paraId="06FC5EFB" w14:textId="77777777" w:rsidR="002E7BFD" w:rsidRDefault="000C172D" w:rsidP="00412ECF">
            <w:pPr>
              <w:widowControl w:val="0"/>
              <w:rPr>
                <w:b/>
                <w:color w:val="1C1C1C"/>
                <w:sz w:val="20"/>
                <w:szCs w:val="20"/>
              </w:rPr>
            </w:pPr>
            <w:r>
              <w:rPr>
                <w:b/>
                <w:i/>
                <w:color w:val="1C1C1C"/>
                <w:sz w:val="20"/>
                <w:szCs w:val="20"/>
              </w:rPr>
              <w:t>Age category</w:t>
            </w:r>
          </w:p>
        </w:tc>
        <w:tc>
          <w:tcPr>
            <w:tcW w:w="1808" w:type="dxa"/>
            <w:tcBorders>
              <w:top w:val="single" w:sz="12" w:space="0" w:color="000000"/>
              <w:left w:val="single" w:sz="8" w:space="0" w:color="000000"/>
              <w:bottom w:val="single" w:sz="4" w:space="0" w:color="000000"/>
              <w:right w:val="single" w:sz="8" w:space="0" w:color="000000"/>
            </w:tcBorders>
            <w:shd w:val="clear" w:color="auto" w:fill="auto"/>
          </w:tcPr>
          <w:p w14:paraId="1AD486FF" w14:textId="77777777" w:rsidR="002E7BFD" w:rsidRDefault="000C172D" w:rsidP="00412ECF">
            <w:pPr>
              <w:widowControl w:val="0"/>
              <w:rPr>
                <w:color w:val="1C1C1C"/>
                <w:sz w:val="20"/>
                <w:szCs w:val="20"/>
              </w:rPr>
            </w:pPr>
            <w:r>
              <w:rPr>
                <w:color w:val="1C1C1C"/>
                <w:sz w:val="20"/>
                <w:szCs w:val="20"/>
              </w:rPr>
              <w:t>20-30</w:t>
            </w:r>
          </w:p>
        </w:tc>
        <w:tc>
          <w:tcPr>
            <w:tcW w:w="1346" w:type="dxa"/>
            <w:tcBorders>
              <w:top w:val="single" w:sz="12" w:space="0" w:color="000000"/>
              <w:left w:val="single" w:sz="8" w:space="0" w:color="000000"/>
              <w:bottom w:val="single" w:sz="8" w:space="0" w:color="000000"/>
              <w:right w:val="single" w:sz="8" w:space="0" w:color="000000"/>
            </w:tcBorders>
            <w:shd w:val="clear" w:color="auto" w:fill="auto"/>
          </w:tcPr>
          <w:p w14:paraId="664BA6DF" w14:textId="77777777" w:rsidR="002E7BFD" w:rsidRDefault="000C172D" w:rsidP="00412ECF">
            <w:pPr>
              <w:widowControl w:val="0"/>
              <w:rPr>
                <w:color w:val="000000"/>
                <w:sz w:val="20"/>
                <w:szCs w:val="20"/>
              </w:rPr>
            </w:pPr>
            <w:r>
              <w:rPr>
                <w:color w:val="000000"/>
                <w:sz w:val="20"/>
                <w:szCs w:val="20"/>
              </w:rPr>
              <w:t>13</w:t>
            </w:r>
          </w:p>
        </w:tc>
        <w:tc>
          <w:tcPr>
            <w:tcW w:w="1195" w:type="dxa"/>
            <w:tcBorders>
              <w:top w:val="single" w:sz="12" w:space="0" w:color="000000"/>
              <w:left w:val="single" w:sz="8" w:space="0" w:color="000000"/>
              <w:bottom w:val="single" w:sz="8" w:space="0" w:color="000000"/>
              <w:right w:val="single" w:sz="8" w:space="0" w:color="000000"/>
            </w:tcBorders>
            <w:shd w:val="clear" w:color="auto" w:fill="auto"/>
          </w:tcPr>
          <w:p w14:paraId="7F4DA8BA" w14:textId="77777777" w:rsidR="002E7BFD" w:rsidRDefault="000C172D" w:rsidP="00412ECF">
            <w:pPr>
              <w:widowControl w:val="0"/>
              <w:rPr>
                <w:color w:val="000000"/>
                <w:sz w:val="20"/>
                <w:szCs w:val="20"/>
              </w:rPr>
            </w:pPr>
            <w:r>
              <w:rPr>
                <w:color w:val="000000"/>
                <w:sz w:val="20"/>
                <w:szCs w:val="20"/>
              </w:rPr>
              <w:t>12</w:t>
            </w:r>
          </w:p>
        </w:tc>
        <w:tc>
          <w:tcPr>
            <w:tcW w:w="1078" w:type="dxa"/>
            <w:tcBorders>
              <w:top w:val="single" w:sz="12" w:space="0" w:color="000000"/>
              <w:left w:val="single" w:sz="8" w:space="0" w:color="000000"/>
              <w:bottom w:val="single" w:sz="8" w:space="0" w:color="000000"/>
              <w:right w:val="single" w:sz="8" w:space="0" w:color="000000"/>
            </w:tcBorders>
          </w:tcPr>
          <w:p w14:paraId="614EE11A" w14:textId="77777777" w:rsidR="002E7BFD" w:rsidRDefault="000C172D" w:rsidP="00412ECF">
            <w:pPr>
              <w:widowControl w:val="0"/>
              <w:rPr>
                <w:color w:val="000000"/>
                <w:sz w:val="20"/>
                <w:szCs w:val="20"/>
              </w:rPr>
            </w:pPr>
            <w:r>
              <w:rPr>
                <w:color w:val="000000"/>
                <w:sz w:val="20"/>
                <w:szCs w:val="20"/>
              </w:rPr>
              <w:t>0</w:t>
            </w:r>
          </w:p>
        </w:tc>
        <w:tc>
          <w:tcPr>
            <w:tcW w:w="900" w:type="dxa"/>
            <w:tcBorders>
              <w:top w:val="single" w:sz="12" w:space="0" w:color="000000"/>
              <w:left w:val="single" w:sz="8" w:space="0" w:color="000000"/>
              <w:bottom w:val="single" w:sz="8" w:space="0" w:color="000000"/>
              <w:right w:val="single" w:sz="4" w:space="0" w:color="auto"/>
            </w:tcBorders>
          </w:tcPr>
          <w:p w14:paraId="2A1E9443" w14:textId="77777777" w:rsidR="002E7BFD" w:rsidRDefault="000C172D" w:rsidP="00412ECF">
            <w:pPr>
              <w:widowControl w:val="0"/>
              <w:rPr>
                <w:color w:val="000000"/>
                <w:sz w:val="20"/>
                <w:szCs w:val="20"/>
              </w:rPr>
            </w:pPr>
            <w:r>
              <w:rPr>
                <w:color w:val="000000"/>
                <w:sz w:val="20"/>
                <w:szCs w:val="20"/>
              </w:rPr>
              <w:t>0</w:t>
            </w:r>
          </w:p>
        </w:tc>
      </w:tr>
      <w:tr w:rsidR="00340CD2" w14:paraId="6CFB088B"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9"/>
        </w:trPr>
        <w:tc>
          <w:tcPr>
            <w:tcW w:w="3659" w:type="dxa"/>
            <w:vMerge/>
            <w:tcBorders>
              <w:top w:val="single" w:sz="12" w:space="0" w:color="000000"/>
              <w:bottom w:val="single" w:sz="12" w:space="0" w:color="000000"/>
            </w:tcBorders>
            <w:shd w:val="clear" w:color="auto" w:fill="A6A6A6"/>
          </w:tcPr>
          <w:p w14:paraId="69016433"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tcBorders>
              <w:top w:val="single" w:sz="4" w:space="0" w:color="000000"/>
              <w:bottom w:val="single" w:sz="8" w:space="0" w:color="000000"/>
              <w:right w:val="single" w:sz="8" w:space="0" w:color="000000"/>
            </w:tcBorders>
            <w:shd w:val="clear" w:color="auto" w:fill="auto"/>
          </w:tcPr>
          <w:p w14:paraId="756DF1FC" w14:textId="77777777" w:rsidR="002E7BFD" w:rsidRDefault="000C172D" w:rsidP="00412ECF">
            <w:pPr>
              <w:widowControl w:val="0"/>
              <w:rPr>
                <w:color w:val="1C1C1C"/>
                <w:sz w:val="20"/>
                <w:szCs w:val="20"/>
              </w:rPr>
            </w:pPr>
            <w:r>
              <w:rPr>
                <w:color w:val="1C1C1C"/>
                <w:sz w:val="20"/>
                <w:szCs w:val="20"/>
              </w:rPr>
              <w:t>30-40</w:t>
            </w:r>
          </w:p>
        </w:tc>
        <w:tc>
          <w:tcPr>
            <w:tcW w:w="1346" w:type="dxa"/>
            <w:tcBorders>
              <w:top w:val="single" w:sz="8" w:space="0" w:color="000000"/>
              <w:left w:val="single" w:sz="8" w:space="0" w:color="000000"/>
              <w:bottom w:val="single" w:sz="8" w:space="0" w:color="000000"/>
              <w:right w:val="single" w:sz="8" w:space="0" w:color="000000"/>
            </w:tcBorders>
            <w:shd w:val="clear" w:color="auto" w:fill="auto"/>
          </w:tcPr>
          <w:p w14:paraId="15E93B3F" w14:textId="77777777" w:rsidR="002E7BFD" w:rsidRDefault="000C172D" w:rsidP="00412ECF">
            <w:pPr>
              <w:widowControl w:val="0"/>
              <w:rPr>
                <w:color w:val="000000"/>
                <w:sz w:val="20"/>
                <w:szCs w:val="20"/>
              </w:rPr>
            </w:pPr>
            <w:r>
              <w:rPr>
                <w:color w:val="000000"/>
                <w:sz w:val="20"/>
                <w:szCs w:val="20"/>
              </w:rPr>
              <w:t>62</w:t>
            </w:r>
          </w:p>
        </w:tc>
        <w:tc>
          <w:tcPr>
            <w:tcW w:w="1195" w:type="dxa"/>
            <w:tcBorders>
              <w:top w:val="single" w:sz="8" w:space="0" w:color="000000"/>
              <w:left w:val="single" w:sz="8" w:space="0" w:color="000000"/>
              <w:bottom w:val="single" w:sz="8" w:space="0" w:color="000000"/>
              <w:right w:val="single" w:sz="8" w:space="0" w:color="000000"/>
            </w:tcBorders>
            <w:shd w:val="clear" w:color="auto" w:fill="auto"/>
          </w:tcPr>
          <w:p w14:paraId="2F92AC8A" w14:textId="77777777" w:rsidR="002E7BFD" w:rsidRDefault="000C172D" w:rsidP="00412ECF">
            <w:pPr>
              <w:widowControl w:val="0"/>
              <w:rPr>
                <w:color w:val="000000"/>
                <w:sz w:val="20"/>
                <w:szCs w:val="20"/>
              </w:rPr>
            </w:pPr>
            <w:r>
              <w:rPr>
                <w:color w:val="000000"/>
                <w:sz w:val="20"/>
                <w:szCs w:val="20"/>
              </w:rPr>
              <w:t>56</w:t>
            </w:r>
          </w:p>
        </w:tc>
        <w:tc>
          <w:tcPr>
            <w:tcW w:w="1078" w:type="dxa"/>
            <w:tcBorders>
              <w:top w:val="single" w:sz="8" w:space="0" w:color="000000"/>
              <w:left w:val="single" w:sz="8" w:space="0" w:color="000000"/>
              <w:bottom w:val="single" w:sz="8" w:space="0" w:color="000000"/>
              <w:right w:val="single" w:sz="8" w:space="0" w:color="000000"/>
            </w:tcBorders>
          </w:tcPr>
          <w:p w14:paraId="28F1FD01" w14:textId="77777777" w:rsidR="002E7BFD" w:rsidRDefault="000C172D" w:rsidP="00412ECF">
            <w:pPr>
              <w:widowControl w:val="0"/>
              <w:rPr>
                <w:color w:val="000000"/>
                <w:sz w:val="20"/>
                <w:szCs w:val="20"/>
              </w:rPr>
            </w:pPr>
            <w:r>
              <w:rPr>
                <w:color w:val="000000"/>
                <w:sz w:val="20"/>
                <w:szCs w:val="20"/>
              </w:rPr>
              <w:t>8</w:t>
            </w:r>
          </w:p>
        </w:tc>
        <w:tc>
          <w:tcPr>
            <w:tcW w:w="900" w:type="dxa"/>
            <w:tcBorders>
              <w:top w:val="single" w:sz="8" w:space="0" w:color="000000"/>
              <w:left w:val="single" w:sz="8" w:space="0" w:color="000000"/>
              <w:bottom w:val="single" w:sz="8" w:space="0" w:color="000000"/>
              <w:right w:val="single" w:sz="4" w:space="0" w:color="auto"/>
            </w:tcBorders>
          </w:tcPr>
          <w:p w14:paraId="6683E527" w14:textId="77777777" w:rsidR="002E7BFD" w:rsidRDefault="000C172D" w:rsidP="00412ECF">
            <w:pPr>
              <w:widowControl w:val="0"/>
              <w:rPr>
                <w:color w:val="000000"/>
                <w:sz w:val="20"/>
                <w:szCs w:val="20"/>
              </w:rPr>
            </w:pPr>
            <w:r>
              <w:rPr>
                <w:color w:val="000000"/>
                <w:sz w:val="20"/>
                <w:szCs w:val="20"/>
              </w:rPr>
              <w:t>32</w:t>
            </w:r>
          </w:p>
        </w:tc>
      </w:tr>
      <w:tr w:rsidR="00340CD2" w14:paraId="3E470666"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41"/>
        </w:trPr>
        <w:tc>
          <w:tcPr>
            <w:tcW w:w="3659" w:type="dxa"/>
            <w:vMerge/>
            <w:tcBorders>
              <w:top w:val="single" w:sz="12" w:space="0" w:color="000000"/>
              <w:bottom w:val="single" w:sz="12" w:space="0" w:color="000000"/>
            </w:tcBorders>
            <w:shd w:val="clear" w:color="auto" w:fill="A6A6A6"/>
          </w:tcPr>
          <w:p w14:paraId="7583B49A"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tcBorders>
              <w:top w:val="single" w:sz="8" w:space="0" w:color="000000"/>
              <w:bottom w:val="single" w:sz="8" w:space="0" w:color="000000"/>
              <w:right w:val="single" w:sz="8" w:space="0" w:color="000000"/>
            </w:tcBorders>
            <w:shd w:val="clear" w:color="auto" w:fill="auto"/>
          </w:tcPr>
          <w:p w14:paraId="58B47EBD" w14:textId="77777777" w:rsidR="002E7BFD" w:rsidRDefault="000C172D" w:rsidP="00412ECF">
            <w:pPr>
              <w:widowControl w:val="0"/>
              <w:rPr>
                <w:color w:val="1C1C1C"/>
                <w:sz w:val="20"/>
                <w:szCs w:val="20"/>
              </w:rPr>
            </w:pPr>
            <w:r>
              <w:rPr>
                <w:color w:val="1C1C1C"/>
                <w:sz w:val="20"/>
                <w:szCs w:val="20"/>
              </w:rPr>
              <w:t>40-50</w:t>
            </w:r>
          </w:p>
        </w:tc>
        <w:tc>
          <w:tcPr>
            <w:tcW w:w="1346" w:type="dxa"/>
            <w:tcBorders>
              <w:top w:val="single" w:sz="8" w:space="0" w:color="000000"/>
              <w:left w:val="single" w:sz="8" w:space="0" w:color="000000"/>
              <w:bottom w:val="single" w:sz="8" w:space="0" w:color="000000"/>
              <w:right w:val="single" w:sz="8" w:space="0" w:color="000000"/>
            </w:tcBorders>
            <w:shd w:val="clear" w:color="auto" w:fill="auto"/>
          </w:tcPr>
          <w:p w14:paraId="1F6F102C" w14:textId="77777777" w:rsidR="002E7BFD" w:rsidRDefault="000C172D" w:rsidP="00412ECF">
            <w:pPr>
              <w:widowControl w:val="0"/>
              <w:rPr>
                <w:color w:val="000000"/>
                <w:sz w:val="20"/>
                <w:szCs w:val="20"/>
              </w:rPr>
            </w:pPr>
            <w:r>
              <w:rPr>
                <w:color w:val="000000"/>
                <w:sz w:val="20"/>
                <w:szCs w:val="20"/>
              </w:rPr>
              <w:t>17</w:t>
            </w:r>
          </w:p>
        </w:tc>
        <w:tc>
          <w:tcPr>
            <w:tcW w:w="1195" w:type="dxa"/>
            <w:tcBorders>
              <w:top w:val="single" w:sz="8" w:space="0" w:color="000000"/>
              <w:left w:val="single" w:sz="8" w:space="0" w:color="000000"/>
              <w:bottom w:val="single" w:sz="8" w:space="0" w:color="000000"/>
              <w:right w:val="single" w:sz="8" w:space="0" w:color="000000"/>
            </w:tcBorders>
            <w:shd w:val="clear" w:color="auto" w:fill="auto"/>
          </w:tcPr>
          <w:p w14:paraId="02CC36F6" w14:textId="77777777" w:rsidR="002E7BFD" w:rsidRDefault="000C172D" w:rsidP="00412ECF">
            <w:pPr>
              <w:widowControl w:val="0"/>
              <w:rPr>
                <w:color w:val="000000"/>
                <w:sz w:val="20"/>
                <w:szCs w:val="20"/>
              </w:rPr>
            </w:pPr>
            <w:r>
              <w:rPr>
                <w:color w:val="000000"/>
                <w:sz w:val="20"/>
                <w:szCs w:val="20"/>
              </w:rPr>
              <w:t>15</w:t>
            </w:r>
          </w:p>
        </w:tc>
        <w:tc>
          <w:tcPr>
            <w:tcW w:w="1078" w:type="dxa"/>
            <w:tcBorders>
              <w:top w:val="single" w:sz="8" w:space="0" w:color="000000"/>
              <w:left w:val="single" w:sz="8" w:space="0" w:color="000000"/>
              <w:bottom w:val="single" w:sz="8" w:space="0" w:color="000000"/>
              <w:right w:val="single" w:sz="8" w:space="0" w:color="000000"/>
            </w:tcBorders>
          </w:tcPr>
          <w:p w14:paraId="6F654013" w14:textId="77777777" w:rsidR="002E7BFD" w:rsidRDefault="000C172D" w:rsidP="00412ECF">
            <w:pPr>
              <w:widowControl w:val="0"/>
              <w:rPr>
                <w:color w:val="000000"/>
                <w:sz w:val="20"/>
                <w:szCs w:val="20"/>
              </w:rPr>
            </w:pPr>
            <w:r>
              <w:rPr>
                <w:color w:val="000000"/>
                <w:sz w:val="20"/>
                <w:szCs w:val="20"/>
              </w:rPr>
              <w:t>10</w:t>
            </w:r>
          </w:p>
        </w:tc>
        <w:tc>
          <w:tcPr>
            <w:tcW w:w="900" w:type="dxa"/>
            <w:tcBorders>
              <w:top w:val="single" w:sz="8" w:space="0" w:color="000000"/>
              <w:left w:val="single" w:sz="8" w:space="0" w:color="000000"/>
              <w:bottom w:val="single" w:sz="8" w:space="0" w:color="000000"/>
              <w:right w:val="single" w:sz="4" w:space="0" w:color="auto"/>
            </w:tcBorders>
          </w:tcPr>
          <w:p w14:paraId="1A580867" w14:textId="77777777" w:rsidR="002E7BFD" w:rsidRDefault="000C172D" w:rsidP="00412ECF">
            <w:pPr>
              <w:widowControl w:val="0"/>
              <w:rPr>
                <w:color w:val="000000"/>
                <w:sz w:val="20"/>
                <w:szCs w:val="20"/>
              </w:rPr>
            </w:pPr>
            <w:r>
              <w:rPr>
                <w:color w:val="000000"/>
                <w:sz w:val="20"/>
                <w:szCs w:val="20"/>
              </w:rPr>
              <w:t>40</w:t>
            </w:r>
          </w:p>
        </w:tc>
      </w:tr>
      <w:tr w:rsidR="00340CD2" w14:paraId="583A9FB2"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9"/>
        </w:trPr>
        <w:tc>
          <w:tcPr>
            <w:tcW w:w="3659" w:type="dxa"/>
            <w:vMerge/>
            <w:tcBorders>
              <w:top w:val="single" w:sz="12" w:space="0" w:color="000000"/>
              <w:bottom w:val="single" w:sz="12" w:space="0" w:color="000000"/>
            </w:tcBorders>
            <w:shd w:val="clear" w:color="auto" w:fill="A6A6A6"/>
          </w:tcPr>
          <w:p w14:paraId="45CD4C9F"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tcBorders>
              <w:top w:val="single" w:sz="8" w:space="0" w:color="000000"/>
              <w:bottom w:val="single" w:sz="12" w:space="0" w:color="000000"/>
              <w:right w:val="single" w:sz="8" w:space="0" w:color="000000"/>
            </w:tcBorders>
            <w:shd w:val="clear" w:color="auto" w:fill="auto"/>
          </w:tcPr>
          <w:p w14:paraId="70015A3B" w14:textId="77777777" w:rsidR="002E7BFD" w:rsidRDefault="000C172D" w:rsidP="00412ECF">
            <w:pPr>
              <w:widowControl w:val="0"/>
              <w:rPr>
                <w:color w:val="1C1C1C"/>
                <w:sz w:val="20"/>
                <w:szCs w:val="20"/>
              </w:rPr>
            </w:pPr>
            <w:r>
              <w:rPr>
                <w:color w:val="1C1C1C"/>
                <w:sz w:val="20"/>
                <w:szCs w:val="20"/>
              </w:rPr>
              <w:t>50+</w:t>
            </w:r>
          </w:p>
        </w:tc>
        <w:tc>
          <w:tcPr>
            <w:tcW w:w="1346" w:type="dxa"/>
            <w:tcBorders>
              <w:top w:val="single" w:sz="8" w:space="0" w:color="000000"/>
              <w:left w:val="single" w:sz="8" w:space="0" w:color="000000"/>
              <w:bottom w:val="single" w:sz="12" w:space="0" w:color="000000"/>
              <w:right w:val="single" w:sz="8" w:space="0" w:color="000000"/>
            </w:tcBorders>
            <w:shd w:val="clear" w:color="auto" w:fill="auto"/>
          </w:tcPr>
          <w:p w14:paraId="7EEF8DE7" w14:textId="77777777" w:rsidR="002E7BFD" w:rsidRDefault="000C172D" w:rsidP="00412ECF">
            <w:pPr>
              <w:widowControl w:val="0"/>
              <w:rPr>
                <w:color w:val="000000"/>
                <w:sz w:val="20"/>
                <w:szCs w:val="20"/>
              </w:rPr>
            </w:pPr>
            <w:r>
              <w:rPr>
                <w:color w:val="000000"/>
                <w:sz w:val="20"/>
                <w:szCs w:val="20"/>
              </w:rPr>
              <w:t>19</w:t>
            </w:r>
          </w:p>
        </w:tc>
        <w:tc>
          <w:tcPr>
            <w:tcW w:w="1195" w:type="dxa"/>
            <w:tcBorders>
              <w:top w:val="single" w:sz="8" w:space="0" w:color="000000"/>
              <w:left w:val="single" w:sz="8" w:space="0" w:color="000000"/>
              <w:bottom w:val="single" w:sz="12" w:space="0" w:color="000000"/>
              <w:right w:val="single" w:sz="8" w:space="0" w:color="000000"/>
            </w:tcBorders>
            <w:shd w:val="clear" w:color="auto" w:fill="auto"/>
          </w:tcPr>
          <w:p w14:paraId="4723DC84" w14:textId="77777777" w:rsidR="002E7BFD" w:rsidRDefault="000C172D" w:rsidP="00412ECF">
            <w:pPr>
              <w:widowControl w:val="0"/>
              <w:rPr>
                <w:color w:val="000000"/>
                <w:sz w:val="20"/>
                <w:szCs w:val="20"/>
              </w:rPr>
            </w:pPr>
            <w:r>
              <w:rPr>
                <w:color w:val="000000"/>
                <w:sz w:val="20"/>
                <w:szCs w:val="20"/>
              </w:rPr>
              <w:t>17</w:t>
            </w:r>
          </w:p>
        </w:tc>
        <w:tc>
          <w:tcPr>
            <w:tcW w:w="1078" w:type="dxa"/>
            <w:tcBorders>
              <w:top w:val="single" w:sz="8" w:space="0" w:color="000000"/>
              <w:left w:val="single" w:sz="8" w:space="0" w:color="000000"/>
              <w:bottom w:val="single" w:sz="12" w:space="0" w:color="000000"/>
              <w:right w:val="single" w:sz="8" w:space="0" w:color="000000"/>
            </w:tcBorders>
          </w:tcPr>
          <w:p w14:paraId="45CF88B2" w14:textId="77777777" w:rsidR="002E7BFD" w:rsidRDefault="000C172D" w:rsidP="00412ECF">
            <w:pPr>
              <w:widowControl w:val="0"/>
              <w:rPr>
                <w:color w:val="000000"/>
                <w:sz w:val="20"/>
                <w:szCs w:val="20"/>
              </w:rPr>
            </w:pPr>
            <w:r>
              <w:rPr>
                <w:color w:val="000000"/>
                <w:sz w:val="20"/>
                <w:szCs w:val="20"/>
              </w:rPr>
              <w:t>7</w:t>
            </w:r>
          </w:p>
        </w:tc>
        <w:tc>
          <w:tcPr>
            <w:tcW w:w="900" w:type="dxa"/>
            <w:tcBorders>
              <w:top w:val="single" w:sz="8" w:space="0" w:color="000000"/>
              <w:left w:val="single" w:sz="8" w:space="0" w:color="000000"/>
              <w:bottom w:val="single" w:sz="12" w:space="0" w:color="000000"/>
              <w:right w:val="single" w:sz="4" w:space="0" w:color="auto"/>
            </w:tcBorders>
          </w:tcPr>
          <w:p w14:paraId="45BBFF36" w14:textId="77777777" w:rsidR="002E7BFD" w:rsidRDefault="000C172D" w:rsidP="00412ECF">
            <w:pPr>
              <w:widowControl w:val="0"/>
              <w:rPr>
                <w:color w:val="000000"/>
                <w:sz w:val="20"/>
                <w:szCs w:val="20"/>
              </w:rPr>
            </w:pPr>
            <w:r>
              <w:rPr>
                <w:color w:val="000000"/>
                <w:sz w:val="20"/>
                <w:szCs w:val="20"/>
              </w:rPr>
              <w:t>28</w:t>
            </w:r>
          </w:p>
        </w:tc>
      </w:tr>
      <w:tr w:rsidR="00340CD2" w14:paraId="66407FAE"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rPr>
        <w:tc>
          <w:tcPr>
            <w:tcW w:w="3659" w:type="dxa"/>
            <w:vMerge w:val="restart"/>
            <w:tcBorders>
              <w:top w:val="single" w:sz="12" w:space="0" w:color="000000"/>
              <w:left w:val="single" w:sz="8" w:space="0" w:color="000000"/>
              <w:bottom w:val="single" w:sz="12" w:space="0" w:color="000000"/>
              <w:right w:val="single" w:sz="8" w:space="0" w:color="000000"/>
            </w:tcBorders>
            <w:shd w:val="clear" w:color="auto" w:fill="A6A6A6"/>
          </w:tcPr>
          <w:p w14:paraId="5C0D4AC7" w14:textId="77777777" w:rsidR="002E7BFD" w:rsidRDefault="002E7BFD" w:rsidP="00412ECF">
            <w:pPr>
              <w:widowControl w:val="0"/>
              <w:rPr>
                <w:b/>
                <w:color w:val="1C1C1C"/>
                <w:sz w:val="20"/>
                <w:szCs w:val="20"/>
              </w:rPr>
            </w:pPr>
          </w:p>
          <w:p w14:paraId="04FA8957" w14:textId="77777777" w:rsidR="002E7BFD" w:rsidRDefault="000C172D" w:rsidP="00412ECF">
            <w:pPr>
              <w:widowControl w:val="0"/>
              <w:rPr>
                <w:b/>
                <w:color w:val="1C1C1C"/>
                <w:sz w:val="20"/>
                <w:szCs w:val="20"/>
              </w:rPr>
            </w:pPr>
            <w:r>
              <w:rPr>
                <w:b/>
                <w:i/>
                <w:color w:val="1C1C1C"/>
                <w:sz w:val="20"/>
                <w:szCs w:val="20"/>
              </w:rPr>
              <w:t>Years of experience in EIA projects</w:t>
            </w:r>
          </w:p>
        </w:tc>
        <w:tc>
          <w:tcPr>
            <w:tcW w:w="1808" w:type="dxa"/>
            <w:tcBorders>
              <w:top w:val="single" w:sz="12" w:space="0" w:color="000000"/>
            </w:tcBorders>
            <w:shd w:val="clear" w:color="auto" w:fill="auto"/>
          </w:tcPr>
          <w:p w14:paraId="1A73884E" w14:textId="77777777" w:rsidR="002E7BFD" w:rsidRDefault="000C172D" w:rsidP="00412ECF">
            <w:pPr>
              <w:widowControl w:val="0"/>
              <w:rPr>
                <w:color w:val="1C1C1C"/>
                <w:sz w:val="20"/>
                <w:szCs w:val="20"/>
              </w:rPr>
            </w:pPr>
            <w:r>
              <w:rPr>
                <w:color w:val="1C1C1C"/>
                <w:sz w:val="20"/>
                <w:szCs w:val="20"/>
              </w:rPr>
              <w:t>Less than 1 year</w:t>
            </w:r>
          </w:p>
        </w:tc>
        <w:tc>
          <w:tcPr>
            <w:tcW w:w="1346" w:type="dxa"/>
            <w:tcBorders>
              <w:top w:val="single" w:sz="12" w:space="0" w:color="000000"/>
            </w:tcBorders>
            <w:shd w:val="clear" w:color="auto" w:fill="auto"/>
          </w:tcPr>
          <w:p w14:paraId="5D40C691" w14:textId="77777777" w:rsidR="002E7BFD" w:rsidRDefault="000C172D" w:rsidP="00412ECF">
            <w:pPr>
              <w:widowControl w:val="0"/>
              <w:rPr>
                <w:color w:val="000000"/>
                <w:sz w:val="20"/>
                <w:szCs w:val="20"/>
              </w:rPr>
            </w:pPr>
            <w:r>
              <w:rPr>
                <w:color w:val="000000"/>
                <w:sz w:val="20"/>
                <w:szCs w:val="20"/>
              </w:rPr>
              <w:t>10</w:t>
            </w:r>
          </w:p>
        </w:tc>
        <w:tc>
          <w:tcPr>
            <w:tcW w:w="1195" w:type="dxa"/>
            <w:tcBorders>
              <w:top w:val="single" w:sz="12" w:space="0" w:color="000000"/>
            </w:tcBorders>
            <w:shd w:val="clear" w:color="auto" w:fill="auto"/>
          </w:tcPr>
          <w:p w14:paraId="190E854A" w14:textId="77777777" w:rsidR="002E7BFD" w:rsidRDefault="000C172D" w:rsidP="00412ECF">
            <w:pPr>
              <w:widowControl w:val="0"/>
              <w:rPr>
                <w:color w:val="000000"/>
                <w:sz w:val="20"/>
                <w:szCs w:val="20"/>
              </w:rPr>
            </w:pPr>
            <w:r>
              <w:rPr>
                <w:color w:val="000000"/>
                <w:sz w:val="20"/>
                <w:szCs w:val="20"/>
              </w:rPr>
              <w:t>9</w:t>
            </w:r>
          </w:p>
        </w:tc>
        <w:tc>
          <w:tcPr>
            <w:tcW w:w="1078" w:type="dxa"/>
            <w:tcBorders>
              <w:top w:val="single" w:sz="12" w:space="0" w:color="000000"/>
            </w:tcBorders>
          </w:tcPr>
          <w:p w14:paraId="5D1C2ED7" w14:textId="77777777" w:rsidR="002E7BFD" w:rsidRDefault="000C172D" w:rsidP="00412ECF">
            <w:pPr>
              <w:widowControl w:val="0"/>
              <w:rPr>
                <w:color w:val="000000"/>
                <w:sz w:val="20"/>
                <w:szCs w:val="20"/>
              </w:rPr>
            </w:pPr>
            <w:r>
              <w:rPr>
                <w:color w:val="000000"/>
                <w:sz w:val="20"/>
                <w:szCs w:val="20"/>
              </w:rPr>
              <w:t>0</w:t>
            </w:r>
          </w:p>
        </w:tc>
        <w:tc>
          <w:tcPr>
            <w:tcW w:w="900" w:type="dxa"/>
            <w:tcBorders>
              <w:top w:val="single" w:sz="12" w:space="0" w:color="000000"/>
              <w:right w:val="single" w:sz="4" w:space="0" w:color="auto"/>
            </w:tcBorders>
          </w:tcPr>
          <w:p w14:paraId="1D3DC879" w14:textId="77777777" w:rsidR="002E7BFD" w:rsidRDefault="000C172D" w:rsidP="00412ECF">
            <w:pPr>
              <w:widowControl w:val="0"/>
              <w:rPr>
                <w:color w:val="000000"/>
                <w:sz w:val="20"/>
                <w:szCs w:val="20"/>
              </w:rPr>
            </w:pPr>
            <w:r>
              <w:rPr>
                <w:color w:val="000000"/>
                <w:sz w:val="20"/>
                <w:szCs w:val="20"/>
              </w:rPr>
              <w:t>0</w:t>
            </w:r>
          </w:p>
        </w:tc>
      </w:tr>
      <w:tr w:rsidR="00340CD2" w14:paraId="6E45FC34"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rPr>
        <w:tc>
          <w:tcPr>
            <w:tcW w:w="3659" w:type="dxa"/>
            <w:vMerge/>
            <w:tcBorders>
              <w:top w:val="single" w:sz="12" w:space="0" w:color="000000"/>
              <w:left w:val="single" w:sz="8" w:space="0" w:color="000000"/>
              <w:bottom w:val="single" w:sz="12" w:space="0" w:color="000000"/>
              <w:right w:val="single" w:sz="8" w:space="0" w:color="000000"/>
            </w:tcBorders>
            <w:shd w:val="clear" w:color="auto" w:fill="A6A6A6"/>
          </w:tcPr>
          <w:p w14:paraId="536F191E"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tcBorders>
              <w:left w:val="single" w:sz="8" w:space="0" w:color="000000"/>
            </w:tcBorders>
            <w:shd w:val="clear" w:color="auto" w:fill="auto"/>
          </w:tcPr>
          <w:p w14:paraId="682364BE" w14:textId="77777777" w:rsidR="002E7BFD" w:rsidRDefault="000C172D" w:rsidP="00412ECF">
            <w:pPr>
              <w:widowControl w:val="0"/>
              <w:rPr>
                <w:color w:val="1C1C1C"/>
                <w:sz w:val="20"/>
                <w:szCs w:val="20"/>
              </w:rPr>
            </w:pPr>
            <w:r>
              <w:rPr>
                <w:color w:val="1C1C1C"/>
                <w:sz w:val="20"/>
                <w:szCs w:val="20"/>
              </w:rPr>
              <w:t>1-5 years</w:t>
            </w:r>
          </w:p>
        </w:tc>
        <w:tc>
          <w:tcPr>
            <w:tcW w:w="1346" w:type="dxa"/>
            <w:shd w:val="clear" w:color="auto" w:fill="auto"/>
          </w:tcPr>
          <w:p w14:paraId="30DCCCDA" w14:textId="77777777" w:rsidR="002E7BFD" w:rsidRDefault="000C172D" w:rsidP="00412ECF">
            <w:pPr>
              <w:widowControl w:val="0"/>
              <w:rPr>
                <w:color w:val="000000"/>
                <w:sz w:val="20"/>
                <w:szCs w:val="20"/>
              </w:rPr>
            </w:pPr>
            <w:r>
              <w:rPr>
                <w:color w:val="000000"/>
                <w:sz w:val="20"/>
                <w:szCs w:val="20"/>
              </w:rPr>
              <w:t>42</w:t>
            </w:r>
          </w:p>
        </w:tc>
        <w:tc>
          <w:tcPr>
            <w:tcW w:w="1195" w:type="dxa"/>
            <w:shd w:val="clear" w:color="auto" w:fill="auto"/>
          </w:tcPr>
          <w:p w14:paraId="21AB9C64" w14:textId="77777777" w:rsidR="002E7BFD" w:rsidRDefault="000C172D" w:rsidP="00412ECF">
            <w:pPr>
              <w:widowControl w:val="0"/>
              <w:rPr>
                <w:color w:val="000000"/>
                <w:sz w:val="20"/>
                <w:szCs w:val="20"/>
              </w:rPr>
            </w:pPr>
            <w:r>
              <w:rPr>
                <w:color w:val="000000"/>
                <w:sz w:val="20"/>
                <w:szCs w:val="20"/>
              </w:rPr>
              <w:t>39</w:t>
            </w:r>
          </w:p>
        </w:tc>
        <w:tc>
          <w:tcPr>
            <w:tcW w:w="1078" w:type="dxa"/>
          </w:tcPr>
          <w:p w14:paraId="4F9B6FF5" w14:textId="77777777" w:rsidR="002E7BFD" w:rsidRDefault="000C172D" w:rsidP="00412ECF">
            <w:pPr>
              <w:widowControl w:val="0"/>
              <w:rPr>
                <w:color w:val="000000"/>
                <w:sz w:val="20"/>
                <w:szCs w:val="20"/>
              </w:rPr>
            </w:pPr>
            <w:r>
              <w:rPr>
                <w:color w:val="000000"/>
                <w:sz w:val="20"/>
                <w:szCs w:val="20"/>
              </w:rPr>
              <w:t>7</w:t>
            </w:r>
          </w:p>
        </w:tc>
        <w:tc>
          <w:tcPr>
            <w:tcW w:w="900" w:type="dxa"/>
            <w:tcBorders>
              <w:right w:val="single" w:sz="4" w:space="0" w:color="auto"/>
            </w:tcBorders>
          </w:tcPr>
          <w:p w14:paraId="1922FCB9" w14:textId="77777777" w:rsidR="002E7BFD" w:rsidRDefault="000C172D" w:rsidP="00412ECF">
            <w:pPr>
              <w:widowControl w:val="0"/>
              <w:rPr>
                <w:color w:val="000000"/>
                <w:sz w:val="20"/>
                <w:szCs w:val="20"/>
              </w:rPr>
            </w:pPr>
            <w:r>
              <w:rPr>
                <w:color w:val="000000"/>
                <w:sz w:val="20"/>
                <w:szCs w:val="20"/>
              </w:rPr>
              <w:t>28</w:t>
            </w:r>
          </w:p>
        </w:tc>
      </w:tr>
      <w:tr w:rsidR="00340CD2" w14:paraId="5A7900F1"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rPr>
        <w:tc>
          <w:tcPr>
            <w:tcW w:w="3659" w:type="dxa"/>
            <w:vMerge/>
            <w:tcBorders>
              <w:top w:val="single" w:sz="12" w:space="0" w:color="000000"/>
              <w:left w:val="single" w:sz="8" w:space="0" w:color="000000"/>
              <w:bottom w:val="single" w:sz="12" w:space="0" w:color="000000"/>
              <w:right w:val="single" w:sz="8" w:space="0" w:color="000000"/>
            </w:tcBorders>
            <w:shd w:val="clear" w:color="auto" w:fill="A6A6A6"/>
          </w:tcPr>
          <w:p w14:paraId="0DE93D2C"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tcBorders>
              <w:left w:val="single" w:sz="8" w:space="0" w:color="000000"/>
              <w:bottom w:val="single" w:sz="4" w:space="0" w:color="000000"/>
            </w:tcBorders>
            <w:shd w:val="clear" w:color="auto" w:fill="auto"/>
          </w:tcPr>
          <w:p w14:paraId="47DC7236" w14:textId="77777777" w:rsidR="002E7BFD" w:rsidRDefault="000C172D" w:rsidP="00412ECF">
            <w:pPr>
              <w:widowControl w:val="0"/>
              <w:rPr>
                <w:color w:val="1C1C1C"/>
                <w:sz w:val="20"/>
                <w:szCs w:val="20"/>
              </w:rPr>
            </w:pPr>
            <w:r>
              <w:rPr>
                <w:color w:val="1C1C1C"/>
                <w:sz w:val="20"/>
                <w:szCs w:val="20"/>
              </w:rPr>
              <w:t>5-10 years</w:t>
            </w:r>
          </w:p>
        </w:tc>
        <w:tc>
          <w:tcPr>
            <w:tcW w:w="1346" w:type="dxa"/>
            <w:tcBorders>
              <w:bottom w:val="single" w:sz="4" w:space="0" w:color="000000"/>
            </w:tcBorders>
            <w:shd w:val="clear" w:color="auto" w:fill="auto"/>
          </w:tcPr>
          <w:p w14:paraId="6F16686B" w14:textId="77777777" w:rsidR="002E7BFD" w:rsidRDefault="000C172D" w:rsidP="00412ECF">
            <w:pPr>
              <w:widowControl w:val="0"/>
              <w:rPr>
                <w:color w:val="000000"/>
                <w:sz w:val="20"/>
                <w:szCs w:val="20"/>
              </w:rPr>
            </w:pPr>
            <w:r>
              <w:rPr>
                <w:color w:val="000000"/>
                <w:sz w:val="20"/>
                <w:szCs w:val="20"/>
              </w:rPr>
              <w:t>31</w:t>
            </w:r>
          </w:p>
        </w:tc>
        <w:tc>
          <w:tcPr>
            <w:tcW w:w="1195" w:type="dxa"/>
            <w:tcBorders>
              <w:bottom w:val="single" w:sz="4" w:space="0" w:color="000000"/>
            </w:tcBorders>
            <w:shd w:val="clear" w:color="auto" w:fill="auto"/>
          </w:tcPr>
          <w:p w14:paraId="49B0B2CD" w14:textId="77777777" w:rsidR="002E7BFD" w:rsidRDefault="000C172D" w:rsidP="00412ECF">
            <w:pPr>
              <w:widowControl w:val="0"/>
              <w:rPr>
                <w:color w:val="000000"/>
                <w:sz w:val="20"/>
                <w:szCs w:val="20"/>
              </w:rPr>
            </w:pPr>
            <w:r>
              <w:rPr>
                <w:color w:val="000000"/>
                <w:sz w:val="20"/>
                <w:szCs w:val="20"/>
              </w:rPr>
              <w:t>28</w:t>
            </w:r>
          </w:p>
        </w:tc>
        <w:tc>
          <w:tcPr>
            <w:tcW w:w="1078" w:type="dxa"/>
            <w:tcBorders>
              <w:bottom w:val="single" w:sz="4" w:space="0" w:color="000000"/>
            </w:tcBorders>
          </w:tcPr>
          <w:p w14:paraId="1AC84BE6" w14:textId="77777777" w:rsidR="002E7BFD" w:rsidRDefault="000C172D" w:rsidP="00412ECF">
            <w:pPr>
              <w:widowControl w:val="0"/>
              <w:rPr>
                <w:color w:val="000000"/>
                <w:sz w:val="20"/>
                <w:szCs w:val="20"/>
              </w:rPr>
            </w:pPr>
            <w:r>
              <w:rPr>
                <w:color w:val="000000"/>
                <w:sz w:val="20"/>
                <w:szCs w:val="20"/>
              </w:rPr>
              <w:t>11</w:t>
            </w:r>
          </w:p>
        </w:tc>
        <w:tc>
          <w:tcPr>
            <w:tcW w:w="900" w:type="dxa"/>
            <w:tcBorders>
              <w:bottom w:val="single" w:sz="4" w:space="0" w:color="000000"/>
              <w:right w:val="single" w:sz="4" w:space="0" w:color="auto"/>
            </w:tcBorders>
          </w:tcPr>
          <w:p w14:paraId="11147FD6" w14:textId="77777777" w:rsidR="002E7BFD" w:rsidRDefault="000C172D" w:rsidP="00412ECF">
            <w:pPr>
              <w:widowControl w:val="0"/>
              <w:rPr>
                <w:color w:val="000000"/>
                <w:sz w:val="20"/>
                <w:szCs w:val="20"/>
              </w:rPr>
            </w:pPr>
            <w:r>
              <w:rPr>
                <w:color w:val="000000"/>
                <w:sz w:val="20"/>
                <w:szCs w:val="20"/>
              </w:rPr>
              <w:t>44</w:t>
            </w:r>
          </w:p>
        </w:tc>
      </w:tr>
      <w:tr w:rsidR="00340CD2" w14:paraId="725A41FD"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rPr>
        <w:tc>
          <w:tcPr>
            <w:tcW w:w="3659" w:type="dxa"/>
            <w:vMerge/>
            <w:tcBorders>
              <w:top w:val="single" w:sz="12" w:space="0" w:color="000000"/>
              <w:left w:val="single" w:sz="8" w:space="0" w:color="000000"/>
              <w:bottom w:val="single" w:sz="12" w:space="0" w:color="000000"/>
              <w:right w:val="single" w:sz="8" w:space="0" w:color="000000"/>
            </w:tcBorders>
            <w:shd w:val="clear" w:color="auto" w:fill="A6A6A6"/>
          </w:tcPr>
          <w:p w14:paraId="6F261356"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tcBorders>
              <w:left w:val="single" w:sz="8" w:space="0" w:color="000000"/>
              <w:bottom w:val="single" w:sz="12" w:space="0" w:color="000000"/>
            </w:tcBorders>
            <w:shd w:val="clear" w:color="auto" w:fill="auto"/>
          </w:tcPr>
          <w:p w14:paraId="22C0B8C3" w14:textId="77777777" w:rsidR="002E7BFD" w:rsidRDefault="000C172D" w:rsidP="00412ECF">
            <w:pPr>
              <w:widowControl w:val="0"/>
              <w:rPr>
                <w:color w:val="1C1C1C"/>
                <w:sz w:val="20"/>
                <w:szCs w:val="20"/>
              </w:rPr>
            </w:pPr>
            <w:r>
              <w:rPr>
                <w:color w:val="1C1C1C"/>
                <w:sz w:val="20"/>
                <w:szCs w:val="20"/>
              </w:rPr>
              <w:t>10+ years</w:t>
            </w:r>
          </w:p>
        </w:tc>
        <w:tc>
          <w:tcPr>
            <w:tcW w:w="1346" w:type="dxa"/>
            <w:tcBorders>
              <w:bottom w:val="single" w:sz="12" w:space="0" w:color="000000"/>
            </w:tcBorders>
            <w:shd w:val="clear" w:color="auto" w:fill="auto"/>
          </w:tcPr>
          <w:p w14:paraId="567CE7AE" w14:textId="77777777" w:rsidR="002E7BFD" w:rsidRDefault="000C172D" w:rsidP="00412ECF">
            <w:pPr>
              <w:widowControl w:val="0"/>
              <w:rPr>
                <w:color w:val="000000"/>
                <w:sz w:val="20"/>
                <w:szCs w:val="20"/>
              </w:rPr>
            </w:pPr>
            <w:r>
              <w:rPr>
                <w:color w:val="000000"/>
                <w:sz w:val="20"/>
                <w:szCs w:val="20"/>
              </w:rPr>
              <w:t>26</w:t>
            </w:r>
          </w:p>
        </w:tc>
        <w:tc>
          <w:tcPr>
            <w:tcW w:w="1195" w:type="dxa"/>
            <w:tcBorders>
              <w:bottom w:val="single" w:sz="12" w:space="0" w:color="000000"/>
            </w:tcBorders>
            <w:shd w:val="clear" w:color="auto" w:fill="auto"/>
          </w:tcPr>
          <w:p w14:paraId="10D0EC0F" w14:textId="77777777" w:rsidR="002E7BFD" w:rsidRDefault="000C172D" w:rsidP="00412ECF">
            <w:pPr>
              <w:widowControl w:val="0"/>
              <w:rPr>
                <w:color w:val="000000"/>
                <w:sz w:val="20"/>
                <w:szCs w:val="20"/>
              </w:rPr>
            </w:pPr>
            <w:r>
              <w:rPr>
                <w:color w:val="000000"/>
                <w:sz w:val="20"/>
                <w:szCs w:val="20"/>
              </w:rPr>
              <w:t>24</w:t>
            </w:r>
          </w:p>
        </w:tc>
        <w:tc>
          <w:tcPr>
            <w:tcW w:w="1078" w:type="dxa"/>
            <w:tcBorders>
              <w:bottom w:val="single" w:sz="12" w:space="0" w:color="000000"/>
            </w:tcBorders>
          </w:tcPr>
          <w:p w14:paraId="39FCB9DD" w14:textId="77777777" w:rsidR="002E7BFD" w:rsidRDefault="000C172D" w:rsidP="00412ECF">
            <w:pPr>
              <w:widowControl w:val="0"/>
              <w:rPr>
                <w:color w:val="000000"/>
                <w:sz w:val="20"/>
                <w:szCs w:val="20"/>
              </w:rPr>
            </w:pPr>
            <w:r>
              <w:rPr>
                <w:color w:val="000000"/>
                <w:sz w:val="20"/>
                <w:szCs w:val="20"/>
              </w:rPr>
              <w:t>7</w:t>
            </w:r>
          </w:p>
        </w:tc>
        <w:tc>
          <w:tcPr>
            <w:tcW w:w="900" w:type="dxa"/>
            <w:tcBorders>
              <w:bottom w:val="single" w:sz="12" w:space="0" w:color="000000"/>
              <w:right w:val="single" w:sz="4" w:space="0" w:color="auto"/>
            </w:tcBorders>
          </w:tcPr>
          <w:p w14:paraId="2F7338E4" w14:textId="77777777" w:rsidR="002E7BFD" w:rsidRDefault="000C172D" w:rsidP="00412ECF">
            <w:pPr>
              <w:widowControl w:val="0"/>
              <w:rPr>
                <w:color w:val="000000"/>
                <w:sz w:val="20"/>
                <w:szCs w:val="20"/>
              </w:rPr>
            </w:pPr>
            <w:r>
              <w:rPr>
                <w:color w:val="000000"/>
                <w:sz w:val="20"/>
                <w:szCs w:val="20"/>
              </w:rPr>
              <w:t>28</w:t>
            </w:r>
          </w:p>
        </w:tc>
      </w:tr>
      <w:tr w:rsidR="00340CD2" w14:paraId="1750AD3C"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rPr>
        <w:tc>
          <w:tcPr>
            <w:tcW w:w="3659" w:type="dxa"/>
            <w:vMerge w:val="restart"/>
            <w:tcBorders>
              <w:top w:val="single" w:sz="12" w:space="0" w:color="000000"/>
            </w:tcBorders>
            <w:shd w:val="clear" w:color="auto" w:fill="A6A6A6"/>
          </w:tcPr>
          <w:p w14:paraId="0BA28BD6" w14:textId="77777777" w:rsidR="002E7BFD" w:rsidRDefault="002E7BFD" w:rsidP="00412ECF">
            <w:pPr>
              <w:widowControl w:val="0"/>
              <w:rPr>
                <w:b/>
                <w:color w:val="1C1C1C"/>
                <w:sz w:val="20"/>
                <w:szCs w:val="20"/>
              </w:rPr>
            </w:pPr>
          </w:p>
          <w:p w14:paraId="75DB4D35" w14:textId="77777777" w:rsidR="002E7BFD" w:rsidRDefault="000C172D" w:rsidP="00412ECF">
            <w:pPr>
              <w:widowControl w:val="0"/>
              <w:rPr>
                <w:b/>
                <w:color w:val="1C1C1C"/>
                <w:sz w:val="20"/>
                <w:szCs w:val="20"/>
              </w:rPr>
            </w:pPr>
            <w:r>
              <w:rPr>
                <w:b/>
                <w:i/>
                <w:color w:val="1C1C1C"/>
                <w:sz w:val="20"/>
                <w:szCs w:val="20"/>
              </w:rPr>
              <w:t>Number of EIA projects involved in</w:t>
            </w:r>
          </w:p>
        </w:tc>
        <w:tc>
          <w:tcPr>
            <w:tcW w:w="1808" w:type="dxa"/>
            <w:tcBorders>
              <w:top w:val="single" w:sz="12" w:space="0" w:color="000000"/>
            </w:tcBorders>
            <w:shd w:val="clear" w:color="auto" w:fill="auto"/>
          </w:tcPr>
          <w:p w14:paraId="792DDA7E" w14:textId="77777777" w:rsidR="002E7BFD" w:rsidRDefault="000C172D" w:rsidP="00412ECF">
            <w:pPr>
              <w:widowControl w:val="0"/>
              <w:rPr>
                <w:color w:val="1C1C1C"/>
                <w:sz w:val="20"/>
                <w:szCs w:val="20"/>
              </w:rPr>
            </w:pPr>
            <w:r>
              <w:rPr>
                <w:color w:val="1C1C1C"/>
                <w:sz w:val="20"/>
                <w:szCs w:val="20"/>
              </w:rPr>
              <w:t>None</w:t>
            </w:r>
          </w:p>
        </w:tc>
        <w:tc>
          <w:tcPr>
            <w:tcW w:w="1346" w:type="dxa"/>
            <w:tcBorders>
              <w:top w:val="single" w:sz="12" w:space="0" w:color="000000"/>
            </w:tcBorders>
            <w:shd w:val="clear" w:color="auto" w:fill="auto"/>
          </w:tcPr>
          <w:p w14:paraId="6F2417DF" w14:textId="77777777" w:rsidR="002E7BFD" w:rsidRDefault="000C172D" w:rsidP="00412ECF">
            <w:pPr>
              <w:widowControl w:val="0"/>
              <w:rPr>
                <w:color w:val="000000"/>
                <w:sz w:val="20"/>
                <w:szCs w:val="20"/>
              </w:rPr>
            </w:pPr>
            <w:r>
              <w:rPr>
                <w:color w:val="000000"/>
                <w:sz w:val="20"/>
                <w:szCs w:val="20"/>
              </w:rPr>
              <w:t>12</w:t>
            </w:r>
          </w:p>
        </w:tc>
        <w:tc>
          <w:tcPr>
            <w:tcW w:w="1195" w:type="dxa"/>
            <w:tcBorders>
              <w:top w:val="single" w:sz="12" w:space="0" w:color="000000"/>
            </w:tcBorders>
            <w:shd w:val="clear" w:color="auto" w:fill="auto"/>
          </w:tcPr>
          <w:p w14:paraId="56B4A8D7" w14:textId="77777777" w:rsidR="002E7BFD" w:rsidRDefault="000C172D" w:rsidP="00412ECF">
            <w:pPr>
              <w:widowControl w:val="0"/>
              <w:rPr>
                <w:color w:val="000000"/>
                <w:sz w:val="20"/>
                <w:szCs w:val="20"/>
              </w:rPr>
            </w:pPr>
            <w:r>
              <w:rPr>
                <w:color w:val="000000"/>
                <w:sz w:val="20"/>
                <w:szCs w:val="20"/>
              </w:rPr>
              <w:t>11</w:t>
            </w:r>
          </w:p>
        </w:tc>
        <w:tc>
          <w:tcPr>
            <w:tcW w:w="1078" w:type="dxa"/>
            <w:tcBorders>
              <w:top w:val="single" w:sz="12" w:space="0" w:color="000000"/>
            </w:tcBorders>
          </w:tcPr>
          <w:p w14:paraId="6BBE306C" w14:textId="77777777" w:rsidR="002E7BFD" w:rsidRDefault="000C172D" w:rsidP="00412ECF">
            <w:pPr>
              <w:widowControl w:val="0"/>
              <w:rPr>
                <w:color w:val="000000"/>
                <w:sz w:val="20"/>
                <w:szCs w:val="20"/>
              </w:rPr>
            </w:pPr>
            <w:r>
              <w:rPr>
                <w:color w:val="000000"/>
                <w:sz w:val="20"/>
                <w:szCs w:val="20"/>
              </w:rPr>
              <w:t>0</w:t>
            </w:r>
          </w:p>
        </w:tc>
        <w:tc>
          <w:tcPr>
            <w:tcW w:w="900" w:type="dxa"/>
            <w:tcBorders>
              <w:top w:val="single" w:sz="12" w:space="0" w:color="000000"/>
              <w:right w:val="single" w:sz="4" w:space="0" w:color="auto"/>
            </w:tcBorders>
          </w:tcPr>
          <w:p w14:paraId="7A5483C9" w14:textId="77777777" w:rsidR="002E7BFD" w:rsidRDefault="000C172D" w:rsidP="00412ECF">
            <w:pPr>
              <w:widowControl w:val="0"/>
              <w:rPr>
                <w:color w:val="000000"/>
                <w:sz w:val="20"/>
                <w:szCs w:val="20"/>
              </w:rPr>
            </w:pPr>
            <w:r>
              <w:rPr>
                <w:color w:val="000000"/>
                <w:sz w:val="20"/>
                <w:szCs w:val="20"/>
              </w:rPr>
              <w:t>0</w:t>
            </w:r>
          </w:p>
        </w:tc>
      </w:tr>
      <w:tr w:rsidR="00340CD2" w14:paraId="35066877"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rPr>
        <w:tc>
          <w:tcPr>
            <w:tcW w:w="3659" w:type="dxa"/>
            <w:vMerge/>
            <w:tcBorders>
              <w:top w:val="single" w:sz="12" w:space="0" w:color="000000"/>
            </w:tcBorders>
            <w:shd w:val="clear" w:color="auto" w:fill="A6A6A6"/>
          </w:tcPr>
          <w:p w14:paraId="0D1289FA"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shd w:val="clear" w:color="auto" w:fill="auto"/>
          </w:tcPr>
          <w:p w14:paraId="1B43F19F" w14:textId="77777777" w:rsidR="002E7BFD" w:rsidRDefault="000C172D" w:rsidP="00412ECF">
            <w:pPr>
              <w:widowControl w:val="0"/>
              <w:rPr>
                <w:color w:val="1C1C1C"/>
                <w:sz w:val="20"/>
                <w:szCs w:val="20"/>
              </w:rPr>
            </w:pPr>
            <w:r>
              <w:rPr>
                <w:color w:val="1C1C1C"/>
                <w:sz w:val="20"/>
                <w:szCs w:val="20"/>
              </w:rPr>
              <w:t>1-4</w:t>
            </w:r>
          </w:p>
        </w:tc>
        <w:tc>
          <w:tcPr>
            <w:tcW w:w="1346" w:type="dxa"/>
            <w:shd w:val="clear" w:color="auto" w:fill="auto"/>
          </w:tcPr>
          <w:p w14:paraId="18992446" w14:textId="77777777" w:rsidR="002E7BFD" w:rsidRDefault="000C172D" w:rsidP="00412ECF">
            <w:pPr>
              <w:widowControl w:val="0"/>
              <w:rPr>
                <w:color w:val="000000"/>
                <w:sz w:val="20"/>
                <w:szCs w:val="20"/>
              </w:rPr>
            </w:pPr>
            <w:r>
              <w:rPr>
                <w:color w:val="000000"/>
                <w:sz w:val="20"/>
                <w:szCs w:val="20"/>
              </w:rPr>
              <w:t>32</w:t>
            </w:r>
          </w:p>
        </w:tc>
        <w:tc>
          <w:tcPr>
            <w:tcW w:w="1195" w:type="dxa"/>
            <w:shd w:val="clear" w:color="auto" w:fill="auto"/>
          </w:tcPr>
          <w:p w14:paraId="46115E28" w14:textId="77777777" w:rsidR="002E7BFD" w:rsidRDefault="000C172D" w:rsidP="00412ECF">
            <w:pPr>
              <w:widowControl w:val="0"/>
              <w:rPr>
                <w:color w:val="000000"/>
                <w:sz w:val="20"/>
                <w:szCs w:val="20"/>
              </w:rPr>
            </w:pPr>
            <w:r>
              <w:rPr>
                <w:color w:val="000000"/>
                <w:sz w:val="20"/>
                <w:szCs w:val="20"/>
              </w:rPr>
              <w:t>30</w:t>
            </w:r>
          </w:p>
        </w:tc>
        <w:tc>
          <w:tcPr>
            <w:tcW w:w="1078" w:type="dxa"/>
          </w:tcPr>
          <w:p w14:paraId="2355FE5F" w14:textId="77777777" w:rsidR="002E7BFD" w:rsidRDefault="000C172D" w:rsidP="00412ECF">
            <w:pPr>
              <w:widowControl w:val="0"/>
              <w:rPr>
                <w:color w:val="000000"/>
                <w:sz w:val="20"/>
                <w:szCs w:val="20"/>
              </w:rPr>
            </w:pPr>
            <w:r>
              <w:rPr>
                <w:color w:val="000000"/>
                <w:sz w:val="20"/>
                <w:szCs w:val="20"/>
              </w:rPr>
              <w:t>0</w:t>
            </w:r>
          </w:p>
        </w:tc>
        <w:tc>
          <w:tcPr>
            <w:tcW w:w="900" w:type="dxa"/>
            <w:tcBorders>
              <w:right w:val="single" w:sz="4" w:space="0" w:color="auto"/>
            </w:tcBorders>
          </w:tcPr>
          <w:p w14:paraId="350C542F" w14:textId="77777777" w:rsidR="002E7BFD" w:rsidRDefault="000C172D" w:rsidP="00412ECF">
            <w:pPr>
              <w:widowControl w:val="0"/>
              <w:rPr>
                <w:color w:val="000000"/>
                <w:sz w:val="20"/>
                <w:szCs w:val="20"/>
              </w:rPr>
            </w:pPr>
            <w:r>
              <w:rPr>
                <w:color w:val="000000"/>
                <w:sz w:val="20"/>
                <w:szCs w:val="20"/>
              </w:rPr>
              <w:t>0</w:t>
            </w:r>
          </w:p>
        </w:tc>
      </w:tr>
      <w:tr w:rsidR="00340CD2" w14:paraId="61119177"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50"/>
        </w:trPr>
        <w:tc>
          <w:tcPr>
            <w:tcW w:w="3659" w:type="dxa"/>
            <w:vMerge/>
            <w:tcBorders>
              <w:top w:val="single" w:sz="12" w:space="0" w:color="000000"/>
            </w:tcBorders>
            <w:shd w:val="clear" w:color="auto" w:fill="A6A6A6"/>
          </w:tcPr>
          <w:p w14:paraId="51E26B74"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shd w:val="clear" w:color="auto" w:fill="auto"/>
          </w:tcPr>
          <w:p w14:paraId="76413341" w14:textId="77777777" w:rsidR="002E7BFD" w:rsidRDefault="000C172D" w:rsidP="00412ECF">
            <w:pPr>
              <w:widowControl w:val="0"/>
              <w:rPr>
                <w:color w:val="1C1C1C"/>
                <w:sz w:val="20"/>
                <w:szCs w:val="20"/>
              </w:rPr>
            </w:pPr>
            <w:r>
              <w:rPr>
                <w:color w:val="1C1C1C"/>
                <w:sz w:val="20"/>
                <w:szCs w:val="20"/>
              </w:rPr>
              <w:t>5-9</w:t>
            </w:r>
          </w:p>
        </w:tc>
        <w:tc>
          <w:tcPr>
            <w:tcW w:w="1346" w:type="dxa"/>
            <w:shd w:val="clear" w:color="auto" w:fill="auto"/>
          </w:tcPr>
          <w:p w14:paraId="3E5836F4" w14:textId="77777777" w:rsidR="002E7BFD" w:rsidRDefault="000C172D" w:rsidP="00412ECF">
            <w:pPr>
              <w:widowControl w:val="0"/>
              <w:rPr>
                <w:color w:val="000000"/>
                <w:sz w:val="20"/>
                <w:szCs w:val="20"/>
              </w:rPr>
            </w:pPr>
            <w:r>
              <w:rPr>
                <w:color w:val="000000"/>
                <w:sz w:val="20"/>
                <w:szCs w:val="20"/>
              </w:rPr>
              <w:t>19</w:t>
            </w:r>
          </w:p>
        </w:tc>
        <w:tc>
          <w:tcPr>
            <w:tcW w:w="1195" w:type="dxa"/>
            <w:shd w:val="clear" w:color="auto" w:fill="auto"/>
          </w:tcPr>
          <w:p w14:paraId="59410FAC" w14:textId="77777777" w:rsidR="002E7BFD" w:rsidRDefault="000C172D" w:rsidP="00412ECF">
            <w:pPr>
              <w:widowControl w:val="0"/>
              <w:rPr>
                <w:color w:val="000000"/>
                <w:sz w:val="20"/>
                <w:szCs w:val="20"/>
              </w:rPr>
            </w:pPr>
            <w:r>
              <w:rPr>
                <w:color w:val="000000"/>
                <w:sz w:val="20"/>
                <w:szCs w:val="20"/>
              </w:rPr>
              <w:t>18</w:t>
            </w:r>
          </w:p>
        </w:tc>
        <w:tc>
          <w:tcPr>
            <w:tcW w:w="1078" w:type="dxa"/>
          </w:tcPr>
          <w:p w14:paraId="30031BF1" w14:textId="77777777" w:rsidR="002E7BFD" w:rsidRDefault="000C172D" w:rsidP="00412ECF">
            <w:pPr>
              <w:widowControl w:val="0"/>
              <w:rPr>
                <w:color w:val="000000"/>
                <w:sz w:val="20"/>
                <w:szCs w:val="20"/>
              </w:rPr>
            </w:pPr>
            <w:r>
              <w:rPr>
                <w:color w:val="000000"/>
                <w:sz w:val="20"/>
                <w:szCs w:val="20"/>
              </w:rPr>
              <w:t>10</w:t>
            </w:r>
          </w:p>
        </w:tc>
        <w:tc>
          <w:tcPr>
            <w:tcW w:w="900" w:type="dxa"/>
            <w:tcBorders>
              <w:right w:val="single" w:sz="4" w:space="0" w:color="auto"/>
            </w:tcBorders>
          </w:tcPr>
          <w:p w14:paraId="0253B9F5" w14:textId="77777777" w:rsidR="002E7BFD" w:rsidRDefault="000C172D" w:rsidP="00412ECF">
            <w:pPr>
              <w:widowControl w:val="0"/>
              <w:rPr>
                <w:color w:val="000000"/>
                <w:sz w:val="20"/>
                <w:szCs w:val="20"/>
              </w:rPr>
            </w:pPr>
            <w:r>
              <w:rPr>
                <w:color w:val="000000"/>
                <w:sz w:val="20"/>
                <w:szCs w:val="20"/>
              </w:rPr>
              <w:t>40</w:t>
            </w:r>
          </w:p>
        </w:tc>
      </w:tr>
      <w:tr w:rsidR="00340CD2" w14:paraId="35E8FA86" w14:textId="77777777" w:rsidTr="00412E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Ex>
        <w:trPr>
          <w:trHeight w:val="332"/>
        </w:trPr>
        <w:tc>
          <w:tcPr>
            <w:tcW w:w="3659" w:type="dxa"/>
            <w:vMerge/>
            <w:tcBorders>
              <w:top w:val="single" w:sz="12" w:space="0" w:color="000000"/>
            </w:tcBorders>
            <w:shd w:val="clear" w:color="auto" w:fill="A6A6A6"/>
          </w:tcPr>
          <w:p w14:paraId="7A067B8A" w14:textId="77777777" w:rsidR="002E7BFD" w:rsidRDefault="002E7BFD" w:rsidP="00412ECF">
            <w:pPr>
              <w:widowControl w:val="0"/>
              <w:pBdr>
                <w:top w:val="nil"/>
                <w:left w:val="nil"/>
                <w:bottom w:val="nil"/>
                <w:right w:val="nil"/>
                <w:between w:val="nil"/>
              </w:pBdr>
              <w:spacing w:line="276" w:lineRule="auto"/>
              <w:rPr>
                <w:color w:val="000000"/>
                <w:sz w:val="20"/>
                <w:szCs w:val="20"/>
              </w:rPr>
            </w:pPr>
          </w:p>
        </w:tc>
        <w:tc>
          <w:tcPr>
            <w:tcW w:w="1808" w:type="dxa"/>
            <w:shd w:val="clear" w:color="auto" w:fill="auto"/>
          </w:tcPr>
          <w:p w14:paraId="65BE50E5" w14:textId="77777777" w:rsidR="002E7BFD" w:rsidRDefault="000C172D" w:rsidP="00412ECF">
            <w:pPr>
              <w:widowControl w:val="0"/>
              <w:rPr>
                <w:color w:val="1C1C1C"/>
                <w:sz w:val="20"/>
                <w:szCs w:val="20"/>
              </w:rPr>
            </w:pPr>
            <w:r>
              <w:rPr>
                <w:color w:val="1C1C1C"/>
                <w:sz w:val="20"/>
                <w:szCs w:val="20"/>
              </w:rPr>
              <w:t>10+</w:t>
            </w:r>
          </w:p>
        </w:tc>
        <w:tc>
          <w:tcPr>
            <w:tcW w:w="1346" w:type="dxa"/>
            <w:shd w:val="clear" w:color="auto" w:fill="auto"/>
          </w:tcPr>
          <w:p w14:paraId="51325375" w14:textId="77777777" w:rsidR="002E7BFD" w:rsidRDefault="000C172D" w:rsidP="00412ECF">
            <w:pPr>
              <w:widowControl w:val="0"/>
              <w:rPr>
                <w:color w:val="000000"/>
                <w:sz w:val="20"/>
                <w:szCs w:val="20"/>
              </w:rPr>
            </w:pPr>
            <w:r>
              <w:rPr>
                <w:color w:val="000000"/>
                <w:sz w:val="20"/>
                <w:szCs w:val="20"/>
              </w:rPr>
              <w:t>43</w:t>
            </w:r>
          </w:p>
        </w:tc>
        <w:tc>
          <w:tcPr>
            <w:tcW w:w="1195" w:type="dxa"/>
            <w:shd w:val="clear" w:color="auto" w:fill="auto"/>
          </w:tcPr>
          <w:p w14:paraId="12B8896C" w14:textId="77777777" w:rsidR="002E7BFD" w:rsidRDefault="000C172D" w:rsidP="00412ECF">
            <w:pPr>
              <w:widowControl w:val="0"/>
              <w:rPr>
                <w:color w:val="000000"/>
                <w:sz w:val="20"/>
                <w:szCs w:val="20"/>
              </w:rPr>
            </w:pPr>
            <w:r>
              <w:rPr>
                <w:color w:val="000000"/>
                <w:sz w:val="20"/>
                <w:szCs w:val="20"/>
              </w:rPr>
              <w:t>41</w:t>
            </w:r>
          </w:p>
        </w:tc>
        <w:tc>
          <w:tcPr>
            <w:tcW w:w="1078" w:type="dxa"/>
          </w:tcPr>
          <w:p w14:paraId="4C7CA683" w14:textId="77777777" w:rsidR="002E7BFD" w:rsidRDefault="000C172D" w:rsidP="00412ECF">
            <w:pPr>
              <w:widowControl w:val="0"/>
              <w:rPr>
                <w:color w:val="000000"/>
                <w:sz w:val="20"/>
                <w:szCs w:val="20"/>
              </w:rPr>
            </w:pPr>
            <w:r>
              <w:rPr>
                <w:color w:val="000000"/>
                <w:sz w:val="20"/>
                <w:szCs w:val="20"/>
              </w:rPr>
              <w:t>15</w:t>
            </w:r>
          </w:p>
        </w:tc>
        <w:tc>
          <w:tcPr>
            <w:tcW w:w="890" w:type="dxa"/>
            <w:tcBorders>
              <w:right w:val="single" w:sz="4" w:space="0" w:color="auto"/>
            </w:tcBorders>
          </w:tcPr>
          <w:p w14:paraId="650CC4DB" w14:textId="77777777" w:rsidR="002E7BFD" w:rsidRDefault="000C172D" w:rsidP="00412ECF">
            <w:pPr>
              <w:widowControl w:val="0"/>
              <w:rPr>
                <w:color w:val="000000"/>
                <w:sz w:val="20"/>
                <w:szCs w:val="20"/>
              </w:rPr>
            </w:pPr>
            <w:r>
              <w:rPr>
                <w:color w:val="000000"/>
                <w:sz w:val="20"/>
                <w:szCs w:val="20"/>
              </w:rPr>
              <w:t>60</w:t>
            </w:r>
          </w:p>
        </w:tc>
      </w:tr>
    </w:tbl>
    <w:p w14:paraId="45DFAEE9" w14:textId="77777777" w:rsidR="002E7BFD" w:rsidRPr="00620D82" w:rsidRDefault="000C172D" w:rsidP="002E7BFD">
      <w:pPr>
        <w:widowControl w:val="0"/>
      </w:pPr>
      <w:r>
        <w:rPr>
          <w:i/>
        </w:rPr>
        <w:t>Total count (n)=110</w:t>
      </w:r>
    </w:p>
    <w:p w14:paraId="3145FE62" w14:textId="65582B62" w:rsidR="002D0789" w:rsidRDefault="000C172D" w:rsidP="00785F8F">
      <w:pPr>
        <w:spacing w:before="100" w:beforeAutospacing="1" w:after="100" w:afterAutospacing="1" w:line="480" w:lineRule="auto"/>
        <w:jc w:val="both"/>
      </w:pPr>
      <w:r>
        <w:t xml:space="preserve">As per the definition adopted in this study, </w:t>
      </w:r>
      <w:r w:rsidR="000F74CE">
        <w:t>t</w:t>
      </w:r>
      <w:r>
        <w:t xml:space="preserve">he quality of the EIA system </w:t>
      </w:r>
      <w:r w:rsidR="004D3ACB">
        <w:t>is assessed based on</w:t>
      </w:r>
      <w:r>
        <w:t xml:space="preserve"> the elements</w:t>
      </w:r>
      <w:r w:rsidR="004D3ACB">
        <w:t xml:space="preserve">, </w:t>
      </w:r>
      <w:r w:rsidR="002E7BFD">
        <w:t>processes,</w:t>
      </w:r>
      <w:r w:rsidR="004D3ACB">
        <w:t xml:space="preserve"> and standards</w:t>
      </w:r>
      <w:r w:rsidR="00785F8F">
        <w:t xml:space="preserve"> in place. For the elements and proce</w:t>
      </w:r>
      <w:r w:rsidR="000F74CE">
        <w:t>ss</w:t>
      </w:r>
      <w:r w:rsidR="00785F8F">
        <w:t xml:space="preserve">, 12 criteria were adopted from Sadler (1996). These </w:t>
      </w:r>
      <w:r w:rsidR="004D3ACB">
        <w:t xml:space="preserve">elements are seen as critical </w:t>
      </w:r>
      <w:r w:rsidR="0097335C">
        <w:t>and</w:t>
      </w:r>
      <w:r w:rsidR="0097335C" w:rsidRPr="0097335C">
        <w:t xml:space="preserve"> allow for an appraisal of the quality</w:t>
      </w:r>
      <w:r w:rsidR="0097335C">
        <w:t xml:space="preserve"> and adequacy</w:t>
      </w:r>
      <w:r w:rsidR="0097335C" w:rsidRPr="0097335C">
        <w:t xml:space="preserve"> of the EIA system</w:t>
      </w:r>
      <w:r w:rsidR="00DC3AAE">
        <w:t>.</w:t>
      </w:r>
      <w:r w:rsidR="0097335C">
        <w:t xml:space="preserve"> </w:t>
      </w:r>
      <w:r w:rsidR="00DC3AAE">
        <w:t xml:space="preserve">They </w:t>
      </w:r>
      <w:r w:rsidR="00785F8F">
        <w:t>include</w:t>
      </w:r>
      <w:r w:rsidR="00DC3AAE">
        <w:t>:</w:t>
      </w:r>
      <w:r w:rsidR="004D3ACB">
        <w:t xml:space="preserve"> (a) </w:t>
      </w:r>
      <w:r w:rsidR="004D3ACB">
        <w:rPr>
          <w:color w:val="000000" w:themeColor="text1"/>
          <w:lang w:val="en-US"/>
        </w:rPr>
        <w:t>l</w:t>
      </w:r>
      <w:r w:rsidR="004D3ACB" w:rsidRPr="00403A97">
        <w:rPr>
          <w:color w:val="000000" w:themeColor="text1"/>
          <w:lang w:val="en-US"/>
        </w:rPr>
        <w:t>egal basis and policy</w:t>
      </w:r>
      <w:r w:rsidR="004D3ACB">
        <w:rPr>
          <w:color w:val="000000" w:themeColor="text1"/>
          <w:lang w:val="en-US"/>
        </w:rPr>
        <w:t xml:space="preserve"> provisions</w:t>
      </w:r>
      <w:r w:rsidR="004D3ACB" w:rsidRPr="00403A97">
        <w:rPr>
          <w:color w:val="000000" w:themeColor="text1"/>
          <w:lang w:val="en-US"/>
        </w:rPr>
        <w:t>,</w:t>
      </w:r>
      <w:r w:rsidR="004D3ACB" w:rsidRPr="00403A97">
        <w:t xml:space="preserve"> </w:t>
      </w:r>
      <w:r w:rsidR="004D3ACB">
        <w:t xml:space="preserve">(b) </w:t>
      </w:r>
      <w:r w:rsidR="004D3ACB" w:rsidRPr="00403A97">
        <w:rPr>
          <w:color w:val="000000" w:themeColor="text1"/>
          <w:lang w:val="en-US"/>
        </w:rPr>
        <w:t>Scope of EIA application to listed activities,</w:t>
      </w:r>
      <w:r w:rsidR="004D3ACB" w:rsidRPr="00403A97">
        <w:t xml:space="preserve"> </w:t>
      </w:r>
      <w:r w:rsidR="004D3ACB">
        <w:t xml:space="preserve">(c) </w:t>
      </w:r>
      <w:r w:rsidR="004D3ACB" w:rsidRPr="00403A97">
        <w:rPr>
          <w:color w:val="000000" w:themeColor="text1"/>
          <w:lang w:val="en-US"/>
        </w:rPr>
        <w:t>Requirements for compliance,</w:t>
      </w:r>
      <w:r w:rsidR="004D3ACB" w:rsidRPr="00403A97">
        <w:t xml:space="preserve"> </w:t>
      </w:r>
      <w:r w:rsidR="004D3ACB">
        <w:t xml:space="preserve">(d) </w:t>
      </w:r>
      <w:r w:rsidR="004D3ACB" w:rsidRPr="00403A97">
        <w:rPr>
          <w:color w:val="000000" w:themeColor="text1"/>
          <w:lang w:val="en-US"/>
        </w:rPr>
        <w:t>Procedures</w:t>
      </w:r>
      <w:r w:rsidR="004D3ACB">
        <w:rPr>
          <w:color w:val="000000" w:themeColor="text1"/>
          <w:lang w:val="en-US"/>
        </w:rPr>
        <w:t xml:space="preserve"> in place</w:t>
      </w:r>
      <w:r w:rsidR="004D3ACB" w:rsidRPr="00403A97">
        <w:rPr>
          <w:color w:val="000000" w:themeColor="text1"/>
          <w:lang w:val="en-US"/>
        </w:rPr>
        <w:t xml:space="preserve"> for the conduct of EIA,</w:t>
      </w:r>
      <w:r w:rsidR="004D3ACB" w:rsidRPr="00403A97">
        <w:t xml:space="preserve"> </w:t>
      </w:r>
      <w:r w:rsidR="004D3ACB">
        <w:t xml:space="preserve">(e) </w:t>
      </w:r>
      <w:r w:rsidR="004D3ACB" w:rsidRPr="00403A97">
        <w:rPr>
          <w:color w:val="000000" w:themeColor="text1"/>
          <w:lang w:val="en-US"/>
        </w:rPr>
        <w:t xml:space="preserve">Technical guidelines for EIA, </w:t>
      </w:r>
      <w:r w:rsidR="004D3ACB">
        <w:rPr>
          <w:color w:val="000000" w:themeColor="text1"/>
          <w:lang w:val="en-US"/>
        </w:rPr>
        <w:t>(f) Requirements for p</w:t>
      </w:r>
      <w:r w:rsidR="004D3ACB" w:rsidRPr="00403A97">
        <w:rPr>
          <w:color w:val="000000" w:themeColor="text1"/>
          <w:lang w:val="en-US"/>
        </w:rPr>
        <w:t xml:space="preserve">ublic scrutiny </w:t>
      </w:r>
      <w:r w:rsidR="00DC3AAE">
        <w:rPr>
          <w:color w:val="000000" w:themeColor="text1"/>
          <w:lang w:val="en-US"/>
        </w:rPr>
        <w:t>and</w:t>
      </w:r>
      <w:r w:rsidR="00DC3AAE" w:rsidRPr="00403A97">
        <w:rPr>
          <w:color w:val="000000" w:themeColor="text1"/>
          <w:lang w:val="en-US"/>
        </w:rPr>
        <w:t xml:space="preserve"> </w:t>
      </w:r>
      <w:r w:rsidR="004D3ACB" w:rsidRPr="00403A97">
        <w:rPr>
          <w:color w:val="000000" w:themeColor="text1"/>
          <w:lang w:val="en-US"/>
        </w:rPr>
        <w:t xml:space="preserve">participation, </w:t>
      </w:r>
      <w:r w:rsidR="004D3ACB">
        <w:rPr>
          <w:color w:val="000000" w:themeColor="text1"/>
          <w:lang w:val="en-US"/>
        </w:rPr>
        <w:t xml:space="preserve">(g) </w:t>
      </w:r>
      <w:r w:rsidR="004D3ACB" w:rsidRPr="00403A97">
        <w:rPr>
          <w:color w:val="000000" w:themeColor="text1"/>
          <w:lang w:val="en-US"/>
        </w:rPr>
        <w:t xml:space="preserve">Consistent </w:t>
      </w:r>
      <w:r w:rsidR="00DC3AAE">
        <w:rPr>
          <w:color w:val="000000" w:themeColor="text1"/>
          <w:lang w:val="en-US"/>
        </w:rPr>
        <w:t xml:space="preserve">and </w:t>
      </w:r>
      <w:r w:rsidR="004D3ACB" w:rsidRPr="00403A97">
        <w:rPr>
          <w:color w:val="000000" w:themeColor="text1"/>
          <w:lang w:val="en-US"/>
        </w:rPr>
        <w:t xml:space="preserve">impartial administration, </w:t>
      </w:r>
      <w:r w:rsidR="004D3ACB">
        <w:rPr>
          <w:color w:val="000000" w:themeColor="text1"/>
          <w:lang w:val="en-US"/>
        </w:rPr>
        <w:t xml:space="preserve">(h) </w:t>
      </w:r>
      <w:r w:rsidR="004D3ACB" w:rsidRPr="00403A97">
        <w:rPr>
          <w:color w:val="000000" w:themeColor="text1"/>
          <w:lang w:val="en-US"/>
        </w:rPr>
        <w:t>Clear links</w:t>
      </w:r>
      <w:r w:rsidR="004D3ACB">
        <w:rPr>
          <w:color w:val="000000" w:themeColor="text1"/>
          <w:lang w:val="en-US"/>
        </w:rPr>
        <w:t xml:space="preserve"> of EIA findings</w:t>
      </w:r>
      <w:r w:rsidR="004D3ACB" w:rsidRPr="00403A97">
        <w:rPr>
          <w:color w:val="000000" w:themeColor="text1"/>
          <w:lang w:val="en-US"/>
        </w:rPr>
        <w:t xml:space="preserve"> to decision-making, </w:t>
      </w:r>
      <w:r w:rsidR="004D3ACB">
        <w:rPr>
          <w:color w:val="000000" w:themeColor="text1"/>
          <w:lang w:val="en-US"/>
        </w:rPr>
        <w:t>(</w:t>
      </w:r>
      <w:proofErr w:type="spellStart"/>
      <w:r w:rsidR="004D3ACB">
        <w:rPr>
          <w:color w:val="000000" w:themeColor="text1"/>
          <w:lang w:val="en-US"/>
        </w:rPr>
        <w:t>i</w:t>
      </w:r>
      <w:proofErr w:type="spellEnd"/>
      <w:r w:rsidR="004D3ACB">
        <w:rPr>
          <w:color w:val="000000" w:themeColor="text1"/>
          <w:lang w:val="en-US"/>
        </w:rPr>
        <w:t xml:space="preserve">) </w:t>
      </w:r>
      <w:r w:rsidR="004D3ACB" w:rsidRPr="00403A97">
        <w:rPr>
          <w:color w:val="000000" w:themeColor="text1"/>
          <w:lang w:val="en-US"/>
        </w:rPr>
        <w:t xml:space="preserve">Requirements for alternatives, </w:t>
      </w:r>
      <w:r w:rsidR="004D3ACB">
        <w:rPr>
          <w:color w:val="000000" w:themeColor="text1"/>
          <w:lang w:val="en-US"/>
        </w:rPr>
        <w:t xml:space="preserve">(j) </w:t>
      </w:r>
      <w:r w:rsidR="004D3ACB" w:rsidRPr="00403A97">
        <w:rPr>
          <w:color w:val="000000" w:themeColor="text1"/>
          <w:lang w:val="en-US"/>
        </w:rPr>
        <w:t>Requirements to assess cumulative</w:t>
      </w:r>
      <w:r w:rsidR="004D3ACB">
        <w:rPr>
          <w:color w:val="000000" w:themeColor="text1"/>
          <w:lang w:val="en-US"/>
        </w:rPr>
        <w:t xml:space="preserve"> impacts</w:t>
      </w:r>
      <w:r w:rsidR="004D3ACB" w:rsidRPr="00403A97">
        <w:rPr>
          <w:color w:val="000000" w:themeColor="text1"/>
          <w:lang w:val="en-US"/>
        </w:rPr>
        <w:t xml:space="preserve">, </w:t>
      </w:r>
      <w:r w:rsidR="00785F8F">
        <w:rPr>
          <w:color w:val="000000" w:themeColor="text1"/>
          <w:lang w:val="en-US"/>
        </w:rPr>
        <w:t xml:space="preserve">(k) </w:t>
      </w:r>
      <w:r w:rsidR="004D3ACB" w:rsidRPr="00403A97">
        <w:rPr>
          <w:color w:val="000000" w:themeColor="text1"/>
          <w:lang w:val="en-US"/>
        </w:rPr>
        <w:t xml:space="preserve">Requirements for sustainability, </w:t>
      </w:r>
      <w:r w:rsidR="00DC3AAE">
        <w:rPr>
          <w:color w:val="000000" w:themeColor="text1"/>
          <w:lang w:val="en-US"/>
        </w:rPr>
        <w:t xml:space="preserve">and </w:t>
      </w:r>
      <w:r w:rsidR="00785F8F">
        <w:rPr>
          <w:color w:val="000000" w:themeColor="text1"/>
          <w:lang w:val="en-US"/>
        </w:rPr>
        <w:t xml:space="preserve">(l) </w:t>
      </w:r>
      <w:r w:rsidR="004D3ACB" w:rsidRPr="00403A97">
        <w:rPr>
          <w:color w:val="000000" w:themeColor="text1"/>
          <w:lang w:val="en-US"/>
        </w:rPr>
        <w:t>Requirements for follow up and monitoring</w:t>
      </w:r>
      <w:r w:rsidR="00785F8F">
        <w:rPr>
          <w:color w:val="000000" w:themeColor="text1"/>
          <w:lang w:val="en-US"/>
        </w:rPr>
        <w:t>. In terms of standards,</w:t>
      </w:r>
      <w:r w:rsidR="006E3C60">
        <w:t xml:space="preserve"> </w:t>
      </w:r>
      <w:r w:rsidR="004472C0">
        <w:t>United Nations principles</w:t>
      </w:r>
      <w:r w:rsidR="00785F8F">
        <w:t xml:space="preserve"> of good governance are used </w:t>
      </w:r>
      <w:r w:rsidR="00DC3AAE">
        <w:t>a</w:t>
      </w:r>
      <w:r w:rsidR="00785F8F">
        <w:t>s quality measures by assessing the extent to which the Namibia EIA system satisfies them. The UN's good governance qualities include</w:t>
      </w:r>
      <w:r w:rsidR="00DC3AAE">
        <w:t>:</w:t>
      </w:r>
      <w:r w:rsidR="00785F8F">
        <w:t xml:space="preserve"> </w:t>
      </w:r>
      <w:proofErr w:type="spellStart"/>
      <w:r w:rsidR="00785F8F">
        <w:rPr>
          <w:rFonts w:eastAsia="Calibri"/>
          <w:color w:val="000000" w:themeColor="text1"/>
        </w:rPr>
        <w:t>i</w:t>
      </w:r>
      <w:proofErr w:type="spellEnd"/>
      <w:r w:rsidR="00785F8F">
        <w:rPr>
          <w:rFonts w:eastAsia="Calibri"/>
          <w:color w:val="000000" w:themeColor="text1"/>
        </w:rPr>
        <w:t xml:space="preserve">) </w:t>
      </w:r>
      <w:r w:rsidR="00785F8F" w:rsidRPr="00E174F4">
        <w:rPr>
          <w:rFonts w:eastAsia="Calibri"/>
          <w:color w:val="000000" w:themeColor="text1"/>
        </w:rPr>
        <w:t xml:space="preserve">rule of law, </w:t>
      </w:r>
      <w:r w:rsidR="00785F8F">
        <w:rPr>
          <w:rFonts w:eastAsia="Calibri"/>
          <w:color w:val="000000" w:themeColor="text1"/>
        </w:rPr>
        <w:t xml:space="preserve">ii) </w:t>
      </w:r>
      <w:r w:rsidR="00785F8F" w:rsidRPr="00E174F4">
        <w:rPr>
          <w:rFonts w:eastAsia="Calibri"/>
          <w:color w:val="000000" w:themeColor="text1"/>
        </w:rPr>
        <w:t xml:space="preserve">participation, </w:t>
      </w:r>
      <w:r w:rsidR="00785F8F">
        <w:rPr>
          <w:rFonts w:eastAsia="Calibri"/>
          <w:color w:val="000000" w:themeColor="text1"/>
        </w:rPr>
        <w:t xml:space="preserve">iii) </w:t>
      </w:r>
      <w:r w:rsidR="00785F8F" w:rsidRPr="00E174F4">
        <w:rPr>
          <w:rFonts w:eastAsia="Calibri"/>
          <w:color w:val="000000" w:themeColor="text1"/>
        </w:rPr>
        <w:t xml:space="preserve">coordination, </w:t>
      </w:r>
      <w:r w:rsidR="00785F8F">
        <w:rPr>
          <w:rFonts w:eastAsia="Calibri"/>
          <w:color w:val="000000" w:themeColor="text1"/>
        </w:rPr>
        <w:t xml:space="preserve">iv) </w:t>
      </w:r>
      <w:r w:rsidR="00785F8F" w:rsidRPr="00E174F4">
        <w:rPr>
          <w:rFonts w:eastAsia="Calibri"/>
          <w:color w:val="000000" w:themeColor="text1"/>
        </w:rPr>
        <w:t xml:space="preserve">transparency, </w:t>
      </w:r>
      <w:r w:rsidR="00785F8F">
        <w:rPr>
          <w:rFonts w:eastAsia="Calibri"/>
          <w:color w:val="000000" w:themeColor="text1"/>
        </w:rPr>
        <w:t xml:space="preserve">v) </w:t>
      </w:r>
      <w:r w:rsidR="00785F8F" w:rsidRPr="00E174F4">
        <w:rPr>
          <w:rFonts w:eastAsia="Calibri"/>
          <w:color w:val="000000" w:themeColor="text1"/>
        </w:rPr>
        <w:t xml:space="preserve">responsiveness, </w:t>
      </w:r>
      <w:r w:rsidR="00785F8F">
        <w:rPr>
          <w:rFonts w:eastAsia="Calibri"/>
          <w:color w:val="000000" w:themeColor="text1"/>
        </w:rPr>
        <w:t xml:space="preserve">vi) </w:t>
      </w:r>
      <w:r w:rsidR="00785F8F" w:rsidRPr="00E174F4">
        <w:rPr>
          <w:rFonts w:eastAsia="Calibri"/>
          <w:color w:val="000000" w:themeColor="text1"/>
        </w:rPr>
        <w:t xml:space="preserve">consensus orientation, </w:t>
      </w:r>
      <w:r w:rsidR="00785F8F">
        <w:rPr>
          <w:rFonts w:eastAsia="Calibri"/>
          <w:color w:val="000000" w:themeColor="text1"/>
        </w:rPr>
        <w:t xml:space="preserve">vii) </w:t>
      </w:r>
      <w:r w:rsidR="00785F8F" w:rsidRPr="00E174F4">
        <w:rPr>
          <w:rFonts w:eastAsia="Calibri"/>
          <w:color w:val="000000" w:themeColor="text1"/>
        </w:rPr>
        <w:t xml:space="preserve">equity, </w:t>
      </w:r>
      <w:r w:rsidR="00785F8F">
        <w:rPr>
          <w:rFonts w:eastAsia="Calibri"/>
          <w:color w:val="000000" w:themeColor="text1"/>
        </w:rPr>
        <w:t xml:space="preserve">viii) </w:t>
      </w:r>
      <w:r w:rsidR="00785F8F" w:rsidRPr="00E174F4">
        <w:rPr>
          <w:rFonts w:eastAsia="Calibri"/>
          <w:color w:val="000000" w:themeColor="text1"/>
        </w:rPr>
        <w:t xml:space="preserve">legitimacy, </w:t>
      </w:r>
      <w:r w:rsidR="00785F8F">
        <w:rPr>
          <w:rFonts w:eastAsia="Calibri"/>
          <w:color w:val="000000" w:themeColor="text1"/>
        </w:rPr>
        <w:t xml:space="preserve">ix) </w:t>
      </w:r>
      <w:r w:rsidR="00785F8F" w:rsidRPr="00E174F4">
        <w:rPr>
          <w:rFonts w:eastAsia="Calibri"/>
          <w:color w:val="000000" w:themeColor="text1"/>
        </w:rPr>
        <w:t xml:space="preserve">effectiveness and efficiency, and </w:t>
      </w:r>
      <w:r w:rsidR="00785F8F">
        <w:rPr>
          <w:rFonts w:eastAsia="Calibri"/>
          <w:color w:val="000000" w:themeColor="text1"/>
        </w:rPr>
        <w:t xml:space="preserve">x) </w:t>
      </w:r>
      <w:r w:rsidR="00785F8F" w:rsidRPr="00E174F4">
        <w:rPr>
          <w:rFonts w:eastAsia="Calibri"/>
          <w:color w:val="000000" w:themeColor="text1"/>
        </w:rPr>
        <w:t>accountability (World Bank</w:t>
      </w:r>
      <w:r w:rsidR="00785F8F">
        <w:rPr>
          <w:rFonts w:eastAsia="Calibri"/>
          <w:color w:val="000000" w:themeColor="text1"/>
        </w:rPr>
        <w:t xml:space="preserve">, </w:t>
      </w:r>
      <w:r w:rsidR="00785F8F" w:rsidRPr="00E174F4">
        <w:rPr>
          <w:rFonts w:eastAsia="Calibri"/>
          <w:color w:val="000000" w:themeColor="text1"/>
        </w:rPr>
        <w:t>2011) and UNDP</w:t>
      </w:r>
      <w:r w:rsidR="00785F8F">
        <w:rPr>
          <w:rFonts w:eastAsia="Calibri"/>
          <w:color w:val="000000" w:themeColor="text1"/>
        </w:rPr>
        <w:t xml:space="preserve">, </w:t>
      </w:r>
      <w:r w:rsidR="00785F8F" w:rsidRPr="00E174F4">
        <w:rPr>
          <w:rFonts w:eastAsia="Calibri"/>
          <w:color w:val="000000" w:themeColor="text1"/>
        </w:rPr>
        <w:t>2011).</w:t>
      </w:r>
      <w:r w:rsidR="00785F8F">
        <w:t xml:space="preserve"> </w:t>
      </w:r>
      <w:r w:rsidR="004472C0">
        <w:t xml:space="preserve">A </w:t>
      </w:r>
      <w:r w:rsidR="00D31B37">
        <w:t>Likert scale</w:t>
      </w:r>
      <w:r w:rsidR="004472C0">
        <w:t xml:space="preserve"> of 1-5 was used to rate the criteria according to actors' perceptions</w:t>
      </w:r>
      <w:r w:rsidRPr="004828C3">
        <w:t xml:space="preserve"> where 1 = excellent</w:t>
      </w:r>
      <w:r w:rsidR="006260DE" w:rsidRPr="004828C3">
        <w:t>, 2= good, 3= limited, 4</w:t>
      </w:r>
      <w:r w:rsidRPr="004828C3">
        <w:t xml:space="preserve"> =</w:t>
      </w:r>
      <w:r w:rsidR="006260DE" w:rsidRPr="004828C3">
        <w:t xml:space="preserve"> poor</w:t>
      </w:r>
      <w:r w:rsidR="004828C3">
        <w:t>.</w:t>
      </w:r>
      <w:r w:rsidR="00A83EB6">
        <w:t xml:space="preserve"> </w:t>
      </w:r>
      <w:r w:rsidR="004828C3">
        <w:t>Herein,</w:t>
      </w:r>
      <w:r w:rsidR="009D1DA2">
        <w:t xml:space="preserve"> </w:t>
      </w:r>
      <w:r w:rsidR="004828C3">
        <w:t>excellent,</w:t>
      </w:r>
      <w:r w:rsidR="009D1DA2">
        <w:t xml:space="preserve"> and good </w:t>
      </w:r>
      <w:r w:rsidR="00A83EB6">
        <w:t>represent an</w:t>
      </w:r>
      <w:r w:rsidR="009D1DA2">
        <w:t xml:space="preserve"> </w:t>
      </w:r>
      <w:r w:rsidR="004828C3">
        <w:t>adequate system</w:t>
      </w:r>
      <w:r w:rsidR="009D1DA2">
        <w:t xml:space="preserve"> and limited and poor represent</w:t>
      </w:r>
      <w:r w:rsidR="004828C3">
        <w:t xml:space="preserve"> an</w:t>
      </w:r>
      <w:r w:rsidR="009D1DA2">
        <w:t xml:space="preserve"> inadequa</w:t>
      </w:r>
      <w:r w:rsidR="004828C3">
        <w:t>te system</w:t>
      </w:r>
      <w:r w:rsidR="009D1DA2">
        <w:t>.</w:t>
      </w:r>
      <w:r w:rsidR="006260DE">
        <w:t xml:space="preserve"> For the governance standards, respondents rated governance in Namibia E</w:t>
      </w:r>
      <w:r w:rsidR="004828C3">
        <w:t>IA</w:t>
      </w:r>
      <w:r w:rsidR="006260DE">
        <w:t xml:space="preserve"> as follows. 1=fully met, 2=partially, 3= marginally, 4= poor.</w:t>
      </w:r>
      <w:r w:rsidR="00D31B37">
        <w:t xml:space="preserve"> </w:t>
      </w:r>
      <w:r w:rsidR="00DC3AAE">
        <w:t>Additional information was obtained through semi-structured interviews.</w:t>
      </w:r>
    </w:p>
    <w:p w14:paraId="653CB1FE" w14:textId="77777777" w:rsidR="00683263" w:rsidRDefault="000C172D" w:rsidP="002D0789">
      <w:pPr>
        <w:pStyle w:val="ListParagraph"/>
        <w:spacing w:before="240" w:line="480" w:lineRule="auto"/>
        <w:ind w:left="0"/>
        <w:jc w:val="both"/>
      </w:pPr>
      <w:r>
        <w:lastRenderedPageBreak/>
        <w:t>The s</w:t>
      </w:r>
      <w:r w:rsidR="00EC38B4" w:rsidRPr="00E174F4">
        <w:t xml:space="preserve">urvey </w:t>
      </w:r>
      <w:r w:rsidR="00D31B37">
        <w:t xml:space="preserve">responses </w:t>
      </w:r>
      <w:r w:rsidR="00EC38B4" w:rsidRPr="00E174F4">
        <w:t xml:space="preserve">were </w:t>
      </w:r>
      <w:r w:rsidR="006E3C60" w:rsidRPr="00E174F4">
        <w:t>analysed</w:t>
      </w:r>
      <w:r w:rsidR="00EC38B4" w:rsidRPr="00E174F4">
        <w:t xml:space="preserve"> using the Statistical Package for the Social Sciences (SPSS</w:t>
      </w:r>
      <w:r w:rsidRPr="00E174F4">
        <w:t xml:space="preserve"> 25</w:t>
      </w:r>
      <w:r w:rsidR="00EC38B4" w:rsidRPr="00E174F4">
        <w:t>) and Microsoft Excel</w:t>
      </w:r>
      <w:r w:rsidR="006E3C60">
        <w:t xml:space="preserve"> (25)</w:t>
      </w:r>
      <w:r w:rsidR="004472C0">
        <w:t xml:space="preserve"> and presented as descriptive statistics</w:t>
      </w:r>
      <w:r w:rsidR="00BB01BF" w:rsidRPr="00E174F4">
        <w:t xml:space="preserve">. </w:t>
      </w:r>
      <w:r w:rsidR="006260DE">
        <w:t>Expert i</w:t>
      </w:r>
      <w:r w:rsidR="007C4473" w:rsidRPr="00E174F4">
        <w:t xml:space="preserve">nterviews were audio recorded, transcribed, and organized </w:t>
      </w:r>
      <w:r w:rsidR="009E6B1A" w:rsidRPr="00E174F4">
        <w:t>using NVivo 12 software</w:t>
      </w:r>
      <w:r w:rsidR="006260DE">
        <w:t>.</w:t>
      </w:r>
      <w:r w:rsidR="009E6B1A" w:rsidRPr="00E174F4">
        <w:t xml:space="preserve"> </w:t>
      </w:r>
      <w:r w:rsidR="007C4473" w:rsidRPr="00E174F4">
        <w:t xml:space="preserve">Transcripts were </w:t>
      </w:r>
      <w:r w:rsidR="006E3C60" w:rsidRPr="00E174F4">
        <w:t>analysed</w:t>
      </w:r>
      <w:r w:rsidR="007C4473" w:rsidRPr="00E174F4">
        <w:t xml:space="preserve"> using a deductive approach</w:t>
      </w:r>
      <w:r w:rsidR="006E3C60">
        <w:t xml:space="preserve"> using </w:t>
      </w:r>
      <w:r w:rsidR="004472C0">
        <w:t>thematic analysis</w:t>
      </w:r>
      <w:r w:rsidR="006260DE">
        <w:t xml:space="preserve"> </w:t>
      </w:r>
      <w:r w:rsidR="006260DE" w:rsidRPr="00E174F4">
        <w:t>(</w:t>
      </w:r>
      <w:proofErr w:type="spellStart"/>
      <w:r w:rsidR="006260DE" w:rsidRPr="00E174F4">
        <w:t>Vaismoradi</w:t>
      </w:r>
      <w:proofErr w:type="spellEnd"/>
      <w:r w:rsidR="006260DE" w:rsidRPr="00E174F4">
        <w:t xml:space="preserve"> et al., 2013)</w:t>
      </w:r>
      <w:r w:rsidR="006260DE">
        <w:t>.</w:t>
      </w:r>
    </w:p>
    <w:p w14:paraId="6485468C" w14:textId="77777777" w:rsidR="00903D87" w:rsidRPr="00E174F4" w:rsidRDefault="000C172D" w:rsidP="00AC27FD">
      <w:pPr>
        <w:pStyle w:val="Heading2"/>
        <w:numPr>
          <w:ilvl w:val="0"/>
          <w:numId w:val="0"/>
        </w:numPr>
        <w:rPr>
          <w:rFonts w:cs="Times New Roman"/>
        </w:rPr>
      </w:pPr>
      <w:r w:rsidRPr="00E174F4">
        <w:rPr>
          <w:rFonts w:cs="Times New Roman"/>
        </w:rPr>
        <w:t>4.3 Results</w:t>
      </w:r>
    </w:p>
    <w:p w14:paraId="67F04A90" w14:textId="77777777" w:rsidR="002E1128" w:rsidRPr="00E174F4" w:rsidRDefault="002E1128" w:rsidP="002E1128">
      <w:pPr>
        <w:rPr>
          <w:color w:val="000000" w:themeColor="text1"/>
        </w:rPr>
      </w:pPr>
    </w:p>
    <w:p w14:paraId="08697120" w14:textId="77777777" w:rsidR="00903D87" w:rsidRPr="00E174F4" w:rsidRDefault="000C172D" w:rsidP="00AC27FD">
      <w:pPr>
        <w:pStyle w:val="Heading2"/>
        <w:numPr>
          <w:ilvl w:val="0"/>
          <w:numId w:val="0"/>
        </w:numPr>
        <w:rPr>
          <w:rFonts w:cs="Times New Roman"/>
          <w:lang w:val="en-US"/>
        </w:rPr>
      </w:pPr>
      <w:r w:rsidRPr="00E174F4">
        <w:rPr>
          <w:rFonts w:cs="Times New Roman"/>
        </w:rPr>
        <w:t xml:space="preserve">4.3.1 </w:t>
      </w:r>
      <w:bookmarkStart w:id="9" w:name="_Hlk105307808"/>
      <w:bookmarkStart w:id="10" w:name="_Hlk110594874"/>
      <w:bookmarkStart w:id="11" w:name="_Hlk110428515"/>
      <w:r w:rsidRPr="00E174F4">
        <w:rPr>
          <w:rFonts w:cs="Times New Roman"/>
          <w:lang w:val="en-US"/>
        </w:rPr>
        <w:t>Adequacy of EIA Mechanisms in Place for the Conduct of EIA</w:t>
      </w:r>
      <w:bookmarkEnd w:id="9"/>
    </w:p>
    <w:bookmarkEnd w:id="10"/>
    <w:p w14:paraId="502580F0" w14:textId="77777777" w:rsidR="00903D87" w:rsidRPr="00E174F4" w:rsidRDefault="00903D87" w:rsidP="00903D87">
      <w:pPr>
        <w:spacing w:line="480" w:lineRule="auto"/>
        <w:jc w:val="both"/>
        <w:rPr>
          <w:color w:val="000000" w:themeColor="text1"/>
          <w:lang w:val="en-US"/>
        </w:rPr>
      </w:pPr>
    </w:p>
    <w:bookmarkEnd w:id="11"/>
    <w:p w14:paraId="49D04663" w14:textId="40268D06" w:rsidR="00844429" w:rsidRDefault="000C172D" w:rsidP="0051625F">
      <w:pPr>
        <w:spacing w:line="360" w:lineRule="auto"/>
        <w:jc w:val="both"/>
      </w:pPr>
      <w:r w:rsidRPr="00E174F4">
        <w:rPr>
          <w:color w:val="000000" w:themeColor="text1"/>
          <w:lang w:val="en-US"/>
        </w:rPr>
        <w:t>Survey respondents rate</w:t>
      </w:r>
      <w:r w:rsidR="0019161C">
        <w:rPr>
          <w:color w:val="000000" w:themeColor="text1"/>
          <w:lang w:val="en-US"/>
        </w:rPr>
        <w:t>d</w:t>
      </w:r>
      <w:r w:rsidR="004472C0">
        <w:rPr>
          <w:color w:val="000000" w:themeColor="text1"/>
          <w:lang w:val="en-US"/>
        </w:rPr>
        <w:t xml:space="preserve"> the adequacy of</w:t>
      </w:r>
      <w:r w:rsidRPr="00E174F4">
        <w:rPr>
          <w:color w:val="000000" w:themeColor="text1"/>
          <w:lang w:val="en-US"/>
        </w:rPr>
        <w:t xml:space="preserve"> </w:t>
      </w:r>
      <w:r w:rsidR="00425198">
        <w:rPr>
          <w:color w:val="000000" w:themeColor="text1"/>
          <w:lang w:val="en-US"/>
        </w:rPr>
        <w:t xml:space="preserve">12 </w:t>
      </w:r>
      <w:r w:rsidR="004472C0">
        <w:rPr>
          <w:color w:val="000000" w:themeColor="text1"/>
          <w:lang w:val="en-US"/>
        </w:rPr>
        <w:t xml:space="preserve">EIA </w:t>
      </w:r>
      <w:r w:rsidR="00412ECF">
        <w:rPr>
          <w:color w:val="000000" w:themeColor="text1"/>
          <w:lang w:val="en-US"/>
        </w:rPr>
        <w:t>mechanism</w:t>
      </w:r>
      <w:r w:rsidR="00425198">
        <w:rPr>
          <w:color w:val="000000" w:themeColor="text1"/>
          <w:lang w:val="en-US"/>
        </w:rPr>
        <w:t xml:space="preserve">s </w:t>
      </w:r>
      <w:r w:rsidR="002F4CF5" w:rsidRPr="00E174F4">
        <w:rPr>
          <w:color w:val="000000" w:themeColor="text1"/>
          <w:lang w:val="en-US"/>
        </w:rPr>
        <w:t>(</w:t>
      </w:r>
      <w:r w:rsidR="005223E2" w:rsidRPr="00E174F4">
        <w:rPr>
          <w:color w:val="000000" w:themeColor="text1"/>
          <w:highlight w:val="yellow"/>
          <w:lang w:val="en-US"/>
        </w:rPr>
        <w:fldChar w:fldCharType="begin"/>
      </w:r>
      <w:r w:rsidR="005223E2" w:rsidRPr="00E174F4">
        <w:rPr>
          <w:color w:val="000000" w:themeColor="text1"/>
          <w:lang w:val="en-US"/>
        </w:rPr>
        <w:instrText xml:space="preserve"> REF _Ref103801692 \h </w:instrText>
      </w:r>
      <w:r w:rsidR="008E7845" w:rsidRPr="00E174F4">
        <w:rPr>
          <w:color w:val="000000" w:themeColor="text1"/>
          <w:highlight w:val="yellow"/>
          <w:lang w:val="en-US"/>
        </w:rPr>
        <w:instrText xml:space="preserve"> \* MERGEFORMAT </w:instrText>
      </w:r>
      <w:r w:rsidR="005223E2" w:rsidRPr="00E174F4">
        <w:rPr>
          <w:color w:val="000000" w:themeColor="text1"/>
          <w:highlight w:val="yellow"/>
          <w:lang w:val="en-US"/>
        </w:rPr>
      </w:r>
      <w:r w:rsidR="005223E2" w:rsidRPr="00E174F4">
        <w:rPr>
          <w:color w:val="000000" w:themeColor="text1"/>
          <w:highlight w:val="yellow"/>
          <w:lang w:val="en-US"/>
        </w:rPr>
        <w:fldChar w:fldCharType="separate"/>
      </w:r>
      <w:r w:rsidR="005223E2" w:rsidRPr="00E174F4">
        <w:rPr>
          <w:color w:val="000000" w:themeColor="text1"/>
        </w:rPr>
        <w:t xml:space="preserve">Figure </w:t>
      </w:r>
      <w:r w:rsidR="005223E2" w:rsidRPr="00E174F4">
        <w:rPr>
          <w:noProof/>
          <w:color w:val="000000" w:themeColor="text1"/>
        </w:rPr>
        <w:t>1</w:t>
      </w:r>
      <w:r w:rsidR="005223E2" w:rsidRPr="00E174F4">
        <w:rPr>
          <w:color w:val="000000" w:themeColor="text1"/>
          <w:highlight w:val="yellow"/>
          <w:lang w:val="en-US"/>
        </w:rPr>
        <w:fldChar w:fldCharType="end"/>
      </w:r>
      <w:r w:rsidR="002F4CF5" w:rsidRPr="00E174F4">
        <w:rPr>
          <w:color w:val="000000" w:themeColor="text1"/>
          <w:lang w:val="en-US"/>
        </w:rPr>
        <w:t>)</w:t>
      </w:r>
      <w:r w:rsidRPr="00E174F4">
        <w:rPr>
          <w:color w:val="000000" w:themeColor="text1"/>
          <w:lang w:val="en-US"/>
        </w:rPr>
        <w:t xml:space="preserve">. </w:t>
      </w:r>
      <w:r>
        <w:rPr>
          <w:color w:val="000000" w:themeColor="text1"/>
          <w:lang w:val="en-US"/>
        </w:rPr>
        <w:t>O</w:t>
      </w:r>
      <w:r>
        <w:t>n a 50% threshold mark for "adequate governance</w:t>
      </w:r>
      <w:r w:rsidR="00A83EB6">
        <w:t xml:space="preserve"> mechanisms</w:t>
      </w:r>
      <w:r>
        <w:t xml:space="preserve"> vs inadequate</w:t>
      </w:r>
      <w:r w:rsidRPr="00382B89">
        <w:t xml:space="preserve"> governance</w:t>
      </w:r>
      <w:r w:rsidR="00A83EB6">
        <w:t xml:space="preserve"> mechanisms</w:t>
      </w:r>
      <w:r>
        <w:t>”</w:t>
      </w:r>
      <w:r w:rsidRPr="00382B89">
        <w:t xml:space="preserve"> of </w:t>
      </w:r>
      <w:r w:rsidR="004472C0">
        <w:t>Namibia</w:t>
      </w:r>
      <w:r w:rsidR="00DC3AAE">
        <w:t>’s</w:t>
      </w:r>
      <w:r w:rsidRPr="00382B89">
        <w:t xml:space="preserve"> EIA system</w:t>
      </w:r>
      <w:r w:rsidR="000D3329">
        <w:t>,</w:t>
      </w:r>
      <w:r w:rsidRPr="00382B89">
        <w:t xml:space="preserve"> </w:t>
      </w:r>
      <w:r>
        <w:t xml:space="preserve">only </w:t>
      </w:r>
      <w:r w:rsidR="00FA43BC">
        <w:t xml:space="preserve">four </w:t>
      </w:r>
      <w:r w:rsidR="004472C0">
        <w:t>elements</w:t>
      </w:r>
      <w:r w:rsidR="00FA43BC">
        <w:t xml:space="preserve"> out of 12</w:t>
      </w:r>
      <w:r>
        <w:t xml:space="preserve"> </w:t>
      </w:r>
      <w:r w:rsidR="009A1D86">
        <w:t>are rated as adequate and include provisions and requirements on</w:t>
      </w:r>
      <w:r w:rsidR="00FA43BC">
        <w:t xml:space="preserve"> </w:t>
      </w:r>
      <w:r>
        <w:t xml:space="preserve">the legal basis, EIA scope, </w:t>
      </w:r>
      <w:r w:rsidR="00A83EB6">
        <w:t xml:space="preserve">requirements for </w:t>
      </w:r>
      <w:r>
        <w:t xml:space="preserve">compliance, and </w:t>
      </w:r>
      <w:r w:rsidR="00A83EB6">
        <w:t xml:space="preserve">EIA </w:t>
      </w:r>
      <w:r>
        <w:t>procedures</w:t>
      </w:r>
      <w:r w:rsidR="009A1D86">
        <w:t>.</w:t>
      </w:r>
      <w:r>
        <w:t xml:space="preserve"> The rest of the </w:t>
      </w:r>
      <w:r w:rsidR="00FA43BC">
        <w:t xml:space="preserve">eight EIA </w:t>
      </w:r>
      <w:r w:rsidR="009A1D86">
        <w:t>mechanisms</w:t>
      </w:r>
      <w:r w:rsidR="00DC3AAE">
        <w:t>,</w:t>
      </w:r>
      <w:r>
        <w:t xml:space="preserve"> </w:t>
      </w:r>
      <w:r w:rsidR="004472C0">
        <w:t xml:space="preserve">including </w:t>
      </w:r>
      <w:r w:rsidR="009A1D86">
        <w:t xml:space="preserve">the </w:t>
      </w:r>
      <w:r>
        <w:t>requirements</w:t>
      </w:r>
      <w:r w:rsidR="00A83EB6">
        <w:t xml:space="preserve"> for cumulative impacts</w:t>
      </w:r>
      <w:r>
        <w:t>,</w:t>
      </w:r>
      <w:r w:rsidR="009A1D86">
        <w:t xml:space="preserve"> and</w:t>
      </w:r>
      <w:r>
        <w:t xml:space="preserve"> </w:t>
      </w:r>
      <w:r w:rsidR="00A83EB6">
        <w:rPr>
          <w:color w:val="000000" w:themeColor="text1"/>
          <w:lang w:val="en-US"/>
        </w:rPr>
        <w:t>c</w:t>
      </w:r>
      <w:r w:rsidR="00A83EB6" w:rsidRPr="00403A97">
        <w:rPr>
          <w:color w:val="000000" w:themeColor="text1"/>
          <w:lang w:val="en-US"/>
        </w:rPr>
        <w:t>onsistent and impartial administration</w:t>
      </w:r>
      <w:r>
        <w:t xml:space="preserve">, </w:t>
      </w:r>
      <w:r w:rsidR="004472C0">
        <w:t>were rated as inadequate</w:t>
      </w:r>
      <w:r w:rsidR="0051625F">
        <w:t xml:space="preserve"> by more than 60% of the respondents</w:t>
      </w:r>
      <w:r>
        <w:t xml:space="preserve">. </w:t>
      </w:r>
    </w:p>
    <w:p w14:paraId="56291D94" w14:textId="5A89680C" w:rsidR="00435785" w:rsidRPr="00E174F4" w:rsidRDefault="000C172D" w:rsidP="00435785">
      <w:pPr>
        <w:spacing w:line="480" w:lineRule="auto"/>
        <w:jc w:val="both"/>
        <w:rPr>
          <w:color w:val="000000" w:themeColor="text1"/>
          <w:lang w:val="en-US"/>
        </w:rPr>
      </w:pPr>
      <w:r>
        <w:rPr>
          <w:color w:val="000000" w:themeColor="text1"/>
          <w:lang w:val="en-US"/>
        </w:rPr>
        <w:t xml:space="preserve">A substantial proportion of </w:t>
      </w:r>
      <w:r w:rsidR="0051625F">
        <w:rPr>
          <w:color w:val="000000" w:themeColor="text1"/>
          <w:lang w:val="en-US"/>
        </w:rPr>
        <w:t>68</w:t>
      </w:r>
      <w:r>
        <w:rPr>
          <w:color w:val="000000" w:themeColor="text1"/>
          <w:lang w:val="en-US"/>
        </w:rPr>
        <w:t xml:space="preserve">% of respondents </w:t>
      </w:r>
      <w:r w:rsidR="00403A97">
        <w:rPr>
          <w:color w:val="000000" w:themeColor="text1"/>
          <w:lang w:val="en-US"/>
        </w:rPr>
        <w:t>scored the r</w:t>
      </w:r>
      <w:r>
        <w:rPr>
          <w:color w:val="000000" w:themeColor="text1"/>
          <w:lang w:val="en-US"/>
        </w:rPr>
        <w:t xml:space="preserve">equirement </w:t>
      </w:r>
      <w:r w:rsidR="00403A97">
        <w:rPr>
          <w:color w:val="000000" w:themeColor="text1"/>
          <w:lang w:val="en-US"/>
        </w:rPr>
        <w:t>on</w:t>
      </w:r>
      <w:r>
        <w:rPr>
          <w:color w:val="000000" w:themeColor="text1"/>
          <w:lang w:val="en-US"/>
        </w:rPr>
        <w:t xml:space="preserve"> follow-up</w:t>
      </w:r>
      <w:r w:rsidR="00403A97">
        <w:rPr>
          <w:color w:val="000000" w:themeColor="text1"/>
          <w:lang w:val="en-US"/>
        </w:rPr>
        <w:t xml:space="preserve"> and monitoring</w:t>
      </w:r>
      <w:r>
        <w:rPr>
          <w:color w:val="000000" w:themeColor="text1"/>
          <w:lang w:val="en-US"/>
        </w:rPr>
        <w:t xml:space="preserve"> as inadequate, (Figure 1)</w:t>
      </w:r>
      <w:r w:rsidR="00403A97">
        <w:rPr>
          <w:color w:val="000000" w:themeColor="text1"/>
          <w:lang w:val="en-US"/>
        </w:rPr>
        <w:t>.</w:t>
      </w:r>
      <w:r w:rsidR="009A1D86" w:rsidRPr="009A1D86">
        <w:rPr>
          <w:color w:val="000000" w:themeColor="text1"/>
          <w:lang w:val="en-US"/>
        </w:rPr>
        <w:t xml:space="preserve"> </w:t>
      </w:r>
      <w:r w:rsidR="009A1D86">
        <w:rPr>
          <w:color w:val="000000" w:themeColor="text1"/>
          <w:lang w:val="en-US"/>
        </w:rPr>
        <w:t xml:space="preserve">Another important </w:t>
      </w:r>
      <w:r w:rsidR="00DC3AAE">
        <w:rPr>
          <w:color w:val="000000" w:themeColor="text1"/>
          <w:lang w:val="en-US"/>
        </w:rPr>
        <w:t xml:space="preserve">element </w:t>
      </w:r>
      <w:r w:rsidR="009A1D86">
        <w:rPr>
          <w:color w:val="000000" w:themeColor="text1"/>
          <w:lang w:val="en-US"/>
        </w:rPr>
        <w:t>of technical guideline</w:t>
      </w:r>
      <w:r w:rsidR="00DC3AAE">
        <w:rPr>
          <w:color w:val="000000" w:themeColor="text1"/>
          <w:lang w:val="en-US"/>
        </w:rPr>
        <w:t>s</w:t>
      </w:r>
      <w:r w:rsidR="009A1D86">
        <w:rPr>
          <w:color w:val="000000" w:themeColor="text1"/>
          <w:lang w:val="en-US"/>
        </w:rPr>
        <w:t xml:space="preserve"> for EIA </w:t>
      </w:r>
      <w:r w:rsidR="00DC3AAE">
        <w:rPr>
          <w:color w:val="000000" w:themeColor="text1"/>
          <w:lang w:val="en-US"/>
        </w:rPr>
        <w:t xml:space="preserve">was </w:t>
      </w:r>
      <w:r w:rsidR="009A1D86">
        <w:rPr>
          <w:color w:val="000000" w:themeColor="text1"/>
          <w:lang w:val="en-US"/>
        </w:rPr>
        <w:t>also rated inadequate</w:t>
      </w:r>
      <w:r w:rsidR="00DC3AAE">
        <w:rPr>
          <w:color w:val="000000" w:themeColor="text1"/>
          <w:lang w:val="en-US"/>
        </w:rPr>
        <w:t>,</w:t>
      </w:r>
      <w:r w:rsidR="009A1D86">
        <w:rPr>
          <w:color w:val="000000" w:themeColor="text1"/>
          <w:lang w:val="en-US"/>
        </w:rPr>
        <w:t xml:space="preserve"> </w:t>
      </w:r>
      <w:r w:rsidR="00DC3AAE">
        <w:rPr>
          <w:color w:val="000000" w:themeColor="text1"/>
          <w:lang w:val="en-US"/>
        </w:rPr>
        <w:t xml:space="preserve">being perceived </w:t>
      </w:r>
      <w:r w:rsidR="009A1D86">
        <w:rPr>
          <w:color w:val="000000" w:themeColor="text1"/>
          <w:lang w:val="en-US"/>
        </w:rPr>
        <w:t xml:space="preserve">as limited by 40% and poor by 18% of the respondents respectively </w:t>
      </w:r>
      <w:r w:rsidR="009A1D86" w:rsidRPr="00E174F4">
        <w:rPr>
          <w:color w:val="000000" w:themeColor="text1"/>
          <w:lang w:val="en-US"/>
        </w:rPr>
        <w:t>(</w:t>
      </w:r>
      <w:r w:rsidR="009A1D86" w:rsidRPr="00E174F4">
        <w:rPr>
          <w:color w:val="000000" w:themeColor="text1"/>
          <w:lang w:val="en-US"/>
        </w:rPr>
        <w:fldChar w:fldCharType="begin"/>
      </w:r>
      <w:r w:rsidR="009A1D86" w:rsidRPr="00E174F4">
        <w:rPr>
          <w:color w:val="000000" w:themeColor="text1"/>
          <w:lang w:val="en-US"/>
        </w:rPr>
        <w:instrText xml:space="preserve"> REF _Ref103801692 \h  \* MERGEFORMAT </w:instrText>
      </w:r>
      <w:r w:rsidR="009A1D86" w:rsidRPr="00E174F4">
        <w:rPr>
          <w:color w:val="000000" w:themeColor="text1"/>
          <w:lang w:val="en-US"/>
        </w:rPr>
      </w:r>
      <w:r w:rsidR="009A1D86" w:rsidRPr="00E174F4">
        <w:rPr>
          <w:color w:val="000000" w:themeColor="text1"/>
          <w:lang w:val="en-US"/>
        </w:rPr>
        <w:fldChar w:fldCharType="separate"/>
      </w:r>
      <w:r w:rsidR="009A1D86">
        <w:rPr>
          <w:color w:val="000000" w:themeColor="text1"/>
        </w:rPr>
        <w:t>Figure 1</w:t>
      </w:r>
      <w:r w:rsidR="009A1D86" w:rsidRPr="00E174F4">
        <w:rPr>
          <w:color w:val="000000" w:themeColor="text1"/>
          <w:lang w:val="en-US"/>
        </w:rPr>
        <w:fldChar w:fldCharType="end"/>
      </w:r>
      <w:r w:rsidR="009A1D86" w:rsidRPr="00E174F4">
        <w:rPr>
          <w:color w:val="000000" w:themeColor="text1"/>
          <w:lang w:val="en-US"/>
        </w:rPr>
        <w:t>).</w:t>
      </w:r>
    </w:p>
    <w:p w14:paraId="026099E6" w14:textId="77777777" w:rsidR="00F30AAB" w:rsidRPr="00E174F4" w:rsidRDefault="000C172D" w:rsidP="00F30AAB">
      <w:pPr>
        <w:jc w:val="both"/>
        <w:rPr>
          <w:color w:val="000000" w:themeColor="text1"/>
          <w:lang w:val="en-US"/>
        </w:rPr>
      </w:pPr>
      <w:r>
        <w:rPr>
          <w:noProof/>
        </w:rPr>
        <w:lastRenderedPageBreak/>
        <mc:AlternateContent>
          <mc:Choice Requires="wps">
            <w:drawing>
              <wp:anchor distT="0" distB="0" distL="114300" distR="114300" simplePos="0" relativeHeight="251658240" behindDoc="0" locked="0" layoutInCell="1" allowOverlap="1" wp14:anchorId="28B560D0" wp14:editId="514FDFEE">
                <wp:simplePos x="0" y="0"/>
                <wp:positionH relativeFrom="margin">
                  <wp:posOffset>1</wp:posOffset>
                </wp:positionH>
                <wp:positionV relativeFrom="paragraph">
                  <wp:posOffset>4733757</wp:posOffset>
                </wp:positionV>
                <wp:extent cx="5943444" cy="816790"/>
                <wp:effectExtent l="0" t="0" r="19685" b="21590"/>
                <wp:wrapNone/>
                <wp:docPr id="9" name="Text Box 9"/>
                <wp:cNvGraphicFramePr/>
                <a:graphic xmlns:a="http://schemas.openxmlformats.org/drawingml/2006/main">
                  <a:graphicData uri="http://schemas.microsoft.com/office/word/2010/wordprocessingShape">
                    <wps:wsp>
                      <wps:cNvSpPr txBox="1"/>
                      <wps:spPr>
                        <a:xfrm>
                          <a:off x="0" y="0"/>
                          <a:ext cx="5943444" cy="816790"/>
                        </a:xfrm>
                        <a:prstGeom prst="rect">
                          <a:avLst/>
                        </a:prstGeom>
                        <a:solidFill>
                          <a:schemeClr val="lt1"/>
                        </a:solidFill>
                        <a:ln w="6350">
                          <a:solidFill>
                            <a:prstClr val="black"/>
                          </a:solidFill>
                        </a:ln>
                      </wps:spPr>
                      <wps:txbx>
                        <w:txbxContent>
                          <w:p w14:paraId="3FF7EEE9" w14:textId="77777777" w:rsidR="00040A06" w:rsidRPr="00E3357A" w:rsidRDefault="000C172D" w:rsidP="00F30AAB">
                            <w:pPr>
                              <w:jc w:val="both"/>
                              <w:rPr>
                                <w:i/>
                                <w:iCs/>
                                <w:color w:val="000000" w:themeColor="text1"/>
                                <w:sz w:val="18"/>
                                <w:szCs w:val="18"/>
                                <w:lang w:val="en-US"/>
                              </w:rPr>
                            </w:pPr>
                            <w:r w:rsidRPr="00E3357A">
                              <w:rPr>
                                <w:i/>
                                <w:iCs/>
                                <w:color w:val="000000" w:themeColor="text1"/>
                                <w:sz w:val="18"/>
                                <w:szCs w:val="18"/>
                                <w:lang w:val="en-US"/>
                              </w:rPr>
                              <w:t>Legal basis &amp; policy=Legal basis</w:t>
                            </w:r>
                            <w:r w:rsidRPr="00E3357A">
                              <w:rPr>
                                <w:color w:val="000000" w:themeColor="text1"/>
                                <w:sz w:val="18"/>
                                <w:szCs w:val="18"/>
                                <w:lang w:val="en-US"/>
                              </w:rPr>
                              <w:t>,</w:t>
                            </w:r>
                            <w:r w:rsidRPr="00E3357A">
                              <w:rPr>
                                <w:sz w:val="18"/>
                                <w:szCs w:val="18"/>
                              </w:rPr>
                              <w:t xml:space="preserve"> </w:t>
                            </w:r>
                            <w:r w:rsidRPr="00E3357A">
                              <w:rPr>
                                <w:i/>
                                <w:iCs/>
                                <w:color w:val="000000" w:themeColor="text1"/>
                                <w:sz w:val="18"/>
                                <w:szCs w:val="18"/>
                                <w:lang w:val="en-US"/>
                              </w:rPr>
                              <w:t>Scope of EIA application to listed activities=EIA scope,</w:t>
                            </w:r>
                            <w:r w:rsidRPr="00E3357A">
                              <w:rPr>
                                <w:sz w:val="18"/>
                                <w:szCs w:val="18"/>
                              </w:rPr>
                              <w:t xml:space="preserve"> </w:t>
                            </w:r>
                            <w:r w:rsidRPr="00E3357A">
                              <w:rPr>
                                <w:i/>
                                <w:iCs/>
                                <w:color w:val="000000" w:themeColor="text1"/>
                                <w:sz w:val="18"/>
                                <w:szCs w:val="18"/>
                                <w:lang w:val="en-US"/>
                              </w:rPr>
                              <w:t>Requirements for compliance=Compliance,</w:t>
                            </w:r>
                            <w:r w:rsidRPr="00E3357A">
                              <w:rPr>
                                <w:sz w:val="18"/>
                                <w:szCs w:val="18"/>
                              </w:rPr>
                              <w:t xml:space="preserve"> </w:t>
                            </w:r>
                            <w:r w:rsidRPr="00E3357A">
                              <w:rPr>
                                <w:i/>
                                <w:iCs/>
                                <w:color w:val="000000" w:themeColor="text1"/>
                                <w:sz w:val="18"/>
                                <w:szCs w:val="18"/>
                                <w:lang w:val="en-US"/>
                              </w:rPr>
                              <w:t>Procedures for the conduct of EIA=Procedures,</w:t>
                            </w:r>
                            <w:r w:rsidRPr="00E3357A">
                              <w:rPr>
                                <w:sz w:val="18"/>
                                <w:szCs w:val="18"/>
                              </w:rPr>
                              <w:t xml:space="preserve"> </w:t>
                            </w:r>
                            <w:r w:rsidRPr="00E3357A">
                              <w:rPr>
                                <w:i/>
                                <w:iCs/>
                                <w:color w:val="000000" w:themeColor="text1"/>
                                <w:sz w:val="18"/>
                                <w:szCs w:val="18"/>
                                <w:lang w:val="en-US"/>
                              </w:rPr>
                              <w:t>Technical guidelines for EIA=Guidelines, Public scrutiny &amp; participation=Participation, Consistent &amp; impartial administration=Administration, Clear links to decision-making=Decision, Requirements for alternatives=Alternatives, Requirements to assess cumulative impacts=Cumulative, Requirements for sustainability=sustainability, Requirements for following up</w:t>
                            </w:r>
                            <w:r>
                              <w:rPr>
                                <w:i/>
                                <w:iCs/>
                                <w:color w:val="000000" w:themeColor="text1"/>
                                <w:sz w:val="18"/>
                                <w:szCs w:val="18"/>
                                <w:lang w:val="en-US"/>
                              </w:rPr>
                              <w:t xml:space="preserve"> and monitoring</w:t>
                            </w:r>
                            <w:r w:rsidRPr="00E3357A">
                              <w:rPr>
                                <w:i/>
                                <w:iCs/>
                                <w:color w:val="000000" w:themeColor="text1"/>
                                <w:sz w:val="18"/>
                                <w:szCs w:val="18"/>
                                <w:lang w:val="en-US"/>
                              </w:rPr>
                              <w:t>=Follow-up</w:t>
                            </w:r>
                          </w:p>
                          <w:p w14:paraId="259529C7" w14:textId="77777777" w:rsidR="00040A06" w:rsidRDefault="00040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8B560D0" id="_x0000_t202" coordsize="21600,21600" o:spt="202" path="m,l,21600r21600,l21600,xe">
                <v:stroke joinstyle="miter"/>
                <v:path gradientshapeok="t" o:connecttype="rect"/>
              </v:shapetype>
              <v:shape id="Text Box 9" o:spid="_x0000_s1026" type="#_x0000_t202" style="position:absolute;left:0;text-align:left;margin-left:0;margin-top:372.75pt;width:468pt;height:6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" fillcolor="white [3201]" strokeweight=".5pt">
                <v:textbox>
                  <w:txbxContent>
                    <w:p w14:paraId="3FF7EEE9" w14:textId="77777777" w:rsidR="00040A06" w:rsidRPr="00E3357A" w:rsidRDefault="000C172D" w:rsidP="00F30AAB">
                      <w:pPr>
                        <w:jc w:val="both"/>
                        <w:rPr>
                          <w:i/>
                          <w:iCs/>
                          <w:color w:val="000000" w:themeColor="text1"/>
                          <w:sz w:val="18"/>
                          <w:szCs w:val="18"/>
                          <w:lang w:val="en-US"/>
                        </w:rPr>
                      </w:pPr>
                      <w:r w:rsidRPr="00E3357A">
                        <w:rPr>
                          <w:i/>
                          <w:iCs/>
                          <w:color w:val="000000" w:themeColor="text1"/>
                          <w:sz w:val="18"/>
                          <w:szCs w:val="18"/>
                          <w:lang w:val="en-US"/>
                        </w:rPr>
                        <w:t>Legal basis &amp; policy=Legal basis</w:t>
                      </w:r>
                      <w:r w:rsidRPr="00E3357A">
                        <w:rPr>
                          <w:color w:val="000000" w:themeColor="text1"/>
                          <w:sz w:val="18"/>
                          <w:szCs w:val="18"/>
                          <w:lang w:val="en-US"/>
                        </w:rPr>
                        <w:t>,</w:t>
                      </w:r>
                      <w:r w:rsidRPr="00E3357A">
                        <w:rPr>
                          <w:sz w:val="18"/>
                          <w:szCs w:val="18"/>
                        </w:rPr>
                        <w:t xml:space="preserve"> </w:t>
                      </w:r>
                      <w:r w:rsidRPr="00E3357A">
                        <w:rPr>
                          <w:i/>
                          <w:iCs/>
                          <w:color w:val="000000" w:themeColor="text1"/>
                          <w:sz w:val="18"/>
                          <w:szCs w:val="18"/>
                          <w:lang w:val="en-US"/>
                        </w:rPr>
                        <w:t>Scope of EIA application to listed activities=EIA scope,</w:t>
                      </w:r>
                      <w:r w:rsidRPr="00E3357A">
                        <w:rPr>
                          <w:sz w:val="18"/>
                          <w:szCs w:val="18"/>
                        </w:rPr>
                        <w:t xml:space="preserve"> </w:t>
                      </w:r>
                      <w:r w:rsidRPr="00E3357A">
                        <w:rPr>
                          <w:i/>
                          <w:iCs/>
                          <w:color w:val="000000" w:themeColor="text1"/>
                          <w:sz w:val="18"/>
                          <w:szCs w:val="18"/>
                          <w:lang w:val="en-US"/>
                        </w:rPr>
                        <w:t>Requirements for compliance=Compliance,</w:t>
                      </w:r>
                      <w:r w:rsidRPr="00E3357A">
                        <w:rPr>
                          <w:sz w:val="18"/>
                          <w:szCs w:val="18"/>
                        </w:rPr>
                        <w:t xml:space="preserve"> </w:t>
                      </w:r>
                      <w:r w:rsidRPr="00E3357A">
                        <w:rPr>
                          <w:i/>
                          <w:iCs/>
                          <w:color w:val="000000" w:themeColor="text1"/>
                          <w:sz w:val="18"/>
                          <w:szCs w:val="18"/>
                          <w:lang w:val="en-US"/>
                        </w:rPr>
                        <w:t>Procedures for the conduct of EIA=Procedures,</w:t>
                      </w:r>
                      <w:r w:rsidRPr="00E3357A">
                        <w:rPr>
                          <w:sz w:val="18"/>
                          <w:szCs w:val="18"/>
                        </w:rPr>
                        <w:t xml:space="preserve"> </w:t>
                      </w:r>
                      <w:r w:rsidRPr="00E3357A">
                        <w:rPr>
                          <w:i/>
                          <w:iCs/>
                          <w:color w:val="000000" w:themeColor="text1"/>
                          <w:sz w:val="18"/>
                          <w:szCs w:val="18"/>
                          <w:lang w:val="en-US"/>
                        </w:rPr>
                        <w:t>Technical guidelines for EIA=Guidelines, Public scrutiny &amp; participation=Participation, Consistent &amp; impartial administration=Administration, Clear links to decision-making=Decision, Requirements for alternatives=Alternatives, Requirements to assess cumulative impacts=Cumulative, Requirements for sustainability=sustainability, Requirements for following up</w:t>
                      </w:r>
                      <w:r>
                        <w:rPr>
                          <w:i/>
                          <w:iCs/>
                          <w:color w:val="000000" w:themeColor="text1"/>
                          <w:sz w:val="18"/>
                          <w:szCs w:val="18"/>
                          <w:lang w:val="en-US"/>
                        </w:rPr>
                        <w:t xml:space="preserve"> and monitoring</w:t>
                      </w:r>
                      <w:r w:rsidRPr="00E3357A">
                        <w:rPr>
                          <w:i/>
                          <w:iCs/>
                          <w:color w:val="000000" w:themeColor="text1"/>
                          <w:sz w:val="18"/>
                          <w:szCs w:val="18"/>
                          <w:lang w:val="en-US"/>
                        </w:rPr>
                        <w:t>=Follow-up</w:t>
                      </w:r>
                    </w:p>
                    <w:p w14:paraId="259529C7" w14:textId="77777777" w:rsidR="00040A06" w:rsidRDefault="00040A06"/>
                  </w:txbxContent>
                </v:textbox>
                <w10:wrap anchorx="margin"/>
              </v:shape>
            </w:pict>
          </mc:Fallback>
        </mc:AlternateContent>
      </w:r>
      <w:r w:rsidR="007D4A4A">
        <w:rPr>
          <w:noProof/>
        </w:rPr>
        <w:drawing>
          <wp:inline distT="0" distB="0" distL="0" distR="0" wp14:anchorId="004E9B89" wp14:editId="62B183BA">
            <wp:extent cx="5943600" cy="4735522"/>
            <wp:effectExtent l="0" t="0" r="0" b="8255"/>
            <wp:docPr id="3" name="Chart 3">
              <a:extLst xmlns:a="http://schemas.openxmlformats.org/drawingml/2006/main">
                <a:ext uri="{FF2B5EF4-FFF2-40B4-BE49-F238E27FC236}">
                  <a16:creationId xmlns:a16="http://schemas.microsoft.com/office/drawing/2014/main" id="{00000000-0008-0000-04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FCCBF2" w14:textId="77777777" w:rsidR="00F30AAB" w:rsidRPr="00E174F4" w:rsidRDefault="00F30AAB" w:rsidP="00F30AAB">
      <w:pPr>
        <w:jc w:val="both"/>
        <w:rPr>
          <w:color w:val="000000" w:themeColor="text1"/>
          <w:lang w:val="en-US"/>
        </w:rPr>
      </w:pPr>
    </w:p>
    <w:p w14:paraId="5328D004" w14:textId="77777777" w:rsidR="00E3357A" w:rsidRDefault="00E3357A" w:rsidP="00006D08">
      <w:pPr>
        <w:pStyle w:val="Caption"/>
        <w:jc w:val="both"/>
        <w:rPr>
          <w:i w:val="0"/>
          <w:iCs w:val="0"/>
          <w:color w:val="000000" w:themeColor="text1"/>
          <w:sz w:val="24"/>
          <w:szCs w:val="24"/>
        </w:rPr>
      </w:pPr>
      <w:bookmarkStart w:id="12" w:name="_Ref103801692"/>
    </w:p>
    <w:p w14:paraId="5FC116C6" w14:textId="77777777" w:rsidR="007D4A4A" w:rsidRDefault="007D4A4A" w:rsidP="00006D08">
      <w:pPr>
        <w:pStyle w:val="Caption"/>
        <w:jc w:val="both"/>
        <w:rPr>
          <w:i w:val="0"/>
          <w:iCs w:val="0"/>
          <w:color w:val="000000" w:themeColor="text1"/>
          <w:sz w:val="24"/>
          <w:szCs w:val="24"/>
        </w:rPr>
      </w:pPr>
    </w:p>
    <w:p w14:paraId="0D93844C" w14:textId="77777777" w:rsidR="007D4A4A" w:rsidRDefault="007D4A4A" w:rsidP="00006D08">
      <w:pPr>
        <w:pStyle w:val="Caption"/>
        <w:jc w:val="both"/>
        <w:rPr>
          <w:i w:val="0"/>
          <w:iCs w:val="0"/>
          <w:color w:val="000000" w:themeColor="text1"/>
          <w:sz w:val="24"/>
          <w:szCs w:val="24"/>
        </w:rPr>
      </w:pPr>
    </w:p>
    <w:p w14:paraId="6F470D55" w14:textId="77777777" w:rsidR="007D4A4A" w:rsidRDefault="000C172D" w:rsidP="00FA43BC">
      <w:pPr>
        <w:pStyle w:val="Caption"/>
        <w:jc w:val="both"/>
        <w:rPr>
          <w:i w:val="0"/>
          <w:iCs w:val="0"/>
          <w:color w:val="000000" w:themeColor="text1"/>
          <w:sz w:val="24"/>
          <w:szCs w:val="24"/>
        </w:rPr>
      </w:pPr>
      <w:r w:rsidRPr="00633E1A">
        <w:rPr>
          <w:b/>
          <w:bCs/>
          <w:i w:val="0"/>
          <w:iCs w:val="0"/>
          <w:color w:val="000000" w:themeColor="text1"/>
          <w:sz w:val="24"/>
          <w:szCs w:val="24"/>
        </w:rPr>
        <w:t xml:space="preserve">Figure </w:t>
      </w:r>
      <w:r w:rsidR="008E65E6" w:rsidRPr="00633E1A">
        <w:rPr>
          <w:b/>
          <w:bCs/>
          <w:i w:val="0"/>
          <w:iCs w:val="0"/>
          <w:color w:val="000000" w:themeColor="text1"/>
          <w:sz w:val="24"/>
          <w:szCs w:val="24"/>
        </w:rPr>
        <w:fldChar w:fldCharType="begin"/>
      </w:r>
      <w:r w:rsidR="008E65E6" w:rsidRPr="00633E1A">
        <w:rPr>
          <w:b/>
          <w:bCs/>
          <w:i w:val="0"/>
          <w:iCs w:val="0"/>
          <w:color w:val="000000" w:themeColor="text1"/>
          <w:sz w:val="24"/>
          <w:szCs w:val="24"/>
        </w:rPr>
        <w:instrText xml:space="preserve"> SEQ Figure \* ARABIC \s 1 </w:instrText>
      </w:r>
      <w:r w:rsidR="008E65E6" w:rsidRPr="00633E1A">
        <w:rPr>
          <w:b/>
          <w:bCs/>
          <w:i w:val="0"/>
          <w:iCs w:val="0"/>
          <w:color w:val="000000" w:themeColor="text1"/>
          <w:sz w:val="24"/>
          <w:szCs w:val="24"/>
        </w:rPr>
        <w:fldChar w:fldCharType="separate"/>
      </w:r>
      <w:r w:rsidR="008E65E6" w:rsidRPr="00633E1A">
        <w:rPr>
          <w:b/>
          <w:bCs/>
          <w:i w:val="0"/>
          <w:iCs w:val="0"/>
          <w:noProof/>
          <w:color w:val="000000" w:themeColor="text1"/>
          <w:sz w:val="24"/>
          <w:szCs w:val="24"/>
        </w:rPr>
        <w:t>1</w:t>
      </w:r>
      <w:r w:rsidR="008E65E6" w:rsidRPr="00633E1A">
        <w:rPr>
          <w:b/>
          <w:bCs/>
          <w:i w:val="0"/>
          <w:iCs w:val="0"/>
          <w:color w:val="000000" w:themeColor="text1"/>
          <w:sz w:val="24"/>
          <w:szCs w:val="24"/>
        </w:rPr>
        <w:fldChar w:fldCharType="end"/>
      </w:r>
      <w:bookmarkEnd w:id="12"/>
      <w:r w:rsidRPr="00E174F4">
        <w:rPr>
          <w:i w:val="0"/>
          <w:iCs w:val="0"/>
          <w:color w:val="000000" w:themeColor="text1"/>
          <w:sz w:val="24"/>
          <w:szCs w:val="24"/>
        </w:rPr>
        <w:t xml:space="preserve">: </w:t>
      </w:r>
      <w:r w:rsidR="00C1120D" w:rsidRPr="00E174F4">
        <w:rPr>
          <w:i w:val="0"/>
          <w:iCs w:val="0"/>
          <w:color w:val="000000" w:themeColor="text1"/>
          <w:sz w:val="24"/>
          <w:szCs w:val="24"/>
        </w:rPr>
        <w:t>Summary chart of t</w:t>
      </w:r>
      <w:r w:rsidRPr="00E174F4">
        <w:rPr>
          <w:i w:val="0"/>
          <w:iCs w:val="0"/>
          <w:color w:val="000000" w:themeColor="text1"/>
          <w:sz w:val="24"/>
          <w:szCs w:val="24"/>
        </w:rPr>
        <w:t>he stakeholders’ views on the adequacy of governance</w:t>
      </w:r>
      <w:r w:rsidR="001041C0" w:rsidRPr="00E174F4">
        <w:rPr>
          <w:i w:val="0"/>
          <w:iCs w:val="0"/>
          <w:color w:val="000000" w:themeColor="text1"/>
          <w:sz w:val="24"/>
          <w:szCs w:val="24"/>
        </w:rPr>
        <w:t xml:space="preserve"> </w:t>
      </w:r>
      <w:r w:rsidRPr="00E174F4">
        <w:rPr>
          <w:i w:val="0"/>
          <w:iCs w:val="0"/>
          <w:color w:val="000000" w:themeColor="text1"/>
          <w:sz w:val="24"/>
          <w:szCs w:val="24"/>
        </w:rPr>
        <w:t>mechanism</w:t>
      </w:r>
      <w:r w:rsidR="00C1120D" w:rsidRPr="00E174F4">
        <w:rPr>
          <w:i w:val="0"/>
          <w:iCs w:val="0"/>
          <w:color w:val="000000" w:themeColor="text1"/>
          <w:sz w:val="24"/>
          <w:szCs w:val="24"/>
        </w:rPr>
        <w:t>s</w:t>
      </w:r>
      <w:r w:rsidRPr="00E174F4">
        <w:rPr>
          <w:i w:val="0"/>
          <w:iCs w:val="0"/>
          <w:color w:val="000000" w:themeColor="text1"/>
          <w:sz w:val="24"/>
          <w:szCs w:val="24"/>
        </w:rPr>
        <w:t xml:space="preserve"> in place for the conduct of EIA</w:t>
      </w:r>
      <w:r w:rsidR="00F646BF" w:rsidRPr="00E174F4">
        <w:rPr>
          <w:i w:val="0"/>
          <w:iCs w:val="0"/>
          <w:color w:val="000000" w:themeColor="text1"/>
          <w:sz w:val="24"/>
          <w:szCs w:val="24"/>
        </w:rPr>
        <w:t xml:space="preserve"> </w:t>
      </w:r>
      <w:r w:rsidR="00244403" w:rsidRPr="00E174F4">
        <w:rPr>
          <w:i w:val="0"/>
          <w:iCs w:val="0"/>
          <w:color w:val="000000" w:themeColor="text1"/>
          <w:sz w:val="24"/>
          <w:szCs w:val="24"/>
        </w:rPr>
        <w:t>(n=</w:t>
      </w:r>
      <w:r w:rsidR="001D2ED8" w:rsidRPr="00E174F4">
        <w:rPr>
          <w:i w:val="0"/>
          <w:iCs w:val="0"/>
          <w:color w:val="000000" w:themeColor="text1"/>
          <w:sz w:val="24"/>
          <w:szCs w:val="24"/>
        </w:rPr>
        <w:t>110</w:t>
      </w:r>
      <w:r w:rsidR="00244403" w:rsidRPr="00E174F4">
        <w:rPr>
          <w:i w:val="0"/>
          <w:iCs w:val="0"/>
          <w:color w:val="000000" w:themeColor="text1"/>
          <w:sz w:val="24"/>
          <w:szCs w:val="24"/>
        </w:rPr>
        <w:t>)</w:t>
      </w:r>
      <w:r w:rsidR="00C31EED" w:rsidRPr="00E174F4">
        <w:rPr>
          <w:i w:val="0"/>
          <w:iCs w:val="0"/>
          <w:color w:val="000000" w:themeColor="text1"/>
          <w:sz w:val="24"/>
          <w:szCs w:val="24"/>
        </w:rPr>
        <w:t>.</w:t>
      </w:r>
      <w:r w:rsidR="00382B89">
        <w:rPr>
          <w:i w:val="0"/>
          <w:iCs w:val="0"/>
          <w:color w:val="000000" w:themeColor="text1"/>
          <w:sz w:val="24"/>
          <w:szCs w:val="24"/>
        </w:rPr>
        <w:t xml:space="preserve"> </w:t>
      </w:r>
    </w:p>
    <w:p w14:paraId="13D758CA" w14:textId="77777777" w:rsidR="0051625F" w:rsidRPr="0051625F" w:rsidRDefault="0051625F" w:rsidP="0051625F"/>
    <w:p w14:paraId="4775E7DE" w14:textId="77777777" w:rsidR="006D1C10" w:rsidRDefault="000C172D" w:rsidP="006D1C10">
      <w:pPr>
        <w:pStyle w:val="Heading2"/>
        <w:ind w:left="0"/>
        <w:rPr>
          <w:rFonts w:cs="Times New Roman"/>
        </w:rPr>
      </w:pPr>
      <w:bookmarkStart w:id="13" w:name="_Hlk105314143"/>
      <w:r w:rsidRPr="00E174F4">
        <w:rPr>
          <w:rFonts w:cs="Times New Roman"/>
        </w:rPr>
        <w:t xml:space="preserve">4.3.2 </w:t>
      </w:r>
      <w:bookmarkStart w:id="14" w:name="_Hlk105315241"/>
      <w:bookmarkStart w:id="15" w:name="_Hlk105313327"/>
      <w:bookmarkStart w:id="16" w:name="_Hlk105335150"/>
      <w:r w:rsidR="007F2C92">
        <w:rPr>
          <w:rFonts w:cs="Times New Roman"/>
        </w:rPr>
        <w:t xml:space="preserve">Good governance Qualities in the Namibia </w:t>
      </w:r>
      <w:r w:rsidRPr="00E174F4">
        <w:rPr>
          <w:rFonts w:cs="Times New Roman"/>
        </w:rPr>
        <w:t xml:space="preserve">EIA process </w:t>
      </w:r>
      <w:bookmarkEnd w:id="13"/>
      <w:bookmarkEnd w:id="14"/>
      <w:bookmarkEnd w:id="15"/>
    </w:p>
    <w:p w14:paraId="114D091E" w14:textId="77777777" w:rsidR="007F2C92" w:rsidRPr="007F2C92" w:rsidRDefault="007F2C92" w:rsidP="007F2C92"/>
    <w:bookmarkEnd w:id="16"/>
    <w:p w14:paraId="536372BA" w14:textId="77777777" w:rsidR="00D324F8" w:rsidRDefault="000C172D" w:rsidP="006D1C10">
      <w:pPr>
        <w:spacing w:line="480" w:lineRule="auto"/>
        <w:jc w:val="both"/>
        <w:rPr>
          <w:color w:val="000000" w:themeColor="text1"/>
          <w:lang w:val="en-US"/>
        </w:rPr>
      </w:pPr>
      <w:r w:rsidRPr="00E174F4">
        <w:rPr>
          <w:color w:val="000000" w:themeColor="text1"/>
          <w:lang w:val="en-US"/>
        </w:rPr>
        <w:t xml:space="preserve">To understand the specificity of the governance </w:t>
      </w:r>
      <w:r w:rsidR="008F14F1">
        <w:rPr>
          <w:color w:val="000000" w:themeColor="text1"/>
          <w:lang w:val="en-US"/>
        </w:rPr>
        <w:t xml:space="preserve">context </w:t>
      </w:r>
      <w:r w:rsidRPr="00E174F4">
        <w:rPr>
          <w:color w:val="000000" w:themeColor="text1"/>
          <w:lang w:val="en-US"/>
        </w:rPr>
        <w:t xml:space="preserve">under which EIA is implemented, survey respondents were asked to rate the extent to which the </w:t>
      </w:r>
      <w:r w:rsidR="002D0789">
        <w:rPr>
          <w:color w:val="000000" w:themeColor="text1"/>
          <w:lang w:val="en-US"/>
        </w:rPr>
        <w:t xml:space="preserve">Namibia </w:t>
      </w:r>
      <w:r w:rsidRPr="00E174F4">
        <w:rPr>
          <w:color w:val="000000" w:themeColor="text1"/>
          <w:lang w:val="en-US"/>
        </w:rPr>
        <w:t xml:space="preserve">EIA process satisfies </w:t>
      </w:r>
      <w:r w:rsidRPr="007A13CB">
        <w:rPr>
          <w:color w:val="000000" w:themeColor="text1"/>
          <w:lang w:val="en-US"/>
        </w:rPr>
        <w:t>t</w:t>
      </w:r>
      <w:r w:rsidR="002D1C69" w:rsidRPr="007A13CB">
        <w:rPr>
          <w:color w:val="000000" w:themeColor="text1"/>
          <w:lang w:val="en-US"/>
        </w:rPr>
        <w:t xml:space="preserve">he </w:t>
      </w:r>
      <w:r w:rsidRPr="007A13CB">
        <w:rPr>
          <w:color w:val="000000" w:themeColor="text1"/>
          <w:lang w:val="en-US"/>
        </w:rPr>
        <w:t>qualities of good governance</w:t>
      </w:r>
      <w:r w:rsidR="000C2773" w:rsidRPr="007A13CB">
        <w:rPr>
          <w:color w:val="000000" w:themeColor="text1"/>
          <w:lang w:val="en-US"/>
        </w:rPr>
        <w:t>.</w:t>
      </w:r>
      <w:r w:rsidR="0092196A" w:rsidRPr="007A13CB">
        <w:rPr>
          <w:color w:val="000000" w:themeColor="text1"/>
          <w:lang w:val="en-US"/>
        </w:rPr>
        <w:t xml:space="preserve"> </w:t>
      </w:r>
    </w:p>
    <w:p w14:paraId="1D5284BC" w14:textId="77777777" w:rsidR="00F42795" w:rsidRDefault="000C172D" w:rsidP="00F42795">
      <w:pPr>
        <w:spacing w:line="480" w:lineRule="auto"/>
        <w:jc w:val="both"/>
        <w:rPr>
          <w:color w:val="000000" w:themeColor="text1"/>
          <w:lang w:val="en-US"/>
        </w:rPr>
      </w:pPr>
      <w:r w:rsidRPr="007A13CB">
        <w:rPr>
          <w:color w:val="000000" w:themeColor="text1"/>
          <w:lang w:val="en-US"/>
        </w:rPr>
        <w:lastRenderedPageBreak/>
        <w:t>Out of the ten good governance qualities, the Namibia EIA</w:t>
      </w:r>
      <w:r w:rsidRPr="00E174F4">
        <w:rPr>
          <w:color w:val="000000" w:themeColor="text1"/>
          <w:lang w:val="en-US"/>
        </w:rPr>
        <w:t xml:space="preserve"> process partially satisfies eight</w:t>
      </w:r>
      <w:r w:rsidR="0051625F">
        <w:rPr>
          <w:color w:val="000000" w:themeColor="text1"/>
          <w:lang w:val="en-US"/>
        </w:rPr>
        <w:t xml:space="preserve"> of the principles</w:t>
      </w:r>
      <w:r w:rsidR="005E6ECC">
        <w:rPr>
          <w:color w:val="000000" w:themeColor="text1"/>
          <w:lang w:val="en-US"/>
        </w:rPr>
        <w:t>:</w:t>
      </w:r>
      <w:r w:rsidR="0051625F">
        <w:rPr>
          <w:color w:val="000000" w:themeColor="text1"/>
          <w:lang w:val="en-US"/>
        </w:rPr>
        <w:t xml:space="preserve"> </w:t>
      </w:r>
      <w:proofErr w:type="spellStart"/>
      <w:r>
        <w:rPr>
          <w:color w:val="000000" w:themeColor="text1"/>
          <w:lang w:val="en-US"/>
        </w:rPr>
        <w:t>i</w:t>
      </w:r>
      <w:proofErr w:type="spellEnd"/>
      <w:r>
        <w:rPr>
          <w:color w:val="000000" w:themeColor="text1"/>
          <w:lang w:val="en-US"/>
        </w:rPr>
        <w:t xml:space="preserve">) </w:t>
      </w:r>
      <w:r w:rsidRPr="00E174F4">
        <w:rPr>
          <w:color w:val="000000" w:themeColor="text1"/>
          <w:lang w:val="en-US"/>
        </w:rPr>
        <w:t xml:space="preserve">rule of law, </w:t>
      </w:r>
      <w:r>
        <w:rPr>
          <w:color w:val="000000" w:themeColor="text1"/>
          <w:lang w:val="en-US"/>
        </w:rPr>
        <w:t xml:space="preserve">ii) </w:t>
      </w:r>
      <w:r w:rsidRPr="00E174F4">
        <w:rPr>
          <w:color w:val="000000" w:themeColor="text1"/>
          <w:lang w:val="en-US"/>
        </w:rPr>
        <w:t xml:space="preserve">coordination, </w:t>
      </w:r>
      <w:r>
        <w:rPr>
          <w:color w:val="000000" w:themeColor="text1"/>
          <w:lang w:val="en-US"/>
        </w:rPr>
        <w:t xml:space="preserve">iii) </w:t>
      </w:r>
      <w:r w:rsidRPr="00E174F4">
        <w:rPr>
          <w:color w:val="000000" w:themeColor="text1"/>
          <w:lang w:val="en-US"/>
        </w:rPr>
        <w:t xml:space="preserve">participation, </w:t>
      </w:r>
      <w:r>
        <w:rPr>
          <w:color w:val="000000" w:themeColor="text1"/>
          <w:lang w:val="en-US"/>
        </w:rPr>
        <w:t xml:space="preserve">iv) </w:t>
      </w:r>
      <w:r w:rsidRPr="00E174F4">
        <w:rPr>
          <w:color w:val="000000" w:themeColor="text1"/>
          <w:lang w:val="en-US"/>
        </w:rPr>
        <w:t xml:space="preserve">responsiveness, </w:t>
      </w:r>
      <w:r>
        <w:rPr>
          <w:color w:val="000000" w:themeColor="text1"/>
          <w:lang w:val="en-US"/>
        </w:rPr>
        <w:t xml:space="preserve">v) </w:t>
      </w:r>
      <w:r w:rsidRPr="00E174F4">
        <w:rPr>
          <w:color w:val="000000" w:themeColor="text1"/>
          <w:lang w:val="en-US"/>
        </w:rPr>
        <w:t xml:space="preserve">consensus-oriented, </w:t>
      </w:r>
      <w:r>
        <w:rPr>
          <w:color w:val="000000" w:themeColor="text1"/>
          <w:lang w:val="en-US"/>
        </w:rPr>
        <w:t xml:space="preserve">vi) </w:t>
      </w:r>
      <w:r w:rsidRPr="00E174F4">
        <w:rPr>
          <w:color w:val="000000" w:themeColor="text1"/>
          <w:lang w:val="en-US"/>
        </w:rPr>
        <w:t xml:space="preserve">equity, </w:t>
      </w:r>
      <w:r>
        <w:rPr>
          <w:color w:val="000000" w:themeColor="text1"/>
          <w:lang w:val="en-US"/>
        </w:rPr>
        <w:t xml:space="preserve">vii) </w:t>
      </w:r>
      <w:r w:rsidRPr="00E174F4">
        <w:rPr>
          <w:color w:val="000000" w:themeColor="text1"/>
          <w:lang w:val="en-US"/>
        </w:rPr>
        <w:t xml:space="preserve">effectiveness, and </w:t>
      </w:r>
      <w:r>
        <w:rPr>
          <w:color w:val="000000" w:themeColor="text1"/>
          <w:lang w:val="en-US"/>
        </w:rPr>
        <w:t xml:space="preserve">viii) </w:t>
      </w:r>
      <w:r w:rsidRPr="00E174F4">
        <w:rPr>
          <w:color w:val="000000" w:themeColor="text1"/>
          <w:lang w:val="en-US"/>
        </w:rPr>
        <w:t>legitimacy. The principle of accountability</w:t>
      </w:r>
      <w:r w:rsidR="0051625F" w:rsidRPr="0051625F">
        <w:rPr>
          <w:color w:val="000000" w:themeColor="text1"/>
          <w:lang w:val="en-US"/>
        </w:rPr>
        <w:t xml:space="preserve"> </w:t>
      </w:r>
      <w:r w:rsidR="0051625F">
        <w:rPr>
          <w:color w:val="000000" w:themeColor="text1"/>
          <w:lang w:val="en-US"/>
        </w:rPr>
        <w:t>is marginally met</w:t>
      </w:r>
      <w:r w:rsidRPr="00E174F4">
        <w:rPr>
          <w:color w:val="000000" w:themeColor="text1"/>
          <w:lang w:val="en-US"/>
        </w:rPr>
        <w:t>, and transparency</w:t>
      </w:r>
      <w:r w:rsidR="0051625F">
        <w:rPr>
          <w:color w:val="000000" w:themeColor="text1"/>
          <w:lang w:val="en-US"/>
        </w:rPr>
        <w:t xml:space="preserve"> </w:t>
      </w:r>
      <w:r w:rsidR="005E6ECC">
        <w:rPr>
          <w:color w:val="000000" w:themeColor="text1"/>
          <w:lang w:val="en-US"/>
        </w:rPr>
        <w:t xml:space="preserve">was considered </w:t>
      </w:r>
      <w:r w:rsidR="0051625F">
        <w:rPr>
          <w:color w:val="000000" w:themeColor="text1"/>
          <w:lang w:val="en-US"/>
        </w:rPr>
        <w:t>poorly met</w:t>
      </w:r>
      <w:r w:rsidRPr="00E174F4">
        <w:rPr>
          <w:color w:val="000000" w:themeColor="text1"/>
          <w:lang w:val="en-US"/>
        </w:rPr>
        <w:t xml:space="preserve"> </w:t>
      </w:r>
      <w:r>
        <w:rPr>
          <w:color w:val="000000" w:themeColor="text1"/>
          <w:lang w:val="en-US"/>
        </w:rPr>
        <w:t>(</w:t>
      </w:r>
      <w:r w:rsidR="00633E1A">
        <w:rPr>
          <w:color w:val="000000" w:themeColor="text1"/>
          <w:lang w:val="en-US"/>
        </w:rPr>
        <w:t>Table 2</w:t>
      </w:r>
      <w:r>
        <w:rPr>
          <w:color w:val="000000" w:themeColor="text1"/>
          <w:lang w:val="en-US"/>
        </w:rPr>
        <w:t>)</w:t>
      </w:r>
      <w:r w:rsidRPr="00E174F4">
        <w:rPr>
          <w:color w:val="000000" w:themeColor="text1"/>
          <w:lang w:val="en-US"/>
        </w:rPr>
        <w:t>.</w:t>
      </w:r>
      <w:r>
        <w:rPr>
          <w:color w:val="000000" w:themeColor="text1"/>
          <w:lang w:val="en-US"/>
        </w:rPr>
        <w:t xml:space="preserve"> The results of </w:t>
      </w:r>
      <w:r w:rsidR="0051625F">
        <w:rPr>
          <w:color w:val="000000" w:themeColor="text1"/>
          <w:lang w:val="en-US"/>
        </w:rPr>
        <w:t>each governance qualit</w:t>
      </w:r>
      <w:r>
        <w:rPr>
          <w:color w:val="000000" w:themeColor="text1"/>
          <w:lang w:val="en-US"/>
        </w:rPr>
        <w:t>y are discussed in the section below.</w:t>
      </w:r>
    </w:p>
    <w:p w14:paraId="3F1066E5" w14:textId="77777777" w:rsidR="00F42795" w:rsidRDefault="00F42795" w:rsidP="00F42795">
      <w:pPr>
        <w:spacing w:line="480" w:lineRule="auto"/>
        <w:jc w:val="both"/>
        <w:rPr>
          <w:b/>
          <w:bCs/>
          <w:color w:val="000000" w:themeColor="text1"/>
          <w:lang w:val="en-US"/>
        </w:rPr>
      </w:pPr>
    </w:p>
    <w:p w14:paraId="22482E75" w14:textId="0E5DC9B9" w:rsidR="00F42795" w:rsidRDefault="00F42795" w:rsidP="00F42795">
      <w:pPr>
        <w:spacing w:line="480" w:lineRule="auto"/>
        <w:jc w:val="both"/>
        <w:rPr>
          <w:color w:val="000000" w:themeColor="text1"/>
          <w:lang w:val="en-US"/>
        </w:rPr>
      </w:pPr>
      <w:r w:rsidRPr="007D4A4A">
        <w:rPr>
          <w:b/>
          <w:bCs/>
          <w:color w:val="000000" w:themeColor="text1"/>
          <w:lang w:val="en-US"/>
        </w:rPr>
        <w:t xml:space="preserve">Table </w:t>
      </w:r>
      <w:r>
        <w:rPr>
          <w:b/>
          <w:bCs/>
          <w:color w:val="000000" w:themeColor="text1"/>
          <w:lang w:val="en-US"/>
        </w:rPr>
        <w:t>2</w:t>
      </w:r>
      <w:r>
        <w:rPr>
          <w:color w:val="000000" w:themeColor="text1"/>
          <w:lang w:val="en-US"/>
        </w:rPr>
        <w:t>:</w:t>
      </w:r>
      <w:r w:rsidRPr="002D58BB">
        <w:t xml:space="preserve"> </w:t>
      </w:r>
      <w:r w:rsidRPr="002D58BB">
        <w:rPr>
          <w:color w:val="000000" w:themeColor="text1"/>
          <w:lang w:val="en-US"/>
        </w:rPr>
        <w:t xml:space="preserve">Frequency to which the EIA process conforms to </w:t>
      </w:r>
      <w:r>
        <w:rPr>
          <w:color w:val="000000" w:themeColor="text1"/>
          <w:lang w:val="en-US"/>
        </w:rPr>
        <w:t>good governance qualities.</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10"/>
        <w:gridCol w:w="1440"/>
        <w:gridCol w:w="1440"/>
        <w:gridCol w:w="1185"/>
        <w:gridCol w:w="2234"/>
      </w:tblGrid>
      <w:tr w:rsidR="00F42795" w14:paraId="36D72A3C" w14:textId="77777777" w:rsidTr="00D95CCF">
        <w:trPr>
          <w:cantSplit/>
          <w:trHeight w:val="213"/>
        </w:trPr>
        <w:tc>
          <w:tcPr>
            <w:tcW w:w="1789" w:type="pct"/>
            <w:tcBorders>
              <w:top w:val="single" w:sz="4" w:space="0" w:color="auto"/>
              <w:left w:val="nil"/>
              <w:bottom w:val="single" w:sz="12" w:space="0" w:color="000000"/>
              <w:right w:val="nil"/>
            </w:tcBorders>
            <w:shd w:val="clear" w:color="auto" w:fill="FFFFFF"/>
          </w:tcPr>
          <w:p w14:paraId="462B0456" w14:textId="77777777" w:rsidR="00F42795" w:rsidRPr="009B00B8" w:rsidRDefault="00F42795" w:rsidP="00D95CCF">
            <w:pPr>
              <w:pStyle w:val="Default"/>
              <w:rPr>
                <w:rFonts w:ascii="Times New Roman" w:hAnsi="Times New Roman" w:cs="Times New Roman"/>
                <w:b/>
                <w:bCs/>
                <w:sz w:val="18"/>
                <w:szCs w:val="18"/>
              </w:rPr>
            </w:pPr>
            <w:r w:rsidRPr="009B00B8">
              <w:rPr>
                <w:rFonts w:ascii="Times New Roman" w:hAnsi="Times New Roman" w:cs="Times New Roman"/>
                <w:b/>
                <w:bCs/>
                <w:sz w:val="18"/>
                <w:szCs w:val="18"/>
              </w:rPr>
              <w:t>Good governance qualities</w:t>
            </w:r>
          </w:p>
        </w:tc>
        <w:tc>
          <w:tcPr>
            <w:tcW w:w="734" w:type="pct"/>
            <w:tcBorders>
              <w:top w:val="single" w:sz="12" w:space="0" w:color="000000"/>
              <w:left w:val="nil"/>
              <w:bottom w:val="single" w:sz="12" w:space="0" w:color="000000"/>
              <w:right w:val="nil"/>
            </w:tcBorders>
            <w:shd w:val="clear" w:color="auto" w:fill="FFFFFF"/>
            <w:vAlign w:val="bottom"/>
          </w:tcPr>
          <w:p w14:paraId="7B523C2B" w14:textId="77777777" w:rsidR="00F42795" w:rsidRPr="009B00B8" w:rsidRDefault="00F42795" w:rsidP="00D95CCF">
            <w:pPr>
              <w:pStyle w:val="Default"/>
              <w:rPr>
                <w:rFonts w:ascii="Times New Roman" w:hAnsi="Times New Roman" w:cs="Times New Roman"/>
                <w:b/>
                <w:bCs/>
                <w:color w:val="000000" w:themeColor="text1"/>
                <w:sz w:val="18"/>
                <w:szCs w:val="18"/>
              </w:rPr>
            </w:pPr>
            <w:r w:rsidRPr="009B00B8">
              <w:rPr>
                <w:rFonts w:ascii="Times New Roman" w:hAnsi="Times New Roman" w:cs="Times New Roman"/>
                <w:b/>
                <w:bCs/>
                <w:color w:val="000000" w:themeColor="text1"/>
                <w:sz w:val="18"/>
                <w:szCs w:val="18"/>
              </w:rPr>
              <w:t>Options</w:t>
            </w:r>
          </w:p>
        </w:tc>
        <w:tc>
          <w:tcPr>
            <w:tcW w:w="734" w:type="pct"/>
            <w:tcBorders>
              <w:top w:val="single" w:sz="12" w:space="0" w:color="000000"/>
              <w:left w:val="nil"/>
              <w:bottom w:val="single" w:sz="12" w:space="0" w:color="000000"/>
              <w:right w:val="nil"/>
            </w:tcBorders>
            <w:shd w:val="clear" w:color="auto" w:fill="FFFFFF"/>
            <w:vAlign w:val="bottom"/>
          </w:tcPr>
          <w:p w14:paraId="1CDB312A" w14:textId="77777777" w:rsidR="00F42795" w:rsidRPr="009B00B8" w:rsidRDefault="00F42795" w:rsidP="00D95CCF">
            <w:pPr>
              <w:autoSpaceDE w:val="0"/>
              <w:autoSpaceDN w:val="0"/>
              <w:adjustRightInd w:val="0"/>
              <w:ind w:left="60" w:right="60"/>
              <w:jc w:val="center"/>
              <w:rPr>
                <w:b/>
                <w:bCs/>
                <w:color w:val="000000"/>
                <w:sz w:val="18"/>
                <w:szCs w:val="18"/>
              </w:rPr>
            </w:pPr>
            <w:r w:rsidRPr="009B00B8">
              <w:rPr>
                <w:b/>
                <w:bCs/>
                <w:color w:val="000000"/>
                <w:sz w:val="18"/>
                <w:szCs w:val="18"/>
              </w:rPr>
              <w:t>Frequency</w:t>
            </w:r>
          </w:p>
        </w:tc>
        <w:tc>
          <w:tcPr>
            <w:tcW w:w="604" w:type="pct"/>
            <w:tcBorders>
              <w:top w:val="single" w:sz="12" w:space="0" w:color="000000"/>
              <w:left w:val="nil"/>
              <w:bottom w:val="single" w:sz="12" w:space="0" w:color="000000"/>
              <w:right w:val="nil"/>
            </w:tcBorders>
            <w:shd w:val="clear" w:color="auto" w:fill="FFFFFF"/>
            <w:vAlign w:val="bottom"/>
          </w:tcPr>
          <w:p w14:paraId="1FF9CF55" w14:textId="77777777" w:rsidR="00F42795" w:rsidRPr="009B00B8" w:rsidRDefault="00F42795" w:rsidP="00D95CCF">
            <w:pPr>
              <w:autoSpaceDE w:val="0"/>
              <w:autoSpaceDN w:val="0"/>
              <w:adjustRightInd w:val="0"/>
              <w:ind w:left="60" w:right="60"/>
              <w:jc w:val="center"/>
              <w:rPr>
                <w:b/>
                <w:bCs/>
                <w:color w:val="000000"/>
                <w:sz w:val="18"/>
                <w:szCs w:val="18"/>
              </w:rPr>
            </w:pPr>
            <w:r w:rsidRPr="009B00B8">
              <w:rPr>
                <w:b/>
                <w:bCs/>
                <w:color w:val="000000"/>
                <w:sz w:val="18"/>
                <w:szCs w:val="18"/>
              </w:rPr>
              <w:t>Valid Percent</w:t>
            </w:r>
          </w:p>
        </w:tc>
        <w:tc>
          <w:tcPr>
            <w:tcW w:w="1139" w:type="pct"/>
            <w:tcBorders>
              <w:top w:val="single" w:sz="12" w:space="0" w:color="000000"/>
              <w:left w:val="nil"/>
              <w:bottom w:val="single" w:sz="12" w:space="0" w:color="000000"/>
              <w:right w:val="nil"/>
            </w:tcBorders>
            <w:shd w:val="clear" w:color="auto" w:fill="FFFFFF"/>
            <w:vAlign w:val="bottom"/>
          </w:tcPr>
          <w:p w14:paraId="4D93B6C3" w14:textId="77777777" w:rsidR="00F42795" w:rsidRPr="009B00B8" w:rsidRDefault="00F42795" w:rsidP="00D95CCF">
            <w:pPr>
              <w:autoSpaceDE w:val="0"/>
              <w:autoSpaceDN w:val="0"/>
              <w:adjustRightInd w:val="0"/>
              <w:ind w:left="60" w:right="60"/>
              <w:jc w:val="center"/>
              <w:rPr>
                <w:b/>
                <w:bCs/>
                <w:color w:val="000000"/>
                <w:sz w:val="18"/>
                <w:szCs w:val="18"/>
              </w:rPr>
            </w:pPr>
            <w:r w:rsidRPr="009B00B8">
              <w:rPr>
                <w:b/>
                <w:bCs/>
                <w:color w:val="000000"/>
                <w:sz w:val="18"/>
                <w:szCs w:val="18"/>
              </w:rPr>
              <w:t>Cumulative Percent</w:t>
            </w:r>
          </w:p>
        </w:tc>
      </w:tr>
      <w:tr w:rsidR="00F42795" w14:paraId="774FED4B" w14:textId="77777777" w:rsidTr="00D95CCF">
        <w:trPr>
          <w:cantSplit/>
        </w:trPr>
        <w:tc>
          <w:tcPr>
            <w:tcW w:w="1789" w:type="pct"/>
            <w:vMerge w:val="restart"/>
            <w:tcBorders>
              <w:top w:val="single" w:sz="12" w:space="0" w:color="000000"/>
              <w:left w:val="nil"/>
              <w:right w:val="nil"/>
            </w:tcBorders>
            <w:shd w:val="clear" w:color="auto" w:fill="FFFFFF"/>
          </w:tcPr>
          <w:p w14:paraId="777C2000" w14:textId="77777777" w:rsidR="00F42795" w:rsidRPr="009B00B8" w:rsidRDefault="00F42795" w:rsidP="00D95CCF">
            <w:pPr>
              <w:autoSpaceDE w:val="0"/>
              <w:autoSpaceDN w:val="0"/>
              <w:adjustRightInd w:val="0"/>
              <w:ind w:right="60"/>
              <w:rPr>
                <w:sz w:val="18"/>
                <w:szCs w:val="18"/>
              </w:rPr>
            </w:pPr>
            <w:r w:rsidRPr="009B00B8">
              <w:rPr>
                <w:sz w:val="18"/>
                <w:szCs w:val="18"/>
              </w:rPr>
              <w:t>Rule of Law</w:t>
            </w:r>
          </w:p>
          <w:p w14:paraId="6FE4A8E4" w14:textId="77777777" w:rsidR="00F42795" w:rsidRPr="009B00B8" w:rsidRDefault="00F42795" w:rsidP="00D95CCF">
            <w:pPr>
              <w:autoSpaceDE w:val="0"/>
              <w:autoSpaceDN w:val="0"/>
              <w:adjustRightInd w:val="0"/>
              <w:ind w:right="60"/>
              <w:rPr>
                <w:sz w:val="18"/>
                <w:szCs w:val="18"/>
              </w:rPr>
            </w:pPr>
          </w:p>
          <w:p w14:paraId="32302DA3" w14:textId="77777777" w:rsidR="00F42795" w:rsidRPr="009B00B8" w:rsidRDefault="00F42795" w:rsidP="00D95CCF">
            <w:pPr>
              <w:autoSpaceDE w:val="0"/>
              <w:autoSpaceDN w:val="0"/>
              <w:adjustRightInd w:val="0"/>
              <w:ind w:right="60"/>
              <w:rPr>
                <w:sz w:val="18"/>
                <w:szCs w:val="18"/>
              </w:rPr>
            </w:pPr>
            <w:r w:rsidRPr="009B00B8">
              <w:rPr>
                <w:i/>
                <w:iCs/>
                <w:sz w:val="18"/>
                <w:szCs w:val="18"/>
              </w:rPr>
              <w:t>(N=110)</w:t>
            </w:r>
          </w:p>
        </w:tc>
        <w:tc>
          <w:tcPr>
            <w:tcW w:w="734" w:type="pct"/>
            <w:tcBorders>
              <w:top w:val="single" w:sz="12" w:space="0" w:color="000000"/>
              <w:left w:val="nil"/>
              <w:bottom w:val="nil"/>
              <w:right w:val="nil"/>
            </w:tcBorders>
            <w:shd w:val="clear" w:color="auto" w:fill="FFFFFF"/>
          </w:tcPr>
          <w:p w14:paraId="7D5394F6" w14:textId="77777777" w:rsidR="00F42795" w:rsidRPr="009B00B8" w:rsidRDefault="00F42795" w:rsidP="00D95CCF">
            <w:pPr>
              <w:autoSpaceDE w:val="0"/>
              <w:autoSpaceDN w:val="0"/>
              <w:adjustRightInd w:val="0"/>
              <w:ind w:right="60"/>
              <w:rPr>
                <w:color w:val="000000"/>
                <w:sz w:val="18"/>
                <w:szCs w:val="18"/>
              </w:rPr>
            </w:pPr>
            <w:r w:rsidRPr="009B00B8">
              <w:rPr>
                <w:sz w:val="18"/>
                <w:szCs w:val="18"/>
              </w:rPr>
              <w:t>Fully met</w:t>
            </w:r>
          </w:p>
        </w:tc>
        <w:tc>
          <w:tcPr>
            <w:tcW w:w="734" w:type="pct"/>
            <w:tcBorders>
              <w:top w:val="single" w:sz="12" w:space="0" w:color="000000"/>
              <w:left w:val="nil"/>
              <w:bottom w:val="nil"/>
              <w:right w:val="nil"/>
            </w:tcBorders>
            <w:shd w:val="clear" w:color="auto" w:fill="FFFFFF"/>
          </w:tcPr>
          <w:p w14:paraId="0A869DE7"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28</w:t>
            </w:r>
          </w:p>
        </w:tc>
        <w:tc>
          <w:tcPr>
            <w:tcW w:w="604" w:type="pct"/>
            <w:tcBorders>
              <w:top w:val="single" w:sz="12" w:space="0" w:color="000000"/>
              <w:left w:val="nil"/>
              <w:bottom w:val="nil"/>
              <w:right w:val="nil"/>
            </w:tcBorders>
            <w:shd w:val="clear" w:color="auto" w:fill="FFFFFF"/>
          </w:tcPr>
          <w:p w14:paraId="69645632"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25.7</w:t>
            </w:r>
          </w:p>
        </w:tc>
        <w:tc>
          <w:tcPr>
            <w:tcW w:w="1139" w:type="pct"/>
            <w:tcBorders>
              <w:top w:val="single" w:sz="12" w:space="0" w:color="000000"/>
              <w:left w:val="nil"/>
              <w:bottom w:val="nil"/>
              <w:right w:val="nil"/>
            </w:tcBorders>
            <w:shd w:val="clear" w:color="auto" w:fill="FFFFFF"/>
          </w:tcPr>
          <w:p w14:paraId="494BAD9B"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25.7</w:t>
            </w:r>
          </w:p>
        </w:tc>
      </w:tr>
      <w:tr w:rsidR="00F42795" w14:paraId="36379144" w14:textId="77777777" w:rsidTr="00D95CCF">
        <w:trPr>
          <w:cantSplit/>
        </w:trPr>
        <w:tc>
          <w:tcPr>
            <w:tcW w:w="1789" w:type="pct"/>
            <w:vMerge/>
            <w:tcBorders>
              <w:left w:val="nil"/>
              <w:right w:val="nil"/>
            </w:tcBorders>
            <w:shd w:val="clear" w:color="auto" w:fill="FFFFFF"/>
          </w:tcPr>
          <w:p w14:paraId="504F5C38" w14:textId="77777777" w:rsidR="00F42795" w:rsidRPr="009B00B8" w:rsidRDefault="00F42795" w:rsidP="00D95CCF">
            <w:pPr>
              <w:autoSpaceDE w:val="0"/>
              <w:autoSpaceDN w:val="0"/>
              <w:adjustRightInd w:val="0"/>
              <w:ind w:right="60"/>
              <w:rPr>
                <w:sz w:val="18"/>
                <w:szCs w:val="18"/>
              </w:rPr>
            </w:pPr>
          </w:p>
        </w:tc>
        <w:tc>
          <w:tcPr>
            <w:tcW w:w="734" w:type="pct"/>
            <w:tcBorders>
              <w:top w:val="nil"/>
              <w:left w:val="nil"/>
              <w:bottom w:val="nil"/>
              <w:right w:val="nil"/>
            </w:tcBorders>
            <w:shd w:val="clear" w:color="auto" w:fill="FFFFFF"/>
          </w:tcPr>
          <w:p w14:paraId="0F91A17F" w14:textId="77777777" w:rsidR="00F42795" w:rsidRPr="009B00B8" w:rsidRDefault="00F42795" w:rsidP="00D95CCF">
            <w:pPr>
              <w:autoSpaceDE w:val="0"/>
              <w:autoSpaceDN w:val="0"/>
              <w:adjustRightInd w:val="0"/>
              <w:ind w:right="60"/>
              <w:rPr>
                <w:color w:val="000000"/>
                <w:sz w:val="18"/>
                <w:szCs w:val="18"/>
              </w:rPr>
            </w:pPr>
            <w:r w:rsidRPr="009B00B8">
              <w:rPr>
                <w:sz w:val="18"/>
                <w:szCs w:val="18"/>
              </w:rPr>
              <w:t>Partially met</w:t>
            </w:r>
          </w:p>
        </w:tc>
        <w:tc>
          <w:tcPr>
            <w:tcW w:w="734" w:type="pct"/>
            <w:tcBorders>
              <w:top w:val="nil"/>
              <w:left w:val="nil"/>
              <w:bottom w:val="nil"/>
              <w:right w:val="nil"/>
            </w:tcBorders>
            <w:shd w:val="clear" w:color="auto" w:fill="FFFFFF"/>
          </w:tcPr>
          <w:p w14:paraId="60ED2DBF"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50</w:t>
            </w:r>
          </w:p>
        </w:tc>
        <w:tc>
          <w:tcPr>
            <w:tcW w:w="604" w:type="pct"/>
            <w:tcBorders>
              <w:top w:val="nil"/>
              <w:left w:val="nil"/>
              <w:bottom w:val="nil"/>
              <w:right w:val="nil"/>
            </w:tcBorders>
            <w:shd w:val="clear" w:color="auto" w:fill="FFFFFF"/>
          </w:tcPr>
          <w:p w14:paraId="0600E377" w14:textId="77777777" w:rsidR="00F42795" w:rsidRPr="009B00B8" w:rsidRDefault="00F42795" w:rsidP="00D95CCF">
            <w:pPr>
              <w:autoSpaceDE w:val="0"/>
              <w:autoSpaceDN w:val="0"/>
              <w:adjustRightInd w:val="0"/>
              <w:ind w:left="60" w:right="60"/>
              <w:jc w:val="center"/>
              <w:rPr>
                <w:b/>
                <w:bCs/>
                <w:color w:val="000000"/>
                <w:sz w:val="18"/>
                <w:szCs w:val="18"/>
              </w:rPr>
            </w:pPr>
            <w:r w:rsidRPr="009B00B8">
              <w:rPr>
                <w:b/>
                <w:bCs/>
                <w:sz w:val="18"/>
                <w:szCs w:val="18"/>
              </w:rPr>
              <w:t>45.9*</w:t>
            </w:r>
          </w:p>
        </w:tc>
        <w:tc>
          <w:tcPr>
            <w:tcW w:w="1139" w:type="pct"/>
            <w:tcBorders>
              <w:top w:val="nil"/>
              <w:left w:val="nil"/>
              <w:bottom w:val="nil"/>
              <w:right w:val="nil"/>
            </w:tcBorders>
            <w:shd w:val="clear" w:color="auto" w:fill="FFFFFF"/>
          </w:tcPr>
          <w:p w14:paraId="6B22EEFF"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71.6</w:t>
            </w:r>
          </w:p>
        </w:tc>
      </w:tr>
      <w:tr w:rsidR="00F42795" w14:paraId="2DF6A362" w14:textId="77777777" w:rsidTr="00D95CCF">
        <w:trPr>
          <w:cantSplit/>
        </w:trPr>
        <w:tc>
          <w:tcPr>
            <w:tcW w:w="1789" w:type="pct"/>
            <w:vMerge/>
            <w:tcBorders>
              <w:left w:val="nil"/>
              <w:right w:val="nil"/>
            </w:tcBorders>
            <w:shd w:val="clear" w:color="auto" w:fill="FFFFFF"/>
          </w:tcPr>
          <w:p w14:paraId="0CCCB573" w14:textId="77777777" w:rsidR="00F42795" w:rsidRPr="009B00B8" w:rsidRDefault="00F42795" w:rsidP="00D95CCF">
            <w:pPr>
              <w:autoSpaceDE w:val="0"/>
              <w:autoSpaceDN w:val="0"/>
              <w:adjustRightInd w:val="0"/>
              <w:ind w:right="60"/>
              <w:rPr>
                <w:sz w:val="18"/>
                <w:szCs w:val="18"/>
              </w:rPr>
            </w:pPr>
          </w:p>
        </w:tc>
        <w:tc>
          <w:tcPr>
            <w:tcW w:w="734" w:type="pct"/>
            <w:tcBorders>
              <w:top w:val="nil"/>
              <w:left w:val="nil"/>
              <w:bottom w:val="nil"/>
              <w:right w:val="nil"/>
            </w:tcBorders>
            <w:shd w:val="clear" w:color="auto" w:fill="FFFFFF"/>
          </w:tcPr>
          <w:p w14:paraId="2459A4CB" w14:textId="77777777" w:rsidR="00F42795" w:rsidRPr="009B00B8" w:rsidRDefault="00F42795" w:rsidP="00D95CCF">
            <w:pPr>
              <w:autoSpaceDE w:val="0"/>
              <w:autoSpaceDN w:val="0"/>
              <w:adjustRightInd w:val="0"/>
              <w:ind w:right="60"/>
              <w:rPr>
                <w:color w:val="000000"/>
                <w:sz w:val="18"/>
                <w:szCs w:val="18"/>
              </w:rPr>
            </w:pPr>
            <w:r w:rsidRPr="009B00B8">
              <w:rPr>
                <w:sz w:val="18"/>
                <w:szCs w:val="18"/>
              </w:rPr>
              <w:t>Marginally met</w:t>
            </w:r>
          </w:p>
        </w:tc>
        <w:tc>
          <w:tcPr>
            <w:tcW w:w="734" w:type="pct"/>
            <w:tcBorders>
              <w:top w:val="nil"/>
              <w:left w:val="nil"/>
              <w:bottom w:val="nil"/>
              <w:right w:val="nil"/>
            </w:tcBorders>
            <w:shd w:val="clear" w:color="auto" w:fill="FFFFFF"/>
          </w:tcPr>
          <w:p w14:paraId="1E13B313"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19</w:t>
            </w:r>
          </w:p>
        </w:tc>
        <w:tc>
          <w:tcPr>
            <w:tcW w:w="604" w:type="pct"/>
            <w:tcBorders>
              <w:top w:val="nil"/>
              <w:left w:val="nil"/>
              <w:bottom w:val="nil"/>
              <w:right w:val="nil"/>
            </w:tcBorders>
            <w:shd w:val="clear" w:color="auto" w:fill="FFFFFF"/>
          </w:tcPr>
          <w:p w14:paraId="74C9A3A2" w14:textId="77777777" w:rsidR="00F42795" w:rsidRPr="009B00B8" w:rsidRDefault="00F42795" w:rsidP="00D95CCF">
            <w:pPr>
              <w:autoSpaceDE w:val="0"/>
              <w:autoSpaceDN w:val="0"/>
              <w:adjustRightInd w:val="0"/>
              <w:ind w:left="60" w:right="60"/>
              <w:jc w:val="center"/>
              <w:rPr>
                <w:b/>
                <w:bCs/>
                <w:color w:val="000000"/>
                <w:sz w:val="18"/>
                <w:szCs w:val="18"/>
              </w:rPr>
            </w:pPr>
            <w:r w:rsidRPr="009B00B8">
              <w:rPr>
                <w:sz w:val="18"/>
                <w:szCs w:val="18"/>
              </w:rPr>
              <w:t>17.4</w:t>
            </w:r>
          </w:p>
        </w:tc>
        <w:tc>
          <w:tcPr>
            <w:tcW w:w="1139" w:type="pct"/>
            <w:tcBorders>
              <w:top w:val="nil"/>
              <w:left w:val="nil"/>
              <w:bottom w:val="nil"/>
              <w:right w:val="nil"/>
            </w:tcBorders>
            <w:shd w:val="clear" w:color="auto" w:fill="FFFFFF"/>
          </w:tcPr>
          <w:p w14:paraId="769785D8"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89.0</w:t>
            </w:r>
          </w:p>
        </w:tc>
      </w:tr>
      <w:tr w:rsidR="00F42795" w14:paraId="5B1D199E" w14:textId="77777777" w:rsidTr="00D95CCF">
        <w:trPr>
          <w:cantSplit/>
        </w:trPr>
        <w:tc>
          <w:tcPr>
            <w:tcW w:w="1789" w:type="pct"/>
            <w:vMerge/>
            <w:tcBorders>
              <w:left w:val="nil"/>
              <w:right w:val="nil"/>
            </w:tcBorders>
            <w:shd w:val="clear" w:color="auto" w:fill="FFFFFF"/>
          </w:tcPr>
          <w:p w14:paraId="69E6C070" w14:textId="77777777" w:rsidR="00F42795" w:rsidRPr="009B00B8" w:rsidRDefault="00F42795" w:rsidP="00D95CCF">
            <w:pPr>
              <w:autoSpaceDE w:val="0"/>
              <w:autoSpaceDN w:val="0"/>
              <w:adjustRightInd w:val="0"/>
              <w:ind w:right="60"/>
              <w:rPr>
                <w:sz w:val="18"/>
                <w:szCs w:val="18"/>
              </w:rPr>
            </w:pPr>
          </w:p>
        </w:tc>
        <w:tc>
          <w:tcPr>
            <w:tcW w:w="734" w:type="pct"/>
            <w:tcBorders>
              <w:top w:val="nil"/>
              <w:left w:val="nil"/>
              <w:bottom w:val="nil"/>
              <w:right w:val="nil"/>
            </w:tcBorders>
            <w:shd w:val="clear" w:color="auto" w:fill="FFFFFF"/>
          </w:tcPr>
          <w:p w14:paraId="547180B9" w14:textId="77777777" w:rsidR="00F42795" w:rsidRPr="009B00B8" w:rsidRDefault="00F42795" w:rsidP="00D95CCF">
            <w:pPr>
              <w:autoSpaceDE w:val="0"/>
              <w:autoSpaceDN w:val="0"/>
              <w:adjustRightInd w:val="0"/>
              <w:ind w:right="60"/>
              <w:rPr>
                <w:color w:val="000000"/>
                <w:sz w:val="18"/>
                <w:szCs w:val="18"/>
              </w:rPr>
            </w:pPr>
            <w:r w:rsidRPr="009B00B8">
              <w:rPr>
                <w:sz w:val="18"/>
                <w:szCs w:val="18"/>
              </w:rPr>
              <w:t>Poorly met</w:t>
            </w:r>
          </w:p>
        </w:tc>
        <w:tc>
          <w:tcPr>
            <w:tcW w:w="734" w:type="pct"/>
            <w:tcBorders>
              <w:top w:val="nil"/>
              <w:left w:val="nil"/>
              <w:bottom w:val="nil"/>
              <w:right w:val="nil"/>
            </w:tcBorders>
            <w:shd w:val="clear" w:color="auto" w:fill="FFFFFF"/>
          </w:tcPr>
          <w:p w14:paraId="21641299"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11</w:t>
            </w:r>
          </w:p>
        </w:tc>
        <w:tc>
          <w:tcPr>
            <w:tcW w:w="604" w:type="pct"/>
            <w:tcBorders>
              <w:top w:val="nil"/>
              <w:left w:val="nil"/>
              <w:bottom w:val="nil"/>
              <w:right w:val="nil"/>
            </w:tcBorders>
            <w:shd w:val="clear" w:color="auto" w:fill="FFFFFF"/>
          </w:tcPr>
          <w:p w14:paraId="172A45CF"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10.1</w:t>
            </w:r>
          </w:p>
        </w:tc>
        <w:tc>
          <w:tcPr>
            <w:tcW w:w="1139" w:type="pct"/>
            <w:tcBorders>
              <w:top w:val="nil"/>
              <w:left w:val="nil"/>
              <w:bottom w:val="nil"/>
              <w:right w:val="nil"/>
            </w:tcBorders>
            <w:shd w:val="clear" w:color="auto" w:fill="FFFFFF"/>
          </w:tcPr>
          <w:p w14:paraId="4BC4E1F4"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99.1</w:t>
            </w:r>
          </w:p>
        </w:tc>
      </w:tr>
      <w:tr w:rsidR="00F42795" w14:paraId="56A7F6AF" w14:textId="77777777" w:rsidTr="00D95CCF">
        <w:trPr>
          <w:cantSplit/>
        </w:trPr>
        <w:tc>
          <w:tcPr>
            <w:tcW w:w="1789" w:type="pct"/>
            <w:vMerge/>
            <w:tcBorders>
              <w:left w:val="nil"/>
              <w:bottom w:val="single" w:sz="4" w:space="0" w:color="auto"/>
              <w:right w:val="nil"/>
            </w:tcBorders>
            <w:shd w:val="clear" w:color="auto" w:fill="FFFFFF"/>
          </w:tcPr>
          <w:p w14:paraId="066CA349" w14:textId="77777777" w:rsidR="00F42795" w:rsidRPr="009B00B8" w:rsidRDefault="00F42795" w:rsidP="00D95CCF">
            <w:pPr>
              <w:autoSpaceDE w:val="0"/>
              <w:autoSpaceDN w:val="0"/>
              <w:adjustRightInd w:val="0"/>
              <w:ind w:right="60"/>
              <w:rPr>
                <w:sz w:val="18"/>
                <w:szCs w:val="18"/>
              </w:rPr>
            </w:pPr>
          </w:p>
        </w:tc>
        <w:tc>
          <w:tcPr>
            <w:tcW w:w="734" w:type="pct"/>
            <w:tcBorders>
              <w:top w:val="nil"/>
              <w:left w:val="nil"/>
              <w:bottom w:val="single" w:sz="4" w:space="0" w:color="auto"/>
              <w:right w:val="nil"/>
            </w:tcBorders>
            <w:shd w:val="clear" w:color="auto" w:fill="FFFFFF"/>
          </w:tcPr>
          <w:p w14:paraId="10C0D5AE" w14:textId="77777777" w:rsidR="00F42795" w:rsidRPr="009B00B8" w:rsidRDefault="00F42795" w:rsidP="00D95CCF">
            <w:pPr>
              <w:autoSpaceDE w:val="0"/>
              <w:autoSpaceDN w:val="0"/>
              <w:adjustRightInd w:val="0"/>
              <w:ind w:right="60"/>
              <w:rPr>
                <w:color w:val="000000"/>
                <w:sz w:val="18"/>
                <w:szCs w:val="18"/>
              </w:rPr>
            </w:pPr>
            <w:r w:rsidRPr="009B00B8">
              <w:rPr>
                <w:sz w:val="18"/>
                <w:szCs w:val="18"/>
              </w:rPr>
              <w:t>No opinion</w:t>
            </w:r>
          </w:p>
        </w:tc>
        <w:tc>
          <w:tcPr>
            <w:tcW w:w="734" w:type="pct"/>
            <w:tcBorders>
              <w:top w:val="nil"/>
              <w:left w:val="nil"/>
              <w:bottom w:val="single" w:sz="4" w:space="0" w:color="auto"/>
              <w:right w:val="nil"/>
            </w:tcBorders>
            <w:shd w:val="clear" w:color="auto" w:fill="FFFFFF"/>
          </w:tcPr>
          <w:p w14:paraId="50D2237D"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1</w:t>
            </w:r>
          </w:p>
        </w:tc>
        <w:tc>
          <w:tcPr>
            <w:tcW w:w="604" w:type="pct"/>
            <w:tcBorders>
              <w:top w:val="nil"/>
              <w:left w:val="nil"/>
              <w:bottom w:val="single" w:sz="4" w:space="0" w:color="auto"/>
              <w:right w:val="nil"/>
            </w:tcBorders>
            <w:shd w:val="clear" w:color="auto" w:fill="FFFFFF"/>
          </w:tcPr>
          <w:p w14:paraId="28A863DA"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0.9</w:t>
            </w:r>
          </w:p>
        </w:tc>
        <w:tc>
          <w:tcPr>
            <w:tcW w:w="1139" w:type="pct"/>
            <w:tcBorders>
              <w:top w:val="nil"/>
              <w:left w:val="nil"/>
              <w:bottom w:val="single" w:sz="4" w:space="0" w:color="auto"/>
              <w:right w:val="nil"/>
            </w:tcBorders>
            <w:shd w:val="clear" w:color="auto" w:fill="FFFFFF"/>
          </w:tcPr>
          <w:p w14:paraId="5F0B7C2F"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100.0</w:t>
            </w:r>
          </w:p>
        </w:tc>
      </w:tr>
      <w:tr w:rsidR="00F42795" w14:paraId="7A803FE9" w14:textId="77777777" w:rsidTr="00D95CCF">
        <w:trPr>
          <w:cantSplit/>
        </w:trPr>
        <w:tc>
          <w:tcPr>
            <w:tcW w:w="1789" w:type="pct"/>
            <w:vMerge w:val="restart"/>
            <w:tcBorders>
              <w:top w:val="single" w:sz="4" w:space="0" w:color="auto"/>
              <w:left w:val="nil"/>
              <w:right w:val="nil"/>
            </w:tcBorders>
            <w:shd w:val="clear" w:color="auto" w:fill="FFFFFF"/>
          </w:tcPr>
          <w:p w14:paraId="04AF68BA"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Linkages &amp; Coordination</w:t>
            </w:r>
          </w:p>
          <w:p w14:paraId="5851502E" w14:textId="77777777" w:rsidR="00F42795" w:rsidRPr="009B00B8" w:rsidRDefault="00F42795" w:rsidP="00D95CCF">
            <w:pPr>
              <w:autoSpaceDE w:val="0"/>
              <w:autoSpaceDN w:val="0"/>
              <w:adjustRightInd w:val="0"/>
              <w:ind w:right="60"/>
              <w:rPr>
                <w:color w:val="000000"/>
                <w:sz w:val="18"/>
                <w:szCs w:val="18"/>
              </w:rPr>
            </w:pPr>
          </w:p>
          <w:p w14:paraId="427DDFC9" w14:textId="77777777" w:rsidR="00F42795" w:rsidRPr="009B00B8" w:rsidRDefault="00F42795" w:rsidP="00D95CCF">
            <w:pPr>
              <w:pStyle w:val="Default"/>
              <w:rPr>
                <w:sz w:val="18"/>
                <w:szCs w:val="18"/>
              </w:rPr>
            </w:pPr>
            <w:r w:rsidRPr="009B00B8">
              <w:rPr>
                <w:rFonts w:ascii="Times New Roman" w:hAnsi="Times New Roman" w:cs="Times New Roman"/>
                <w:i/>
                <w:iCs/>
                <w:sz w:val="18"/>
                <w:szCs w:val="18"/>
              </w:rPr>
              <w:t>(N=110)</w:t>
            </w:r>
          </w:p>
        </w:tc>
        <w:tc>
          <w:tcPr>
            <w:tcW w:w="734" w:type="pct"/>
            <w:tcBorders>
              <w:top w:val="single" w:sz="4" w:space="0" w:color="auto"/>
              <w:left w:val="nil"/>
              <w:bottom w:val="nil"/>
              <w:right w:val="nil"/>
            </w:tcBorders>
            <w:shd w:val="clear" w:color="auto" w:fill="FFFFFF"/>
          </w:tcPr>
          <w:p w14:paraId="71FEEB26"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Fully met</w:t>
            </w:r>
          </w:p>
        </w:tc>
        <w:tc>
          <w:tcPr>
            <w:tcW w:w="734" w:type="pct"/>
            <w:tcBorders>
              <w:top w:val="single" w:sz="4" w:space="0" w:color="auto"/>
              <w:left w:val="nil"/>
              <w:bottom w:val="nil"/>
              <w:right w:val="nil"/>
            </w:tcBorders>
            <w:shd w:val="clear" w:color="auto" w:fill="FFFFFF"/>
          </w:tcPr>
          <w:p w14:paraId="5B8FF56F"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14</w:t>
            </w:r>
          </w:p>
        </w:tc>
        <w:tc>
          <w:tcPr>
            <w:tcW w:w="604" w:type="pct"/>
            <w:tcBorders>
              <w:top w:val="single" w:sz="4" w:space="0" w:color="auto"/>
              <w:left w:val="nil"/>
              <w:bottom w:val="nil"/>
              <w:right w:val="nil"/>
            </w:tcBorders>
            <w:shd w:val="clear" w:color="auto" w:fill="FFFFFF"/>
          </w:tcPr>
          <w:p w14:paraId="3CC77B11" w14:textId="77777777" w:rsidR="00F42795" w:rsidRPr="009B00B8" w:rsidRDefault="00F42795" w:rsidP="00D95CCF">
            <w:pPr>
              <w:autoSpaceDE w:val="0"/>
              <w:autoSpaceDN w:val="0"/>
              <w:adjustRightInd w:val="0"/>
              <w:jc w:val="center"/>
              <w:rPr>
                <w:sz w:val="18"/>
                <w:szCs w:val="18"/>
              </w:rPr>
            </w:pPr>
            <w:r w:rsidRPr="009B00B8">
              <w:rPr>
                <w:sz w:val="18"/>
                <w:szCs w:val="18"/>
              </w:rPr>
              <w:t>12.7</w:t>
            </w:r>
          </w:p>
        </w:tc>
        <w:tc>
          <w:tcPr>
            <w:tcW w:w="1139" w:type="pct"/>
            <w:tcBorders>
              <w:top w:val="single" w:sz="4" w:space="0" w:color="auto"/>
              <w:left w:val="nil"/>
              <w:bottom w:val="nil"/>
              <w:right w:val="nil"/>
            </w:tcBorders>
            <w:shd w:val="clear" w:color="auto" w:fill="FFFFFF"/>
          </w:tcPr>
          <w:p w14:paraId="4BC9098D" w14:textId="77777777" w:rsidR="00F42795" w:rsidRPr="009B00B8" w:rsidRDefault="00F42795" w:rsidP="00D95CCF">
            <w:pPr>
              <w:autoSpaceDE w:val="0"/>
              <w:autoSpaceDN w:val="0"/>
              <w:adjustRightInd w:val="0"/>
              <w:jc w:val="center"/>
              <w:rPr>
                <w:sz w:val="18"/>
                <w:szCs w:val="18"/>
              </w:rPr>
            </w:pPr>
            <w:r w:rsidRPr="009B00B8">
              <w:rPr>
                <w:sz w:val="18"/>
                <w:szCs w:val="18"/>
              </w:rPr>
              <w:t>12.7</w:t>
            </w:r>
          </w:p>
        </w:tc>
      </w:tr>
      <w:tr w:rsidR="00F42795" w14:paraId="451C7D27" w14:textId="77777777" w:rsidTr="00D95CCF">
        <w:trPr>
          <w:cantSplit/>
        </w:trPr>
        <w:tc>
          <w:tcPr>
            <w:tcW w:w="1789" w:type="pct"/>
            <w:vMerge/>
            <w:tcBorders>
              <w:left w:val="nil"/>
              <w:right w:val="nil"/>
            </w:tcBorders>
            <w:shd w:val="clear" w:color="auto" w:fill="FFFFFF"/>
          </w:tcPr>
          <w:p w14:paraId="2520B7BF"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7335D5A7"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Partially met</w:t>
            </w:r>
          </w:p>
        </w:tc>
        <w:tc>
          <w:tcPr>
            <w:tcW w:w="734" w:type="pct"/>
            <w:tcBorders>
              <w:top w:val="nil"/>
              <w:left w:val="nil"/>
              <w:bottom w:val="nil"/>
              <w:right w:val="nil"/>
            </w:tcBorders>
            <w:shd w:val="clear" w:color="auto" w:fill="FFFFFF"/>
          </w:tcPr>
          <w:p w14:paraId="73525B81"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45</w:t>
            </w:r>
          </w:p>
        </w:tc>
        <w:tc>
          <w:tcPr>
            <w:tcW w:w="604" w:type="pct"/>
            <w:tcBorders>
              <w:top w:val="nil"/>
              <w:left w:val="nil"/>
              <w:bottom w:val="nil"/>
              <w:right w:val="nil"/>
            </w:tcBorders>
            <w:shd w:val="clear" w:color="auto" w:fill="FFFFFF"/>
          </w:tcPr>
          <w:p w14:paraId="398D5D2C" w14:textId="77777777" w:rsidR="00F42795" w:rsidRPr="009B00B8" w:rsidRDefault="00F42795" w:rsidP="00D95CCF">
            <w:pPr>
              <w:autoSpaceDE w:val="0"/>
              <w:autoSpaceDN w:val="0"/>
              <w:adjustRightInd w:val="0"/>
              <w:jc w:val="center"/>
              <w:rPr>
                <w:b/>
                <w:bCs/>
                <w:sz w:val="18"/>
                <w:szCs w:val="18"/>
              </w:rPr>
            </w:pPr>
            <w:r w:rsidRPr="009B00B8">
              <w:rPr>
                <w:b/>
                <w:bCs/>
                <w:sz w:val="18"/>
                <w:szCs w:val="18"/>
              </w:rPr>
              <w:t>40.9*</w:t>
            </w:r>
          </w:p>
        </w:tc>
        <w:tc>
          <w:tcPr>
            <w:tcW w:w="1139" w:type="pct"/>
            <w:tcBorders>
              <w:top w:val="nil"/>
              <w:left w:val="nil"/>
              <w:bottom w:val="nil"/>
              <w:right w:val="nil"/>
            </w:tcBorders>
            <w:shd w:val="clear" w:color="auto" w:fill="FFFFFF"/>
          </w:tcPr>
          <w:p w14:paraId="7F3C3DD1" w14:textId="77777777" w:rsidR="00F42795" w:rsidRPr="009B00B8" w:rsidRDefault="00F42795" w:rsidP="00D95CCF">
            <w:pPr>
              <w:autoSpaceDE w:val="0"/>
              <w:autoSpaceDN w:val="0"/>
              <w:adjustRightInd w:val="0"/>
              <w:jc w:val="center"/>
              <w:rPr>
                <w:sz w:val="18"/>
                <w:szCs w:val="18"/>
              </w:rPr>
            </w:pPr>
            <w:r w:rsidRPr="009B00B8">
              <w:rPr>
                <w:sz w:val="18"/>
                <w:szCs w:val="18"/>
              </w:rPr>
              <w:t>53.6</w:t>
            </w:r>
          </w:p>
        </w:tc>
      </w:tr>
      <w:tr w:rsidR="00F42795" w14:paraId="666048DB" w14:textId="77777777" w:rsidTr="00D95CCF">
        <w:trPr>
          <w:cantSplit/>
        </w:trPr>
        <w:tc>
          <w:tcPr>
            <w:tcW w:w="1789" w:type="pct"/>
            <w:vMerge/>
            <w:tcBorders>
              <w:left w:val="nil"/>
              <w:right w:val="nil"/>
            </w:tcBorders>
            <w:shd w:val="clear" w:color="auto" w:fill="FFFFFF"/>
          </w:tcPr>
          <w:p w14:paraId="70FA0F51"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442A8193"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Marginally met</w:t>
            </w:r>
          </w:p>
        </w:tc>
        <w:tc>
          <w:tcPr>
            <w:tcW w:w="734" w:type="pct"/>
            <w:tcBorders>
              <w:top w:val="nil"/>
              <w:left w:val="nil"/>
              <w:bottom w:val="nil"/>
              <w:right w:val="nil"/>
            </w:tcBorders>
            <w:shd w:val="clear" w:color="auto" w:fill="FFFFFF"/>
          </w:tcPr>
          <w:p w14:paraId="2DB9B4A7"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30</w:t>
            </w:r>
          </w:p>
        </w:tc>
        <w:tc>
          <w:tcPr>
            <w:tcW w:w="604" w:type="pct"/>
            <w:tcBorders>
              <w:top w:val="nil"/>
              <w:left w:val="nil"/>
              <w:bottom w:val="nil"/>
              <w:right w:val="nil"/>
            </w:tcBorders>
            <w:shd w:val="clear" w:color="auto" w:fill="FFFFFF"/>
          </w:tcPr>
          <w:p w14:paraId="485432C0" w14:textId="77777777" w:rsidR="00F42795" w:rsidRPr="009B00B8" w:rsidRDefault="00F42795" w:rsidP="00D95CCF">
            <w:pPr>
              <w:autoSpaceDE w:val="0"/>
              <w:autoSpaceDN w:val="0"/>
              <w:adjustRightInd w:val="0"/>
              <w:jc w:val="center"/>
              <w:rPr>
                <w:sz w:val="18"/>
                <w:szCs w:val="18"/>
              </w:rPr>
            </w:pPr>
            <w:r w:rsidRPr="009B00B8">
              <w:rPr>
                <w:sz w:val="18"/>
                <w:szCs w:val="18"/>
              </w:rPr>
              <w:t>27.3</w:t>
            </w:r>
          </w:p>
        </w:tc>
        <w:tc>
          <w:tcPr>
            <w:tcW w:w="1139" w:type="pct"/>
            <w:tcBorders>
              <w:top w:val="nil"/>
              <w:left w:val="nil"/>
              <w:bottom w:val="nil"/>
              <w:right w:val="nil"/>
            </w:tcBorders>
            <w:shd w:val="clear" w:color="auto" w:fill="FFFFFF"/>
          </w:tcPr>
          <w:p w14:paraId="612BBF8C" w14:textId="77777777" w:rsidR="00F42795" w:rsidRPr="009B00B8" w:rsidRDefault="00F42795" w:rsidP="00D95CCF">
            <w:pPr>
              <w:autoSpaceDE w:val="0"/>
              <w:autoSpaceDN w:val="0"/>
              <w:adjustRightInd w:val="0"/>
              <w:jc w:val="center"/>
              <w:rPr>
                <w:sz w:val="18"/>
                <w:szCs w:val="18"/>
              </w:rPr>
            </w:pPr>
            <w:r w:rsidRPr="009B00B8">
              <w:rPr>
                <w:sz w:val="18"/>
                <w:szCs w:val="18"/>
              </w:rPr>
              <w:t>80.9</w:t>
            </w:r>
          </w:p>
        </w:tc>
      </w:tr>
      <w:tr w:rsidR="00F42795" w14:paraId="744F35FC" w14:textId="77777777" w:rsidTr="00D95CCF">
        <w:trPr>
          <w:cantSplit/>
        </w:trPr>
        <w:tc>
          <w:tcPr>
            <w:tcW w:w="1789" w:type="pct"/>
            <w:vMerge/>
            <w:tcBorders>
              <w:left w:val="nil"/>
              <w:right w:val="nil"/>
            </w:tcBorders>
            <w:shd w:val="clear" w:color="auto" w:fill="FFFFFF"/>
          </w:tcPr>
          <w:p w14:paraId="16D7E216"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73092860"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Poorly met</w:t>
            </w:r>
          </w:p>
        </w:tc>
        <w:tc>
          <w:tcPr>
            <w:tcW w:w="734" w:type="pct"/>
            <w:tcBorders>
              <w:top w:val="nil"/>
              <w:left w:val="nil"/>
              <w:bottom w:val="nil"/>
              <w:right w:val="nil"/>
            </w:tcBorders>
            <w:shd w:val="clear" w:color="auto" w:fill="FFFFFF"/>
          </w:tcPr>
          <w:p w14:paraId="415EE888"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17</w:t>
            </w:r>
          </w:p>
        </w:tc>
        <w:tc>
          <w:tcPr>
            <w:tcW w:w="604" w:type="pct"/>
            <w:tcBorders>
              <w:top w:val="nil"/>
              <w:left w:val="nil"/>
              <w:bottom w:val="nil"/>
              <w:right w:val="nil"/>
            </w:tcBorders>
            <w:shd w:val="clear" w:color="auto" w:fill="FFFFFF"/>
          </w:tcPr>
          <w:p w14:paraId="710B7468" w14:textId="77777777" w:rsidR="00F42795" w:rsidRPr="009B00B8" w:rsidRDefault="00F42795" w:rsidP="00D95CCF">
            <w:pPr>
              <w:autoSpaceDE w:val="0"/>
              <w:autoSpaceDN w:val="0"/>
              <w:adjustRightInd w:val="0"/>
              <w:jc w:val="center"/>
              <w:rPr>
                <w:sz w:val="18"/>
                <w:szCs w:val="18"/>
              </w:rPr>
            </w:pPr>
            <w:r w:rsidRPr="009B00B8">
              <w:rPr>
                <w:sz w:val="18"/>
                <w:szCs w:val="18"/>
              </w:rPr>
              <w:t>15.5</w:t>
            </w:r>
          </w:p>
        </w:tc>
        <w:tc>
          <w:tcPr>
            <w:tcW w:w="1139" w:type="pct"/>
            <w:tcBorders>
              <w:top w:val="nil"/>
              <w:left w:val="nil"/>
              <w:bottom w:val="nil"/>
              <w:right w:val="nil"/>
            </w:tcBorders>
            <w:shd w:val="clear" w:color="auto" w:fill="FFFFFF"/>
          </w:tcPr>
          <w:p w14:paraId="5F7DB32A" w14:textId="77777777" w:rsidR="00F42795" w:rsidRPr="009B00B8" w:rsidRDefault="00F42795" w:rsidP="00D95CCF">
            <w:pPr>
              <w:autoSpaceDE w:val="0"/>
              <w:autoSpaceDN w:val="0"/>
              <w:adjustRightInd w:val="0"/>
              <w:jc w:val="center"/>
              <w:rPr>
                <w:sz w:val="18"/>
                <w:szCs w:val="18"/>
              </w:rPr>
            </w:pPr>
            <w:r w:rsidRPr="009B00B8">
              <w:rPr>
                <w:sz w:val="18"/>
                <w:szCs w:val="18"/>
              </w:rPr>
              <w:t>96.4</w:t>
            </w:r>
          </w:p>
        </w:tc>
      </w:tr>
      <w:tr w:rsidR="00F42795" w14:paraId="345469D0" w14:textId="77777777" w:rsidTr="00D95CCF">
        <w:trPr>
          <w:cantSplit/>
        </w:trPr>
        <w:tc>
          <w:tcPr>
            <w:tcW w:w="1789" w:type="pct"/>
            <w:vMerge/>
            <w:tcBorders>
              <w:left w:val="nil"/>
              <w:bottom w:val="single" w:sz="4" w:space="0" w:color="auto"/>
              <w:right w:val="nil"/>
            </w:tcBorders>
            <w:shd w:val="clear" w:color="auto" w:fill="FFFFFF"/>
          </w:tcPr>
          <w:p w14:paraId="1DD6FBAF"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5B823B38"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No opinion</w:t>
            </w:r>
          </w:p>
        </w:tc>
        <w:tc>
          <w:tcPr>
            <w:tcW w:w="734" w:type="pct"/>
            <w:tcBorders>
              <w:top w:val="nil"/>
              <w:left w:val="nil"/>
              <w:bottom w:val="single" w:sz="4" w:space="0" w:color="auto"/>
              <w:right w:val="nil"/>
            </w:tcBorders>
            <w:shd w:val="clear" w:color="auto" w:fill="FFFFFF"/>
          </w:tcPr>
          <w:p w14:paraId="2E26BA99" w14:textId="77777777" w:rsidR="00F42795" w:rsidRPr="009B00B8" w:rsidRDefault="00F42795" w:rsidP="00D95CCF">
            <w:pPr>
              <w:autoSpaceDE w:val="0"/>
              <w:autoSpaceDN w:val="0"/>
              <w:adjustRightInd w:val="0"/>
              <w:ind w:left="60" w:right="60"/>
              <w:jc w:val="center"/>
              <w:rPr>
                <w:color w:val="000000"/>
                <w:sz w:val="18"/>
                <w:szCs w:val="18"/>
              </w:rPr>
            </w:pPr>
            <w:r w:rsidRPr="009B00B8">
              <w:rPr>
                <w:sz w:val="18"/>
                <w:szCs w:val="18"/>
              </w:rPr>
              <w:t>4</w:t>
            </w:r>
          </w:p>
        </w:tc>
        <w:tc>
          <w:tcPr>
            <w:tcW w:w="604" w:type="pct"/>
            <w:tcBorders>
              <w:top w:val="nil"/>
              <w:left w:val="nil"/>
              <w:bottom w:val="single" w:sz="4" w:space="0" w:color="auto"/>
              <w:right w:val="nil"/>
            </w:tcBorders>
            <w:shd w:val="clear" w:color="auto" w:fill="FFFFFF"/>
          </w:tcPr>
          <w:p w14:paraId="1ED13E99" w14:textId="77777777" w:rsidR="00F42795" w:rsidRPr="009B00B8" w:rsidRDefault="00F42795" w:rsidP="00D95CCF">
            <w:pPr>
              <w:autoSpaceDE w:val="0"/>
              <w:autoSpaceDN w:val="0"/>
              <w:adjustRightInd w:val="0"/>
              <w:jc w:val="center"/>
              <w:rPr>
                <w:sz w:val="18"/>
                <w:szCs w:val="18"/>
              </w:rPr>
            </w:pPr>
            <w:r w:rsidRPr="009B00B8">
              <w:rPr>
                <w:sz w:val="18"/>
                <w:szCs w:val="18"/>
              </w:rPr>
              <w:t>3.6</w:t>
            </w:r>
          </w:p>
        </w:tc>
        <w:tc>
          <w:tcPr>
            <w:tcW w:w="1139" w:type="pct"/>
            <w:tcBorders>
              <w:top w:val="nil"/>
              <w:left w:val="nil"/>
              <w:bottom w:val="single" w:sz="4" w:space="0" w:color="auto"/>
              <w:right w:val="nil"/>
            </w:tcBorders>
            <w:shd w:val="clear" w:color="auto" w:fill="FFFFFF"/>
          </w:tcPr>
          <w:p w14:paraId="5C5B4434" w14:textId="77777777" w:rsidR="00F42795" w:rsidRPr="009B00B8" w:rsidRDefault="00F42795" w:rsidP="00D95CCF">
            <w:pPr>
              <w:autoSpaceDE w:val="0"/>
              <w:autoSpaceDN w:val="0"/>
              <w:adjustRightInd w:val="0"/>
              <w:jc w:val="center"/>
              <w:rPr>
                <w:sz w:val="18"/>
                <w:szCs w:val="18"/>
              </w:rPr>
            </w:pPr>
            <w:r w:rsidRPr="009B00B8">
              <w:rPr>
                <w:sz w:val="18"/>
                <w:szCs w:val="18"/>
              </w:rPr>
              <w:t>100.0</w:t>
            </w:r>
          </w:p>
        </w:tc>
      </w:tr>
      <w:tr w:rsidR="00F42795" w14:paraId="32B403F0" w14:textId="77777777" w:rsidTr="00D95CCF">
        <w:trPr>
          <w:cantSplit/>
        </w:trPr>
        <w:tc>
          <w:tcPr>
            <w:tcW w:w="1789" w:type="pct"/>
            <w:vMerge w:val="restart"/>
            <w:tcBorders>
              <w:left w:val="nil"/>
              <w:bottom w:val="single" w:sz="4" w:space="0" w:color="auto"/>
              <w:right w:val="nil"/>
            </w:tcBorders>
            <w:shd w:val="clear" w:color="auto" w:fill="FFFFFF"/>
          </w:tcPr>
          <w:p w14:paraId="256C321F"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Public participation</w:t>
            </w:r>
          </w:p>
          <w:p w14:paraId="42CB95C5" w14:textId="77777777" w:rsidR="00F42795" w:rsidRPr="009B00B8" w:rsidRDefault="00F42795" w:rsidP="00D95CCF">
            <w:pPr>
              <w:autoSpaceDE w:val="0"/>
              <w:autoSpaceDN w:val="0"/>
              <w:adjustRightInd w:val="0"/>
              <w:ind w:right="60"/>
              <w:rPr>
                <w:color w:val="000000"/>
                <w:sz w:val="18"/>
                <w:szCs w:val="18"/>
              </w:rPr>
            </w:pPr>
          </w:p>
          <w:p w14:paraId="173D7D7C" w14:textId="77777777" w:rsidR="00F42795" w:rsidRPr="009B00B8" w:rsidRDefault="00F42795" w:rsidP="00D95CCF">
            <w:pPr>
              <w:pStyle w:val="Default"/>
              <w:rPr>
                <w:sz w:val="18"/>
                <w:szCs w:val="18"/>
              </w:rPr>
            </w:pPr>
            <w:r w:rsidRPr="009B00B8">
              <w:rPr>
                <w:rFonts w:ascii="Times New Roman" w:hAnsi="Times New Roman" w:cs="Times New Roman"/>
                <w:i/>
                <w:iCs/>
                <w:sz w:val="18"/>
                <w:szCs w:val="18"/>
              </w:rPr>
              <w:t>(N=110)</w:t>
            </w:r>
          </w:p>
        </w:tc>
        <w:tc>
          <w:tcPr>
            <w:tcW w:w="734" w:type="pct"/>
            <w:tcBorders>
              <w:top w:val="single" w:sz="4" w:space="0" w:color="auto"/>
              <w:left w:val="nil"/>
              <w:bottom w:val="nil"/>
              <w:right w:val="nil"/>
            </w:tcBorders>
            <w:shd w:val="clear" w:color="auto" w:fill="FFFFFF"/>
          </w:tcPr>
          <w:p w14:paraId="2D03CC80"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Fully met</w:t>
            </w:r>
          </w:p>
        </w:tc>
        <w:tc>
          <w:tcPr>
            <w:tcW w:w="734" w:type="pct"/>
            <w:tcBorders>
              <w:top w:val="single" w:sz="4" w:space="0" w:color="auto"/>
              <w:left w:val="nil"/>
              <w:bottom w:val="nil"/>
              <w:right w:val="nil"/>
            </w:tcBorders>
            <w:shd w:val="clear" w:color="auto" w:fill="FFFFFF"/>
          </w:tcPr>
          <w:p w14:paraId="05C904CC"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30</w:t>
            </w:r>
          </w:p>
        </w:tc>
        <w:tc>
          <w:tcPr>
            <w:tcW w:w="604" w:type="pct"/>
            <w:tcBorders>
              <w:top w:val="single" w:sz="4" w:space="0" w:color="auto"/>
              <w:left w:val="nil"/>
              <w:bottom w:val="nil"/>
              <w:right w:val="nil"/>
            </w:tcBorders>
            <w:shd w:val="clear" w:color="auto" w:fill="FFFFFF"/>
          </w:tcPr>
          <w:p w14:paraId="0BC9C5BA"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27.3</w:t>
            </w:r>
          </w:p>
        </w:tc>
        <w:tc>
          <w:tcPr>
            <w:tcW w:w="1139" w:type="pct"/>
            <w:tcBorders>
              <w:top w:val="single" w:sz="4" w:space="0" w:color="auto"/>
              <w:left w:val="nil"/>
              <w:bottom w:val="nil"/>
              <w:right w:val="nil"/>
            </w:tcBorders>
            <w:shd w:val="clear" w:color="auto" w:fill="FFFFFF"/>
          </w:tcPr>
          <w:p w14:paraId="56B32C36" w14:textId="77777777" w:rsidR="00F42795" w:rsidRPr="009B00B8" w:rsidRDefault="00F42795" w:rsidP="00D95CCF">
            <w:pPr>
              <w:autoSpaceDE w:val="0"/>
              <w:autoSpaceDN w:val="0"/>
              <w:adjustRightInd w:val="0"/>
              <w:jc w:val="center"/>
              <w:rPr>
                <w:sz w:val="18"/>
                <w:szCs w:val="18"/>
              </w:rPr>
            </w:pPr>
            <w:r w:rsidRPr="009B00B8">
              <w:rPr>
                <w:sz w:val="18"/>
                <w:szCs w:val="18"/>
              </w:rPr>
              <w:t>27.3</w:t>
            </w:r>
          </w:p>
        </w:tc>
      </w:tr>
      <w:tr w:rsidR="00F42795" w14:paraId="267156E2" w14:textId="77777777" w:rsidTr="00D95CCF">
        <w:trPr>
          <w:cantSplit/>
        </w:trPr>
        <w:tc>
          <w:tcPr>
            <w:tcW w:w="1789" w:type="pct"/>
            <w:vMerge/>
            <w:tcBorders>
              <w:left w:val="nil"/>
              <w:bottom w:val="single" w:sz="4" w:space="0" w:color="auto"/>
              <w:right w:val="nil"/>
            </w:tcBorders>
            <w:shd w:val="clear" w:color="auto" w:fill="FFFFFF"/>
          </w:tcPr>
          <w:p w14:paraId="3F07CC61"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293875F0"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Partially met</w:t>
            </w:r>
          </w:p>
        </w:tc>
        <w:tc>
          <w:tcPr>
            <w:tcW w:w="734" w:type="pct"/>
            <w:tcBorders>
              <w:top w:val="nil"/>
              <w:left w:val="nil"/>
              <w:bottom w:val="nil"/>
              <w:right w:val="nil"/>
            </w:tcBorders>
            <w:shd w:val="clear" w:color="auto" w:fill="FFFFFF"/>
          </w:tcPr>
          <w:p w14:paraId="761143B6"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48</w:t>
            </w:r>
          </w:p>
        </w:tc>
        <w:tc>
          <w:tcPr>
            <w:tcW w:w="604" w:type="pct"/>
            <w:tcBorders>
              <w:top w:val="nil"/>
              <w:left w:val="nil"/>
              <w:bottom w:val="nil"/>
              <w:right w:val="nil"/>
            </w:tcBorders>
            <w:shd w:val="clear" w:color="auto" w:fill="FFFFFF"/>
          </w:tcPr>
          <w:p w14:paraId="0F5FA0EB" w14:textId="77777777" w:rsidR="00F42795" w:rsidRPr="009B00B8" w:rsidRDefault="00F42795" w:rsidP="00D95CCF">
            <w:pPr>
              <w:autoSpaceDE w:val="0"/>
              <w:autoSpaceDN w:val="0"/>
              <w:adjustRightInd w:val="0"/>
              <w:ind w:left="60" w:right="60"/>
              <w:jc w:val="center"/>
              <w:rPr>
                <w:sz w:val="18"/>
                <w:szCs w:val="18"/>
              </w:rPr>
            </w:pPr>
            <w:r w:rsidRPr="009B00B8">
              <w:rPr>
                <w:b/>
                <w:bCs/>
                <w:sz w:val="18"/>
                <w:szCs w:val="18"/>
              </w:rPr>
              <w:t>43.6*</w:t>
            </w:r>
          </w:p>
        </w:tc>
        <w:tc>
          <w:tcPr>
            <w:tcW w:w="1139" w:type="pct"/>
            <w:tcBorders>
              <w:top w:val="nil"/>
              <w:left w:val="nil"/>
              <w:bottom w:val="nil"/>
              <w:right w:val="nil"/>
            </w:tcBorders>
            <w:shd w:val="clear" w:color="auto" w:fill="FFFFFF"/>
          </w:tcPr>
          <w:p w14:paraId="62AD1E54" w14:textId="77777777" w:rsidR="00F42795" w:rsidRPr="009B00B8" w:rsidRDefault="00F42795" w:rsidP="00D95CCF">
            <w:pPr>
              <w:autoSpaceDE w:val="0"/>
              <w:autoSpaceDN w:val="0"/>
              <w:adjustRightInd w:val="0"/>
              <w:jc w:val="center"/>
              <w:rPr>
                <w:sz w:val="18"/>
                <w:szCs w:val="18"/>
              </w:rPr>
            </w:pPr>
            <w:r w:rsidRPr="009B00B8">
              <w:rPr>
                <w:sz w:val="18"/>
                <w:szCs w:val="18"/>
              </w:rPr>
              <w:t>70.9</w:t>
            </w:r>
          </w:p>
        </w:tc>
      </w:tr>
      <w:tr w:rsidR="00F42795" w14:paraId="41E6A837" w14:textId="77777777" w:rsidTr="00D95CCF">
        <w:trPr>
          <w:cantSplit/>
        </w:trPr>
        <w:tc>
          <w:tcPr>
            <w:tcW w:w="1789" w:type="pct"/>
            <w:vMerge/>
            <w:tcBorders>
              <w:left w:val="nil"/>
              <w:bottom w:val="single" w:sz="4" w:space="0" w:color="auto"/>
              <w:right w:val="nil"/>
            </w:tcBorders>
            <w:shd w:val="clear" w:color="auto" w:fill="FFFFFF"/>
          </w:tcPr>
          <w:p w14:paraId="651ED1D3"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6A646E8E"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Marginally met</w:t>
            </w:r>
          </w:p>
        </w:tc>
        <w:tc>
          <w:tcPr>
            <w:tcW w:w="734" w:type="pct"/>
            <w:tcBorders>
              <w:top w:val="nil"/>
              <w:left w:val="nil"/>
              <w:bottom w:val="nil"/>
              <w:right w:val="nil"/>
            </w:tcBorders>
            <w:shd w:val="clear" w:color="auto" w:fill="FFFFFF"/>
          </w:tcPr>
          <w:p w14:paraId="29F234CC"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18</w:t>
            </w:r>
          </w:p>
        </w:tc>
        <w:tc>
          <w:tcPr>
            <w:tcW w:w="604" w:type="pct"/>
            <w:tcBorders>
              <w:top w:val="nil"/>
              <w:left w:val="nil"/>
              <w:bottom w:val="nil"/>
              <w:right w:val="nil"/>
            </w:tcBorders>
            <w:shd w:val="clear" w:color="auto" w:fill="FFFFFF"/>
          </w:tcPr>
          <w:p w14:paraId="4BE04F93"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16.4</w:t>
            </w:r>
          </w:p>
        </w:tc>
        <w:tc>
          <w:tcPr>
            <w:tcW w:w="1139" w:type="pct"/>
            <w:tcBorders>
              <w:top w:val="nil"/>
              <w:left w:val="nil"/>
              <w:bottom w:val="nil"/>
              <w:right w:val="nil"/>
            </w:tcBorders>
            <w:shd w:val="clear" w:color="auto" w:fill="FFFFFF"/>
          </w:tcPr>
          <w:p w14:paraId="77598F98" w14:textId="77777777" w:rsidR="00F42795" w:rsidRPr="009B00B8" w:rsidRDefault="00F42795" w:rsidP="00D95CCF">
            <w:pPr>
              <w:autoSpaceDE w:val="0"/>
              <w:autoSpaceDN w:val="0"/>
              <w:adjustRightInd w:val="0"/>
              <w:jc w:val="center"/>
              <w:rPr>
                <w:sz w:val="18"/>
                <w:szCs w:val="18"/>
              </w:rPr>
            </w:pPr>
            <w:r w:rsidRPr="009B00B8">
              <w:rPr>
                <w:sz w:val="18"/>
                <w:szCs w:val="18"/>
              </w:rPr>
              <w:t>87.3</w:t>
            </w:r>
          </w:p>
        </w:tc>
      </w:tr>
      <w:tr w:rsidR="00F42795" w14:paraId="1685E106" w14:textId="77777777" w:rsidTr="00D95CCF">
        <w:trPr>
          <w:cantSplit/>
        </w:trPr>
        <w:tc>
          <w:tcPr>
            <w:tcW w:w="1789" w:type="pct"/>
            <w:vMerge/>
            <w:tcBorders>
              <w:left w:val="nil"/>
              <w:bottom w:val="single" w:sz="4" w:space="0" w:color="auto"/>
              <w:right w:val="nil"/>
            </w:tcBorders>
            <w:shd w:val="clear" w:color="auto" w:fill="FFFFFF"/>
          </w:tcPr>
          <w:p w14:paraId="48D01255"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715C243D"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Poorly met</w:t>
            </w:r>
          </w:p>
        </w:tc>
        <w:tc>
          <w:tcPr>
            <w:tcW w:w="734" w:type="pct"/>
            <w:tcBorders>
              <w:top w:val="nil"/>
              <w:left w:val="nil"/>
              <w:bottom w:val="nil"/>
              <w:right w:val="nil"/>
            </w:tcBorders>
            <w:shd w:val="clear" w:color="auto" w:fill="FFFFFF"/>
          </w:tcPr>
          <w:p w14:paraId="76E71E6F"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14</w:t>
            </w:r>
          </w:p>
        </w:tc>
        <w:tc>
          <w:tcPr>
            <w:tcW w:w="604" w:type="pct"/>
            <w:tcBorders>
              <w:top w:val="nil"/>
              <w:left w:val="nil"/>
              <w:bottom w:val="nil"/>
              <w:right w:val="nil"/>
            </w:tcBorders>
            <w:shd w:val="clear" w:color="auto" w:fill="FFFFFF"/>
          </w:tcPr>
          <w:p w14:paraId="1B878648"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12.7</w:t>
            </w:r>
          </w:p>
        </w:tc>
        <w:tc>
          <w:tcPr>
            <w:tcW w:w="1139" w:type="pct"/>
            <w:tcBorders>
              <w:top w:val="nil"/>
              <w:left w:val="nil"/>
              <w:bottom w:val="nil"/>
              <w:right w:val="nil"/>
            </w:tcBorders>
            <w:shd w:val="clear" w:color="auto" w:fill="FFFFFF"/>
          </w:tcPr>
          <w:p w14:paraId="393738AC" w14:textId="77777777" w:rsidR="00F42795" w:rsidRPr="009B00B8" w:rsidRDefault="00F42795" w:rsidP="00D95CCF">
            <w:pPr>
              <w:autoSpaceDE w:val="0"/>
              <w:autoSpaceDN w:val="0"/>
              <w:adjustRightInd w:val="0"/>
              <w:jc w:val="center"/>
              <w:rPr>
                <w:sz w:val="18"/>
                <w:szCs w:val="18"/>
              </w:rPr>
            </w:pPr>
            <w:r w:rsidRPr="009B00B8">
              <w:rPr>
                <w:sz w:val="18"/>
                <w:szCs w:val="18"/>
              </w:rPr>
              <w:t>100.0</w:t>
            </w:r>
          </w:p>
        </w:tc>
      </w:tr>
      <w:tr w:rsidR="00F42795" w14:paraId="59954850" w14:textId="77777777" w:rsidTr="00D95CCF">
        <w:trPr>
          <w:cantSplit/>
        </w:trPr>
        <w:tc>
          <w:tcPr>
            <w:tcW w:w="1789" w:type="pct"/>
            <w:vMerge/>
            <w:tcBorders>
              <w:left w:val="nil"/>
              <w:bottom w:val="single" w:sz="4" w:space="0" w:color="auto"/>
              <w:right w:val="nil"/>
            </w:tcBorders>
            <w:shd w:val="clear" w:color="auto" w:fill="FFFFFF"/>
          </w:tcPr>
          <w:p w14:paraId="2916620C"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5ABC290B"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No opinion</w:t>
            </w:r>
          </w:p>
        </w:tc>
        <w:tc>
          <w:tcPr>
            <w:tcW w:w="734" w:type="pct"/>
            <w:tcBorders>
              <w:top w:val="nil"/>
              <w:left w:val="nil"/>
              <w:bottom w:val="single" w:sz="4" w:space="0" w:color="auto"/>
              <w:right w:val="nil"/>
            </w:tcBorders>
            <w:shd w:val="clear" w:color="auto" w:fill="FFFFFF"/>
          </w:tcPr>
          <w:p w14:paraId="7F7F7E28"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0</w:t>
            </w:r>
          </w:p>
        </w:tc>
        <w:tc>
          <w:tcPr>
            <w:tcW w:w="604" w:type="pct"/>
            <w:tcBorders>
              <w:top w:val="nil"/>
              <w:left w:val="nil"/>
              <w:bottom w:val="single" w:sz="4" w:space="0" w:color="auto"/>
              <w:right w:val="nil"/>
            </w:tcBorders>
            <w:shd w:val="clear" w:color="auto" w:fill="FFFFFF"/>
          </w:tcPr>
          <w:p w14:paraId="5917CBB3"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0</w:t>
            </w:r>
          </w:p>
        </w:tc>
        <w:tc>
          <w:tcPr>
            <w:tcW w:w="1139" w:type="pct"/>
            <w:tcBorders>
              <w:top w:val="nil"/>
              <w:left w:val="nil"/>
              <w:bottom w:val="single" w:sz="4" w:space="0" w:color="auto"/>
              <w:right w:val="nil"/>
            </w:tcBorders>
            <w:shd w:val="clear" w:color="auto" w:fill="FFFFFF"/>
          </w:tcPr>
          <w:p w14:paraId="00EE85F2" w14:textId="77777777" w:rsidR="00F42795" w:rsidRPr="009B00B8" w:rsidRDefault="00F42795" w:rsidP="00D95CCF">
            <w:pPr>
              <w:autoSpaceDE w:val="0"/>
              <w:autoSpaceDN w:val="0"/>
              <w:adjustRightInd w:val="0"/>
              <w:jc w:val="center"/>
              <w:rPr>
                <w:sz w:val="18"/>
                <w:szCs w:val="18"/>
              </w:rPr>
            </w:pPr>
          </w:p>
        </w:tc>
      </w:tr>
      <w:tr w:rsidR="00F42795" w14:paraId="77CF9D25" w14:textId="77777777" w:rsidTr="00D95CCF">
        <w:trPr>
          <w:cantSplit/>
        </w:trPr>
        <w:tc>
          <w:tcPr>
            <w:tcW w:w="1789" w:type="pct"/>
            <w:vMerge w:val="restart"/>
            <w:tcBorders>
              <w:left w:val="nil"/>
              <w:bottom w:val="single" w:sz="4" w:space="0" w:color="auto"/>
              <w:right w:val="nil"/>
            </w:tcBorders>
            <w:shd w:val="clear" w:color="auto" w:fill="FFFFFF"/>
          </w:tcPr>
          <w:p w14:paraId="4F041621"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Responsiveness</w:t>
            </w:r>
          </w:p>
          <w:p w14:paraId="6AD1D8F6" w14:textId="77777777" w:rsidR="00F42795" w:rsidRPr="009B00B8" w:rsidRDefault="00F42795" w:rsidP="00D95CCF">
            <w:pPr>
              <w:autoSpaceDE w:val="0"/>
              <w:autoSpaceDN w:val="0"/>
              <w:adjustRightInd w:val="0"/>
              <w:ind w:right="60"/>
              <w:rPr>
                <w:color w:val="000000"/>
                <w:sz w:val="18"/>
                <w:szCs w:val="18"/>
              </w:rPr>
            </w:pPr>
          </w:p>
          <w:p w14:paraId="0F7D4191" w14:textId="77777777" w:rsidR="00F42795" w:rsidRPr="009B00B8" w:rsidRDefault="00F42795" w:rsidP="00D95CCF">
            <w:pPr>
              <w:pStyle w:val="Default"/>
              <w:rPr>
                <w:sz w:val="18"/>
                <w:szCs w:val="18"/>
              </w:rPr>
            </w:pPr>
            <w:r w:rsidRPr="009B00B8">
              <w:rPr>
                <w:rFonts w:ascii="Times New Roman" w:hAnsi="Times New Roman" w:cs="Times New Roman"/>
                <w:i/>
                <w:iCs/>
                <w:sz w:val="18"/>
                <w:szCs w:val="18"/>
              </w:rPr>
              <w:t>(N=110)</w:t>
            </w:r>
          </w:p>
        </w:tc>
        <w:tc>
          <w:tcPr>
            <w:tcW w:w="734" w:type="pct"/>
            <w:tcBorders>
              <w:top w:val="single" w:sz="4" w:space="0" w:color="auto"/>
              <w:left w:val="nil"/>
              <w:bottom w:val="nil"/>
              <w:right w:val="nil"/>
            </w:tcBorders>
            <w:shd w:val="clear" w:color="auto" w:fill="FFFFFF"/>
          </w:tcPr>
          <w:p w14:paraId="5349163D"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Fully met</w:t>
            </w:r>
          </w:p>
        </w:tc>
        <w:tc>
          <w:tcPr>
            <w:tcW w:w="734" w:type="pct"/>
            <w:tcBorders>
              <w:top w:val="single" w:sz="4" w:space="0" w:color="auto"/>
              <w:left w:val="nil"/>
              <w:bottom w:val="nil"/>
              <w:right w:val="nil"/>
            </w:tcBorders>
            <w:shd w:val="clear" w:color="auto" w:fill="FFFFFF"/>
          </w:tcPr>
          <w:p w14:paraId="35E715B3"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12</w:t>
            </w:r>
          </w:p>
        </w:tc>
        <w:tc>
          <w:tcPr>
            <w:tcW w:w="604" w:type="pct"/>
            <w:tcBorders>
              <w:top w:val="single" w:sz="4" w:space="0" w:color="auto"/>
              <w:left w:val="nil"/>
              <w:bottom w:val="nil"/>
              <w:right w:val="nil"/>
            </w:tcBorders>
            <w:shd w:val="clear" w:color="auto" w:fill="FFFFFF"/>
          </w:tcPr>
          <w:p w14:paraId="7D38514F" w14:textId="77777777" w:rsidR="00F42795" w:rsidRPr="009B00B8" w:rsidRDefault="00F42795" w:rsidP="00D95CCF">
            <w:pPr>
              <w:autoSpaceDE w:val="0"/>
              <w:autoSpaceDN w:val="0"/>
              <w:adjustRightInd w:val="0"/>
              <w:ind w:right="60"/>
              <w:jc w:val="center"/>
              <w:rPr>
                <w:sz w:val="18"/>
                <w:szCs w:val="18"/>
              </w:rPr>
            </w:pPr>
            <w:r w:rsidRPr="009B00B8">
              <w:rPr>
                <w:sz w:val="18"/>
                <w:szCs w:val="18"/>
              </w:rPr>
              <w:t>10.9</w:t>
            </w:r>
          </w:p>
        </w:tc>
        <w:tc>
          <w:tcPr>
            <w:tcW w:w="1139" w:type="pct"/>
            <w:tcBorders>
              <w:top w:val="single" w:sz="4" w:space="0" w:color="auto"/>
              <w:left w:val="nil"/>
              <w:bottom w:val="nil"/>
              <w:right w:val="nil"/>
            </w:tcBorders>
            <w:shd w:val="clear" w:color="auto" w:fill="FFFFFF"/>
          </w:tcPr>
          <w:p w14:paraId="7494495E"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10.9</w:t>
            </w:r>
          </w:p>
        </w:tc>
      </w:tr>
      <w:tr w:rsidR="00F42795" w14:paraId="5759C238" w14:textId="77777777" w:rsidTr="00D95CCF">
        <w:trPr>
          <w:cantSplit/>
        </w:trPr>
        <w:tc>
          <w:tcPr>
            <w:tcW w:w="1789" w:type="pct"/>
            <w:vMerge/>
            <w:tcBorders>
              <w:left w:val="nil"/>
              <w:bottom w:val="single" w:sz="4" w:space="0" w:color="auto"/>
              <w:right w:val="nil"/>
            </w:tcBorders>
            <w:shd w:val="clear" w:color="auto" w:fill="FFFFFF"/>
          </w:tcPr>
          <w:p w14:paraId="72CC9A56"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2E49C5DC"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Partially met</w:t>
            </w:r>
          </w:p>
        </w:tc>
        <w:tc>
          <w:tcPr>
            <w:tcW w:w="734" w:type="pct"/>
            <w:tcBorders>
              <w:top w:val="nil"/>
              <w:left w:val="nil"/>
              <w:bottom w:val="nil"/>
              <w:right w:val="nil"/>
            </w:tcBorders>
            <w:shd w:val="clear" w:color="auto" w:fill="FFFFFF"/>
          </w:tcPr>
          <w:p w14:paraId="5F38630F"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43</w:t>
            </w:r>
          </w:p>
        </w:tc>
        <w:tc>
          <w:tcPr>
            <w:tcW w:w="604" w:type="pct"/>
            <w:tcBorders>
              <w:top w:val="nil"/>
              <w:left w:val="nil"/>
              <w:bottom w:val="nil"/>
              <w:right w:val="nil"/>
            </w:tcBorders>
            <w:shd w:val="clear" w:color="auto" w:fill="FFFFFF"/>
          </w:tcPr>
          <w:p w14:paraId="113D23FF" w14:textId="77777777" w:rsidR="00F42795" w:rsidRPr="009B00B8" w:rsidRDefault="00F42795" w:rsidP="00D95CCF">
            <w:pPr>
              <w:autoSpaceDE w:val="0"/>
              <w:autoSpaceDN w:val="0"/>
              <w:adjustRightInd w:val="0"/>
              <w:ind w:right="60"/>
              <w:jc w:val="center"/>
              <w:rPr>
                <w:b/>
                <w:bCs/>
                <w:sz w:val="18"/>
                <w:szCs w:val="18"/>
              </w:rPr>
            </w:pPr>
            <w:r w:rsidRPr="009B00B8">
              <w:rPr>
                <w:b/>
                <w:bCs/>
                <w:sz w:val="18"/>
                <w:szCs w:val="18"/>
              </w:rPr>
              <w:t>39.1*</w:t>
            </w:r>
          </w:p>
        </w:tc>
        <w:tc>
          <w:tcPr>
            <w:tcW w:w="1139" w:type="pct"/>
            <w:tcBorders>
              <w:top w:val="nil"/>
              <w:left w:val="nil"/>
              <w:bottom w:val="nil"/>
              <w:right w:val="nil"/>
            </w:tcBorders>
            <w:shd w:val="clear" w:color="auto" w:fill="FFFFFF"/>
          </w:tcPr>
          <w:p w14:paraId="719AB68A"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50.0</w:t>
            </w:r>
          </w:p>
        </w:tc>
      </w:tr>
      <w:tr w:rsidR="00F42795" w14:paraId="725A87CA" w14:textId="77777777" w:rsidTr="00D95CCF">
        <w:trPr>
          <w:cantSplit/>
        </w:trPr>
        <w:tc>
          <w:tcPr>
            <w:tcW w:w="1789" w:type="pct"/>
            <w:vMerge/>
            <w:tcBorders>
              <w:left w:val="nil"/>
              <w:bottom w:val="single" w:sz="4" w:space="0" w:color="auto"/>
              <w:right w:val="nil"/>
            </w:tcBorders>
            <w:shd w:val="clear" w:color="auto" w:fill="FFFFFF"/>
          </w:tcPr>
          <w:p w14:paraId="297CC260"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3239A329"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Marginally met</w:t>
            </w:r>
          </w:p>
        </w:tc>
        <w:tc>
          <w:tcPr>
            <w:tcW w:w="734" w:type="pct"/>
            <w:tcBorders>
              <w:top w:val="nil"/>
              <w:left w:val="nil"/>
              <w:bottom w:val="nil"/>
              <w:right w:val="nil"/>
            </w:tcBorders>
            <w:shd w:val="clear" w:color="auto" w:fill="FFFFFF"/>
          </w:tcPr>
          <w:p w14:paraId="68351DE7"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33</w:t>
            </w:r>
          </w:p>
        </w:tc>
        <w:tc>
          <w:tcPr>
            <w:tcW w:w="604" w:type="pct"/>
            <w:tcBorders>
              <w:top w:val="nil"/>
              <w:left w:val="nil"/>
              <w:bottom w:val="nil"/>
              <w:right w:val="nil"/>
            </w:tcBorders>
            <w:shd w:val="clear" w:color="auto" w:fill="FFFFFF"/>
          </w:tcPr>
          <w:p w14:paraId="58C92818" w14:textId="77777777" w:rsidR="00F42795" w:rsidRPr="009B00B8" w:rsidRDefault="00F42795" w:rsidP="00D95CCF">
            <w:pPr>
              <w:autoSpaceDE w:val="0"/>
              <w:autoSpaceDN w:val="0"/>
              <w:adjustRightInd w:val="0"/>
              <w:ind w:right="60"/>
              <w:jc w:val="center"/>
              <w:rPr>
                <w:sz w:val="18"/>
                <w:szCs w:val="18"/>
              </w:rPr>
            </w:pPr>
            <w:r w:rsidRPr="009B00B8">
              <w:rPr>
                <w:sz w:val="18"/>
                <w:szCs w:val="18"/>
              </w:rPr>
              <w:t>30.0</w:t>
            </w:r>
          </w:p>
        </w:tc>
        <w:tc>
          <w:tcPr>
            <w:tcW w:w="1139" w:type="pct"/>
            <w:tcBorders>
              <w:top w:val="nil"/>
              <w:left w:val="nil"/>
              <w:bottom w:val="nil"/>
              <w:right w:val="nil"/>
            </w:tcBorders>
            <w:shd w:val="clear" w:color="auto" w:fill="FFFFFF"/>
          </w:tcPr>
          <w:p w14:paraId="38140041"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80.0</w:t>
            </w:r>
          </w:p>
        </w:tc>
      </w:tr>
      <w:tr w:rsidR="00F42795" w14:paraId="1BB0E99C" w14:textId="77777777" w:rsidTr="00D95CCF">
        <w:trPr>
          <w:cantSplit/>
        </w:trPr>
        <w:tc>
          <w:tcPr>
            <w:tcW w:w="1789" w:type="pct"/>
            <w:vMerge/>
            <w:tcBorders>
              <w:left w:val="nil"/>
              <w:bottom w:val="single" w:sz="4" w:space="0" w:color="auto"/>
              <w:right w:val="nil"/>
            </w:tcBorders>
            <w:shd w:val="clear" w:color="auto" w:fill="FFFFFF"/>
          </w:tcPr>
          <w:p w14:paraId="161849D8"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3CD5A7E1"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Poorly met</w:t>
            </w:r>
          </w:p>
        </w:tc>
        <w:tc>
          <w:tcPr>
            <w:tcW w:w="734" w:type="pct"/>
            <w:tcBorders>
              <w:top w:val="nil"/>
              <w:left w:val="nil"/>
              <w:bottom w:val="nil"/>
              <w:right w:val="nil"/>
            </w:tcBorders>
            <w:shd w:val="clear" w:color="auto" w:fill="FFFFFF"/>
          </w:tcPr>
          <w:p w14:paraId="6B96365B"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18</w:t>
            </w:r>
          </w:p>
        </w:tc>
        <w:tc>
          <w:tcPr>
            <w:tcW w:w="604" w:type="pct"/>
            <w:tcBorders>
              <w:top w:val="nil"/>
              <w:left w:val="nil"/>
              <w:bottom w:val="nil"/>
              <w:right w:val="nil"/>
            </w:tcBorders>
            <w:shd w:val="clear" w:color="auto" w:fill="FFFFFF"/>
          </w:tcPr>
          <w:p w14:paraId="7CB0362B" w14:textId="77777777" w:rsidR="00F42795" w:rsidRPr="009B00B8" w:rsidRDefault="00F42795" w:rsidP="00D95CCF">
            <w:pPr>
              <w:autoSpaceDE w:val="0"/>
              <w:autoSpaceDN w:val="0"/>
              <w:adjustRightInd w:val="0"/>
              <w:ind w:right="60"/>
              <w:jc w:val="center"/>
              <w:rPr>
                <w:sz w:val="18"/>
                <w:szCs w:val="18"/>
              </w:rPr>
            </w:pPr>
            <w:r w:rsidRPr="009B00B8">
              <w:rPr>
                <w:sz w:val="18"/>
                <w:szCs w:val="18"/>
              </w:rPr>
              <w:t>16.4</w:t>
            </w:r>
          </w:p>
        </w:tc>
        <w:tc>
          <w:tcPr>
            <w:tcW w:w="1139" w:type="pct"/>
            <w:tcBorders>
              <w:top w:val="nil"/>
              <w:left w:val="nil"/>
              <w:bottom w:val="nil"/>
              <w:right w:val="nil"/>
            </w:tcBorders>
            <w:shd w:val="clear" w:color="auto" w:fill="FFFFFF"/>
          </w:tcPr>
          <w:p w14:paraId="0F1B0C3B"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96.4</w:t>
            </w:r>
          </w:p>
        </w:tc>
      </w:tr>
      <w:tr w:rsidR="00F42795" w14:paraId="10FB3AC4" w14:textId="77777777" w:rsidTr="00D95CCF">
        <w:trPr>
          <w:cantSplit/>
        </w:trPr>
        <w:tc>
          <w:tcPr>
            <w:tcW w:w="1789" w:type="pct"/>
            <w:vMerge/>
            <w:tcBorders>
              <w:left w:val="nil"/>
              <w:bottom w:val="single" w:sz="4" w:space="0" w:color="auto"/>
              <w:right w:val="nil"/>
            </w:tcBorders>
            <w:shd w:val="clear" w:color="auto" w:fill="FFFFFF"/>
          </w:tcPr>
          <w:p w14:paraId="6CFEC5A9"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04F1C2E2" w14:textId="77777777" w:rsidR="00F42795" w:rsidRPr="009B00B8" w:rsidRDefault="00F42795" w:rsidP="00D95CCF">
            <w:pPr>
              <w:autoSpaceDE w:val="0"/>
              <w:autoSpaceDN w:val="0"/>
              <w:adjustRightInd w:val="0"/>
              <w:ind w:right="60"/>
              <w:rPr>
                <w:color w:val="000000"/>
                <w:sz w:val="18"/>
                <w:szCs w:val="18"/>
              </w:rPr>
            </w:pPr>
            <w:r w:rsidRPr="009B00B8">
              <w:rPr>
                <w:color w:val="000000"/>
                <w:sz w:val="18"/>
                <w:szCs w:val="18"/>
              </w:rPr>
              <w:t>No opinion</w:t>
            </w:r>
          </w:p>
        </w:tc>
        <w:tc>
          <w:tcPr>
            <w:tcW w:w="734" w:type="pct"/>
            <w:tcBorders>
              <w:top w:val="nil"/>
              <w:left w:val="nil"/>
              <w:bottom w:val="single" w:sz="4" w:space="0" w:color="auto"/>
              <w:right w:val="nil"/>
            </w:tcBorders>
            <w:shd w:val="clear" w:color="auto" w:fill="FFFFFF"/>
          </w:tcPr>
          <w:p w14:paraId="49CE0D86"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4</w:t>
            </w:r>
          </w:p>
        </w:tc>
        <w:tc>
          <w:tcPr>
            <w:tcW w:w="604" w:type="pct"/>
            <w:tcBorders>
              <w:top w:val="nil"/>
              <w:left w:val="nil"/>
              <w:bottom w:val="single" w:sz="4" w:space="0" w:color="auto"/>
              <w:right w:val="nil"/>
            </w:tcBorders>
            <w:shd w:val="clear" w:color="auto" w:fill="FFFFFF"/>
          </w:tcPr>
          <w:p w14:paraId="00E9BB14" w14:textId="77777777" w:rsidR="00F42795" w:rsidRPr="009B00B8" w:rsidRDefault="00F42795" w:rsidP="00D95CCF">
            <w:pPr>
              <w:autoSpaceDE w:val="0"/>
              <w:autoSpaceDN w:val="0"/>
              <w:adjustRightInd w:val="0"/>
              <w:ind w:right="60"/>
              <w:jc w:val="center"/>
              <w:rPr>
                <w:sz w:val="18"/>
                <w:szCs w:val="18"/>
              </w:rPr>
            </w:pPr>
            <w:r w:rsidRPr="009B00B8">
              <w:rPr>
                <w:sz w:val="18"/>
                <w:szCs w:val="18"/>
              </w:rPr>
              <w:t>3.6</w:t>
            </w:r>
          </w:p>
        </w:tc>
        <w:tc>
          <w:tcPr>
            <w:tcW w:w="1139" w:type="pct"/>
            <w:tcBorders>
              <w:top w:val="nil"/>
              <w:left w:val="nil"/>
              <w:bottom w:val="single" w:sz="4" w:space="0" w:color="auto"/>
              <w:right w:val="nil"/>
            </w:tcBorders>
            <w:shd w:val="clear" w:color="auto" w:fill="FFFFFF"/>
          </w:tcPr>
          <w:p w14:paraId="21BAA93D" w14:textId="77777777" w:rsidR="00F42795" w:rsidRPr="009B00B8" w:rsidRDefault="00F42795" w:rsidP="00D95CCF">
            <w:pPr>
              <w:autoSpaceDE w:val="0"/>
              <w:autoSpaceDN w:val="0"/>
              <w:adjustRightInd w:val="0"/>
              <w:ind w:left="60" w:right="60"/>
              <w:jc w:val="center"/>
              <w:rPr>
                <w:sz w:val="18"/>
                <w:szCs w:val="18"/>
              </w:rPr>
            </w:pPr>
            <w:r w:rsidRPr="009B00B8">
              <w:rPr>
                <w:sz w:val="18"/>
                <w:szCs w:val="18"/>
              </w:rPr>
              <w:t>100.0</w:t>
            </w:r>
          </w:p>
        </w:tc>
      </w:tr>
      <w:tr w:rsidR="00F42795" w14:paraId="4D049972" w14:textId="77777777" w:rsidTr="00D95CCF">
        <w:trPr>
          <w:cantSplit/>
        </w:trPr>
        <w:tc>
          <w:tcPr>
            <w:tcW w:w="1789" w:type="pct"/>
            <w:vMerge w:val="restart"/>
            <w:tcBorders>
              <w:left w:val="nil"/>
              <w:bottom w:val="single" w:sz="4" w:space="0" w:color="auto"/>
              <w:right w:val="nil"/>
            </w:tcBorders>
            <w:shd w:val="clear" w:color="auto" w:fill="FFFFFF"/>
          </w:tcPr>
          <w:p w14:paraId="110A39A0" w14:textId="77777777" w:rsidR="00F42795" w:rsidRPr="009B00B8" w:rsidRDefault="00F42795" w:rsidP="00D95CCF">
            <w:pPr>
              <w:rPr>
                <w:rFonts w:eastAsiaTheme="minorHAnsi"/>
                <w:color w:val="000000"/>
                <w:sz w:val="18"/>
                <w:szCs w:val="18"/>
                <w:lang w:val="en-US"/>
              </w:rPr>
            </w:pPr>
            <w:r w:rsidRPr="009B00B8">
              <w:rPr>
                <w:rFonts w:eastAsiaTheme="minorHAnsi"/>
                <w:color w:val="000000"/>
                <w:sz w:val="18"/>
                <w:szCs w:val="18"/>
                <w:lang w:val="en-US"/>
              </w:rPr>
              <w:t>Consensus Oriented</w:t>
            </w:r>
          </w:p>
          <w:p w14:paraId="505164BC" w14:textId="77777777" w:rsidR="00F42795" w:rsidRPr="009B00B8" w:rsidRDefault="00F42795" w:rsidP="00D95CCF">
            <w:pPr>
              <w:autoSpaceDE w:val="0"/>
              <w:autoSpaceDN w:val="0"/>
              <w:adjustRightInd w:val="0"/>
              <w:ind w:right="60"/>
              <w:rPr>
                <w:color w:val="000000"/>
                <w:sz w:val="18"/>
                <w:szCs w:val="18"/>
              </w:rPr>
            </w:pPr>
          </w:p>
          <w:p w14:paraId="5D926BEE" w14:textId="77777777" w:rsidR="00F42795" w:rsidRPr="009B00B8" w:rsidRDefault="00F42795" w:rsidP="00D95CCF">
            <w:pPr>
              <w:pStyle w:val="Default"/>
              <w:rPr>
                <w:sz w:val="18"/>
                <w:szCs w:val="18"/>
              </w:rPr>
            </w:pPr>
            <w:r w:rsidRPr="009B00B8">
              <w:rPr>
                <w:rFonts w:ascii="Times New Roman" w:hAnsi="Times New Roman" w:cs="Times New Roman"/>
                <w:i/>
                <w:iCs/>
                <w:sz w:val="18"/>
                <w:szCs w:val="18"/>
              </w:rPr>
              <w:t>(N=106)</w:t>
            </w:r>
          </w:p>
        </w:tc>
        <w:tc>
          <w:tcPr>
            <w:tcW w:w="734" w:type="pct"/>
            <w:tcBorders>
              <w:top w:val="single" w:sz="4" w:space="0" w:color="auto"/>
              <w:left w:val="nil"/>
              <w:bottom w:val="nil"/>
              <w:right w:val="nil"/>
            </w:tcBorders>
            <w:shd w:val="clear" w:color="auto" w:fill="FFFFFF"/>
          </w:tcPr>
          <w:p w14:paraId="554373B5"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Fully met</w:t>
            </w:r>
          </w:p>
        </w:tc>
        <w:tc>
          <w:tcPr>
            <w:tcW w:w="734" w:type="pct"/>
            <w:tcBorders>
              <w:top w:val="single" w:sz="4" w:space="0" w:color="auto"/>
              <w:left w:val="nil"/>
              <w:bottom w:val="nil"/>
              <w:right w:val="nil"/>
            </w:tcBorders>
            <w:shd w:val="clear" w:color="auto" w:fill="FFFFFF"/>
          </w:tcPr>
          <w:p w14:paraId="17BAD653"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11</w:t>
            </w:r>
          </w:p>
        </w:tc>
        <w:tc>
          <w:tcPr>
            <w:tcW w:w="604" w:type="pct"/>
            <w:tcBorders>
              <w:top w:val="single" w:sz="4" w:space="0" w:color="auto"/>
              <w:left w:val="nil"/>
              <w:bottom w:val="nil"/>
              <w:right w:val="nil"/>
            </w:tcBorders>
            <w:shd w:val="clear" w:color="auto" w:fill="FFFFFF"/>
          </w:tcPr>
          <w:p w14:paraId="75BCF362" w14:textId="77777777" w:rsidR="00F42795" w:rsidRPr="009B00B8" w:rsidRDefault="00F42795" w:rsidP="00D95CCF">
            <w:pPr>
              <w:autoSpaceDE w:val="0"/>
              <w:autoSpaceDN w:val="0"/>
              <w:adjustRightInd w:val="0"/>
              <w:ind w:right="60"/>
              <w:jc w:val="center"/>
              <w:rPr>
                <w:sz w:val="18"/>
                <w:szCs w:val="18"/>
              </w:rPr>
            </w:pPr>
            <w:r w:rsidRPr="009B00B8">
              <w:rPr>
                <w:sz w:val="18"/>
                <w:szCs w:val="18"/>
              </w:rPr>
              <w:t>10.0</w:t>
            </w:r>
          </w:p>
        </w:tc>
        <w:tc>
          <w:tcPr>
            <w:tcW w:w="1139" w:type="pct"/>
            <w:tcBorders>
              <w:top w:val="single" w:sz="4" w:space="0" w:color="auto"/>
              <w:left w:val="nil"/>
              <w:bottom w:val="nil"/>
              <w:right w:val="nil"/>
            </w:tcBorders>
            <w:shd w:val="clear" w:color="auto" w:fill="FFFFFF"/>
          </w:tcPr>
          <w:p w14:paraId="6CD1F082" w14:textId="77777777" w:rsidR="00F42795" w:rsidRPr="009B00B8" w:rsidRDefault="00F42795" w:rsidP="00D95CCF">
            <w:pPr>
              <w:autoSpaceDE w:val="0"/>
              <w:autoSpaceDN w:val="0"/>
              <w:adjustRightInd w:val="0"/>
              <w:ind w:right="60"/>
              <w:jc w:val="center"/>
              <w:rPr>
                <w:sz w:val="18"/>
                <w:szCs w:val="18"/>
              </w:rPr>
            </w:pPr>
            <w:r w:rsidRPr="009B00B8">
              <w:rPr>
                <w:sz w:val="18"/>
                <w:szCs w:val="18"/>
              </w:rPr>
              <w:t>10.0</w:t>
            </w:r>
          </w:p>
        </w:tc>
      </w:tr>
      <w:tr w:rsidR="00F42795" w14:paraId="07EFADB8" w14:textId="77777777" w:rsidTr="00D95CCF">
        <w:trPr>
          <w:cantSplit/>
        </w:trPr>
        <w:tc>
          <w:tcPr>
            <w:tcW w:w="1789" w:type="pct"/>
            <w:vMerge/>
            <w:tcBorders>
              <w:left w:val="nil"/>
              <w:bottom w:val="single" w:sz="4" w:space="0" w:color="auto"/>
              <w:right w:val="nil"/>
            </w:tcBorders>
            <w:shd w:val="clear" w:color="auto" w:fill="FFFFFF"/>
          </w:tcPr>
          <w:p w14:paraId="447F8BBF"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6C20F65A"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Partially met</w:t>
            </w:r>
          </w:p>
        </w:tc>
        <w:tc>
          <w:tcPr>
            <w:tcW w:w="734" w:type="pct"/>
            <w:tcBorders>
              <w:top w:val="nil"/>
              <w:left w:val="nil"/>
              <w:bottom w:val="nil"/>
              <w:right w:val="nil"/>
            </w:tcBorders>
            <w:shd w:val="clear" w:color="auto" w:fill="FFFFFF"/>
          </w:tcPr>
          <w:p w14:paraId="4797BDFA"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53</w:t>
            </w:r>
          </w:p>
        </w:tc>
        <w:tc>
          <w:tcPr>
            <w:tcW w:w="604" w:type="pct"/>
            <w:tcBorders>
              <w:top w:val="nil"/>
              <w:left w:val="nil"/>
              <w:bottom w:val="nil"/>
              <w:right w:val="nil"/>
            </w:tcBorders>
            <w:shd w:val="clear" w:color="auto" w:fill="FFFFFF"/>
          </w:tcPr>
          <w:p w14:paraId="235FED39" w14:textId="77777777" w:rsidR="00F42795" w:rsidRPr="009B00B8" w:rsidRDefault="00F42795" w:rsidP="00D95CCF">
            <w:pPr>
              <w:autoSpaceDE w:val="0"/>
              <w:autoSpaceDN w:val="0"/>
              <w:adjustRightInd w:val="0"/>
              <w:ind w:right="60"/>
              <w:jc w:val="center"/>
              <w:rPr>
                <w:sz w:val="18"/>
                <w:szCs w:val="18"/>
              </w:rPr>
            </w:pPr>
            <w:r w:rsidRPr="009B00B8">
              <w:rPr>
                <w:b/>
                <w:bCs/>
                <w:sz w:val="18"/>
                <w:szCs w:val="18"/>
              </w:rPr>
              <w:t>48.2*</w:t>
            </w:r>
          </w:p>
        </w:tc>
        <w:tc>
          <w:tcPr>
            <w:tcW w:w="1139" w:type="pct"/>
            <w:tcBorders>
              <w:top w:val="nil"/>
              <w:left w:val="nil"/>
              <w:bottom w:val="nil"/>
              <w:right w:val="nil"/>
            </w:tcBorders>
            <w:shd w:val="clear" w:color="auto" w:fill="FFFFFF"/>
          </w:tcPr>
          <w:p w14:paraId="321C6F89" w14:textId="77777777" w:rsidR="00F42795" w:rsidRPr="009B00B8" w:rsidRDefault="00F42795" w:rsidP="00D95CCF">
            <w:pPr>
              <w:autoSpaceDE w:val="0"/>
              <w:autoSpaceDN w:val="0"/>
              <w:adjustRightInd w:val="0"/>
              <w:ind w:right="60"/>
              <w:jc w:val="center"/>
              <w:rPr>
                <w:sz w:val="18"/>
                <w:szCs w:val="18"/>
              </w:rPr>
            </w:pPr>
            <w:r w:rsidRPr="009B00B8">
              <w:rPr>
                <w:sz w:val="18"/>
                <w:szCs w:val="18"/>
              </w:rPr>
              <w:t>58.2</w:t>
            </w:r>
          </w:p>
        </w:tc>
      </w:tr>
      <w:tr w:rsidR="00F42795" w14:paraId="1E915D46" w14:textId="77777777" w:rsidTr="00D95CCF">
        <w:trPr>
          <w:cantSplit/>
        </w:trPr>
        <w:tc>
          <w:tcPr>
            <w:tcW w:w="1789" w:type="pct"/>
            <w:vMerge/>
            <w:tcBorders>
              <w:left w:val="nil"/>
              <w:bottom w:val="single" w:sz="4" w:space="0" w:color="auto"/>
              <w:right w:val="nil"/>
            </w:tcBorders>
            <w:shd w:val="clear" w:color="auto" w:fill="FFFFFF"/>
          </w:tcPr>
          <w:p w14:paraId="10E8223F"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3476796B"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Marginally met</w:t>
            </w:r>
          </w:p>
        </w:tc>
        <w:tc>
          <w:tcPr>
            <w:tcW w:w="734" w:type="pct"/>
            <w:tcBorders>
              <w:top w:val="nil"/>
              <w:left w:val="nil"/>
              <w:bottom w:val="nil"/>
              <w:right w:val="nil"/>
            </w:tcBorders>
            <w:shd w:val="clear" w:color="auto" w:fill="FFFFFF"/>
          </w:tcPr>
          <w:p w14:paraId="401CCFFE"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28</w:t>
            </w:r>
          </w:p>
        </w:tc>
        <w:tc>
          <w:tcPr>
            <w:tcW w:w="604" w:type="pct"/>
            <w:tcBorders>
              <w:top w:val="nil"/>
              <w:left w:val="nil"/>
              <w:bottom w:val="nil"/>
              <w:right w:val="nil"/>
            </w:tcBorders>
            <w:shd w:val="clear" w:color="auto" w:fill="FFFFFF"/>
          </w:tcPr>
          <w:p w14:paraId="2C64201C" w14:textId="77777777" w:rsidR="00F42795" w:rsidRPr="009B00B8" w:rsidRDefault="00F42795" w:rsidP="00D95CCF">
            <w:pPr>
              <w:autoSpaceDE w:val="0"/>
              <w:autoSpaceDN w:val="0"/>
              <w:adjustRightInd w:val="0"/>
              <w:ind w:right="60"/>
              <w:jc w:val="center"/>
              <w:rPr>
                <w:sz w:val="18"/>
                <w:szCs w:val="18"/>
              </w:rPr>
            </w:pPr>
            <w:r w:rsidRPr="009B00B8">
              <w:rPr>
                <w:sz w:val="18"/>
                <w:szCs w:val="18"/>
              </w:rPr>
              <w:t>25.5</w:t>
            </w:r>
          </w:p>
        </w:tc>
        <w:tc>
          <w:tcPr>
            <w:tcW w:w="1139" w:type="pct"/>
            <w:tcBorders>
              <w:top w:val="nil"/>
              <w:left w:val="nil"/>
              <w:bottom w:val="nil"/>
              <w:right w:val="nil"/>
            </w:tcBorders>
            <w:shd w:val="clear" w:color="auto" w:fill="FFFFFF"/>
          </w:tcPr>
          <w:p w14:paraId="1830AE09" w14:textId="77777777" w:rsidR="00F42795" w:rsidRPr="009B00B8" w:rsidRDefault="00F42795" w:rsidP="00D95CCF">
            <w:pPr>
              <w:autoSpaceDE w:val="0"/>
              <w:autoSpaceDN w:val="0"/>
              <w:adjustRightInd w:val="0"/>
              <w:ind w:right="60"/>
              <w:jc w:val="center"/>
              <w:rPr>
                <w:sz w:val="18"/>
                <w:szCs w:val="18"/>
              </w:rPr>
            </w:pPr>
            <w:r w:rsidRPr="009B00B8">
              <w:rPr>
                <w:sz w:val="18"/>
                <w:szCs w:val="18"/>
              </w:rPr>
              <w:t>83.6</w:t>
            </w:r>
          </w:p>
        </w:tc>
      </w:tr>
      <w:tr w:rsidR="00F42795" w14:paraId="422D5372" w14:textId="77777777" w:rsidTr="00D95CCF">
        <w:trPr>
          <w:cantSplit/>
        </w:trPr>
        <w:tc>
          <w:tcPr>
            <w:tcW w:w="1789" w:type="pct"/>
            <w:vMerge/>
            <w:tcBorders>
              <w:left w:val="nil"/>
              <w:bottom w:val="single" w:sz="4" w:space="0" w:color="auto"/>
              <w:right w:val="nil"/>
            </w:tcBorders>
            <w:shd w:val="clear" w:color="auto" w:fill="FFFFFF"/>
          </w:tcPr>
          <w:p w14:paraId="49B3FD47"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19086523"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Poorly met</w:t>
            </w:r>
          </w:p>
        </w:tc>
        <w:tc>
          <w:tcPr>
            <w:tcW w:w="734" w:type="pct"/>
            <w:tcBorders>
              <w:top w:val="nil"/>
              <w:left w:val="nil"/>
              <w:bottom w:val="nil"/>
              <w:right w:val="nil"/>
            </w:tcBorders>
            <w:shd w:val="clear" w:color="auto" w:fill="FFFFFF"/>
          </w:tcPr>
          <w:p w14:paraId="721CA91B"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14</w:t>
            </w:r>
          </w:p>
        </w:tc>
        <w:tc>
          <w:tcPr>
            <w:tcW w:w="604" w:type="pct"/>
            <w:tcBorders>
              <w:top w:val="nil"/>
              <w:left w:val="nil"/>
              <w:bottom w:val="nil"/>
              <w:right w:val="nil"/>
            </w:tcBorders>
            <w:shd w:val="clear" w:color="auto" w:fill="FFFFFF"/>
          </w:tcPr>
          <w:p w14:paraId="50907641" w14:textId="77777777" w:rsidR="00F42795" w:rsidRPr="009B00B8" w:rsidRDefault="00F42795" w:rsidP="00D95CCF">
            <w:pPr>
              <w:autoSpaceDE w:val="0"/>
              <w:autoSpaceDN w:val="0"/>
              <w:adjustRightInd w:val="0"/>
              <w:ind w:right="60"/>
              <w:jc w:val="center"/>
              <w:rPr>
                <w:sz w:val="18"/>
                <w:szCs w:val="18"/>
              </w:rPr>
            </w:pPr>
            <w:r w:rsidRPr="009B00B8">
              <w:rPr>
                <w:sz w:val="18"/>
                <w:szCs w:val="18"/>
              </w:rPr>
              <w:t>12.7</w:t>
            </w:r>
          </w:p>
        </w:tc>
        <w:tc>
          <w:tcPr>
            <w:tcW w:w="1139" w:type="pct"/>
            <w:tcBorders>
              <w:top w:val="nil"/>
              <w:left w:val="nil"/>
              <w:bottom w:val="nil"/>
              <w:right w:val="nil"/>
            </w:tcBorders>
            <w:shd w:val="clear" w:color="auto" w:fill="FFFFFF"/>
          </w:tcPr>
          <w:p w14:paraId="511588C8" w14:textId="77777777" w:rsidR="00F42795" w:rsidRPr="009B00B8" w:rsidRDefault="00F42795" w:rsidP="00D95CCF">
            <w:pPr>
              <w:autoSpaceDE w:val="0"/>
              <w:autoSpaceDN w:val="0"/>
              <w:adjustRightInd w:val="0"/>
              <w:ind w:right="60"/>
              <w:jc w:val="center"/>
              <w:rPr>
                <w:sz w:val="18"/>
                <w:szCs w:val="18"/>
              </w:rPr>
            </w:pPr>
            <w:r w:rsidRPr="009B00B8">
              <w:rPr>
                <w:sz w:val="18"/>
                <w:szCs w:val="18"/>
              </w:rPr>
              <w:t>96.4</w:t>
            </w:r>
          </w:p>
        </w:tc>
      </w:tr>
      <w:tr w:rsidR="00F42795" w14:paraId="13BDE229" w14:textId="77777777" w:rsidTr="00D95CCF">
        <w:trPr>
          <w:cantSplit/>
        </w:trPr>
        <w:tc>
          <w:tcPr>
            <w:tcW w:w="1789" w:type="pct"/>
            <w:vMerge/>
            <w:tcBorders>
              <w:left w:val="nil"/>
              <w:bottom w:val="single" w:sz="4" w:space="0" w:color="auto"/>
              <w:right w:val="nil"/>
            </w:tcBorders>
            <w:shd w:val="clear" w:color="auto" w:fill="FFFFFF"/>
          </w:tcPr>
          <w:p w14:paraId="5FE720BE"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40DFFB2E"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No opinion</w:t>
            </w:r>
          </w:p>
        </w:tc>
        <w:tc>
          <w:tcPr>
            <w:tcW w:w="734" w:type="pct"/>
            <w:tcBorders>
              <w:top w:val="nil"/>
              <w:left w:val="nil"/>
              <w:bottom w:val="single" w:sz="4" w:space="0" w:color="auto"/>
              <w:right w:val="nil"/>
            </w:tcBorders>
            <w:shd w:val="clear" w:color="auto" w:fill="FFFFFF"/>
          </w:tcPr>
          <w:p w14:paraId="6BB3EB99" w14:textId="77777777" w:rsidR="00F42795" w:rsidRPr="009B00B8" w:rsidRDefault="00F42795" w:rsidP="00D95CCF">
            <w:pPr>
              <w:autoSpaceDE w:val="0"/>
              <w:autoSpaceDN w:val="0"/>
              <w:adjustRightInd w:val="0"/>
              <w:ind w:right="60"/>
              <w:jc w:val="center"/>
              <w:rPr>
                <w:color w:val="000000"/>
                <w:sz w:val="18"/>
                <w:szCs w:val="18"/>
              </w:rPr>
            </w:pPr>
            <w:r w:rsidRPr="009B00B8">
              <w:rPr>
                <w:sz w:val="18"/>
                <w:szCs w:val="18"/>
              </w:rPr>
              <w:t>4</w:t>
            </w:r>
          </w:p>
        </w:tc>
        <w:tc>
          <w:tcPr>
            <w:tcW w:w="604" w:type="pct"/>
            <w:tcBorders>
              <w:top w:val="nil"/>
              <w:left w:val="nil"/>
              <w:bottom w:val="single" w:sz="4" w:space="0" w:color="auto"/>
              <w:right w:val="nil"/>
            </w:tcBorders>
            <w:shd w:val="clear" w:color="auto" w:fill="FFFFFF"/>
          </w:tcPr>
          <w:p w14:paraId="70624F41" w14:textId="77777777" w:rsidR="00F42795" w:rsidRPr="009B00B8" w:rsidRDefault="00F42795" w:rsidP="00D95CCF">
            <w:pPr>
              <w:autoSpaceDE w:val="0"/>
              <w:autoSpaceDN w:val="0"/>
              <w:adjustRightInd w:val="0"/>
              <w:ind w:right="60"/>
              <w:jc w:val="center"/>
              <w:rPr>
                <w:sz w:val="18"/>
                <w:szCs w:val="18"/>
              </w:rPr>
            </w:pPr>
            <w:r w:rsidRPr="009B00B8">
              <w:rPr>
                <w:sz w:val="18"/>
                <w:szCs w:val="18"/>
              </w:rPr>
              <w:t>3.6</w:t>
            </w:r>
          </w:p>
        </w:tc>
        <w:tc>
          <w:tcPr>
            <w:tcW w:w="1139" w:type="pct"/>
            <w:tcBorders>
              <w:top w:val="nil"/>
              <w:left w:val="nil"/>
              <w:bottom w:val="single" w:sz="4" w:space="0" w:color="auto"/>
              <w:right w:val="nil"/>
            </w:tcBorders>
            <w:shd w:val="clear" w:color="auto" w:fill="FFFFFF"/>
          </w:tcPr>
          <w:p w14:paraId="0687686D" w14:textId="77777777" w:rsidR="00F42795" w:rsidRPr="009B00B8" w:rsidRDefault="00F42795" w:rsidP="00D95CCF">
            <w:pPr>
              <w:autoSpaceDE w:val="0"/>
              <w:autoSpaceDN w:val="0"/>
              <w:adjustRightInd w:val="0"/>
              <w:ind w:right="60"/>
              <w:jc w:val="center"/>
              <w:rPr>
                <w:sz w:val="18"/>
                <w:szCs w:val="18"/>
              </w:rPr>
            </w:pPr>
            <w:r w:rsidRPr="009B00B8">
              <w:rPr>
                <w:sz w:val="18"/>
                <w:szCs w:val="18"/>
              </w:rPr>
              <w:t>100.0</w:t>
            </w:r>
          </w:p>
        </w:tc>
      </w:tr>
      <w:tr w:rsidR="00F42795" w14:paraId="7924DFB4" w14:textId="77777777" w:rsidTr="00D95CCF">
        <w:trPr>
          <w:cantSplit/>
        </w:trPr>
        <w:tc>
          <w:tcPr>
            <w:tcW w:w="1789" w:type="pct"/>
            <w:vMerge w:val="restart"/>
            <w:tcBorders>
              <w:left w:val="nil"/>
              <w:bottom w:val="single" w:sz="4" w:space="0" w:color="auto"/>
              <w:right w:val="nil"/>
            </w:tcBorders>
            <w:shd w:val="clear" w:color="auto" w:fill="FFFFFF"/>
          </w:tcPr>
          <w:p w14:paraId="7699FA16" w14:textId="77777777" w:rsidR="00F42795" w:rsidRPr="009B00B8" w:rsidRDefault="00F42795" w:rsidP="00D95CCF">
            <w:pPr>
              <w:autoSpaceDE w:val="0"/>
              <w:autoSpaceDN w:val="0"/>
              <w:adjustRightInd w:val="0"/>
              <w:ind w:right="60"/>
              <w:rPr>
                <w:rFonts w:eastAsiaTheme="minorHAnsi"/>
                <w:color w:val="000000"/>
                <w:sz w:val="18"/>
                <w:szCs w:val="18"/>
                <w:lang w:val="en-US"/>
              </w:rPr>
            </w:pPr>
            <w:r w:rsidRPr="009B00B8">
              <w:rPr>
                <w:rFonts w:eastAsiaTheme="minorHAnsi"/>
                <w:color w:val="000000"/>
                <w:sz w:val="18"/>
                <w:szCs w:val="18"/>
                <w:lang w:val="en-US"/>
              </w:rPr>
              <w:t>Equity</w:t>
            </w:r>
          </w:p>
          <w:p w14:paraId="0C1C0ADE" w14:textId="77777777" w:rsidR="00F42795" w:rsidRPr="009B00B8" w:rsidRDefault="00F42795" w:rsidP="00D95CCF">
            <w:pPr>
              <w:autoSpaceDE w:val="0"/>
              <w:autoSpaceDN w:val="0"/>
              <w:adjustRightInd w:val="0"/>
              <w:ind w:right="60"/>
              <w:rPr>
                <w:rFonts w:eastAsiaTheme="minorHAnsi"/>
                <w:color w:val="000000"/>
                <w:sz w:val="18"/>
                <w:szCs w:val="18"/>
                <w:lang w:val="en-US"/>
              </w:rPr>
            </w:pPr>
          </w:p>
          <w:p w14:paraId="2AD99747" w14:textId="4B8A964E" w:rsidR="00F42795" w:rsidRPr="009B00B8" w:rsidRDefault="00F42795" w:rsidP="00D95CCF">
            <w:pPr>
              <w:autoSpaceDE w:val="0"/>
              <w:autoSpaceDN w:val="0"/>
              <w:adjustRightInd w:val="0"/>
              <w:ind w:right="60"/>
              <w:rPr>
                <w:color w:val="000000"/>
                <w:sz w:val="18"/>
                <w:szCs w:val="18"/>
              </w:rPr>
            </w:pPr>
            <w:r w:rsidRPr="009B00B8">
              <w:rPr>
                <w:i/>
                <w:iCs/>
                <w:sz w:val="18"/>
                <w:szCs w:val="18"/>
              </w:rPr>
              <w:t>(N=107)</w:t>
            </w:r>
          </w:p>
          <w:p w14:paraId="788D5435" w14:textId="77777777" w:rsidR="00F42795" w:rsidRPr="009B00B8" w:rsidRDefault="00F42795" w:rsidP="00D95CCF">
            <w:pPr>
              <w:pStyle w:val="Default"/>
              <w:rPr>
                <w:sz w:val="18"/>
                <w:szCs w:val="18"/>
              </w:rPr>
            </w:pPr>
          </w:p>
        </w:tc>
        <w:tc>
          <w:tcPr>
            <w:tcW w:w="734" w:type="pct"/>
            <w:tcBorders>
              <w:top w:val="single" w:sz="4" w:space="0" w:color="auto"/>
              <w:left w:val="nil"/>
              <w:bottom w:val="nil"/>
              <w:right w:val="nil"/>
            </w:tcBorders>
            <w:shd w:val="clear" w:color="auto" w:fill="FFFFFF"/>
          </w:tcPr>
          <w:p w14:paraId="60E47827" w14:textId="77777777" w:rsidR="00F42795" w:rsidRPr="009B00B8" w:rsidRDefault="00F42795" w:rsidP="00D95CCF">
            <w:pPr>
              <w:rPr>
                <w:rFonts w:eastAsiaTheme="minorHAnsi"/>
                <w:color w:val="000000"/>
                <w:sz w:val="18"/>
                <w:szCs w:val="18"/>
                <w:lang w:val="en-US"/>
              </w:rPr>
            </w:pPr>
            <w:r w:rsidRPr="009B00B8">
              <w:rPr>
                <w:rFonts w:eastAsiaTheme="minorHAnsi"/>
                <w:color w:val="000000"/>
                <w:sz w:val="18"/>
                <w:szCs w:val="18"/>
                <w:lang w:val="en-US"/>
              </w:rPr>
              <w:t>Fully met</w:t>
            </w:r>
          </w:p>
        </w:tc>
        <w:tc>
          <w:tcPr>
            <w:tcW w:w="734" w:type="pct"/>
            <w:tcBorders>
              <w:top w:val="single" w:sz="4" w:space="0" w:color="auto"/>
              <w:left w:val="nil"/>
              <w:bottom w:val="nil"/>
              <w:right w:val="nil"/>
            </w:tcBorders>
            <w:shd w:val="clear" w:color="auto" w:fill="FFFFFF"/>
          </w:tcPr>
          <w:p w14:paraId="37E25699"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16</w:t>
            </w:r>
          </w:p>
        </w:tc>
        <w:tc>
          <w:tcPr>
            <w:tcW w:w="604" w:type="pct"/>
            <w:tcBorders>
              <w:top w:val="single" w:sz="4" w:space="0" w:color="auto"/>
              <w:left w:val="nil"/>
              <w:bottom w:val="nil"/>
              <w:right w:val="nil"/>
            </w:tcBorders>
            <w:shd w:val="clear" w:color="auto" w:fill="FFFFFF"/>
          </w:tcPr>
          <w:p w14:paraId="0120EAAD" w14:textId="77777777" w:rsidR="00F42795" w:rsidRPr="009B00B8" w:rsidRDefault="00F42795" w:rsidP="00D95CCF">
            <w:pPr>
              <w:autoSpaceDE w:val="0"/>
              <w:autoSpaceDN w:val="0"/>
              <w:adjustRightInd w:val="0"/>
              <w:ind w:right="60"/>
              <w:jc w:val="center"/>
              <w:rPr>
                <w:sz w:val="18"/>
                <w:szCs w:val="18"/>
              </w:rPr>
            </w:pPr>
            <w:r w:rsidRPr="009B00B8">
              <w:rPr>
                <w:sz w:val="18"/>
                <w:szCs w:val="18"/>
              </w:rPr>
              <w:t>14.5</w:t>
            </w:r>
          </w:p>
        </w:tc>
        <w:tc>
          <w:tcPr>
            <w:tcW w:w="1139" w:type="pct"/>
            <w:tcBorders>
              <w:top w:val="single" w:sz="4" w:space="0" w:color="auto"/>
              <w:left w:val="nil"/>
              <w:bottom w:val="nil"/>
              <w:right w:val="nil"/>
            </w:tcBorders>
            <w:shd w:val="clear" w:color="auto" w:fill="FFFFFF"/>
          </w:tcPr>
          <w:p w14:paraId="66D7A013" w14:textId="77777777" w:rsidR="00F42795" w:rsidRPr="009B00B8" w:rsidRDefault="00F42795" w:rsidP="00D95CCF">
            <w:pPr>
              <w:autoSpaceDE w:val="0"/>
              <w:autoSpaceDN w:val="0"/>
              <w:adjustRightInd w:val="0"/>
              <w:ind w:right="60"/>
              <w:jc w:val="center"/>
              <w:rPr>
                <w:sz w:val="18"/>
                <w:szCs w:val="18"/>
              </w:rPr>
            </w:pPr>
            <w:r w:rsidRPr="009B00B8">
              <w:rPr>
                <w:sz w:val="18"/>
                <w:szCs w:val="18"/>
              </w:rPr>
              <w:t>14.5</w:t>
            </w:r>
          </w:p>
        </w:tc>
      </w:tr>
      <w:tr w:rsidR="00F42795" w14:paraId="427FD435" w14:textId="77777777" w:rsidTr="00D95CCF">
        <w:trPr>
          <w:cantSplit/>
        </w:trPr>
        <w:tc>
          <w:tcPr>
            <w:tcW w:w="1789" w:type="pct"/>
            <w:vMerge/>
            <w:tcBorders>
              <w:left w:val="nil"/>
              <w:bottom w:val="single" w:sz="4" w:space="0" w:color="auto"/>
              <w:right w:val="nil"/>
            </w:tcBorders>
            <w:shd w:val="clear" w:color="auto" w:fill="FFFFFF"/>
          </w:tcPr>
          <w:p w14:paraId="16A6E9CA"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1C63A55B" w14:textId="77777777" w:rsidR="00F42795" w:rsidRPr="009B00B8" w:rsidRDefault="00F42795" w:rsidP="00D95CCF">
            <w:pPr>
              <w:rPr>
                <w:rFonts w:eastAsiaTheme="minorHAnsi"/>
                <w:color w:val="000000"/>
                <w:sz w:val="18"/>
                <w:szCs w:val="18"/>
                <w:lang w:val="en-US"/>
              </w:rPr>
            </w:pPr>
            <w:r w:rsidRPr="009B00B8">
              <w:rPr>
                <w:rFonts w:eastAsiaTheme="minorHAnsi"/>
                <w:color w:val="000000"/>
                <w:sz w:val="18"/>
                <w:szCs w:val="18"/>
                <w:lang w:val="en-US"/>
              </w:rPr>
              <w:t>Partially met</w:t>
            </w:r>
          </w:p>
        </w:tc>
        <w:tc>
          <w:tcPr>
            <w:tcW w:w="734" w:type="pct"/>
            <w:tcBorders>
              <w:top w:val="nil"/>
              <w:left w:val="nil"/>
              <w:bottom w:val="nil"/>
              <w:right w:val="nil"/>
            </w:tcBorders>
            <w:shd w:val="clear" w:color="auto" w:fill="FFFFFF"/>
          </w:tcPr>
          <w:p w14:paraId="35CB45A9"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43</w:t>
            </w:r>
          </w:p>
        </w:tc>
        <w:tc>
          <w:tcPr>
            <w:tcW w:w="604" w:type="pct"/>
            <w:tcBorders>
              <w:top w:val="nil"/>
              <w:left w:val="nil"/>
              <w:bottom w:val="nil"/>
              <w:right w:val="nil"/>
            </w:tcBorders>
            <w:shd w:val="clear" w:color="auto" w:fill="FFFFFF"/>
          </w:tcPr>
          <w:p w14:paraId="523C47AC" w14:textId="77777777" w:rsidR="00F42795" w:rsidRPr="009B00B8" w:rsidRDefault="00F42795" w:rsidP="00D95CCF">
            <w:pPr>
              <w:autoSpaceDE w:val="0"/>
              <w:autoSpaceDN w:val="0"/>
              <w:adjustRightInd w:val="0"/>
              <w:ind w:right="60"/>
              <w:jc w:val="center"/>
              <w:rPr>
                <w:b/>
                <w:bCs/>
                <w:sz w:val="18"/>
                <w:szCs w:val="18"/>
              </w:rPr>
            </w:pPr>
            <w:r w:rsidRPr="009B00B8">
              <w:rPr>
                <w:b/>
                <w:bCs/>
                <w:sz w:val="18"/>
                <w:szCs w:val="18"/>
              </w:rPr>
              <w:t>39.1*</w:t>
            </w:r>
          </w:p>
        </w:tc>
        <w:tc>
          <w:tcPr>
            <w:tcW w:w="1139" w:type="pct"/>
            <w:tcBorders>
              <w:top w:val="nil"/>
              <w:left w:val="nil"/>
              <w:bottom w:val="nil"/>
              <w:right w:val="nil"/>
            </w:tcBorders>
            <w:shd w:val="clear" w:color="auto" w:fill="FFFFFF"/>
          </w:tcPr>
          <w:p w14:paraId="6D96852C" w14:textId="77777777" w:rsidR="00F42795" w:rsidRPr="009B00B8" w:rsidRDefault="00F42795" w:rsidP="00D95CCF">
            <w:pPr>
              <w:autoSpaceDE w:val="0"/>
              <w:autoSpaceDN w:val="0"/>
              <w:adjustRightInd w:val="0"/>
              <w:ind w:right="60"/>
              <w:jc w:val="center"/>
              <w:rPr>
                <w:sz w:val="18"/>
                <w:szCs w:val="18"/>
              </w:rPr>
            </w:pPr>
            <w:r w:rsidRPr="009B00B8">
              <w:rPr>
                <w:sz w:val="18"/>
                <w:szCs w:val="18"/>
              </w:rPr>
              <w:t>53.6</w:t>
            </w:r>
          </w:p>
        </w:tc>
      </w:tr>
      <w:tr w:rsidR="00F42795" w14:paraId="276BE598" w14:textId="77777777" w:rsidTr="00D95CCF">
        <w:trPr>
          <w:cantSplit/>
        </w:trPr>
        <w:tc>
          <w:tcPr>
            <w:tcW w:w="1789" w:type="pct"/>
            <w:vMerge/>
            <w:tcBorders>
              <w:left w:val="nil"/>
              <w:bottom w:val="single" w:sz="4" w:space="0" w:color="auto"/>
              <w:right w:val="nil"/>
            </w:tcBorders>
            <w:shd w:val="clear" w:color="auto" w:fill="FFFFFF"/>
          </w:tcPr>
          <w:p w14:paraId="3CFCCC65"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493A220C" w14:textId="77777777" w:rsidR="00F42795" w:rsidRPr="009B00B8" w:rsidRDefault="00F42795" w:rsidP="00D95CCF">
            <w:pPr>
              <w:rPr>
                <w:rFonts w:eastAsiaTheme="minorHAnsi"/>
                <w:color w:val="000000"/>
                <w:sz w:val="18"/>
                <w:szCs w:val="18"/>
                <w:lang w:val="en-US"/>
              </w:rPr>
            </w:pPr>
            <w:r w:rsidRPr="009B00B8">
              <w:rPr>
                <w:rFonts w:eastAsiaTheme="minorHAnsi"/>
                <w:color w:val="000000"/>
                <w:sz w:val="18"/>
                <w:szCs w:val="18"/>
                <w:lang w:val="en-US"/>
              </w:rPr>
              <w:t>Marginally met</w:t>
            </w:r>
          </w:p>
        </w:tc>
        <w:tc>
          <w:tcPr>
            <w:tcW w:w="734" w:type="pct"/>
            <w:tcBorders>
              <w:top w:val="nil"/>
              <w:left w:val="nil"/>
              <w:bottom w:val="nil"/>
              <w:right w:val="nil"/>
            </w:tcBorders>
            <w:shd w:val="clear" w:color="auto" w:fill="FFFFFF"/>
          </w:tcPr>
          <w:p w14:paraId="5638FAA7"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29</w:t>
            </w:r>
          </w:p>
        </w:tc>
        <w:tc>
          <w:tcPr>
            <w:tcW w:w="604" w:type="pct"/>
            <w:tcBorders>
              <w:top w:val="nil"/>
              <w:left w:val="nil"/>
              <w:bottom w:val="nil"/>
              <w:right w:val="nil"/>
            </w:tcBorders>
            <w:shd w:val="clear" w:color="auto" w:fill="FFFFFF"/>
          </w:tcPr>
          <w:p w14:paraId="62F4BFC4" w14:textId="77777777" w:rsidR="00F42795" w:rsidRPr="009B00B8" w:rsidRDefault="00F42795" w:rsidP="00D95CCF">
            <w:pPr>
              <w:autoSpaceDE w:val="0"/>
              <w:autoSpaceDN w:val="0"/>
              <w:adjustRightInd w:val="0"/>
              <w:ind w:right="60"/>
              <w:jc w:val="center"/>
              <w:rPr>
                <w:sz w:val="18"/>
                <w:szCs w:val="18"/>
              </w:rPr>
            </w:pPr>
            <w:r w:rsidRPr="009B00B8">
              <w:rPr>
                <w:sz w:val="18"/>
                <w:szCs w:val="18"/>
              </w:rPr>
              <w:t>26.4</w:t>
            </w:r>
          </w:p>
        </w:tc>
        <w:tc>
          <w:tcPr>
            <w:tcW w:w="1139" w:type="pct"/>
            <w:tcBorders>
              <w:top w:val="nil"/>
              <w:left w:val="nil"/>
              <w:bottom w:val="nil"/>
              <w:right w:val="nil"/>
            </w:tcBorders>
            <w:shd w:val="clear" w:color="auto" w:fill="FFFFFF"/>
          </w:tcPr>
          <w:p w14:paraId="626DC002" w14:textId="77777777" w:rsidR="00F42795" w:rsidRPr="009B00B8" w:rsidRDefault="00F42795" w:rsidP="00D95CCF">
            <w:pPr>
              <w:autoSpaceDE w:val="0"/>
              <w:autoSpaceDN w:val="0"/>
              <w:adjustRightInd w:val="0"/>
              <w:ind w:right="60"/>
              <w:jc w:val="center"/>
              <w:rPr>
                <w:sz w:val="18"/>
                <w:szCs w:val="18"/>
              </w:rPr>
            </w:pPr>
            <w:r w:rsidRPr="009B00B8">
              <w:rPr>
                <w:sz w:val="18"/>
                <w:szCs w:val="18"/>
              </w:rPr>
              <w:t>80.0</w:t>
            </w:r>
          </w:p>
        </w:tc>
      </w:tr>
      <w:tr w:rsidR="00F42795" w14:paraId="45F99A66" w14:textId="77777777" w:rsidTr="00D95CCF">
        <w:trPr>
          <w:cantSplit/>
        </w:trPr>
        <w:tc>
          <w:tcPr>
            <w:tcW w:w="1789" w:type="pct"/>
            <w:vMerge/>
            <w:tcBorders>
              <w:left w:val="nil"/>
              <w:bottom w:val="single" w:sz="4" w:space="0" w:color="auto"/>
              <w:right w:val="nil"/>
            </w:tcBorders>
            <w:shd w:val="clear" w:color="auto" w:fill="FFFFFF"/>
          </w:tcPr>
          <w:p w14:paraId="7153BC07"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34614125" w14:textId="77777777" w:rsidR="00F42795" w:rsidRPr="009B00B8" w:rsidRDefault="00F42795" w:rsidP="00D95CCF">
            <w:pPr>
              <w:rPr>
                <w:rFonts w:eastAsiaTheme="minorHAnsi"/>
                <w:color w:val="000000"/>
                <w:sz w:val="18"/>
                <w:szCs w:val="18"/>
                <w:lang w:val="en-US"/>
              </w:rPr>
            </w:pPr>
            <w:r w:rsidRPr="009B00B8">
              <w:rPr>
                <w:rFonts w:eastAsiaTheme="minorHAnsi"/>
                <w:color w:val="000000"/>
                <w:sz w:val="18"/>
                <w:szCs w:val="18"/>
                <w:lang w:val="en-US"/>
              </w:rPr>
              <w:t>Poorly met</w:t>
            </w:r>
          </w:p>
        </w:tc>
        <w:tc>
          <w:tcPr>
            <w:tcW w:w="734" w:type="pct"/>
            <w:tcBorders>
              <w:top w:val="nil"/>
              <w:left w:val="nil"/>
              <w:bottom w:val="nil"/>
              <w:right w:val="nil"/>
            </w:tcBorders>
            <w:shd w:val="clear" w:color="auto" w:fill="FFFFFF"/>
          </w:tcPr>
          <w:p w14:paraId="120CF1CD"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20</w:t>
            </w:r>
          </w:p>
        </w:tc>
        <w:tc>
          <w:tcPr>
            <w:tcW w:w="604" w:type="pct"/>
            <w:tcBorders>
              <w:top w:val="nil"/>
              <w:left w:val="nil"/>
              <w:bottom w:val="nil"/>
              <w:right w:val="nil"/>
            </w:tcBorders>
            <w:shd w:val="clear" w:color="auto" w:fill="FFFFFF"/>
          </w:tcPr>
          <w:p w14:paraId="15A4F248" w14:textId="77777777" w:rsidR="00F42795" w:rsidRPr="009B00B8" w:rsidRDefault="00F42795" w:rsidP="00D95CCF">
            <w:pPr>
              <w:autoSpaceDE w:val="0"/>
              <w:autoSpaceDN w:val="0"/>
              <w:adjustRightInd w:val="0"/>
              <w:ind w:right="60"/>
              <w:jc w:val="center"/>
              <w:rPr>
                <w:sz w:val="18"/>
                <w:szCs w:val="18"/>
              </w:rPr>
            </w:pPr>
            <w:r w:rsidRPr="009B00B8">
              <w:rPr>
                <w:sz w:val="18"/>
                <w:szCs w:val="18"/>
              </w:rPr>
              <w:t>18.2</w:t>
            </w:r>
          </w:p>
        </w:tc>
        <w:tc>
          <w:tcPr>
            <w:tcW w:w="1139" w:type="pct"/>
            <w:tcBorders>
              <w:top w:val="nil"/>
              <w:left w:val="nil"/>
              <w:bottom w:val="nil"/>
              <w:right w:val="nil"/>
            </w:tcBorders>
            <w:shd w:val="clear" w:color="auto" w:fill="FFFFFF"/>
          </w:tcPr>
          <w:p w14:paraId="73EF7F75" w14:textId="77777777" w:rsidR="00F42795" w:rsidRPr="009B00B8" w:rsidRDefault="00F42795" w:rsidP="00D95CCF">
            <w:pPr>
              <w:autoSpaceDE w:val="0"/>
              <w:autoSpaceDN w:val="0"/>
              <w:adjustRightInd w:val="0"/>
              <w:ind w:right="60"/>
              <w:jc w:val="center"/>
              <w:rPr>
                <w:sz w:val="18"/>
                <w:szCs w:val="18"/>
              </w:rPr>
            </w:pPr>
            <w:r w:rsidRPr="009B00B8">
              <w:rPr>
                <w:sz w:val="18"/>
                <w:szCs w:val="18"/>
              </w:rPr>
              <w:t>98.2</w:t>
            </w:r>
          </w:p>
        </w:tc>
      </w:tr>
      <w:tr w:rsidR="00F42795" w14:paraId="3E07793F" w14:textId="77777777" w:rsidTr="00D95CCF">
        <w:trPr>
          <w:cantSplit/>
        </w:trPr>
        <w:tc>
          <w:tcPr>
            <w:tcW w:w="1789" w:type="pct"/>
            <w:vMerge/>
            <w:tcBorders>
              <w:left w:val="nil"/>
              <w:bottom w:val="single" w:sz="4" w:space="0" w:color="auto"/>
              <w:right w:val="nil"/>
            </w:tcBorders>
            <w:shd w:val="clear" w:color="auto" w:fill="FFFFFF"/>
          </w:tcPr>
          <w:p w14:paraId="13A50E4E"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3E22723F" w14:textId="77777777" w:rsidR="00F42795" w:rsidRPr="009B00B8" w:rsidRDefault="00F42795" w:rsidP="00D95CCF">
            <w:pPr>
              <w:rPr>
                <w:rFonts w:eastAsiaTheme="minorHAnsi"/>
                <w:color w:val="000000"/>
                <w:sz w:val="18"/>
                <w:szCs w:val="18"/>
                <w:lang w:val="en-US"/>
              </w:rPr>
            </w:pPr>
            <w:r w:rsidRPr="009B00B8">
              <w:rPr>
                <w:rFonts w:eastAsiaTheme="minorHAnsi"/>
                <w:color w:val="000000"/>
                <w:sz w:val="18"/>
                <w:szCs w:val="18"/>
                <w:lang w:val="en-US"/>
              </w:rPr>
              <w:t>No opinion</w:t>
            </w:r>
          </w:p>
        </w:tc>
        <w:tc>
          <w:tcPr>
            <w:tcW w:w="734" w:type="pct"/>
            <w:tcBorders>
              <w:top w:val="nil"/>
              <w:left w:val="nil"/>
              <w:bottom w:val="single" w:sz="4" w:space="0" w:color="auto"/>
              <w:right w:val="nil"/>
            </w:tcBorders>
            <w:shd w:val="clear" w:color="auto" w:fill="FFFFFF"/>
          </w:tcPr>
          <w:p w14:paraId="4A859F4C"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w:t>
            </w:r>
          </w:p>
        </w:tc>
        <w:tc>
          <w:tcPr>
            <w:tcW w:w="604" w:type="pct"/>
            <w:tcBorders>
              <w:top w:val="nil"/>
              <w:left w:val="nil"/>
              <w:bottom w:val="single" w:sz="4" w:space="0" w:color="auto"/>
              <w:right w:val="nil"/>
            </w:tcBorders>
            <w:shd w:val="clear" w:color="auto" w:fill="FFFFFF"/>
          </w:tcPr>
          <w:p w14:paraId="033CFA3C" w14:textId="77777777" w:rsidR="00F42795" w:rsidRPr="009B00B8" w:rsidRDefault="00F42795" w:rsidP="00D95CCF">
            <w:pPr>
              <w:autoSpaceDE w:val="0"/>
              <w:autoSpaceDN w:val="0"/>
              <w:adjustRightInd w:val="0"/>
              <w:ind w:right="60"/>
              <w:jc w:val="center"/>
              <w:rPr>
                <w:sz w:val="18"/>
                <w:szCs w:val="18"/>
              </w:rPr>
            </w:pPr>
            <w:r w:rsidRPr="009B00B8">
              <w:rPr>
                <w:sz w:val="18"/>
                <w:szCs w:val="18"/>
              </w:rPr>
              <w:t>1.8</w:t>
            </w:r>
          </w:p>
        </w:tc>
        <w:tc>
          <w:tcPr>
            <w:tcW w:w="1139" w:type="pct"/>
            <w:tcBorders>
              <w:top w:val="nil"/>
              <w:left w:val="nil"/>
              <w:bottom w:val="single" w:sz="4" w:space="0" w:color="auto"/>
              <w:right w:val="nil"/>
            </w:tcBorders>
            <w:shd w:val="clear" w:color="auto" w:fill="FFFFFF"/>
          </w:tcPr>
          <w:p w14:paraId="5558782F" w14:textId="77777777" w:rsidR="00F42795" w:rsidRPr="009B00B8" w:rsidRDefault="00F42795" w:rsidP="00D95CCF">
            <w:pPr>
              <w:autoSpaceDE w:val="0"/>
              <w:autoSpaceDN w:val="0"/>
              <w:adjustRightInd w:val="0"/>
              <w:ind w:right="60"/>
              <w:jc w:val="center"/>
              <w:rPr>
                <w:sz w:val="18"/>
                <w:szCs w:val="18"/>
              </w:rPr>
            </w:pPr>
            <w:r w:rsidRPr="009B00B8">
              <w:rPr>
                <w:sz w:val="18"/>
                <w:szCs w:val="18"/>
              </w:rPr>
              <w:t>100.0</w:t>
            </w:r>
          </w:p>
        </w:tc>
      </w:tr>
      <w:tr w:rsidR="00F42795" w14:paraId="75C1DB24" w14:textId="77777777" w:rsidTr="00D95CCF">
        <w:trPr>
          <w:cantSplit/>
        </w:trPr>
        <w:tc>
          <w:tcPr>
            <w:tcW w:w="1789" w:type="pct"/>
            <w:vMerge w:val="restart"/>
            <w:tcBorders>
              <w:left w:val="nil"/>
              <w:bottom w:val="single" w:sz="4" w:space="0" w:color="auto"/>
              <w:right w:val="nil"/>
            </w:tcBorders>
            <w:shd w:val="clear" w:color="auto" w:fill="FFFFFF"/>
          </w:tcPr>
          <w:p w14:paraId="3FC32C05"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Accountability</w:t>
            </w:r>
          </w:p>
          <w:p w14:paraId="3D7C9641" w14:textId="77777777" w:rsidR="00F42795" w:rsidRPr="009B00B8" w:rsidRDefault="00F42795" w:rsidP="00D95CCF">
            <w:pPr>
              <w:autoSpaceDE w:val="0"/>
              <w:autoSpaceDN w:val="0"/>
              <w:adjustRightInd w:val="0"/>
              <w:ind w:right="60"/>
              <w:rPr>
                <w:rFonts w:eastAsiaTheme="minorHAnsi"/>
                <w:color w:val="000000"/>
                <w:sz w:val="18"/>
                <w:szCs w:val="18"/>
                <w:lang w:val="en-US"/>
              </w:rPr>
            </w:pPr>
          </w:p>
          <w:p w14:paraId="6F9D1EAA" w14:textId="77777777" w:rsidR="00F42795" w:rsidRPr="009B00B8" w:rsidRDefault="00F42795" w:rsidP="00D95CCF">
            <w:pPr>
              <w:autoSpaceDE w:val="0"/>
              <w:autoSpaceDN w:val="0"/>
              <w:adjustRightInd w:val="0"/>
              <w:ind w:right="60"/>
              <w:rPr>
                <w:color w:val="000000"/>
                <w:sz w:val="18"/>
                <w:szCs w:val="18"/>
              </w:rPr>
            </w:pPr>
            <w:r w:rsidRPr="009B00B8">
              <w:rPr>
                <w:i/>
                <w:iCs/>
                <w:sz w:val="18"/>
                <w:szCs w:val="18"/>
              </w:rPr>
              <w:t>(N=110)</w:t>
            </w:r>
          </w:p>
          <w:p w14:paraId="79AE64E7" w14:textId="77777777" w:rsidR="00F42795" w:rsidRPr="009B00B8" w:rsidRDefault="00F42795" w:rsidP="00D95CCF">
            <w:pPr>
              <w:pStyle w:val="Default"/>
              <w:rPr>
                <w:sz w:val="18"/>
                <w:szCs w:val="18"/>
              </w:rPr>
            </w:pPr>
          </w:p>
        </w:tc>
        <w:tc>
          <w:tcPr>
            <w:tcW w:w="734" w:type="pct"/>
            <w:tcBorders>
              <w:top w:val="single" w:sz="4" w:space="0" w:color="auto"/>
              <w:left w:val="nil"/>
              <w:bottom w:val="nil"/>
              <w:right w:val="nil"/>
            </w:tcBorders>
            <w:shd w:val="clear" w:color="auto" w:fill="FFFFFF"/>
          </w:tcPr>
          <w:p w14:paraId="3261E994" w14:textId="77777777" w:rsidR="00F42795" w:rsidRPr="009B00B8" w:rsidRDefault="00F42795" w:rsidP="00D95CCF">
            <w:pPr>
              <w:autoSpaceDE w:val="0"/>
              <w:autoSpaceDN w:val="0"/>
              <w:adjustRightInd w:val="0"/>
              <w:ind w:right="60"/>
              <w:rPr>
                <w:rFonts w:eastAsiaTheme="minorHAnsi"/>
                <w:color w:val="000000"/>
                <w:sz w:val="18"/>
                <w:szCs w:val="18"/>
                <w:lang w:val="en-US"/>
              </w:rPr>
            </w:pPr>
            <w:r w:rsidRPr="009B00B8">
              <w:rPr>
                <w:rFonts w:eastAsiaTheme="minorHAnsi"/>
                <w:color w:val="000000"/>
                <w:sz w:val="18"/>
                <w:szCs w:val="18"/>
                <w:lang w:val="en-US"/>
              </w:rPr>
              <w:t>Fully met</w:t>
            </w:r>
          </w:p>
        </w:tc>
        <w:tc>
          <w:tcPr>
            <w:tcW w:w="734" w:type="pct"/>
            <w:tcBorders>
              <w:top w:val="single" w:sz="4" w:space="0" w:color="auto"/>
              <w:left w:val="nil"/>
              <w:bottom w:val="nil"/>
              <w:right w:val="nil"/>
            </w:tcBorders>
            <w:shd w:val="clear" w:color="auto" w:fill="FFFFFF"/>
          </w:tcPr>
          <w:p w14:paraId="714AAFC0" w14:textId="77777777" w:rsidR="00F42795" w:rsidRPr="009B00B8" w:rsidRDefault="00F42795" w:rsidP="00D95CCF">
            <w:pPr>
              <w:jc w:val="center"/>
              <w:rPr>
                <w:rFonts w:eastAsiaTheme="minorHAnsi"/>
                <w:color w:val="000000"/>
                <w:sz w:val="18"/>
                <w:szCs w:val="18"/>
                <w:lang w:val="en-US"/>
              </w:rPr>
            </w:pPr>
            <w:r w:rsidRPr="009B00B8">
              <w:rPr>
                <w:sz w:val="18"/>
                <w:szCs w:val="18"/>
              </w:rPr>
              <w:t>13</w:t>
            </w:r>
          </w:p>
        </w:tc>
        <w:tc>
          <w:tcPr>
            <w:tcW w:w="604" w:type="pct"/>
            <w:tcBorders>
              <w:top w:val="single" w:sz="4" w:space="0" w:color="auto"/>
              <w:left w:val="nil"/>
              <w:bottom w:val="nil"/>
              <w:right w:val="nil"/>
            </w:tcBorders>
            <w:shd w:val="clear" w:color="auto" w:fill="FFFFFF"/>
          </w:tcPr>
          <w:p w14:paraId="5945428C"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11.8</w:t>
            </w:r>
          </w:p>
        </w:tc>
        <w:tc>
          <w:tcPr>
            <w:tcW w:w="1139" w:type="pct"/>
            <w:tcBorders>
              <w:top w:val="single" w:sz="4" w:space="0" w:color="auto"/>
              <w:left w:val="nil"/>
              <w:bottom w:val="nil"/>
              <w:right w:val="nil"/>
            </w:tcBorders>
            <w:shd w:val="clear" w:color="auto" w:fill="FFFFFF"/>
          </w:tcPr>
          <w:p w14:paraId="5116E0FB" w14:textId="77777777" w:rsidR="00F42795" w:rsidRPr="009B00B8" w:rsidRDefault="00F42795" w:rsidP="00D95CCF">
            <w:pPr>
              <w:autoSpaceDE w:val="0"/>
              <w:autoSpaceDN w:val="0"/>
              <w:adjustRightInd w:val="0"/>
              <w:ind w:right="60"/>
              <w:jc w:val="center"/>
              <w:rPr>
                <w:sz w:val="18"/>
                <w:szCs w:val="18"/>
              </w:rPr>
            </w:pPr>
            <w:r w:rsidRPr="009B00B8">
              <w:rPr>
                <w:sz w:val="18"/>
                <w:szCs w:val="18"/>
              </w:rPr>
              <w:t>11.8</w:t>
            </w:r>
          </w:p>
        </w:tc>
      </w:tr>
      <w:tr w:rsidR="00F42795" w14:paraId="20AA07B3" w14:textId="77777777" w:rsidTr="00D95CCF">
        <w:trPr>
          <w:cantSplit/>
        </w:trPr>
        <w:tc>
          <w:tcPr>
            <w:tcW w:w="1789" w:type="pct"/>
            <w:vMerge/>
            <w:tcBorders>
              <w:left w:val="nil"/>
              <w:bottom w:val="single" w:sz="4" w:space="0" w:color="auto"/>
              <w:right w:val="nil"/>
            </w:tcBorders>
            <w:shd w:val="clear" w:color="auto" w:fill="FFFFFF"/>
          </w:tcPr>
          <w:p w14:paraId="2900EBBE"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23608EA6" w14:textId="77777777" w:rsidR="00F42795" w:rsidRPr="009B00B8" w:rsidRDefault="00F42795" w:rsidP="00D95CCF">
            <w:pPr>
              <w:autoSpaceDE w:val="0"/>
              <w:autoSpaceDN w:val="0"/>
              <w:adjustRightInd w:val="0"/>
              <w:ind w:right="60"/>
              <w:rPr>
                <w:rFonts w:eastAsiaTheme="minorHAnsi"/>
                <w:color w:val="000000"/>
                <w:sz w:val="18"/>
                <w:szCs w:val="18"/>
                <w:lang w:val="en-US"/>
              </w:rPr>
            </w:pPr>
            <w:r w:rsidRPr="009B00B8">
              <w:rPr>
                <w:rFonts w:eastAsiaTheme="minorHAnsi"/>
                <w:color w:val="000000"/>
                <w:sz w:val="18"/>
                <w:szCs w:val="18"/>
                <w:lang w:val="en-US"/>
              </w:rPr>
              <w:t>Partially met</w:t>
            </w:r>
          </w:p>
        </w:tc>
        <w:tc>
          <w:tcPr>
            <w:tcW w:w="734" w:type="pct"/>
            <w:tcBorders>
              <w:top w:val="nil"/>
              <w:left w:val="nil"/>
              <w:bottom w:val="nil"/>
              <w:right w:val="nil"/>
            </w:tcBorders>
            <w:shd w:val="clear" w:color="auto" w:fill="FFFFFF"/>
          </w:tcPr>
          <w:p w14:paraId="4A4D39BD" w14:textId="77777777" w:rsidR="00F42795" w:rsidRPr="009B00B8" w:rsidRDefault="00F42795" w:rsidP="00D95CCF">
            <w:pPr>
              <w:jc w:val="center"/>
              <w:rPr>
                <w:rFonts w:eastAsiaTheme="minorHAnsi"/>
                <w:color w:val="000000"/>
                <w:sz w:val="18"/>
                <w:szCs w:val="18"/>
                <w:lang w:val="en-US"/>
              </w:rPr>
            </w:pPr>
            <w:r w:rsidRPr="009B00B8">
              <w:rPr>
                <w:sz w:val="18"/>
                <w:szCs w:val="18"/>
              </w:rPr>
              <w:t>33</w:t>
            </w:r>
          </w:p>
        </w:tc>
        <w:tc>
          <w:tcPr>
            <w:tcW w:w="604" w:type="pct"/>
            <w:tcBorders>
              <w:top w:val="nil"/>
              <w:left w:val="nil"/>
              <w:bottom w:val="nil"/>
              <w:right w:val="nil"/>
            </w:tcBorders>
            <w:shd w:val="clear" w:color="auto" w:fill="FFFFFF"/>
          </w:tcPr>
          <w:p w14:paraId="0FACF3C9" w14:textId="77777777" w:rsidR="00F42795" w:rsidRPr="009B00B8" w:rsidRDefault="00F42795" w:rsidP="00D95CCF">
            <w:pPr>
              <w:pStyle w:val="Default"/>
              <w:jc w:val="center"/>
              <w:rPr>
                <w:rFonts w:ascii="Times New Roman" w:hAnsi="Times New Roman" w:cs="Times New Roman"/>
                <w:b/>
                <w:bCs/>
                <w:sz w:val="18"/>
                <w:szCs w:val="18"/>
              </w:rPr>
            </w:pPr>
            <w:r w:rsidRPr="009B00B8">
              <w:rPr>
                <w:rFonts w:ascii="Times New Roman" w:hAnsi="Times New Roman" w:cs="Times New Roman"/>
                <w:b/>
                <w:bCs/>
                <w:sz w:val="18"/>
                <w:szCs w:val="18"/>
              </w:rPr>
              <w:t>30.0*</w:t>
            </w:r>
          </w:p>
        </w:tc>
        <w:tc>
          <w:tcPr>
            <w:tcW w:w="1139" w:type="pct"/>
            <w:tcBorders>
              <w:top w:val="nil"/>
              <w:left w:val="nil"/>
              <w:bottom w:val="nil"/>
              <w:right w:val="nil"/>
            </w:tcBorders>
            <w:shd w:val="clear" w:color="auto" w:fill="FFFFFF"/>
          </w:tcPr>
          <w:p w14:paraId="79111D9D" w14:textId="77777777" w:rsidR="00F42795" w:rsidRPr="009B00B8" w:rsidRDefault="00F42795" w:rsidP="00D95CCF">
            <w:pPr>
              <w:autoSpaceDE w:val="0"/>
              <w:autoSpaceDN w:val="0"/>
              <w:adjustRightInd w:val="0"/>
              <w:ind w:right="60"/>
              <w:jc w:val="center"/>
              <w:rPr>
                <w:sz w:val="18"/>
                <w:szCs w:val="18"/>
              </w:rPr>
            </w:pPr>
            <w:r w:rsidRPr="009B00B8">
              <w:rPr>
                <w:sz w:val="18"/>
                <w:szCs w:val="18"/>
              </w:rPr>
              <w:t>41.8</w:t>
            </w:r>
          </w:p>
        </w:tc>
      </w:tr>
      <w:tr w:rsidR="00F42795" w14:paraId="0E79DF81" w14:textId="77777777" w:rsidTr="00D95CCF">
        <w:trPr>
          <w:cantSplit/>
        </w:trPr>
        <w:tc>
          <w:tcPr>
            <w:tcW w:w="1789" w:type="pct"/>
            <w:vMerge/>
            <w:tcBorders>
              <w:left w:val="nil"/>
              <w:bottom w:val="single" w:sz="4" w:space="0" w:color="auto"/>
              <w:right w:val="nil"/>
            </w:tcBorders>
            <w:shd w:val="clear" w:color="auto" w:fill="FFFFFF"/>
          </w:tcPr>
          <w:p w14:paraId="35F614A7"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3C830E1B" w14:textId="77777777" w:rsidR="00F42795" w:rsidRPr="009B00B8" w:rsidRDefault="00F42795" w:rsidP="00D95CCF">
            <w:pPr>
              <w:autoSpaceDE w:val="0"/>
              <w:autoSpaceDN w:val="0"/>
              <w:adjustRightInd w:val="0"/>
              <w:ind w:right="60"/>
              <w:rPr>
                <w:rFonts w:eastAsiaTheme="minorHAnsi"/>
                <w:color w:val="000000"/>
                <w:sz w:val="18"/>
                <w:szCs w:val="18"/>
                <w:lang w:val="en-US"/>
              </w:rPr>
            </w:pPr>
            <w:r w:rsidRPr="009B00B8">
              <w:rPr>
                <w:rFonts w:eastAsiaTheme="minorHAnsi"/>
                <w:color w:val="000000"/>
                <w:sz w:val="18"/>
                <w:szCs w:val="18"/>
                <w:lang w:val="en-US"/>
              </w:rPr>
              <w:t>Marginally met</w:t>
            </w:r>
          </w:p>
        </w:tc>
        <w:tc>
          <w:tcPr>
            <w:tcW w:w="734" w:type="pct"/>
            <w:tcBorders>
              <w:top w:val="nil"/>
              <w:left w:val="nil"/>
              <w:bottom w:val="nil"/>
              <w:right w:val="nil"/>
            </w:tcBorders>
            <w:shd w:val="clear" w:color="auto" w:fill="FFFFFF"/>
          </w:tcPr>
          <w:p w14:paraId="0AC0E792" w14:textId="77777777" w:rsidR="00F42795" w:rsidRPr="009B00B8" w:rsidRDefault="00F42795" w:rsidP="00D95CCF">
            <w:pPr>
              <w:jc w:val="center"/>
              <w:rPr>
                <w:rFonts w:eastAsiaTheme="minorHAnsi"/>
                <w:color w:val="000000"/>
                <w:sz w:val="18"/>
                <w:szCs w:val="18"/>
                <w:lang w:val="en-US"/>
              </w:rPr>
            </w:pPr>
            <w:r w:rsidRPr="009B00B8">
              <w:rPr>
                <w:sz w:val="18"/>
                <w:szCs w:val="18"/>
              </w:rPr>
              <w:t>33</w:t>
            </w:r>
          </w:p>
        </w:tc>
        <w:tc>
          <w:tcPr>
            <w:tcW w:w="604" w:type="pct"/>
            <w:tcBorders>
              <w:top w:val="nil"/>
              <w:left w:val="nil"/>
              <w:bottom w:val="nil"/>
              <w:right w:val="nil"/>
            </w:tcBorders>
            <w:shd w:val="clear" w:color="auto" w:fill="FFFFFF"/>
          </w:tcPr>
          <w:p w14:paraId="258083A3" w14:textId="77777777" w:rsidR="00F42795" w:rsidRPr="009B00B8" w:rsidRDefault="00F42795" w:rsidP="00D95CCF">
            <w:pPr>
              <w:pStyle w:val="Default"/>
              <w:jc w:val="center"/>
              <w:rPr>
                <w:rFonts w:ascii="Times New Roman" w:hAnsi="Times New Roman" w:cs="Times New Roman"/>
                <w:b/>
                <w:bCs/>
                <w:sz w:val="18"/>
                <w:szCs w:val="18"/>
              </w:rPr>
            </w:pPr>
            <w:r w:rsidRPr="009B00B8">
              <w:rPr>
                <w:rFonts w:ascii="Times New Roman" w:hAnsi="Times New Roman" w:cs="Times New Roman"/>
                <w:b/>
                <w:bCs/>
                <w:sz w:val="18"/>
                <w:szCs w:val="18"/>
              </w:rPr>
              <w:t>30.0*</w:t>
            </w:r>
          </w:p>
        </w:tc>
        <w:tc>
          <w:tcPr>
            <w:tcW w:w="1139" w:type="pct"/>
            <w:tcBorders>
              <w:top w:val="nil"/>
              <w:left w:val="nil"/>
              <w:bottom w:val="nil"/>
              <w:right w:val="nil"/>
            </w:tcBorders>
            <w:shd w:val="clear" w:color="auto" w:fill="FFFFFF"/>
          </w:tcPr>
          <w:p w14:paraId="4E46D583" w14:textId="77777777" w:rsidR="00F42795" w:rsidRPr="009B00B8" w:rsidRDefault="00F42795" w:rsidP="00D95CCF">
            <w:pPr>
              <w:autoSpaceDE w:val="0"/>
              <w:autoSpaceDN w:val="0"/>
              <w:adjustRightInd w:val="0"/>
              <w:ind w:right="60"/>
              <w:jc w:val="center"/>
              <w:rPr>
                <w:sz w:val="18"/>
                <w:szCs w:val="18"/>
              </w:rPr>
            </w:pPr>
            <w:r w:rsidRPr="009B00B8">
              <w:rPr>
                <w:sz w:val="18"/>
                <w:szCs w:val="18"/>
              </w:rPr>
              <w:t>71.8</w:t>
            </w:r>
          </w:p>
        </w:tc>
      </w:tr>
      <w:tr w:rsidR="00F42795" w14:paraId="712ABF9D" w14:textId="77777777" w:rsidTr="00D95CCF">
        <w:trPr>
          <w:cantSplit/>
        </w:trPr>
        <w:tc>
          <w:tcPr>
            <w:tcW w:w="1789" w:type="pct"/>
            <w:vMerge/>
            <w:tcBorders>
              <w:left w:val="nil"/>
              <w:bottom w:val="single" w:sz="4" w:space="0" w:color="auto"/>
              <w:right w:val="nil"/>
            </w:tcBorders>
            <w:shd w:val="clear" w:color="auto" w:fill="FFFFFF"/>
          </w:tcPr>
          <w:p w14:paraId="74801454"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7098CAC1" w14:textId="77777777" w:rsidR="00F42795" w:rsidRPr="009B00B8" w:rsidRDefault="00F42795" w:rsidP="00D95CCF">
            <w:pPr>
              <w:autoSpaceDE w:val="0"/>
              <w:autoSpaceDN w:val="0"/>
              <w:adjustRightInd w:val="0"/>
              <w:ind w:right="60"/>
              <w:rPr>
                <w:rFonts w:eastAsiaTheme="minorHAnsi"/>
                <w:color w:val="000000"/>
                <w:sz w:val="18"/>
                <w:szCs w:val="18"/>
                <w:lang w:val="en-US"/>
              </w:rPr>
            </w:pPr>
            <w:r w:rsidRPr="009B00B8">
              <w:rPr>
                <w:rFonts w:eastAsiaTheme="minorHAnsi"/>
                <w:color w:val="000000"/>
                <w:sz w:val="18"/>
                <w:szCs w:val="18"/>
                <w:lang w:val="en-US"/>
              </w:rPr>
              <w:t>Poorly met</w:t>
            </w:r>
          </w:p>
        </w:tc>
        <w:tc>
          <w:tcPr>
            <w:tcW w:w="734" w:type="pct"/>
            <w:tcBorders>
              <w:top w:val="nil"/>
              <w:left w:val="nil"/>
              <w:bottom w:val="nil"/>
              <w:right w:val="nil"/>
            </w:tcBorders>
            <w:shd w:val="clear" w:color="auto" w:fill="FFFFFF"/>
          </w:tcPr>
          <w:p w14:paraId="30A75237" w14:textId="77777777" w:rsidR="00F42795" w:rsidRPr="009B00B8" w:rsidRDefault="00F42795" w:rsidP="00D95CCF">
            <w:pPr>
              <w:jc w:val="center"/>
              <w:rPr>
                <w:rFonts w:eastAsiaTheme="minorHAnsi"/>
                <w:color w:val="000000"/>
                <w:sz w:val="18"/>
                <w:szCs w:val="18"/>
                <w:lang w:val="en-US"/>
              </w:rPr>
            </w:pPr>
            <w:r w:rsidRPr="009B00B8">
              <w:rPr>
                <w:sz w:val="18"/>
                <w:szCs w:val="18"/>
              </w:rPr>
              <w:t>28</w:t>
            </w:r>
          </w:p>
        </w:tc>
        <w:tc>
          <w:tcPr>
            <w:tcW w:w="604" w:type="pct"/>
            <w:tcBorders>
              <w:top w:val="nil"/>
              <w:left w:val="nil"/>
              <w:bottom w:val="nil"/>
              <w:right w:val="nil"/>
            </w:tcBorders>
            <w:shd w:val="clear" w:color="auto" w:fill="FFFFFF"/>
          </w:tcPr>
          <w:p w14:paraId="1E09C473"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25.5</w:t>
            </w:r>
          </w:p>
        </w:tc>
        <w:tc>
          <w:tcPr>
            <w:tcW w:w="1139" w:type="pct"/>
            <w:tcBorders>
              <w:top w:val="nil"/>
              <w:left w:val="nil"/>
              <w:bottom w:val="nil"/>
              <w:right w:val="nil"/>
            </w:tcBorders>
            <w:shd w:val="clear" w:color="auto" w:fill="FFFFFF"/>
          </w:tcPr>
          <w:p w14:paraId="77C239A7" w14:textId="77777777" w:rsidR="00F42795" w:rsidRPr="009B00B8" w:rsidRDefault="00F42795" w:rsidP="00D95CCF">
            <w:pPr>
              <w:autoSpaceDE w:val="0"/>
              <w:autoSpaceDN w:val="0"/>
              <w:adjustRightInd w:val="0"/>
              <w:ind w:right="60"/>
              <w:jc w:val="center"/>
              <w:rPr>
                <w:sz w:val="18"/>
                <w:szCs w:val="18"/>
              </w:rPr>
            </w:pPr>
            <w:r w:rsidRPr="009B00B8">
              <w:rPr>
                <w:sz w:val="18"/>
                <w:szCs w:val="18"/>
              </w:rPr>
              <w:t>97.3</w:t>
            </w:r>
          </w:p>
        </w:tc>
      </w:tr>
      <w:tr w:rsidR="00F42795" w14:paraId="19943306" w14:textId="77777777" w:rsidTr="00D95CCF">
        <w:trPr>
          <w:cantSplit/>
        </w:trPr>
        <w:tc>
          <w:tcPr>
            <w:tcW w:w="1789" w:type="pct"/>
            <w:vMerge/>
            <w:tcBorders>
              <w:left w:val="nil"/>
              <w:bottom w:val="single" w:sz="4" w:space="0" w:color="auto"/>
              <w:right w:val="nil"/>
            </w:tcBorders>
            <w:shd w:val="clear" w:color="auto" w:fill="FFFFFF"/>
          </w:tcPr>
          <w:p w14:paraId="1005E54C"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4D3A4071" w14:textId="77777777" w:rsidR="00F42795" w:rsidRPr="009B00B8" w:rsidRDefault="00F42795" w:rsidP="00D95CCF">
            <w:pPr>
              <w:autoSpaceDE w:val="0"/>
              <w:autoSpaceDN w:val="0"/>
              <w:adjustRightInd w:val="0"/>
              <w:ind w:right="60"/>
              <w:rPr>
                <w:rFonts w:eastAsiaTheme="minorHAnsi"/>
                <w:color w:val="000000"/>
                <w:sz w:val="18"/>
                <w:szCs w:val="18"/>
                <w:lang w:val="en-US"/>
              </w:rPr>
            </w:pPr>
            <w:r w:rsidRPr="009B00B8">
              <w:rPr>
                <w:rFonts w:eastAsiaTheme="minorHAnsi"/>
                <w:color w:val="000000"/>
                <w:sz w:val="18"/>
                <w:szCs w:val="18"/>
                <w:lang w:val="en-US"/>
              </w:rPr>
              <w:t>No opinion</w:t>
            </w:r>
          </w:p>
        </w:tc>
        <w:tc>
          <w:tcPr>
            <w:tcW w:w="734" w:type="pct"/>
            <w:tcBorders>
              <w:top w:val="nil"/>
              <w:left w:val="nil"/>
              <w:bottom w:val="single" w:sz="4" w:space="0" w:color="auto"/>
              <w:right w:val="nil"/>
            </w:tcBorders>
            <w:shd w:val="clear" w:color="auto" w:fill="FFFFFF"/>
          </w:tcPr>
          <w:p w14:paraId="4EC712DB" w14:textId="77777777" w:rsidR="00F42795" w:rsidRPr="009B00B8" w:rsidRDefault="00F42795" w:rsidP="00D95CCF">
            <w:pPr>
              <w:jc w:val="center"/>
              <w:rPr>
                <w:rFonts w:eastAsiaTheme="minorHAnsi"/>
                <w:color w:val="000000"/>
                <w:sz w:val="18"/>
                <w:szCs w:val="18"/>
                <w:lang w:val="en-US"/>
              </w:rPr>
            </w:pPr>
            <w:r w:rsidRPr="009B00B8">
              <w:rPr>
                <w:sz w:val="18"/>
                <w:szCs w:val="18"/>
              </w:rPr>
              <w:t>3</w:t>
            </w:r>
          </w:p>
        </w:tc>
        <w:tc>
          <w:tcPr>
            <w:tcW w:w="604" w:type="pct"/>
            <w:tcBorders>
              <w:top w:val="nil"/>
              <w:left w:val="nil"/>
              <w:bottom w:val="single" w:sz="4" w:space="0" w:color="auto"/>
              <w:right w:val="nil"/>
            </w:tcBorders>
            <w:shd w:val="clear" w:color="auto" w:fill="FFFFFF"/>
          </w:tcPr>
          <w:p w14:paraId="462B334D"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2.7</w:t>
            </w:r>
          </w:p>
        </w:tc>
        <w:tc>
          <w:tcPr>
            <w:tcW w:w="1139" w:type="pct"/>
            <w:tcBorders>
              <w:top w:val="nil"/>
              <w:left w:val="nil"/>
              <w:bottom w:val="single" w:sz="4" w:space="0" w:color="auto"/>
              <w:right w:val="nil"/>
            </w:tcBorders>
            <w:shd w:val="clear" w:color="auto" w:fill="FFFFFF"/>
          </w:tcPr>
          <w:p w14:paraId="025BDF5A" w14:textId="77777777" w:rsidR="00F42795" w:rsidRPr="009B00B8" w:rsidRDefault="00F42795" w:rsidP="00D95CCF">
            <w:pPr>
              <w:autoSpaceDE w:val="0"/>
              <w:autoSpaceDN w:val="0"/>
              <w:adjustRightInd w:val="0"/>
              <w:ind w:right="60"/>
              <w:jc w:val="center"/>
              <w:rPr>
                <w:sz w:val="18"/>
                <w:szCs w:val="18"/>
              </w:rPr>
            </w:pPr>
            <w:r w:rsidRPr="009B00B8">
              <w:rPr>
                <w:sz w:val="18"/>
                <w:szCs w:val="18"/>
              </w:rPr>
              <w:t>100.0</w:t>
            </w:r>
          </w:p>
        </w:tc>
      </w:tr>
      <w:tr w:rsidR="00F42795" w14:paraId="3F511E4A" w14:textId="77777777" w:rsidTr="00D95CCF">
        <w:trPr>
          <w:cantSplit/>
        </w:trPr>
        <w:tc>
          <w:tcPr>
            <w:tcW w:w="1789" w:type="pct"/>
            <w:vMerge w:val="restart"/>
            <w:tcBorders>
              <w:left w:val="nil"/>
              <w:bottom w:val="single" w:sz="4" w:space="0" w:color="auto"/>
              <w:right w:val="nil"/>
            </w:tcBorders>
            <w:shd w:val="clear" w:color="auto" w:fill="FFFFFF"/>
          </w:tcPr>
          <w:p w14:paraId="657630EA"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Transparency</w:t>
            </w:r>
          </w:p>
          <w:p w14:paraId="023F79A5" w14:textId="77777777" w:rsidR="00F42795" w:rsidRPr="009B00B8" w:rsidRDefault="00F42795" w:rsidP="00D95CCF">
            <w:pPr>
              <w:autoSpaceDE w:val="0"/>
              <w:autoSpaceDN w:val="0"/>
              <w:adjustRightInd w:val="0"/>
              <w:ind w:right="60"/>
              <w:rPr>
                <w:rFonts w:eastAsiaTheme="minorHAnsi"/>
                <w:color w:val="000000"/>
                <w:sz w:val="18"/>
                <w:szCs w:val="18"/>
                <w:lang w:val="en-US"/>
              </w:rPr>
            </w:pPr>
          </w:p>
          <w:p w14:paraId="582A735A" w14:textId="77777777" w:rsidR="00F42795" w:rsidRPr="009B00B8" w:rsidRDefault="00F42795" w:rsidP="00D95CCF">
            <w:pPr>
              <w:autoSpaceDE w:val="0"/>
              <w:autoSpaceDN w:val="0"/>
              <w:adjustRightInd w:val="0"/>
              <w:ind w:right="60"/>
              <w:rPr>
                <w:color w:val="000000"/>
                <w:sz w:val="18"/>
                <w:szCs w:val="18"/>
              </w:rPr>
            </w:pPr>
            <w:r w:rsidRPr="009B00B8">
              <w:rPr>
                <w:i/>
                <w:iCs/>
                <w:sz w:val="18"/>
                <w:szCs w:val="18"/>
              </w:rPr>
              <w:t>(N=107)</w:t>
            </w:r>
          </w:p>
          <w:p w14:paraId="6F981751" w14:textId="77777777" w:rsidR="00F42795" w:rsidRPr="009B00B8" w:rsidRDefault="00F42795" w:rsidP="00D95CCF">
            <w:pPr>
              <w:pStyle w:val="Default"/>
              <w:rPr>
                <w:sz w:val="18"/>
                <w:szCs w:val="18"/>
              </w:rPr>
            </w:pPr>
          </w:p>
        </w:tc>
        <w:tc>
          <w:tcPr>
            <w:tcW w:w="734" w:type="pct"/>
            <w:tcBorders>
              <w:top w:val="single" w:sz="4" w:space="0" w:color="auto"/>
              <w:left w:val="nil"/>
              <w:bottom w:val="nil"/>
              <w:right w:val="nil"/>
            </w:tcBorders>
            <w:shd w:val="clear" w:color="auto" w:fill="FFFFFF"/>
          </w:tcPr>
          <w:p w14:paraId="38C3642E"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Fully met</w:t>
            </w:r>
          </w:p>
        </w:tc>
        <w:tc>
          <w:tcPr>
            <w:tcW w:w="734" w:type="pct"/>
            <w:tcBorders>
              <w:top w:val="single" w:sz="4" w:space="0" w:color="auto"/>
              <w:left w:val="nil"/>
              <w:bottom w:val="nil"/>
              <w:right w:val="nil"/>
            </w:tcBorders>
            <w:shd w:val="clear" w:color="auto" w:fill="FFFFFF"/>
          </w:tcPr>
          <w:p w14:paraId="3AE705F6" w14:textId="77777777" w:rsidR="00F42795" w:rsidRPr="009B00B8" w:rsidRDefault="00F42795" w:rsidP="00D95CCF">
            <w:pPr>
              <w:autoSpaceDE w:val="0"/>
              <w:autoSpaceDN w:val="0"/>
              <w:adjustRightInd w:val="0"/>
              <w:ind w:right="60"/>
              <w:jc w:val="center"/>
              <w:rPr>
                <w:rFonts w:eastAsiaTheme="minorHAnsi"/>
                <w:color w:val="000000"/>
                <w:sz w:val="18"/>
                <w:szCs w:val="18"/>
                <w:lang w:val="en-US"/>
              </w:rPr>
            </w:pPr>
            <w:r w:rsidRPr="009B00B8">
              <w:rPr>
                <w:sz w:val="18"/>
                <w:szCs w:val="18"/>
              </w:rPr>
              <w:t>17</w:t>
            </w:r>
          </w:p>
        </w:tc>
        <w:tc>
          <w:tcPr>
            <w:tcW w:w="604" w:type="pct"/>
            <w:tcBorders>
              <w:top w:val="single" w:sz="4" w:space="0" w:color="auto"/>
              <w:left w:val="nil"/>
              <w:bottom w:val="nil"/>
              <w:right w:val="nil"/>
            </w:tcBorders>
            <w:shd w:val="clear" w:color="auto" w:fill="FFFFFF"/>
          </w:tcPr>
          <w:p w14:paraId="4BDC929F" w14:textId="77777777" w:rsidR="00F42795" w:rsidRPr="009B00B8" w:rsidRDefault="00F42795" w:rsidP="00D95CCF">
            <w:pPr>
              <w:jc w:val="center"/>
              <w:rPr>
                <w:sz w:val="18"/>
                <w:szCs w:val="18"/>
              </w:rPr>
            </w:pPr>
            <w:r w:rsidRPr="009B00B8">
              <w:rPr>
                <w:sz w:val="18"/>
                <w:szCs w:val="18"/>
              </w:rPr>
              <w:t>15.6</w:t>
            </w:r>
          </w:p>
        </w:tc>
        <w:tc>
          <w:tcPr>
            <w:tcW w:w="1139" w:type="pct"/>
            <w:tcBorders>
              <w:top w:val="single" w:sz="4" w:space="0" w:color="auto"/>
              <w:left w:val="nil"/>
              <w:bottom w:val="nil"/>
              <w:right w:val="nil"/>
            </w:tcBorders>
            <w:shd w:val="clear" w:color="auto" w:fill="FFFFFF"/>
          </w:tcPr>
          <w:p w14:paraId="67F1B8F3"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15.6</w:t>
            </w:r>
          </w:p>
        </w:tc>
      </w:tr>
      <w:tr w:rsidR="00F42795" w14:paraId="24CD558C" w14:textId="77777777" w:rsidTr="00D95CCF">
        <w:trPr>
          <w:cantSplit/>
        </w:trPr>
        <w:tc>
          <w:tcPr>
            <w:tcW w:w="1789" w:type="pct"/>
            <w:vMerge/>
            <w:tcBorders>
              <w:left w:val="nil"/>
              <w:bottom w:val="single" w:sz="4" w:space="0" w:color="auto"/>
              <w:right w:val="nil"/>
            </w:tcBorders>
            <w:shd w:val="clear" w:color="auto" w:fill="FFFFFF"/>
          </w:tcPr>
          <w:p w14:paraId="2603D8D2"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7CA1C541"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Partially met</w:t>
            </w:r>
          </w:p>
        </w:tc>
        <w:tc>
          <w:tcPr>
            <w:tcW w:w="734" w:type="pct"/>
            <w:tcBorders>
              <w:top w:val="nil"/>
              <w:left w:val="nil"/>
              <w:bottom w:val="nil"/>
              <w:right w:val="nil"/>
            </w:tcBorders>
            <w:shd w:val="clear" w:color="auto" w:fill="FFFFFF"/>
          </w:tcPr>
          <w:p w14:paraId="65194E10" w14:textId="77777777" w:rsidR="00F42795" w:rsidRPr="009B00B8" w:rsidRDefault="00F42795" w:rsidP="00D95CCF">
            <w:pPr>
              <w:autoSpaceDE w:val="0"/>
              <w:autoSpaceDN w:val="0"/>
              <w:adjustRightInd w:val="0"/>
              <w:ind w:right="60"/>
              <w:jc w:val="center"/>
              <w:rPr>
                <w:rFonts w:eastAsiaTheme="minorHAnsi"/>
                <w:color w:val="000000"/>
                <w:sz w:val="18"/>
                <w:szCs w:val="18"/>
                <w:lang w:val="en-US"/>
              </w:rPr>
            </w:pPr>
            <w:r w:rsidRPr="009B00B8">
              <w:rPr>
                <w:sz w:val="18"/>
                <w:szCs w:val="18"/>
              </w:rPr>
              <w:t>31</w:t>
            </w:r>
          </w:p>
        </w:tc>
        <w:tc>
          <w:tcPr>
            <w:tcW w:w="604" w:type="pct"/>
            <w:tcBorders>
              <w:top w:val="nil"/>
              <w:left w:val="nil"/>
              <w:bottom w:val="nil"/>
              <w:right w:val="nil"/>
            </w:tcBorders>
            <w:shd w:val="clear" w:color="auto" w:fill="FFFFFF"/>
          </w:tcPr>
          <w:p w14:paraId="16D4BAF8" w14:textId="77777777" w:rsidR="00F42795" w:rsidRPr="009B00B8" w:rsidRDefault="00F42795" w:rsidP="00D95CCF">
            <w:pPr>
              <w:jc w:val="center"/>
              <w:rPr>
                <w:sz w:val="18"/>
                <w:szCs w:val="18"/>
              </w:rPr>
            </w:pPr>
            <w:r w:rsidRPr="009B00B8">
              <w:rPr>
                <w:sz w:val="18"/>
                <w:szCs w:val="18"/>
              </w:rPr>
              <w:t>28.4</w:t>
            </w:r>
          </w:p>
        </w:tc>
        <w:tc>
          <w:tcPr>
            <w:tcW w:w="1139" w:type="pct"/>
            <w:tcBorders>
              <w:top w:val="nil"/>
              <w:left w:val="nil"/>
              <w:bottom w:val="nil"/>
              <w:right w:val="nil"/>
            </w:tcBorders>
            <w:shd w:val="clear" w:color="auto" w:fill="FFFFFF"/>
          </w:tcPr>
          <w:p w14:paraId="7A1578EF"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44.0</w:t>
            </w:r>
          </w:p>
        </w:tc>
      </w:tr>
      <w:tr w:rsidR="00F42795" w14:paraId="1BC6CC16" w14:textId="77777777" w:rsidTr="00D95CCF">
        <w:trPr>
          <w:cantSplit/>
        </w:trPr>
        <w:tc>
          <w:tcPr>
            <w:tcW w:w="1789" w:type="pct"/>
            <w:vMerge/>
            <w:tcBorders>
              <w:left w:val="nil"/>
              <w:bottom w:val="single" w:sz="4" w:space="0" w:color="auto"/>
              <w:right w:val="nil"/>
            </w:tcBorders>
            <w:shd w:val="clear" w:color="auto" w:fill="FFFFFF"/>
          </w:tcPr>
          <w:p w14:paraId="7457A4E9"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615E82AB"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Marginally met</w:t>
            </w:r>
          </w:p>
        </w:tc>
        <w:tc>
          <w:tcPr>
            <w:tcW w:w="734" w:type="pct"/>
            <w:tcBorders>
              <w:top w:val="nil"/>
              <w:left w:val="nil"/>
              <w:bottom w:val="nil"/>
              <w:right w:val="nil"/>
            </w:tcBorders>
            <w:shd w:val="clear" w:color="auto" w:fill="FFFFFF"/>
          </w:tcPr>
          <w:p w14:paraId="01C7B610" w14:textId="77777777" w:rsidR="00F42795" w:rsidRPr="009B00B8" w:rsidRDefault="00F42795" w:rsidP="00D95CCF">
            <w:pPr>
              <w:autoSpaceDE w:val="0"/>
              <w:autoSpaceDN w:val="0"/>
              <w:adjustRightInd w:val="0"/>
              <w:ind w:right="60"/>
              <w:jc w:val="center"/>
              <w:rPr>
                <w:rFonts w:eastAsiaTheme="minorHAnsi"/>
                <w:color w:val="000000"/>
                <w:sz w:val="18"/>
                <w:szCs w:val="18"/>
                <w:lang w:val="en-US"/>
              </w:rPr>
            </w:pPr>
            <w:r w:rsidRPr="009B00B8">
              <w:rPr>
                <w:sz w:val="18"/>
                <w:szCs w:val="18"/>
              </w:rPr>
              <w:t>25</w:t>
            </w:r>
          </w:p>
        </w:tc>
        <w:tc>
          <w:tcPr>
            <w:tcW w:w="604" w:type="pct"/>
            <w:tcBorders>
              <w:top w:val="nil"/>
              <w:left w:val="nil"/>
              <w:bottom w:val="nil"/>
              <w:right w:val="nil"/>
            </w:tcBorders>
            <w:shd w:val="clear" w:color="auto" w:fill="FFFFFF"/>
          </w:tcPr>
          <w:p w14:paraId="65A0326A" w14:textId="77777777" w:rsidR="00F42795" w:rsidRPr="009B00B8" w:rsidRDefault="00F42795" w:rsidP="00D95CCF">
            <w:pPr>
              <w:jc w:val="center"/>
              <w:rPr>
                <w:sz w:val="18"/>
                <w:szCs w:val="18"/>
              </w:rPr>
            </w:pPr>
            <w:r w:rsidRPr="009B00B8">
              <w:rPr>
                <w:sz w:val="18"/>
                <w:szCs w:val="18"/>
              </w:rPr>
              <w:t>22.9</w:t>
            </w:r>
          </w:p>
        </w:tc>
        <w:tc>
          <w:tcPr>
            <w:tcW w:w="1139" w:type="pct"/>
            <w:tcBorders>
              <w:top w:val="nil"/>
              <w:left w:val="nil"/>
              <w:bottom w:val="nil"/>
              <w:right w:val="nil"/>
            </w:tcBorders>
            <w:shd w:val="clear" w:color="auto" w:fill="FFFFFF"/>
          </w:tcPr>
          <w:p w14:paraId="4DBB0BF6"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67.0</w:t>
            </w:r>
          </w:p>
        </w:tc>
      </w:tr>
      <w:tr w:rsidR="00F42795" w14:paraId="1F7A1086" w14:textId="77777777" w:rsidTr="00D95CCF">
        <w:trPr>
          <w:cantSplit/>
        </w:trPr>
        <w:tc>
          <w:tcPr>
            <w:tcW w:w="1789" w:type="pct"/>
            <w:vMerge/>
            <w:tcBorders>
              <w:left w:val="nil"/>
              <w:bottom w:val="single" w:sz="4" w:space="0" w:color="auto"/>
              <w:right w:val="nil"/>
            </w:tcBorders>
            <w:shd w:val="clear" w:color="auto" w:fill="FFFFFF"/>
          </w:tcPr>
          <w:p w14:paraId="34903B2A"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1C3A8590"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Poorly met</w:t>
            </w:r>
          </w:p>
        </w:tc>
        <w:tc>
          <w:tcPr>
            <w:tcW w:w="734" w:type="pct"/>
            <w:tcBorders>
              <w:top w:val="nil"/>
              <w:left w:val="nil"/>
              <w:bottom w:val="nil"/>
              <w:right w:val="nil"/>
            </w:tcBorders>
            <w:shd w:val="clear" w:color="auto" w:fill="FFFFFF"/>
          </w:tcPr>
          <w:p w14:paraId="0C22ADD9" w14:textId="77777777" w:rsidR="00F42795" w:rsidRPr="009B00B8" w:rsidRDefault="00F42795" w:rsidP="00D95CCF">
            <w:pPr>
              <w:autoSpaceDE w:val="0"/>
              <w:autoSpaceDN w:val="0"/>
              <w:adjustRightInd w:val="0"/>
              <w:ind w:right="60"/>
              <w:jc w:val="center"/>
              <w:rPr>
                <w:rFonts w:eastAsiaTheme="minorHAnsi"/>
                <w:color w:val="000000"/>
                <w:sz w:val="18"/>
                <w:szCs w:val="18"/>
                <w:lang w:val="en-US"/>
              </w:rPr>
            </w:pPr>
            <w:r w:rsidRPr="009B00B8">
              <w:rPr>
                <w:sz w:val="18"/>
                <w:szCs w:val="18"/>
              </w:rPr>
              <w:t>32</w:t>
            </w:r>
          </w:p>
        </w:tc>
        <w:tc>
          <w:tcPr>
            <w:tcW w:w="604" w:type="pct"/>
            <w:tcBorders>
              <w:top w:val="nil"/>
              <w:left w:val="nil"/>
              <w:bottom w:val="nil"/>
              <w:right w:val="nil"/>
            </w:tcBorders>
            <w:shd w:val="clear" w:color="auto" w:fill="FFFFFF"/>
          </w:tcPr>
          <w:p w14:paraId="29740AB7" w14:textId="77777777" w:rsidR="00F42795" w:rsidRPr="009B00B8" w:rsidRDefault="00F42795" w:rsidP="00D95CCF">
            <w:pPr>
              <w:jc w:val="center"/>
              <w:rPr>
                <w:b/>
                <w:bCs/>
                <w:sz w:val="18"/>
                <w:szCs w:val="18"/>
              </w:rPr>
            </w:pPr>
            <w:r w:rsidRPr="009B00B8">
              <w:rPr>
                <w:b/>
                <w:bCs/>
                <w:sz w:val="18"/>
                <w:szCs w:val="18"/>
              </w:rPr>
              <w:t>29.4*</w:t>
            </w:r>
          </w:p>
        </w:tc>
        <w:tc>
          <w:tcPr>
            <w:tcW w:w="1139" w:type="pct"/>
            <w:tcBorders>
              <w:top w:val="nil"/>
              <w:left w:val="nil"/>
              <w:bottom w:val="nil"/>
              <w:right w:val="nil"/>
            </w:tcBorders>
            <w:shd w:val="clear" w:color="auto" w:fill="FFFFFF"/>
          </w:tcPr>
          <w:p w14:paraId="63CBE0C0"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96.3</w:t>
            </w:r>
          </w:p>
        </w:tc>
      </w:tr>
      <w:tr w:rsidR="00F42795" w14:paraId="242C50E7" w14:textId="77777777" w:rsidTr="00D95CCF">
        <w:trPr>
          <w:cantSplit/>
        </w:trPr>
        <w:tc>
          <w:tcPr>
            <w:tcW w:w="1789" w:type="pct"/>
            <w:vMerge/>
            <w:tcBorders>
              <w:left w:val="nil"/>
              <w:bottom w:val="single" w:sz="4" w:space="0" w:color="auto"/>
              <w:right w:val="nil"/>
            </w:tcBorders>
            <w:shd w:val="clear" w:color="auto" w:fill="FFFFFF"/>
          </w:tcPr>
          <w:p w14:paraId="28D8B84D"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1D2330BA"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No opinion</w:t>
            </w:r>
          </w:p>
        </w:tc>
        <w:tc>
          <w:tcPr>
            <w:tcW w:w="734" w:type="pct"/>
            <w:tcBorders>
              <w:top w:val="nil"/>
              <w:left w:val="nil"/>
              <w:bottom w:val="single" w:sz="4" w:space="0" w:color="auto"/>
              <w:right w:val="nil"/>
            </w:tcBorders>
            <w:shd w:val="clear" w:color="auto" w:fill="FFFFFF"/>
          </w:tcPr>
          <w:p w14:paraId="6A10FF5F" w14:textId="77777777" w:rsidR="00F42795" w:rsidRPr="009B00B8" w:rsidRDefault="00F42795" w:rsidP="00D95CCF">
            <w:pPr>
              <w:autoSpaceDE w:val="0"/>
              <w:autoSpaceDN w:val="0"/>
              <w:adjustRightInd w:val="0"/>
              <w:ind w:right="60"/>
              <w:jc w:val="center"/>
              <w:rPr>
                <w:rFonts w:eastAsiaTheme="minorHAnsi"/>
                <w:color w:val="000000"/>
                <w:sz w:val="18"/>
                <w:szCs w:val="18"/>
                <w:lang w:val="en-US"/>
              </w:rPr>
            </w:pPr>
            <w:r w:rsidRPr="009B00B8">
              <w:rPr>
                <w:sz w:val="18"/>
                <w:szCs w:val="18"/>
              </w:rPr>
              <w:t>4</w:t>
            </w:r>
          </w:p>
        </w:tc>
        <w:tc>
          <w:tcPr>
            <w:tcW w:w="604" w:type="pct"/>
            <w:tcBorders>
              <w:top w:val="nil"/>
              <w:left w:val="nil"/>
              <w:bottom w:val="single" w:sz="4" w:space="0" w:color="auto"/>
              <w:right w:val="nil"/>
            </w:tcBorders>
            <w:shd w:val="clear" w:color="auto" w:fill="FFFFFF"/>
          </w:tcPr>
          <w:p w14:paraId="2921DB5F" w14:textId="77777777" w:rsidR="00F42795" w:rsidRPr="009B00B8" w:rsidRDefault="00F42795" w:rsidP="00D95CCF">
            <w:pPr>
              <w:jc w:val="center"/>
              <w:rPr>
                <w:sz w:val="18"/>
                <w:szCs w:val="18"/>
              </w:rPr>
            </w:pPr>
            <w:r w:rsidRPr="009B00B8">
              <w:rPr>
                <w:sz w:val="18"/>
                <w:szCs w:val="18"/>
              </w:rPr>
              <w:t>3.7</w:t>
            </w:r>
          </w:p>
        </w:tc>
        <w:tc>
          <w:tcPr>
            <w:tcW w:w="1139" w:type="pct"/>
            <w:tcBorders>
              <w:top w:val="nil"/>
              <w:left w:val="nil"/>
              <w:bottom w:val="single" w:sz="4" w:space="0" w:color="auto"/>
              <w:right w:val="nil"/>
            </w:tcBorders>
            <w:shd w:val="clear" w:color="auto" w:fill="FFFFFF"/>
          </w:tcPr>
          <w:p w14:paraId="12E988A8"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100.0</w:t>
            </w:r>
          </w:p>
        </w:tc>
      </w:tr>
      <w:tr w:rsidR="00F42795" w14:paraId="2A34E7BE" w14:textId="77777777" w:rsidTr="00D95CCF">
        <w:trPr>
          <w:cantSplit/>
        </w:trPr>
        <w:tc>
          <w:tcPr>
            <w:tcW w:w="1789" w:type="pct"/>
            <w:vMerge w:val="restart"/>
            <w:tcBorders>
              <w:top w:val="single" w:sz="4" w:space="0" w:color="auto"/>
              <w:left w:val="nil"/>
              <w:bottom w:val="nil"/>
              <w:right w:val="nil"/>
            </w:tcBorders>
            <w:shd w:val="clear" w:color="auto" w:fill="FFFFFF"/>
          </w:tcPr>
          <w:p w14:paraId="5328666A" w14:textId="77777777" w:rsidR="00F42795" w:rsidRPr="009B00B8" w:rsidRDefault="00F42795" w:rsidP="00D95CCF">
            <w:pPr>
              <w:autoSpaceDE w:val="0"/>
              <w:autoSpaceDN w:val="0"/>
              <w:adjustRightInd w:val="0"/>
              <w:ind w:right="60"/>
              <w:rPr>
                <w:rFonts w:eastAsiaTheme="minorHAnsi"/>
                <w:color w:val="000000"/>
                <w:sz w:val="18"/>
                <w:szCs w:val="18"/>
                <w:lang w:val="en-US"/>
              </w:rPr>
            </w:pPr>
            <w:r w:rsidRPr="009B00B8">
              <w:rPr>
                <w:color w:val="000000"/>
                <w:sz w:val="18"/>
                <w:szCs w:val="18"/>
              </w:rPr>
              <w:lastRenderedPageBreak/>
              <w:t>Legitimacy</w:t>
            </w:r>
          </w:p>
          <w:p w14:paraId="4FEDC8B3" w14:textId="77777777" w:rsidR="00F42795" w:rsidRPr="009B00B8" w:rsidRDefault="00F42795" w:rsidP="00D95CCF">
            <w:pPr>
              <w:autoSpaceDE w:val="0"/>
              <w:autoSpaceDN w:val="0"/>
              <w:adjustRightInd w:val="0"/>
              <w:ind w:right="60"/>
              <w:rPr>
                <w:color w:val="000000"/>
                <w:sz w:val="18"/>
                <w:szCs w:val="18"/>
              </w:rPr>
            </w:pPr>
          </w:p>
          <w:p w14:paraId="70394CD9" w14:textId="77777777" w:rsidR="00F42795" w:rsidRPr="009B00B8" w:rsidRDefault="00F42795" w:rsidP="00D95CCF">
            <w:pPr>
              <w:pStyle w:val="Default"/>
              <w:rPr>
                <w:sz w:val="18"/>
                <w:szCs w:val="18"/>
              </w:rPr>
            </w:pPr>
            <w:r w:rsidRPr="009B00B8">
              <w:rPr>
                <w:rFonts w:ascii="Times New Roman" w:hAnsi="Times New Roman" w:cs="Times New Roman"/>
                <w:i/>
                <w:iCs/>
                <w:sz w:val="18"/>
                <w:szCs w:val="18"/>
              </w:rPr>
              <w:t>(N=107)</w:t>
            </w:r>
          </w:p>
        </w:tc>
        <w:tc>
          <w:tcPr>
            <w:tcW w:w="734" w:type="pct"/>
            <w:tcBorders>
              <w:top w:val="single" w:sz="4" w:space="0" w:color="auto"/>
              <w:left w:val="nil"/>
              <w:bottom w:val="nil"/>
              <w:right w:val="nil"/>
            </w:tcBorders>
            <w:shd w:val="clear" w:color="auto" w:fill="FFFFFF"/>
          </w:tcPr>
          <w:p w14:paraId="61460828"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Fully met</w:t>
            </w:r>
          </w:p>
        </w:tc>
        <w:tc>
          <w:tcPr>
            <w:tcW w:w="734" w:type="pct"/>
            <w:tcBorders>
              <w:top w:val="single" w:sz="4" w:space="0" w:color="auto"/>
              <w:left w:val="nil"/>
              <w:bottom w:val="nil"/>
              <w:right w:val="nil"/>
            </w:tcBorders>
            <w:shd w:val="clear" w:color="auto" w:fill="FFFFFF"/>
          </w:tcPr>
          <w:p w14:paraId="56B3D2F4"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16</w:t>
            </w:r>
          </w:p>
        </w:tc>
        <w:tc>
          <w:tcPr>
            <w:tcW w:w="604" w:type="pct"/>
            <w:tcBorders>
              <w:top w:val="single" w:sz="4" w:space="0" w:color="auto"/>
              <w:left w:val="nil"/>
              <w:bottom w:val="nil"/>
              <w:right w:val="nil"/>
            </w:tcBorders>
            <w:shd w:val="clear" w:color="auto" w:fill="FFFFFF"/>
          </w:tcPr>
          <w:p w14:paraId="4BB0AE1C" w14:textId="77777777" w:rsidR="00F42795" w:rsidRPr="009B00B8" w:rsidRDefault="00F42795" w:rsidP="00D95CCF">
            <w:pPr>
              <w:autoSpaceDE w:val="0"/>
              <w:autoSpaceDN w:val="0"/>
              <w:adjustRightInd w:val="0"/>
              <w:ind w:right="60"/>
              <w:jc w:val="center"/>
              <w:rPr>
                <w:sz w:val="18"/>
                <w:szCs w:val="18"/>
              </w:rPr>
            </w:pPr>
            <w:r w:rsidRPr="009B00B8">
              <w:rPr>
                <w:sz w:val="18"/>
                <w:szCs w:val="18"/>
              </w:rPr>
              <w:t>14.8</w:t>
            </w:r>
          </w:p>
        </w:tc>
        <w:tc>
          <w:tcPr>
            <w:tcW w:w="1139" w:type="pct"/>
            <w:tcBorders>
              <w:top w:val="single" w:sz="4" w:space="0" w:color="auto"/>
              <w:left w:val="nil"/>
              <w:bottom w:val="nil"/>
              <w:right w:val="nil"/>
            </w:tcBorders>
            <w:shd w:val="clear" w:color="auto" w:fill="FFFFFF"/>
          </w:tcPr>
          <w:p w14:paraId="54144F59" w14:textId="77777777" w:rsidR="00F42795" w:rsidRPr="009B00B8" w:rsidRDefault="00F42795" w:rsidP="00D95CCF">
            <w:pPr>
              <w:jc w:val="center"/>
              <w:rPr>
                <w:sz w:val="18"/>
                <w:szCs w:val="18"/>
              </w:rPr>
            </w:pPr>
            <w:r w:rsidRPr="009B00B8">
              <w:rPr>
                <w:sz w:val="18"/>
                <w:szCs w:val="18"/>
              </w:rPr>
              <w:t>14.8</w:t>
            </w:r>
          </w:p>
        </w:tc>
      </w:tr>
      <w:tr w:rsidR="00F42795" w14:paraId="2D5EC0F7" w14:textId="77777777" w:rsidTr="00D95CCF">
        <w:trPr>
          <w:cantSplit/>
        </w:trPr>
        <w:tc>
          <w:tcPr>
            <w:tcW w:w="1789" w:type="pct"/>
            <w:vMerge/>
            <w:tcBorders>
              <w:top w:val="nil"/>
              <w:left w:val="nil"/>
              <w:bottom w:val="nil"/>
              <w:right w:val="nil"/>
            </w:tcBorders>
            <w:shd w:val="clear" w:color="auto" w:fill="FFFFFF"/>
          </w:tcPr>
          <w:p w14:paraId="4AAB38C4"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25ADA1C1"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Partially met</w:t>
            </w:r>
          </w:p>
        </w:tc>
        <w:tc>
          <w:tcPr>
            <w:tcW w:w="734" w:type="pct"/>
            <w:tcBorders>
              <w:top w:val="nil"/>
              <w:left w:val="nil"/>
              <w:bottom w:val="nil"/>
              <w:right w:val="nil"/>
            </w:tcBorders>
            <w:shd w:val="clear" w:color="auto" w:fill="FFFFFF"/>
          </w:tcPr>
          <w:p w14:paraId="112327D5"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39</w:t>
            </w:r>
          </w:p>
        </w:tc>
        <w:tc>
          <w:tcPr>
            <w:tcW w:w="604" w:type="pct"/>
            <w:tcBorders>
              <w:top w:val="nil"/>
              <w:left w:val="nil"/>
              <w:bottom w:val="nil"/>
              <w:right w:val="nil"/>
            </w:tcBorders>
            <w:shd w:val="clear" w:color="auto" w:fill="FFFFFF"/>
          </w:tcPr>
          <w:p w14:paraId="0CBBCB22" w14:textId="77777777" w:rsidR="00F42795" w:rsidRPr="009B00B8" w:rsidRDefault="00F42795" w:rsidP="00D95CCF">
            <w:pPr>
              <w:autoSpaceDE w:val="0"/>
              <w:autoSpaceDN w:val="0"/>
              <w:adjustRightInd w:val="0"/>
              <w:ind w:right="60"/>
              <w:jc w:val="center"/>
              <w:rPr>
                <w:b/>
                <w:bCs/>
                <w:sz w:val="18"/>
                <w:szCs w:val="18"/>
              </w:rPr>
            </w:pPr>
            <w:r w:rsidRPr="009B00B8">
              <w:rPr>
                <w:b/>
                <w:bCs/>
                <w:sz w:val="18"/>
                <w:szCs w:val="18"/>
              </w:rPr>
              <w:t>36.1*</w:t>
            </w:r>
          </w:p>
        </w:tc>
        <w:tc>
          <w:tcPr>
            <w:tcW w:w="1139" w:type="pct"/>
            <w:tcBorders>
              <w:top w:val="nil"/>
              <w:left w:val="nil"/>
              <w:bottom w:val="nil"/>
              <w:right w:val="nil"/>
            </w:tcBorders>
            <w:shd w:val="clear" w:color="auto" w:fill="FFFFFF"/>
          </w:tcPr>
          <w:p w14:paraId="1B6C8609" w14:textId="77777777" w:rsidR="00F42795" w:rsidRPr="009B00B8" w:rsidRDefault="00F42795" w:rsidP="00D95CCF">
            <w:pPr>
              <w:jc w:val="center"/>
              <w:rPr>
                <w:sz w:val="18"/>
                <w:szCs w:val="18"/>
              </w:rPr>
            </w:pPr>
            <w:r w:rsidRPr="009B00B8">
              <w:rPr>
                <w:sz w:val="18"/>
                <w:szCs w:val="18"/>
              </w:rPr>
              <w:t>50.9</w:t>
            </w:r>
          </w:p>
        </w:tc>
      </w:tr>
      <w:tr w:rsidR="00F42795" w14:paraId="32C3C1B8" w14:textId="77777777" w:rsidTr="00D95CCF">
        <w:trPr>
          <w:cantSplit/>
        </w:trPr>
        <w:tc>
          <w:tcPr>
            <w:tcW w:w="1789" w:type="pct"/>
            <w:vMerge/>
            <w:tcBorders>
              <w:top w:val="nil"/>
              <w:left w:val="nil"/>
              <w:bottom w:val="nil"/>
              <w:right w:val="nil"/>
            </w:tcBorders>
            <w:shd w:val="clear" w:color="auto" w:fill="FFFFFF"/>
          </w:tcPr>
          <w:p w14:paraId="271D9854"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356984C4"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Marginally met</w:t>
            </w:r>
          </w:p>
        </w:tc>
        <w:tc>
          <w:tcPr>
            <w:tcW w:w="734" w:type="pct"/>
            <w:tcBorders>
              <w:top w:val="nil"/>
              <w:left w:val="nil"/>
              <w:bottom w:val="nil"/>
              <w:right w:val="nil"/>
            </w:tcBorders>
            <w:shd w:val="clear" w:color="auto" w:fill="FFFFFF"/>
          </w:tcPr>
          <w:p w14:paraId="2C171A29"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31</w:t>
            </w:r>
          </w:p>
        </w:tc>
        <w:tc>
          <w:tcPr>
            <w:tcW w:w="604" w:type="pct"/>
            <w:tcBorders>
              <w:top w:val="nil"/>
              <w:left w:val="nil"/>
              <w:bottom w:val="nil"/>
              <w:right w:val="nil"/>
            </w:tcBorders>
            <w:shd w:val="clear" w:color="auto" w:fill="FFFFFF"/>
          </w:tcPr>
          <w:p w14:paraId="0D537143" w14:textId="77777777" w:rsidR="00F42795" w:rsidRPr="009B00B8" w:rsidRDefault="00F42795" w:rsidP="00D95CCF">
            <w:pPr>
              <w:autoSpaceDE w:val="0"/>
              <w:autoSpaceDN w:val="0"/>
              <w:adjustRightInd w:val="0"/>
              <w:ind w:right="60"/>
              <w:jc w:val="center"/>
              <w:rPr>
                <w:sz w:val="18"/>
                <w:szCs w:val="18"/>
              </w:rPr>
            </w:pPr>
            <w:r w:rsidRPr="009B00B8">
              <w:rPr>
                <w:sz w:val="18"/>
                <w:szCs w:val="18"/>
              </w:rPr>
              <w:t>28.7</w:t>
            </w:r>
          </w:p>
        </w:tc>
        <w:tc>
          <w:tcPr>
            <w:tcW w:w="1139" w:type="pct"/>
            <w:tcBorders>
              <w:top w:val="nil"/>
              <w:left w:val="nil"/>
              <w:bottom w:val="nil"/>
              <w:right w:val="nil"/>
            </w:tcBorders>
            <w:shd w:val="clear" w:color="auto" w:fill="FFFFFF"/>
          </w:tcPr>
          <w:p w14:paraId="552CCD10" w14:textId="77777777" w:rsidR="00F42795" w:rsidRPr="009B00B8" w:rsidRDefault="00F42795" w:rsidP="00D95CCF">
            <w:pPr>
              <w:jc w:val="center"/>
              <w:rPr>
                <w:sz w:val="18"/>
                <w:szCs w:val="18"/>
              </w:rPr>
            </w:pPr>
            <w:r w:rsidRPr="009B00B8">
              <w:rPr>
                <w:sz w:val="18"/>
                <w:szCs w:val="18"/>
              </w:rPr>
              <w:t>79.6</w:t>
            </w:r>
          </w:p>
        </w:tc>
      </w:tr>
      <w:tr w:rsidR="00F42795" w14:paraId="5689933E" w14:textId="77777777" w:rsidTr="00D95CCF">
        <w:trPr>
          <w:cantSplit/>
        </w:trPr>
        <w:tc>
          <w:tcPr>
            <w:tcW w:w="1789" w:type="pct"/>
            <w:vMerge/>
            <w:tcBorders>
              <w:top w:val="nil"/>
              <w:left w:val="nil"/>
              <w:bottom w:val="nil"/>
              <w:right w:val="nil"/>
            </w:tcBorders>
            <w:shd w:val="clear" w:color="auto" w:fill="FFFFFF"/>
          </w:tcPr>
          <w:p w14:paraId="1AEB80B2"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57B4DFC4"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Poorly met</w:t>
            </w:r>
          </w:p>
        </w:tc>
        <w:tc>
          <w:tcPr>
            <w:tcW w:w="734" w:type="pct"/>
            <w:tcBorders>
              <w:top w:val="nil"/>
              <w:left w:val="nil"/>
              <w:bottom w:val="nil"/>
              <w:right w:val="nil"/>
            </w:tcBorders>
            <w:shd w:val="clear" w:color="auto" w:fill="FFFFFF"/>
          </w:tcPr>
          <w:p w14:paraId="50F93765"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21</w:t>
            </w:r>
          </w:p>
        </w:tc>
        <w:tc>
          <w:tcPr>
            <w:tcW w:w="604" w:type="pct"/>
            <w:tcBorders>
              <w:top w:val="nil"/>
              <w:left w:val="nil"/>
              <w:bottom w:val="nil"/>
              <w:right w:val="nil"/>
            </w:tcBorders>
            <w:shd w:val="clear" w:color="auto" w:fill="FFFFFF"/>
          </w:tcPr>
          <w:p w14:paraId="03CF0BB1" w14:textId="77777777" w:rsidR="00F42795" w:rsidRPr="009B00B8" w:rsidRDefault="00F42795" w:rsidP="00D95CCF">
            <w:pPr>
              <w:autoSpaceDE w:val="0"/>
              <w:autoSpaceDN w:val="0"/>
              <w:adjustRightInd w:val="0"/>
              <w:ind w:right="60"/>
              <w:jc w:val="center"/>
              <w:rPr>
                <w:sz w:val="18"/>
                <w:szCs w:val="18"/>
              </w:rPr>
            </w:pPr>
            <w:r w:rsidRPr="009B00B8">
              <w:rPr>
                <w:sz w:val="18"/>
                <w:szCs w:val="18"/>
              </w:rPr>
              <w:t>19.4</w:t>
            </w:r>
          </w:p>
        </w:tc>
        <w:tc>
          <w:tcPr>
            <w:tcW w:w="1139" w:type="pct"/>
            <w:tcBorders>
              <w:top w:val="nil"/>
              <w:left w:val="nil"/>
              <w:bottom w:val="nil"/>
              <w:right w:val="nil"/>
            </w:tcBorders>
            <w:shd w:val="clear" w:color="auto" w:fill="FFFFFF"/>
          </w:tcPr>
          <w:p w14:paraId="39002B4A" w14:textId="77777777" w:rsidR="00F42795" w:rsidRPr="009B00B8" w:rsidRDefault="00F42795" w:rsidP="00D95CCF">
            <w:pPr>
              <w:jc w:val="center"/>
              <w:rPr>
                <w:sz w:val="18"/>
                <w:szCs w:val="18"/>
              </w:rPr>
            </w:pPr>
            <w:r w:rsidRPr="009B00B8">
              <w:rPr>
                <w:sz w:val="18"/>
                <w:szCs w:val="18"/>
              </w:rPr>
              <w:t>99.1</w:t>
            </w:r>
          </w:p>
        </w:tc>
      </w:tr>
      <w:tr w:rsidR="00F42795" w14:paraId="023B1278" w14:textId="77777777" w:rsidTr="00D95CCF">
        <w:trPr>
          <w:cantSplit/>
        </w:trPr>
        <w:tc>
          <w:tcPr>
            <w:tcW w:w="1789" w:type="pct"/>
            <w:vMerge/>
            <w:tcBorders>
              <w:top w:val="nil"/>
              <w:left w:val="nil"/>
              <w:bottom w:val="single" w:sz="4" w:space="0" w:color="auto"/>
              <w:right w:val="nil"/>
            </w:tcBorders>
            <w:shd w:val="clear" w:color="auto" w:fill="FFFFFF"/>
          </w:tcPr>
          <w:p w14:paraId="76E297CC"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6DE66AFD"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No opinion</w:t>
            </w:r>
          </w:p>
        </w:tc>
        <w:tc>
          <w:tcPr>
            <w:tcW w:w="734" w:type="pct"/>
            <w:tcBorders>
              <w:top w:val="nil"/>
              <w:left w:val="nil"/>
              <w:bottom w:val="single" w:sz="4" w:space="0" w:color="auto"/>
              <w:right w:val="nil"/>
            </w:tcBorders>
            <w:shd w:val="clear" w:color="auto" w:fill="FFFFFF"/>
          </w:tcPr>
          <w:p w14:paraId="3BA34BBE"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1</w:t>
            </w:r>
          </w:p>
        </w:tc>
        <w:tc>
          <w:tcPr>
            <w:tcW w:w="604" w:type="pct"/>
            <w:tcBorders>
              <w:top w:val="nil"/>
              <w:left w:val="nil"/>
              <w:bottom w:val="single" w:sz="4" w:space="0" w:color="auto"/>
              <w:right w:val="nil"/>
            </w:tcBorders>
            <w:shd w:val="clear" w:color="auto" w:fill="FFFFFF"/>
          </w:tcPr>
          <w:p w14:paraId="029D9E28" w14:textId="77777777" w:rsidR="00F42795" w:rsidRPr="009B00B8" w:rsidRDefault="00F42795" w:rsidP="00D95CCF">
            <w:pPr>
              <w:autoSpaceDE w:val="0"/>
              <w:autoSpaceDN w:val="0"/>
              <w:adjustRightInd w:val="0"/>
              <w:ind w:right="60"/>
              <w:jc w:val="center"/>
              <w:rPr>
                <w:sz w:val="18"/>
                <w:szCs w:val="18"/>
              </w:rPr>
            </w:pPr>
            <w:r w:rsidRPr="009B00B8">
              <w:rPr>
                <w:sz w:val="18"/>
                <w:szCs w:val="18"/>
              </w:rPr>
              <w:t>.9</w:t>
            </w:r>
          </w:p>
        </w:tc>
        <w:tc>
          <w:tcPr>
            <w:tcW w:w="1139" w:type="pct"/>
            <w:tcBorders>
              <w:top w:val="nil"/>
              <w:left w:val="nil"/>
              <w:bottom w:val="single" w:sz="4" w:space="0" w:color="auto"/>
              <w:right w:val="nil"/>
            </w:tcBorders>
            <w:shd w:val="clear" w:color="auto" w:fill="FFFFFF"/>
          </w:tcPr>
          <w:p w14:paraId="73C907BF" w14:textId="77777777" w:rsidR="00F42795" w:rsidRPr="009B00B8" w:rsidRDefault="00F42795" w:rsidP="00D95CCF">
            <w:pPr>
              <w:jc w:val="center"/>
              <w:rPr>
                <w:sz w:val="18"/>
                <w:szCs w:val="18"/>
              </w:rPr>
            </w:pPr>
            <w:r w:rsidRPr="009B00B8">
              <w:rPr>
                <w:sz w:val="18"/>
                <w:szCs w:val="18"/>
              </w:rPr>
              <w:t>100.0</w:t>
            </w:r>
          </w:p>
        </w:tc>
      </w:tr>
      <w:tr w:rsidR="00F42795" w14:paraId="60C9B922" w14:textId="77777777" w:rsidTr="00D95CCF">
        <w:trPr>
          <w:cantSplit/>
        </w:trPr>
        <w:tc>
          <w:tcPr>
            <w:tcW w:w="1789" w:type="pct"/>
            <w:vMerge w:val="restart"/>
            <w:tcBorders>
              <w:top w:val="single" w:sz="4" w:space="0" w:color="auto"/>
              <w:left w:val="nil"/>
              <w:bottom w:val="nil"/>
              <w:right w:val="nil"/>
            </w:tcBorders>
            <w:shd w:val="clear" w:color="auto" w:fill="FFFFFF"/>
          </w:tcPr>
          <w:p w14:paraId="2F40352D"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sz w:val="18"/>
                <w:szCs w:val="18"/>
              </w:rPr>
              <w:t xml:space="preserve">Effectiveness &amp; Efficiency </w:t>
            </w:r>
          </w:p>
          <w:p w14:paraId="4D44BFF0" w14:textId="77777777" w:rsidR="00F42795" w:rsidRPr="009B00B8" w:rsidRDefault="00F42795" w:rsidP="00D95CCF">
            <w:pPr>
              <w:pStyle w:val="Default"/>
              <w:rPr>
                <w:rFonts w:ascii="Times New Roman" w:hAnsi="Times New Roman" w:cs="Times New Roman"/>
                <w:sz w:val="18"/>
                <w:szCs w:val="18"/>
              </w:rPr>
            </w:pPr>
          </w:p>
          <w:p w14:paraId="61843AB2" w14:textId="77777777" w:rsidR="00F42795" w:rsidRPr="009B00B8" w:rsidRDefault="00F42795" w:rsidP="00D95CCF">
            <w:pPr>
              <w:pStyle w:val="Default"/>
              <w:rPr>
                <w:rFonts w:ascii="Times New Roman" w:hAnsi="Times New Roman" w:cs="Times New Roman"/>
                <w:sz w:val="18"/>
                <w:szCs w:val="18"/>
              </w:rPr>
            </w:pPr>
            <w:r w:rsidRPr="009B00B8">
              <w:rPr>
                <w:rFonts w:ascii="Times New Roman" w:hAnsi="Times New Roman" w:cs="Times New Roman"/>
                <w:i/>
                <w:iCs/>
                <w:sz w:val="18"/>
                <w:szCs w:val="18"/>
              </w:rPr>
              <w:t>(N=107)</w:t>
            </w:r>
          </w:p>
          <w:p w14:paraId="28CC96B5" w14:textId="77777777" w:rsidR="00F42795" w:rsidRPr="009B00B8" w:rsidRDefault="00F42795" w:rsidP="00D95CCF">
            <w:pPr>
              <w:autoSpaceDE w:val="0"/>
              <w:autoSpaceDN w:val="0"/>
              <w:adjustRightInd w:val="0"/>
              <w:ind w:right="60"/>
              <w:rPr>
                <w:color w:val="000000"/>
                <w:sz w:val="18"/>
                <w:szCs w:val="18"/>
              </w:rPr>
            </w:pPr>
          </w:p>
          <w:p w14:paraId="4BBE61A3" w14:textId="77777777" w:rsidR="00F42795" w:rsidRPr="009B00B8" w:rsidRDefault="00F42795" w:rsidP="00D95CCF">
            <w:pPr>
              <w:pStyle w:val="Default"/>
              <w:rPr>
                <w:sz w:val="18"/>
                <w:szCs w:val="18"/>
              </w:rPr>
            </w:pPr>
          </w:p>
        </w:tc>
        <w:tc>
          <w:tcPr>
            <w:tcW w:w="734" w:type="pct"/>
            <w:tcBorders>
              <w:top w:val="single" w:sz="4" w:space="0" w:color="auto"/>
              <w:left w:val="nil"/>
              <w:bottom w:val="nil"/>
              <w:right w:val="nil"/>
            </w:tcBorders>
            <w:shd w:val="clear" w:color="auto" w:fill="FFFFFF"/>
          </w:tcPr>
          <w:p w14:paraId="61B499C8" w14:textId="77777777" w:rsidR="00F42795" w:rsidRPr="009B00B8" w:rsidRDefault="00F42795" w:rsidP="00D95CCF">
            <w:pPr>
              <w:ind w:right="60"/>
              <w:rPr>
                <w:color w:val="000000"/>
                <w:sz w:val="18"/>
                <w:szCs w:val="18"/>
              </w:rPr>
            </w:pPr>
            <w:r w:rsidRPr="009B00B8">
              <w:rPr>
                <w:color w:val="000000"/>
                <w:sz w:val="18"/>
                <w:szCs w:val="18"/>
              </w:rPr>
              <w:t>Fully met</w:t>
            </w:r>
          </w:p>
        </w:tc>
        <w:tc>
          <w:tcPr>
            <w:tcW w:w="734" w:type="pct"/>
            <w:tcBorders>
              <w:top w:val="single" w:sz="4" w:space="0" w:color="auto"/>
              <w:left w:val="nil"/>
              <w:bottom w:val="nil"/>
              <w:right w:val="nil"/>
            </w:tcBorders>
            <w:shd w:val="clear" w:color="auto" w:fill="FFFFFF"/>
          </w:tcPr>
          <w:p w14:paraId="687C7940"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7</w:t>
            </w:r>
          </w:p>
        </w:tc>
        <w:tc>
          <w:tcPr>
            <w:tcW w:w="604" w:type="pct"/>
            <w:tcBorders>
              <w:top w:val="single" w:sz="4" w:space="0" w:color="auto"/>
              <w:left w:val="nil"/>
              <w:bottom w:val="nil"/>
              <w:right w:val="nil"/>
            </w:tcBorders>
            <w:shd w:val="clear" w:color="auto" w:fill="FFFFFF"/>
          </w:tcPr>
          <w:p w14:paraId="0A448629"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6.4</w:t>
            </w:r>
          </w:p>
        </w:tc>
        <w:tc>
          <w:tcPr>
            <w:tcW w:w="1139" w:type="pct"/>
            <w:tcBorders>
              <w:top w:val="single" w:sz="4" w:space="0" w:color="auto"/>
              <w:left w:val="nil"/>
              <w:bottom w:val="nil"/>
              <w:right w:val="nil"/>
            </w:tcBorders>
            <w:shd w:val="clear" w:color="auto" w:fill="FFFFFF"/>
          </w:tcPr>
          <w:p w14:paraId="01DB9AAE" w14:textId="77777777" w:rsidR="00F42795" w:rsidRPr="009B00B8" w:rsidRDefault="00F42795" w:rsidP="00D95CCF">
            <w:pPr>
              <w:autoSpaceDE w:val="0"/>
              <w:autoSpaceDN w:val="0"/>
              <w:adjustRightInd w:val="0"/>
              <w:ind w:right="60"/>
              <w:jc w:val="center"/>
              <w:rPr>
                <w:sz w:val="18"/>
                <w:szCs w:val="18"/>
              </w:rPr>
            </w:pPr>
            <w:r w:rsidRPr="009B00B8">
              <w:rPr>
                <w:sz w:val="18"/>
                <w:szCs w:val="18"/>
              </w:rPr>
              <w:t>26.2</w:t>
            </w:r>
          </w:p>
        </w:tc>
      </w:tr>
      <w:tr w:rsidR="00F42795" w14:paraId="0E63D8A5" w14:textId="77777777" w:rsidTr="00D95CCF">
        <w:trPr>
          <w:cantSplit/>
        </w:trPr>
        <w:tc>
          <w:tcPr>
            <w:tcW w:w="1789" w:type="pct"/>
            <w:vMerge/>
            <w:tcBorders>
              <w:top w:val="nil"/>
              <w:left w:val="nil"/>
              <w:bottom w:val="nil"/>
              <w:right w:val="nil"/>
            </w:tcBorders>
            <w:shd w:val="clear" w:color="auto" w:fill="FFFFFF"/>
          </w:tcPr>
          <w:p w14:paraId="35D048D6"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12871169" w14:textId="77777777" w:rsidR="00F42795" w:rsidRPr="009B00B8" w:rsidRDefault="00F42795" w:rsidP="00D95CCF">
            <w:pPr>
              <w:ind w:right="60"/>
              <w:rPr>
                <w:color w:val="000000"/>
                <w:sz w:val="18"/>
                <w:szCs w:val="18"/>
              </w:rPr>
            </w:pPr>
            <w:r w:rsidRPr="009B00B8">
              <w:rPr>
                <w:color w:val="000000"/>
                <w:sz w:val="18"/>
                <w:szCs w:val="18"/>
              </w:rPr>
              <w:t>Partially met</w:t>
            </w:r>
          </w:p>
        </w:tc>
        <w:tc>
          <w:tcPr>
            <w:tcW w:w="734" w:type="pct"/>
            <w:tcBorders>
              <w:top w:val="nil"/>
              <w:left w:val="nil"/>
              <w:bottom w:val="nil"/>
              <w:right w:val="nil"/>
            </w:tcBorders>
            <w:shd w:val="clear" w:color="auto" w:fill="FFFFFF"/>
          </w:tcPr>
          <w:p w14:paraId="62B3B08D"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40</w:t>
            </w:r>
          </w:p>
        </w:tc>
        <w:tc>
          <w:tcPr>
            <w:tcW w:w="604" w:type="pct"/>
            <w:tcBorders>
              <w:top w:val="nil"/>
              <w:left w:val="nil"/>
              <w:bottom w:val="nil"/>
              <w:right w:val="nil"/>
            </w:tcBorders>
            <w:shd w:val="clear" w:color="auto" w:fill="FFFFFF"/>
          </w:tcPr>
          <w:p w14:paraId="2288EF09" w14:textId="77777777" w:rsidR="00F42795" w:rsidRPr="009B00B8" w:rsidRDefault="00F42795" w:rsidP="00D95CCF">
            <w:pPr>
              <w:pStyle w:val="Default"/>
              <w:jc w:val="center"/>
              <w:rPr>
                <w:rFonts w:ascii="Times New Roman" w:hAnsi="Times New Roman" w:cs="Times New Roman"/>
                <w:b/>
                <w:bCs/>
                <w:sz w:val="18"/>
                <w:szCs w:val="18"/>
              </w:rPr>
            </w:pPr>
            <w:r w:rsidRPr="009B00B8">
              <w:rPr>
                <w:rFonts w:ascii="Times New Roman" w:hAnsi="Times New Roman" w:cs="Times New Roman"/>
                <w:b/>
                <w:bCs/>
                <w:sz w:val="18"/>
                <w:szCs w:val="18"/>
              </w:rPr>
              <w:t>36.4*</w:t>
            </w:r>
          </w:p>
        </w:tc>
        <w:tc>
          <w:tcPr>
            <w:tcW w:w="1139" w:type="pct"/>
            <w:tcBorders>
              <w:top w:val="nil"/>
              <w:left w:val="nil"/>
              <w:bottom w:val="nil"/>
              <w:right w:val="nil"/>
            </w:tcBorders>
            <w:shd w:val="clear" w:color="auto" w:fill="FFFFFF"/>
          </w:tcPr>
          <w:p w14:paraId="7A46EFA0" w14:textId="77777777" w:rsidR="00F42795" w:rsidRPr="009B00B8" w:rsidRDefault="00F42795" w:rsidP="00D95CCF">
            <w:pPr>
              <w:autoSpaceDE w:val="0"/>
              <w:autoSpaceDN w:val="0"/>
              <w:adjustRightInd w:val="0"/>
              <w:ind w:right="60"/>
              <w:jc w:val="center"/>
              <w:rPr>
                <w:sz w:val="18"/>
                <w:szCs w:val="18"/>
              </w:rPr>
            </w:pPr>
            <w:r w:rsidRPr="009B00B8">
              <w:rPr>
                <w:sz w:val="18"/>
                <w:szCs w:val="18"/>
              </w:rPr>
              <w:t>56.1</w:t>
            </w:r>
          </w:p>
        </w:tc>
      </w:tr>
      <w:tr w:rsidR="00F42795" w14:paraId="71143295" w14:textId="77777777" w:rsidTr="00D95CCF">
        <w:trPr>
          <w:cantSplit/>
        </w:trPr>
        <w:tc>
          <w:tcPr>
            <w:tcW w:w="1789" w:type="pct"/>
            <w:vMerge/>
            <w:tcBorders>
              <w:top w:val="nil"/>
              <w:left w:val="nil"/>
              <w:bottom w:val="nil"/>
              <w:right w:val="nil"/>
            </w:tcBorders>
            <w:shd w:val="clear" w:color="auto" w:fill="FFFFFF"/>
          </w:tcPr>
          <w:p w14:paraId="277AEDD0"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3201FD0F" w14:textId="77777777" w:rsidR="00F42795" w:rsidRPr="009B00B8" w:rsidRDefault="00F42795" w:rsidP="00D95CCF">
            <w:pPr>
              <w:ind w:right="60"/>
              <w:rPr>
                <w:color w:val="000000"/>
                <w:sz w:val="18"/>
                <w:szCs w:val="18"/>
              </w:rPr>
            </w:pPr>
            <w:r w:rsidRPr="009B00B8">
              <w:rPr>
                <w:color w:val="000000"/>
                <w:sz w:val="18"/>
                <w:szCs w:val="18"/>
              </w:rPr>
              <w:t>Marginally met</w:t>
            </w:r>
          </w:p>
        </w:tc>
        <w:tc>
          <w:tcPr>
            <w:tcW w:w="734" w:type="pct"/>
            <w:tcBorders>
              <w:top w:val="nil"/>
              <w:left w:val="nil"/>
              <w:bottom w:val="nil"/>
              <w:right w:val="nil"/>
            </w:tcBorders>
            <w:shd w:val="clear" w:color="auto" w:fill="FFFFFF"/>
          </w:tcPr>
          <w:p w14:paraId="115600A5"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32</w:t>
            </w:r>
          </w:p>
        </w:tc>
        <w:tc>
          <w:tcPr>
            <w:tcW w:w="604" w:type="pct"/>
            <w:tcBorders>
              <w:top w:val="nil"/>
              <w:left w:val="nil"/>
              <w:bottom w:val="nil"/>
              <w:right w:val="nil"/>
            </w:tcBorders>
            <w:shd w:val="clear" w:color="auto" w:fill="FFFFFF"/>
          </w:tcPr>
          <w:p w14:paraId="2B636567"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29.1</w:t>
            </w:r>
          </w:p>
        </w:tc>
        <w:tc>
          <w:tcPr>
            <w:tcW w:w="1139" w:type="pct"/>
            <w:tcBorders>
              <w:top w:val="nil"/>
              <w:left w:val="nil"/>
              <w:bottom w:val="nil"/>
              <w:right w:val="nil"/>
            </w:tcBorders>
            <w:shd w:val="clear" w:color="auto" w:fill="FFFFFF"/>
          </w:tcPr>
          <w:p w14:paraId="1F35E162" w14:textId="77777777" w:rsidR="00F42795" w:rsidRPr="009B00B8" w:rsidRDefault="00F42795" w:rsidP="00D95CCF">
            <w:pPr>
              <w:autoSpaceDE w:val="0"/>
              <w:autoSpaceDN w:val="0"/>
              <w:adjustRightInd w:val="0"/>
              <w:ind w:right="60"/>
              <w:jc w:val="center"/>
              <w:rPr>
                <w:sz w:val="18"/>
                <w:szCs w:val="18"/>
              </w:rPr>
            </w:pPr>
            <w:r w:rsidRPr="009B00B8">
              <w:rPr>
                <w:sz w:val="18"/>
                <w:szCs w:val="18"/>
              </w:rPr>
              <w:t>93.5</w:t>
            </w:r>
          </w:p>
        </w:tc>
      </w:tr>
      <w:tr w:rsidR="00F42795" w14:paraId="72E4A7B7" w14:textId="77777777" w:rsidTr="00D95CCF">
        <w:trPr>
          <w:cantSplit/>
        </w:trPr>
        <w:tc>
          <w:tcPr>
            <w:tcW w:w="1789" w:type="pct"/>
            <w:vMerge/>
            <w:tcBorders>
              <w:top w:val="nil"/>
              <w:left w:val="nil"/>
              <w:bottom w:val="nil"/>
              <w:right w:val="nil"/>
            </w:tcBorders>
            <w:shd w:val="clear" w:color="auto" w:fill="FFFFFF"/>
          </w:tcPr>
          <w:p w14:paraId="2EE570FF"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nil"/>
              <w:right w:val="nil"/>
            </w:tcBorders>
            <w:shd w:val="clear" w:color="auto" w:fill="FFFFFF"/>
          </w:tcPr>
          <w:p w14:paraId="332CABA6" w14:textId="77777777" w:rsidR="00F42795" w:rsidRPr="009B00B8" w:rsidRDefault="00F42795" w:rsidP="00D95CCF">
            <w:pPr>
              <w:ind w:right="60"/>
              <w:rPr>
                <w:color w:val="000000"/>
                <w:sz w:val="18"/>
                <w:szCs w:val="18"/>
              </w:rPr>
            </w:pPr>
            <w:r w:rsidRPr="009B00B8">
              <w:rPr>
                <w:color w:val="000000"/>
                <w:sz w:val="18"/>
                <w:szCs w:val="18"/>
              </w:rPr>
              <w:t>Poorly met</w:t>
            </w:r>
          </w:p>
        </w:tc>
        <w:tc>
          <w:tcPr>
            <w:tcW w:w="734" w:type="pct"/>
            <w:tcBorders>
              <w:top w:val="nil"/>
              <w:left w:val="nil"/>
              <w:bottom w:val="nil"/>
              <w:right w:val="nil"/>
            </w:tcBorders>
            <w:shd w:val="clear" w:color="auto" w:fill="FFFFFF"/>
          </w:tcPr>
          <w:p w14:paraId="53C1BDF2"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28</w:t>
            </w:r>
          </w:p>
        </w:tc>
        <w:tc>
          <w:tcPr>
            <w:tcW w:w="604" w:type="pct"/>
            <w:tcBorders>
              <w:top w:val="nil"/>
              <w:left w:val="nil"/>
              <w:bottom w:val="nil"/>
              <w:right w:val="nil"/>
            </w:tcBorders>
            <w:shd w:val="clear" w:color="auto" w:fill="FFFFFF"/>
          </w:tcPr>
          <w:p w14:paraId="4AA0C10F"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25.5</w:t>
            </w:r>
          </w:p>
        </w:tc>
        <w:tc>
          <w:tcPr>
            <w:tcW w:w="1139" w:type="pct"/>
            <w:tcBorders>
              <w:top w:val="nil"/>
              <w:left w:val="nil"/>
              <w:bottom w:val="nil"/>
              <w:right w:val="nil"/>
            </w:tcBorders>
            <w:shd w:val="clear" w:color="auto" w:fill="FFFFFF"/>
          </w:tcPr>
          <w:p w14:paraId="141B359E" w14:textId="77777777" w:rsidR="00F42795" w:rsidRPr="009B00B8" w:rsidRDefault="00F42795" w:rsidP="00D95CCF">
            <w:pPr>
              <w:autoSpaceDE w:val="0"/>
              <w:autoSpaceDN w:val="0"/>
              <w:adjustRightInd w:val="0"/>
              <w:ind w:right="60"/>
              <w:jc w:val="center"/>
              <w:rPr>
                <w:sz w:val="18"/>
                <w:szCs w:val="18"/>
              </w:rPr>
            </w:pPr>
            <w:r w:rsidRPr="009B00B8">
              <w:rPr>
                <w:sz w:val="18"/>
                <w:szCs w:val="18"/>
              </w:rPr>
              <w:t>100.0</w:t>
            </w:r>
          </w:p>
        </w:tc>
      </w:tr>
      <w:tr w:rsidR="00F42795" w14:paraId="415F632B" w14:textId="77777777" w:rsidTr="00D95CCF">
        <w:trPr>
          <w:cantSplit/>
          <w:trHeight w:val="90"/>
        </w:trPr>
        <w:tc>
          <w:tcPr>
            <w:tcW w:w="1789" w:type="pct"/>
            <w:vMerge/>
            <w:tcBorders>
              <w:top w:val="nil"/>
              <w:left w:val="nil"/>
              <w:bottom w:val="single" w:sz="4" w:space="0" w:color="auto"/>
              <w:right w:val="nil"/>
            </w:tcBorders>
            <w:shd w:val="clear" w:color="auto" w:fill="FFFFFF"/>
          </w:tcPr>
          <w:p w14:paraId="490315F6" w14:textId="77777777" w:rsidR="00F42795" w:rsidRPr="009B00B8" w:rsidRDefault="00F42795" w:rsidP="00D95CCF">
            <w:pPr>
              <w:autoSpaceDE w:val="0"/>
              <w:autoSpaceDN w:val="0"/>
              <w:adjustRightInd w:val="0"/>
              <w:ind w:right="60"/>
              <w:rPr>
                <w:color w:val="000000"/>
                <w:sz w:val="18"/>
                <w:szCs w:val="18"/>
              </w:rPr>
            </w:pPr>
          </w:p>
        </w:tc>
        <w:tc>
          <w:tcPr>
            <w:tcW w:w="734" w:type="pct"/>
            <w:tcBorders>
              <w:top w:val="nil"/>
              <w:left w:val="nil"/>
              <w:bottom w:val="single" w:sz="4" w:space="0" w:color="auto"/>
              <w:right w:val="nil"/>
            </w:tcBorders>
            <w:shd w:val="clear" w:color="auto" w:fill="FFFFFF"/>
          </w:tcPr>
          <w:p w14:paraId="166E4939" w14:textId="77777777" w:rsidR="00F42795" w:rsidRPr="009B00B8" w:rsidRDefault="00F42795" w:rsidP="00D95CCF">
            <w:pPr>
              <w:ind w:right="60"/>
              <w:rPr>
                <w:color w:val="000000"/>
                <w:sz w:val="18"/>
                <w:szCs w:val="18"/>
              </w:rPr>
            </w:pPr>
            <w:r w:rsidRPr="009B00B8">
              <w:rPr>
                <w:color w:val="000000"/>
                <w:sz w:val="18"/>
                <w:szCs w:val="18"/>
              </w:rPr>
              <w:t>No opinion</w:t>
            </w:r>
          </w:p>
        </w:tc>
        <w:tc>
          <w:tcPr>
            <w:tcW w:w="734" w:type="pct"/>
            <w:tcBorders>
              <w:top w:val="nil"/>
              <w:left w:val="nil"/>
              <w:bottom w:val="single" w:sz="4" w:space="0" w:color="auto"/>
              <w:right w:val="nil"/>
            </w:tcBorders>
            <w:shd w:val="clear" w:color="auto" w:fill="FFFFFF"/>
          </w:tcPr>
          <w:p w14:paraId="1FFBD4CB"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3</w:t>
            </w:r>
          </w:p>
        </w:tc>
        <w:tc>
          <w:tcPr>
            <w:tcW w:w="604" w:type="pct"/>
            <w:tcBorders>
              <w:top w:val="nil"/>
              <w:left w:val="nil"/>
              <w:bottom w:val="single" w:sz="4" w:space="0" w:color="auto"/>
              <w:right w:val="nil"/>
            </w:tcBorders>
            <w:shd w:val="clear" w:color="auto" w:fill="FFFFFF"/>
          </w:tcPr>
          <w:p w14:paraId="1B1F355B" w14:textId="77777777" w:rsidR="00F42795" w:rsidRPr="009B00B8" w:rsidRDefault="00F42795" w:rsidP="00D95CCF">
            <w:pPr>
              <w:pStyle w:val="Default"/>
              <w:jc w:val="center"/>
              <w:rPr>
                <w:rFonts w:ascii="Times New Roman" w:hAnsi="Times New Roman" w:cs="Times New Roman"/>
                <w:sz w:val="18"/>
                <w:szCs w:val="18"/>
              </w:rPr>
            </w:pPr>
            <w:r w:rsidRPr="009B00B8">
              <w:rPr>
                <w:rFonts w:ascii="Times New Roman" w:hAnsi="Times New Roman" w:cs="Times New Roman"/>
                <w:sz w:val="18"/>
                <w:szCs w:val="18"/>
              </w:rPr>
              <w:t>2.7</w:t>
            </w:r>
          </w:p>
        </w:tc>
        <w:tc>
          <w:tcPr>
            <w:tcW w:w="1139" w:type="pct"/>
            <w:tcBorders>
              <w:top w:val="nil"/>
              <w:left w:val="nil"/>
              <w:bottom w:val="single" w:sz="4" w:space="0" w:color="auto"/>
              <w:right w:val="nil"/>
            </w:tcBorders>
            <w:shd w:val="clear" w:color="auto" w:fill="FFFFFF"/>
          </w:tcPr>
          <w:p w14:paraId="174EB416" w14:textId="77777777" w:rsidR="00F42795" w:rsidRPr="009B00B8" w:rsidRDefault="00F42795" w:rsidP="00D95CCF">
            <w:pPr>
              <w:autoSpaceDE w:val="0"/>
              <w:autoSpaceDN w:val="0"/>
              <w:adjustRightInd w:val="0"/>
              <w:ind w:right="60"/>
              <w:jc w:val="center"/>
              <w:rPr>
                <w:sz w:val="18"/>
                <w:szCs w:val="18"/>
              </w:rPr>
            </w:pPr>
          </w:p>
        </w:tc>
      </w:tr>
    </w:tbl>
    <w:tbl>
      <w:tblPr>
        <w:tblStyle w:val="TableGrid"/>
        <w:tblpPr w:leftFromText="180" w:rightFromText="180" w:vertAnchor="text" w:horzAnchor="margin" w:tblpY="4"/>
        <w:tblW w:w="9805" w:type="dxa"/>
        <w:tblLook w:val="04A0" w:firstRow="1" w:lastRow="0" w:firstColumn="1" w:lastColumn="0" w:noHBand="0" w:noVBand="1"/>
      </w:tblPr>
      <w:tblGrid>
        <w:gridCol w:w="9805"/>
      </w:tblGrid>
      <w:tr w:rsidR="00F42795" w14:paraId="3176AC22" w14:textId="77777777" w:rsidTr="00D95CCF">
        <w:trPr>
          <w:trHeight w:val="773"/>
        </w:trPr>
        <w:tc>
          <w:tcPr>
            <w:tcW w:w="9805" w:type="dxa"/>
          </w:tcPr>
          <w:p w14:paraId="036C44C9" w14:textId="77777777" w:rsidR="00F42795" w:rsidRPr="00ED43E2" w:rsidRDefault="00F42795" w:rsidP="00D95CCF">
            <w:pPr>
              <w:pStyle w:val="Default"/>
              <w:rPr>
                <w:rFonts w:ascii="Times New Roman" w:hAnsi="Times New Roman" w:cs="Times New Roman"/>
                <w:i/>
                <w:iCs/>
                <w:color w:val="000000" w:themeColor="text1"/>
                <w:sz w:val="18"/>
                <w:szCs w:val="18"/>
              </w:rPr>
            </w:pPr>
            <w:r w:rsidRPr="00ED43E2">
              <w:rPr>
                <w:rFonts w:ascii="Times New Roman" w:hAnsi="Times New Roman" w:cs="Times New Roman"/>
                <w:i/>
                <w:iCs/>
                <w:color w:val="000000" w:themeColor="text1"/>
                <w:sz w:val="18"/>
                <w:szCs w:val="18"/>
              </w:rPr>
              <w:t>*Linkages &amp; coordination= partially met, *Public participation = partially met, *</w:t>
            </w:r>
            <w:r w:rsidRPr="00ED43E2">
              <w:rPr>
                <w:rFonts w:ascii="Times New Roman" w:hAnsi="Times New Roman" w:cs="Times New Roman"/>
                <w:sz w:val="18"/>
                <w:szCs w:val="18"/>
              </w:rPr>
              <w:t xml:space="preserve"> </w:t>
            </w:r>
            <w:r w:rsidRPr="00ED43E2">
              <w:rPr>
                <w:rFonts w:ascii="Times New Roman" w:hAnsi="Times New Roman" w:cs="Times New Roman"/>
                <w:i/>
                <w:iCs/>
                <w:color w:val="000000" w:themeColor="text1"/>
                <w:sz w:val="18"/>
                <w:szCs w:val="18"/>
              </w:rPr>
              <w:t>Responsiveness= partially met, * Consensus oriented= partially met, *Equity=partially met, * Accountability oriented = marginally &amp; partially met, * Transparency=poorly met, * Legitimacy =partially met, * Effectiveness &amp; efficiency = partially met</w:t>
            </w:r>
          </w:p>
          <w:p w14:paraId="6B979687" w14:textId="77777777" w:rsidR="00F42795" w:rsidRPr="00C55BF7" w:rsidRDefault="00F42795" w:rsidP="00D95CCF">
            <w:pPr>
              <w:pStyle w:val="Default"/>
              <w:rPr>
                <w:rFonts w:ascii="Times New Roman" w:hAnsi="Times New Roman" w:cs="Times New Roman"/>
                <w:i/>
                <w:iCs/>
                <w:color w:val="000000" w:themeColor="text1"/>
                <w:sz w:val="18"/>
                <w:szCs w:val="18"/>
              </w:rPr>
            </w:pPr>
            <w:r w:rsidRPr="00ED43E2">
              <w:rPr>
                <w:rFonts w:ascii="Times New Roman" w:hAnsi="Times New Roman" w:cs="Times New Roman"/>
                <w:i/>
                <w:iCs/>
                <w:color w:val="000000" w:themeColor="text1"/>
                <w:sz w:val="18"/>
                <w:szCs w:val="18"/>
              </w:rPr>
              <w:t>N= Total Number of participants</w:t>
            </w:r>
          </w:p>
        </w:tc>
      </w:tr>
    </w:tbl>
    <w:p w14:paraId="6F59C4CF" w14:textId="77777777" w:rsidR="00F42795" w:rsidRPr="00E174F4" w:rsidRDefault="00F42795" w:rsidP="00F42795">
      <w:pPr>
        <w:spacing w:line="480" w:lineRule="auto"/>
        <w:jc w:val="both"/>
        <w:rPr>
          <w:color w:val="000000" w:themeColor="text1"/>
          <w:lang w:val="en-US"/>
        </w:rPr>
      </w:pPr>
    </w:p>
    <w:p w14:paraId="440623E7" w14:textId="77777777" w:rsidR="00420E86" w:rsidRPr="00E174F4" w:rsidRDefault="000C172D" w:rsidP="00420E86">
      <w:pPr>
        <w:pStyle w:val="Heading4"/>
        <w:numPr>
          <w:ilvl w:val="0"/>
          <w:numId w:val="0"/>
        </w:numPr>
        <w:rPr>
          <w:rFonts w:cs="Times New Roman"/>
        </w:rPr>
      </w:pPr>
      <w:r w:rsidRPr="00E174F4">
        <w:rPr>
          <w:rFonts w:cs="Times New Roman"/>
        </w:rPr>
        <w:t>4.3.2.1 Rule of Law</w:t>
      </w:r>
    </w:p>
    <w:p w14:paraId="3A9C3B58" w14:textId="77777777" w:rsidR="00420E86" w:rsidRPr="00E174F4" w:rsidRDefault="00420E86" w:rsidP="00420E86"/>
    <w:p w14:paraId="169D846D" w14:textId="121D6333" w:rsidR="00420E86" w:rsidRPr="007A13CB" w:rsidRDefault="000C172D" w:rsidP="00420E86">
      <w:pPr>
        <w:spacing w:line="480" w:lineRule="auto"/>
        <w:jc w:val="both"/>
        <w:rPr>
          <w:i/>
          <w:iCs/>
        </w:rPr>
      </w:pPr>
      <w:r w:rsidRPr="00AD1AD1">
        <w:rPr>
          <w:color w:val="000000" w:themeColor="text1"/>
        </w:rPr>
        <w:t xml:space="preserve">The rule of law indicator is defined as the extent to which the EIA process is based on a good and impartial legal system that protects the environment and its people. </w:t>
      </w:r>
      <w:r w:rsidR="008F14F1">
        <w:rPr>
          <w:color w:val="000000" w:themeColor="text1"/>
        </w:rPr>
        <w:t>The results</w:t>
      </w:r>
      <w:r w:rsidRPr="00AD1AD1">
        <w:rPr>
          <w:color w:val="000000" w:themeColor="text1"/>
        </w:rPr>
        <w:t xml:space="preserve"> show that 45.9% of participants </w:t>
      </w:r>
      <w:r w:rsidR="00485124">
        <w:rPr>
          <w:color w:val="000000" w:themeColor="text1"/>
        </w:rPr>
        <w:t>rated</w:t>
      </w:r>
      <w:r w:rsidR="00485124" w:rsidRPr="00AD1AD1">
        <w:rPr>
          <w:color w:val="000000" w:themeColor="text1"/>
        </w:rPr>
        <w:t xml:space="preserve"> </w:t>
      </w:r>
      <w:r w:rsidR="00485124">
        <w:rPr>
          <w:color w:val="000000" w:themeColor="text1"/>
        </w:rPr>
        <w:t>the</w:t>
      </w:r>
      <w:r w:rsidR="009A1D86">
        <w:rPr>
          <w:color w:val="000000" w:themeColor="text1"/>
        </w:rPr>
        <w:t xml:space="preserve"> principle of the </w:t>
      </w:r>
      <w:r w:rsidRPr="00AD1AD1">
        <w:rPr>
          <w:color w:val="000000" w:themeColor="text1"/>
        </w:rPr>
        <w:t xml:space="preserve">rule of law </w:t>
      </w:r>
      <w:r w:rsidR="008F14F1">
        <w:rPr>
          <w:color w:val="000000" w:themeColor="text1"/>
        </w:rPr>
        <w:t xml:space="preserve">in the Namibia EIA system </w:t>
      </w:r>
      <w:r w:rsidR="009A1D86">
        <w:rPr>
          <w:color w:val="000000" w:themeColor="text1"/>
        </w:rPr>
        <w:t>a</w:t>
      </w:r>
      <w:r w:rsidRPr="00AD1AD1">
        <w:rPr>
          <w:color w:val="000000" w:themeColor="text1"/>
        </w:rPr>
        <w:t xml:space="preserve">s partially met. </w:t>
      </w:r>
      <w:r w:rsidRPr="00AD1AD1">
        <w:t xml:space="preserve">A government scientist </w:t>
      </w:r>
      <w:r>
        <w:t>assert</w:t>
      </w:r>
      <w:r w:rsidR="005E6ECC">
        <w:t>ed</w:t>
      </w:r>
      <w:r>
        <w:t xml:space="preserve"> that</w:t>
      </w:r>
      <w:r w:rsidRPr="00AD1AD1">
        <w:t xml:space="preserve">: </w:t>
      </w:r>
      <w:r w:rsidRPr="00AD1AD1">
        <w:rPr>
          <w:i/>
          <w:iCs/>
        </w:rPr>
        <w:t>"I feel that the Namibia EIA process is not satisfying good governance qualities therefore it's a no, the rule of law is in place, but with various gaps, and no effort is made to evaluate the legislation."</w:t>
      </w:r>
      <w:r w:rsidR="00521D5E">
        <w:rPr>
          <w:i/>
          <w:iCs/>
        </w:rPr>
        <w:t xml:space="preserve"> [GovS1).</w:t>
      </w:r>
      <w:r w:rsidR="008F14F1">
        <w:rPr>
          <w:i/>
          <w:iCs/>
        </w:rPr>
        <w:t xml:space="preserve"> </w:t>
      </w:r>
      <w:r w:rsidRPr="007A13CB">
        <w:t xml:space="preserve">Another </w:t>
      </w:r>
      <w:r w:rsidR="00521D5E">
        <w:t xml:space="preserve">Government </w:t>
      </w:r>
      <w:r w:rsidRPr="007A13CB">
        <w:t xml:space="preserve">senior scientist </w:t>
      </w:r>
      <w:r w:rsidR="008F14F1">
        <w:t>also indicated</w:t>
      </w:r>
      <w:r w:rsidRPr="007A13CB">
        <w:t xml:space="preserve"> that </w:t>
      </w:r>
      <w:r w:rsidR="008F14F1">
        <w:t xml:space="preserve">while </w:t>
      </w:r>
      <w:r>
        <w:t xml:space="preserve">environmental laws </w:t>
      </w:r>
      <w:r w:rsidR="004828C3">
        <w:t>exist</w:t>
      </w:r>
      <w:r w:rsidR="008F14F1">
        <w:t>,</w:t>
      </w:r>
      <w:r>
        <w:t xml:space="preserve"> </w:t>
      </w:r>
      <w:r w:rsidR="008F14F1">
        <w:t xml:space="preserve">they </w:t>
      </w:r>
      <w:r>
        <w:t>are not respected</w:t>
      </w:r>
      <w:r w:rsidR="008F14F1">
        <w:t>. The senior scientist</w:t>
      </w:r>
      <w:r>
        <w:t xml:space="preserve"> </w:t>
      </w:r>
      <w:r w:rsidR="008F14F1">
        <w:t xml:space="preserve">pointed out developments that have not followed environmental </w:t>
      </w:r>
      <w:r w:rsidR="005E6ECC">
        <w:t xml:space="preserve">impact assessment recommendations </w:t>
      </w:r>
      <w:r w:rsidR="008F14F1">
        <w:t>saying</w:t>
      </w:r>
      <w:r w:rsidR="005E6ECC">
        <w:t>:</w:t>
      </w:r>
      <w:r w:rsidR="008F14F1">
        <w:t xml:space="preserve"> “</w:t>
      </w:r>
      <w:r w:rsidRPr="00420E86">
        <w:rPr>
          <w:i/>
          <w:iCs/>
        </w:rPr>
        <w:t>Look at coastal developments, there is multimillion-dollar development that should never have</w:t>
      </w:r>
      <w:r w:rsidRPr="007A13CB">
        <w:rPr>
          <w:i/>
          <w:iCs/>
        </w:rPr>
        <w:t xml:space="preserve"> happened</w:t>
      </w:r>
      <w:r w:rsidR="008F14F1">
        <w:rPr>
          <w:i/>
          <w:iCs/>
        </w:rPr>
        <w:t>, for example</w:t>
      </w:r>
      <w:r w:rsidRPr="007A13CB">
        <w:rPr>
          <w:i/>
          <w:iCs/>
        </w:rPr>
        <w:t>, the Container terminal project, and the Platz A</w:t>
      </w:r>
      <w:r>
        <w:rPr>
          <w:i/>
          <w:iCs/>
        </w:rPr>
        <w:t>-</w:t>
      </w:r>
      <w:proofErr w:type="spellStart"/>
      <w:r w:rsidRPr="007A13CB">
        <w:rPr>
          <w:i/>
          <w:iCs/>
        </w:rPr>
        <w:t>meer</w:t>
      </w:r>
      <w:proofErr w:type="spellEnd"/>
      <w:r w:rsidRPr="007A13CB">
        <w:rPr>
          <w:i/>
          <w:iCs/>
        </w:rPr>
        <w:t xml:space="preserve"> raft extension was not part of the initial EIA</w:t>
      </w:r>
      <w:r w:rsidR="005E6ECC">
        <w:rPr>
          <w:i/>
          <w:iCs/>
        </w:rPr>
        <w:t>.</w:t>
      </w:r>
      <w:r w:rsidR="008F14F1">
        <w:rPr>
          <w:i/>
          <w:iCs/>
        </w:rPr>
        <w:t xml:space="preserve"> </w:t>
      </w:r>
      <w:r w:rsidR="005E6ECC">
        <w:rPr>
          <w:i/>
          <w:iCs/>
        </w:rPr>
        <w:t>I</w:t>
      </w:r>
      <w:r w:rsidR="008F14F1">
        <w:rPr>
          <w:i/>
          <w:iCs/>
        </w:rPr>
        <w:t xml:space="preserve">n those </w:t>
      </w:r>
      <w:r w:rsidR="007372A6">
        <w:rPr>
          <w:i/>
          <w:iCs/>
        </w:rPr>
        <w:t>instances,</w:t>
      </w:r>
      <w:r w:rsidR="008F14F1">
        <w:rPr>
          <w:i/>
          <w:iCs/>
        </w:rPr>
        <w:t xml:space="preserve"> the environmental</w:t>
      </w:r>
      <w:r w:rsidRPr="007A13CB">
        <w:rPr>
          <w:i/>
          <w:iCs/>
        </w:rPr>
        <w:t xml:space="preserve"> rules </w:t>
      </w:r>
      <w:r w:rsidR="008F14F1">
        <w:rPr>
          <w:i/>
          <w:iCs/>
        </w:rPr>
        <w:t>were</w:t>
      </w:r>
      <w:r w:rsidRPr="007A13CB">
        <w:rPr>
          <w:i/>
          <w:iCs/>
        </w:rPr>
        <w:t xml:space="preserve"> not followed</w:t>
      </w:r>
      <w:r w:rsidR="008F14F1">
        <w:rPr>
          <w:i/>
          <w:iCs/>
        </w:rPr>
        <w:t>”</w:t>
      </w:r>
      <w:r w:rsidR="00521D5E">
        <w:rPr>
          <w:i/>
          <w:iCs/>
        </w:rPr>
        <w:t xml:space="preserve"> [GovSS1</w:t>
      </w:r>
      <w:r w:rsidR="007372A6">
        <w:rPr>
          <w:i/>
          <w:iCs/>
        </w:rPr>
        <w:t>].</w:t>
      </w:r>
    </w:p>
    <w:p w14:paraId="33EDFAD4" w14:textId="77777777" w:rsidR="00C14276" w:rsidRDefault="00C14276" w:rsidP="006D1C10">
      <w:pPr>
        <w:spacing w:line="480" w:lineRule="auto"/>
        <w:jc w:val="both"/>
        <w:rPr>
          <w:color w:val="000000" w:themeColor="text1"/>
          <w:lang w:val="en-US"/>
        </w:rPr>
      </w:pPr>
    </w:p>
    <w:p w14:paraId="4BBC5774" w14:textId="77777777" w:rsidR="004828C3" w:rsidRDefault="004828C3" w:rsidP="006D1C10">
      <w:pPr>
        <w:spacing w:line="480" w:lineRule="auto"/>
        <w:jc w:val="both"/>
        <w:rPr>
          <w:color w:val="000000" w:themeColor="text1"/>
          <w:lang w:val="en-US"/>
        </w:rPr>
      </w:pPr>
    </w:p>
    <w:p w14:paraId="1373DF13" w14:textId="77777777" w:rsidR="004828C3" w:rsidRDefault="004828C3" w:rsidP="006D1C10">
      <w:pPr>
        <w:spacing w:line="480" w:lineRule="auto"/>
        <w:jc w:val="both"/>
        <w:rPr>
          <w:color w:val="000000" w:themeColor="text1"/>
          <w:lang w:val="en-US"/>
        </w:rPr>
      </w:pPr>
    </w:p>
    <w:p w14:paraId="10775C68" w14:textId="77777777" w:rsidR="004828C3" w:rsidRDefault="004828C3" w:rsidP="006D1C10">
      <w:pPr>
        <w:spacing w:line="480" w:lineRule="auto"/>
        <w:jc w:val="both"/>
        <w:rPr>
          <w:color w:val="000000" w:themeColor="text1"/>
          <w:lang w:val="en-US"/>
        </w:rPr>
      </w:pPr>
    </w:p>
    <w:p w14:paraId="02D7C5A5" w14:textId="77777777" w:rsidR="006D1C10" w:rsidRPr="00E174F4" w:rsidRDefault="000C172D" w:rsidP="00977CF5">
      <w:pPr>
        <w:pStyle w:val="Heading4"/>
        <w:numPr>
          <w:ilvl w:val="0"/>
          <w:numId w:val="0"/>
        </w:numPr>
        <w:rPr>
          <w:rFonts w:cs="Times New Roman"/>
          <w:bCs/>
        </w:rPr>
      </w:pPr>
      <w:r w:rsidRPr="00E174F4">
        <w:rPr>
          <w:rFonts w:cs="Times New Roman"/>
          <w:bCs/>
        </w:rPr>
        <w:lastRenderedPageBreak/>
        <w:t>4.3.2.2 Coordination and Linkages</w:t>
      </w:r>
    </w:p>
    <w:p w14:paraId="2AC6052A" w14:textId="77777777" w:rsidR="009A6051" w:rsidRPr="00E174F4" w:rsidRDefault="009A6051" w:rsidP="0072281D">
      <w:pPr>
        <w:rPr>
          <w:b/>
        </w:rPr>
      </w:pPr>
    </w:p>
    <w:p w14:paraId="09C0D4E9" w14:textId="3C5C653C" w:rsidR="00297FF0" w:rsidRDefault="000C172D" w:rsidP="00297FF0">
      <w:pPr>
        <w:spacing w:line="480" w:lineRule="auto"/>
        <w:jc w:val="both"/>
        <w:rPr>
          <w:rFonts w:eastAsia="Calibri"/>
          <w:color w:val="000000" w:themeColor="text1"/>
        </w:rPr>
      </w:pPr>
      <w:r w:rsidRPr="007D0ED2">
        <w:rPr>
          <w:color w:val="000000" w:themeColor="text1"/>
        </w:rPr>
        <w:t xml:space="preserve">Coordination means the </w:t>
      </w:r>
      <w:r w:rsidRPr="007D0ED2">
        <w:rPr>
          <w:rFonts w:eastAsia="Calibri"/>
          <w:color w:val="000000" w:themeColor="text1"/>
          <w:lang w:val="en-US" w:eastAsia="en-GB"/>
        </w:rPr>
        <w:t>EIA process enhances appropriate coordination and communication among organizations and institutions. This element</w:t>
      </w:r>
      <w:r w:rsidR="008D58B1" w:rsidRPr="007D0ED2">
        <w:rPr>
          <w:rFonts w:eastAsia="Calibri"/>
          <w:color w:val="000000" w:themeColor="text1"/>
          <w:lang w:val="en-US" w:eastAsia="en-GB"/>
        </w:rPr>
        <w:t xml:space="preserve"> </w:t>
      </w:r>
      <w:r w:rsidR="005E6ECC">
        <w:rPr>
          <w:rFonts w:eastAsia="Calibri"/>
          <w:color w:val="000000" w:themeColor="text1"/>
          <w:lang w:val="en-US" w:eastAsia="en-GB"/>
        </w:rPr>
        <w:t xml:space="preserve">was </w:t>
      </w:r>
      <w:r w:rsidR="008D58B1" w:rsidRPr="007D0ED2">
        <w:rPr>
          <w:rFonts w:eastAsia="Calibri"/>
          <w:color w:val="000000" w:themeColor="text1"/>
          <w:lang w:val="en-US" w:eastAsia="en-GB"/>
        </w:rPr>
        <w:t xml:space="preserve">rated as partially </w:t>
      </w:r>
      <w:r w:rsidRPr="007D0ED2">
        <w:rPr>
          <w:rFonts w:eastAsia="Calibri"/>
          <w:color w:val="000000" w:themeColor="text1"/>
          <w:lang w:val="en-US" w:eastAsia="en-GB"/>
        </w:rPr>
        <w:t xml:space="preserve">met by </w:t>
      </w:r>
      <w:bookmarkStart w:id="17" w:name="_Hlk115948613"/>
      <w:r w:rsidR="00C60283" w:rsidRPr="007D0ED2">
        <w:rPr>
          <w:rFonts w:eastAsia="Calibri"/>
          <w:color w:val="000000" w:themeColor="text1"/>
          <w:lang w:val="en-US" w:eastAsia="en-GB"/>
        </w:rPr>
        <w:t>4</w:t>
      </w:r>
      <w:r w:rsidR="005C20AE" w:rsidRPr="007D0ED2">
        <w:rPr>
          <w:rFonts w:eastAsia="Calibri"/>
          <w:color w:val="000000" w:themeColor="text1"/>
          <w:lang w:val="en-US" w:eastAsia="en-GB"/>
        </w:rPr>
        <w:t>0</w:t>
      </w:r>
      <w:r w:rsidR="00C60283" w:rsidRPr="007D0ED2">
        <w:rPr>
          <w:rFonts w:eastAsia="Calibri"/>
          <w:color w:val="000000" w:themeColor="text1"/>
          <w:lang w:val="en-US" w:eastAsia="en-GB"/>
        </w:rPr>
        <w:t>.</w:t>
      </w:r>
      <w:r w:rsidR="005C20AE" w:rsidRPr="007D0ED2">
        <w:rPr>
          <w:rFonts w:eastAsia="Calibri"/>
          <w:color w:val="000000" w:themeColor="text1"/>
          <w:lang w:val="en-US" w:eastAsia="en-GB"/>
        </w:rPr>
        <w:t>9</w:t>
      </w:r>
      <w:r w:rsidR="00C60283" w:rsidRPr="007D0ED2">
        <w:rPr>
          <w:rFonts w:eastAsia="Calibri"/>
          <w:color w:val="000000" w:themeColor="text1"/>
          <w:lang w:val="en-US" w:eastAsia="en-GB"/>
        </w:rPr>
        <w:t>%</w:t>
      </w:r>
      <w:bookmarkEnd w:id="17"/>
      <w:r w:rsidR="00C60283" w:rsidRPr="007D0ED2">
        <w:rPr>
          <w:rFonts w:eastAsia="Calibri"/>
          <w:color w:val="000000" w:themeColor="text1"/>
          <w:lang w:val="en-US" w:eastAsia="en-GB"/>
        </w:rPr>
        <w:t xml:space="preserve"> </w:t>
      </w:r>
      <w:r w:rsidR="006A0A48">
        <w:rPr>
          <w:rFonts w:eastAsia="Calibri"/>
          <w:color w:val="000000" w:themeColor="text1"/>
          <w:lang w:val="en-US" w:eastAsia="en-GB"/>
        </w:rPr>
        <w:t>(</w:t>
      </w:r>
      <w:r w:rsidR="00633E1A">
        <w:rPr>
          <w:rFonts w:eastAsia="Calibri"/>
          <w:color w:val="000000" w:themeColor="text1"/>
          <w:lang w:val="en-US" w:eastAsia="en-GB"/>
        </w:rPr>
        <w:t>Table 2</w:t>
      </w:r>
      <w:r w:rsidR="006A0A48">
        <w:rPr>
          <w:rFonts w:eastAsia="Calibri"/>
          <w:color w:val="000000" w:themeColor="text1"/>
          <w:lang w:val="en-US" w:eastAsia="en-GB"/>
        </w:rPr>
        <w:t>)</w:t>
      </w:r>
      <w:r w:rsidRPr="007D0ED2">
        <w:rPr>
          <w:rFonts w:eastAsia="Calibri"/>
          <w:color w:val="000000" w:themeColor="text1"/>
          <w:lang w:val="en-US" w:eastAsia="en-GB"/>
        </w:rPr>
        <w:t xml:space="preserve">. </w:t>
      </w:r>
      <w:r w:rsidRPr="007D0ED2">
        <w:rPr>
          <w:color w:val="000000" w:themeColor="text1"/>
        </w:rPr>
        <w:t>Interviewe</w:t>
      </w:r>
      <w:r w:rsidR="00521D5E">
        <w:rPr>
          <w:color w:val="000000" w:themeColor="text1"/>
        </w:rPr>
        <w:t>e</w:t>
      </w:r>
      <w:r w:rsidR="006E3C60">
        <w:rPr>
          <w:color w:val="000000" w:themeColor="text1"/>
        </w:rPr>
        <w:t xml:space="preserve"> from the local authorities</w:t>
      </w:r>
      <w:r w:rsidRPr="007D0ED2">
        <w:rPr>
          <w:color w:val="000000" w:themeColor="text1"/>
        </w:rPr>
        <w:t xml:space="preserve"> noted that coordination is weakened due to a lack of decentralization of EIA services</w:t>
      </w:r>
      <w:r w:rsidR="005E6ECC">
        <w:rPr>
          <w:color w:val="000000" w:themeColor="text1"/>
        </w:rPr>
        <w:t>,</w:t>
      </w:r>
      <w:r w:rsidR="008F14F1">
        <w:rPr>
          <w:color w:val="000000" w:themeColor="text1"/>
        </w:rPr>
        <w:t xml:space="preserve"> stating that</w:t>
      </w:r>
      <w:r w:rsidR="005E6ECC">
        <w:rPr>
          <w:color w:val="000000" w:themeColor="text1"/>
        </w:rPr>
        <w:t>:</w:t>
      </w:r>
      <w:r w:rsidRPr="007D0ED2">
        <w:rPr>
          <w:color w:val="000000" w:themeColor="text1"/>
        </w:rPr>
        <w:t xml:space="preserve"> </w:t>
      </w:r>
      <w:r w:rsidRPr="007D0ED2">
        <w:rPr>
          <w:rFonts w:eastAsia="Calibri"/>
          <w:color w:val="000000" w:themeColor="text1"/>
        </w:rPr>
        <w:t>“</w:t>
      </w:r>
      <w:r w:rsidRPr="007D0ED2">
        <w:rPr>
          <w:rFonts w:eastAsia="Calibri"/>
          <w:i/>
          <w:color w:val="000000" w:themeColor="text1"/>
        </w:rPr>
        <w:t>T</w:t>
      </w:r>
      <w:r w:rsidRPr="007D0ED2">
        <w:rPr>
          <w:i/>
          <w:iCs/>
        </w:rPr>
        <w:t xml:space="preserve">here is no </w:t>
      </w:r>
      <w:r w:rsidR="008F14F1" w:rsidRPr="007D0ED2">
        <w:rPr>
          <w:i/>
          <w:iCs/>
        </w:rPr>
        <w:t>coordination,</w:t>
      </w:r>
      <w:r w:rsidR="008F14F1">
        <w:rPr>
          <w:i/>
          <w:iCs/>
        </w:rPr>
        <w:t xml:space="preserve"> and t</w:t>
      </w:r>
      <w:r w:rsidRPr="007D0ED2">
        <w:rPr>
          <w:i/>
          <w:iCs/>
        </w:rPr>
        <w:t>he systems are not speaking to each other</w:t>
      </w:r>
      <w:r w:rsidR="008F14F1">
        <w:rPr>
          <w:i/>
          <w:iCs/>
        </w:rPr>
        <w:t>”</w:t>
      </w:r>
      <w:r w:rsidR="00521D5E">
        <w:rPr>
          <w:i/>
          <w:iCs/>
        </w:rPr>
        <w:t xml:space="preserve"> [LA1</w:t>
      </w:r>
      <w:r w:rsidR="007372A6">
        <w:rPr>
          <w:i/>
          <w:iCs/>
        </w:rPr>
        <w:t>]</w:t>
      </w:r>
      <w:r w:rsidRPr="007D0ED2">
        <w:rPr>
          <w:i/>
          <w:iCs/>
        </w:rPr>
        <w:t>.</w:t>
      </w:r>
      <w:r w:rsidR="008F14F1">
        <w:rPr>
          <w:i/>
          <w:iCs/>
        </w:rPr>
        <w:t xml:space="preserve"> </w:t>
      </w:r>
      <w:r w:rsidR="008F14F1">
        <w:t>The local authority</w:t>
      </w:r>
      <w:r w:rsidR="008F14F1" w:rsidRPr="008F14F1">
        <w:t xml:space="preserve"> expert suggested that t</w:t>
      </w:r>
      <w:r w:rsidRPr="008F14F1">
        <w:rPr>
          <w:rFonts w:eastAsia="Calibri"/>
          <w:color w:val="000000" w:themeColor="text1"/>
        </w:rPr>
        <w:t xml:space="preserve">he EIA process should be coordinated and </w:t>
      </w:r>
      <w:r w:rsidR="00032787" w:rsidRPr="008F14F1">
        <w:rPr>
          <w:rFonts w:eastAsia="Calibri"/>
          <w:color w:val="000000" w:themeColor="text1"/>
        </w:rPr>
        <w:t>decentralized</w:t>
      </w:r>
      <w:r w:rsidRPr="008F14F1">
        <w:rPr>
          <w:rFonts w:eastAsia="Calibri"/>
          <w:color w:val="000000" w:themeColor="text1"/>
        </w:rPr>
        <w:t xml:space="preserve"> using structures that are within the community. </w:t>
      </w:r>
    </w:p>
    <w:p w14:paraId="45B49F0C" w14:textId="77777777" w:rsidR="00647B80" w:rsidRPr="008F14F1" w:rsidRDefault="00647B80" w:rsidP="00297FF0">
      <w:pPr>
        <w:spacing w:line="480" w:lineRule="auto"/>
        <w:jc w:val="both"/>
        <w:rPr>
          <w:rFonts w:eastAsia="Calibri"/>
          <w:color w:val="000000" w:themeColor="text1"/>
        </w:rPr>
      </w:pPr>
    </w:p>
    <w:p w14:paraId="3D46763D" w14:textId="78519C5B" w:rsidR="00227620" w:rsidRPr="007D0ED2" w:rsidRDefault="000C172D" w:rsidP="00D56204">
      <w:pPr>
        <w:spacing w:line="480" w:lineRule="auto"/>
        <w:jc w:val="both"/>
        <w:rPr>
          <w:rFonts w:eastAsia="Calibri"/>
          <w:color w:val="000000" w:themeColor="text1"/>
        </w:rPr>
      </w:pPr>
      <w:r w:rsidRPr="007D0ED2">
        <w:rPr>
          <w:rFonts w:eastAsia="Calibri"/>
          <w:color w:val="000000" w:themeColor="text1"/>
          <w:lang w:val="en-US" w:eastAsia="en-GB"/>
        </w:rPr>
        <w:t>A</w:t>
      </w:r>
      <w:r w:rsidRPr="007D0ED2">
        <w:rPr>
          <w:color w:val="000000" w:themeColor="text1"/>
        </w:rPr>
        <w:t xml:space="preserve"> Senior </w:t>
      </w:r>
      <w:r w:rsidR="00521D5E">
        <w:rPr>
          <w:color w:val="000000" w:themeColor="text1"/>
        </w:rPr>
        <w:t>Manager</w:t>
      </w:r>
      <w:r w:rsidR="00977CF5" w:rsidRPr="007D0ED2">
        <w:rPr>
          <w:color w:val="000000" w:themeColor="text1"/>
        </w:rPr>
        <w:t xml:space="preserve"> from the local authority</w:t>
      </w:r>
      <w:r w:rsidRPr="007D0ED2">
        <w:rPr>
          <w:color w:val="000000" w:themeColor="text1"/>
        </w:rPr>
        <w:t xml:space="preserve"> noted </w:t>
      </w:r>
      <w:r w:rsidR="0068056A">
        <w:rPr>
          <w:color w:val="000000" w:themeColor="text1"/>
        </w:rPr>
        <w:t>that</w:t>
      </w:r>
      <w:r w:rsidR="005E6ECC">
        <w:rPr>
          <w:color w:val="000000" w:themeColor="text1"/>
        </w:rPr>
        <w:t>:</w:t>
      </w:r>
      <w:r w:rsidR="0068056A" w:rsidRPr="0068056A">
        <w:rPr>
          <w:i/>
          <w:iCs/>
        </w:rPr>
        <w:t xml:space="preserve"> </w:t>
      </w:r>
      <w:r w:rsidR="005E6ECC">
        <w:rPr>
          <w:i/>
          <w:iCs/>
        </w:rPr>
        <w:t>“</w:t>
      </w:r>
      <w:r w:rsidR="0068056A" w:rsidRPr="007D0ED2">
        <w:rPr>
          <w:i/>
          <w:iCs/>
        </w:rPr>
        <w:t xml:space="preserve">The EIA tool is </w:t>
      </w:r>
      <w:r w:rsidR="0068056A">
        <w:rPr>
          <w:i/>
          <w:iCs/>
        </w:rPr>
        <w:t>useful</w:t>
      </w:r>
      <w:r w:rsidR="0068056A" w:rsidRPr="007D0ED2">
        <w:rPr>
          <w:i/>
          <w:iCs/>
        </w:rPr>
        <w:t>, but when it comes to communication and coordination, there is hardly communication between the DEA and other organs of state</w:t>
      </w:r>
      <w:r w:rsidR="0068056A">
        <w:rPr>
          <w:i/>
          <w:iCs/>
        </w:rPr>
        <w:t xml:space="preserve"> and t</w:t>
      </w:r>
      <w:r w:rsidR="0068056A" w:rsidRPr="007D0ED2">
        <w:rPr>
          <w:i/>
          <w:iCs/>
        </w:rPr>
        <w:t>here are no clear guidelines on who the competent authorities are for different resources or development and what they ought to do”</w:t>
      </w:r>
      <w:r w:rsidR="00521D5E">
        <w:rPr>
          <w:i/>
          <w:iCs/>
        </w:rPr>
        <w:t xml:space="preserve"> [LAM2)</w:t>
      </w:r>
      <w:r w:rsidR="0068056A">
        <w:t>. However, the expert indicated that</w:t>
      </w:r>
      <w:r w:rsidRPr="007D0ED2">
        <w:rPr>
          <w:color w:val="000000" w:themeColor="text1"/>
        </w:rPr>
        <w:t xml:space="preserve"> </w:t>
      </w:r>
      <w:r w:rsidRPr="007D0ED2">
        <w:rPr>
          <w:bCs/>
          <w:color w:val="000000" w:themeColor="text1"/>
        </w:rPr>
        <w:t>coordination and communication</w:t>
      </w:r>
      <w:r w:rsidRPr="007D0ED2">
        <w:rPr>
          <w:color w:val="000000" w:themeColor="text1"/>
        </w:rPr>
        <w:t xml:space="preserve"> </w:t>
      </w:r>
      <w:r w:rsidR="0068056A">
        <w:rPr>
          <w:color w:val="000000" w:themeColor="text1"/>
        </w:rPr>
        <w:t>can be improved if the</w:t>
      </w:r>
      <w:r w:rsidRPr="007D0ED2">
        <w:rPr>
          <w:color w:val="000000" w:themeColor="text1"/>
        </w:rPr>
        <w:t xml:space="preserve"> Department of Environmental Affairs (DEA) </w:t>
      </w:r>
      <w:r w:rsidR="0068056A">
        <w:rPr>
          <w:color w:val="000000" w:themeColor="text1"/>
        </w:rPr>
        <w:t>collaborate</w:t>
      </w:r>
      <w:r w:rsidR="005E6ECC">
        <w:rPr>
          <w:color w:val="000000" w:themeColor="text1"/>
        </w:rPr>
        <w:t>d</w:t>
      </w:r>
      <w:r w:rsidR="0068056A">
        <w:rPr>
          <w:color w:val="000000" w:themeColor="text1"/>
        </w:rPr>
        <w:t xml:space="preserve"> with </w:t>
      </w:r>
      <w:r w:rsidRPr="007D0ED2">
        <w:rPr>
          <w:color w:val="000000" w:themeColor="text1"/>
        </w:rPr>
        <w:t xml:space="preserve">local authorities </w:t>
      </w:r>
      <w:r w:rsidR="0068056A">
        <w:rPr>
          <w:color w:val="000000" w:themeColor="text1"/>
        </w:rPr>
        <w:t xml:space="preserve">and municipalities </w:t>
      </w:r>
      <w:r w:rsidRPr="007D0ED2">
        <w:rPr>
          <w:color w:val="000000" w:themeColor="text1"/>
        </w:rPr>
        <w:t>who are the custodians of developments</w:t>
      </w:r>
      <w:r w:rsidR="0068056A">
        <w:rPr>
          <w:color w:val="000000" w:themeColor="text1"/>
        </w:rPr>
        <w:t xml:space="preserve"> and service delivery in their area of jurisdiction. Other </w:t>
      </w:r>
      <w:r w:rsidRPr="007D0ED2">
        <w:rPr>
          <w:color w:val="000000" w:themeColor="text1"/>
        </w:rPr>
        <w:t>expert</w:t>
      </w:r>
      <w:r w:rsidR="0068056A">
        <w:rPr>
          <w:color w:val="000000" w:themeColor="text1"/>
        </w:rPr>
        <w:t>s</w:t>
      </w:r>
      <w:r w:rsidRPr="007D0ED2">
        <w:rPr>
          <w:color w:val="000000" w:themeColor="text1"/>
        </w:rPr>
        <w:t xml:space="preserve"> added that municipalities are experiencing difficulties with the implementation and coordination of EIA because</w:t>
      </w:r>
      <w:r w:rsidR="008A3ED8" w:rsidRPr="007D0ED2">
        <w:rPr>
          <w:color w:val="000000" w:themeColor="text1"/>
        </w:rPr>
        <w:t xml:space="preserve"> local authorities</w:t>
      </w:r>
      <w:r w:rsidRPr="007D0ED2">
        <w:rPr>
          <w:color w:val="000000" w:themeColor="text1"/>
        </w:rPr>
        <w:t xml:space="preserve"> lack appropriate administrative structures </w:t>
      </w:r>
      <w:r w:rsidR="008A3ED8" w:rsidRPr="007D0ED2">
        <w:rPr>
          <w:color w:val="000000" w:themeColor="text1"/>
        </w:rPr>
        <w:t>and</w:t>
      </w:r>
      <w:r w:rsidR="0068056A">
        <w:rPr>
          <w:color w:val="000000" w:themeColor="text1"/>
        </w:rPr>
        <w:t xml:space="preserve"> expertise in the field of environmental management. </w:t>
      </w:r>
      <w:r w:rsidR="005E6ECC">
        <w:rPr>
          <w:rFonts w:eastAsia="Calibri"/>
          <w:color w:val="000000" w:themeColor="text1"/>
        </w:rPr>
        <w:t xml:space="preserve">Mention </w:t>
      </w:r>
      <w:r w:rsidRPr="007D0ED2">
        <w:rPr>
          <w:rFonts w:eastAsia="Calibri"/>
          <w:color w:val="000000" w:themeColor="text1"/>
        </w:rPr>
        <w:t xml:space="preserve">was also made </w:t>
      </w:r>
      <w:r w:rsidR="00BC6BA8">
        <w:rPr>
          <w:rFonts w:eastAsia="Calibri"/>
          <w:color w:val="000000" w:themeColor="text1"/>
        </w:rPr>
        <w:t>about</w:t>
      </w:r>
      <w:r w:rsidR="00EB2E74" w:rsidRPr="007D0ED2">
        <w:rPr>
          <w:rFonts w:eastAsia="Calibri"/>
          <w:color w:val="000000" w:themeColor="text1"/>
        </w:rPr>
        <w:t xml:space="preserve"> </w:t>
      </w:r>
      <w:r w:rsidRPr="007D0ED2">
        <w:rPr>
          <w:rFonts w:eastAsia="Calibri"/>
          <w:color w:val="000000" w:themeColor="text1"/>
        </w:rPr>
        <w:t xml:space="preserve">the </w:t>
      </w:r>
      <w:r w:rsidR="00BC6BA8">
        <w:rPr>
          <w:rFonts w:eastAsia="Calibri"/>
          <w:color w:val="000000" w:themeColor="text1"/>
        </w:rPr>
        <w:t>exc</w:t>
      </w:r>
      <w:r w:rsidR="0068056A">
        <w:rPr>
          <w:rFonts w:eastAsia="Calibri"/>
          <w:color w:val="000000" w:themeColor="text1"/>
        </w:rPr>
        <w:t xml:space="preserve">lusion of </w:t>
      </w:r>
      <w:r w:rsidR="00AF7DCD" w:rsidRPr="007D0ED2">
        <w:rPr>
          <w:rFonts w:eastAsia="Calibri"/>
          <w:color w:val="000000" w:themeColor="text1"/>
        </w:rPr>
        <w:t>traditional</w:t>
      </w:r>
      <w:r w:rsidRPr="007D0ED2">
        <w:rPr>
          <w:rFonts w:eastAsia="Calibri"/>
          <w:color w:val="000000" w:themeColor="text1"/>
        </w:rPr>
        <w:t xml:space="preserve"> and religious structures</w:t>
      </w:r>
      <w:r w:rsidR="0068056A">
        <w:rPr>
          <w:rFonts w:eastAsia="Calibri"/>
          <w:color w:val="000000" w:themeColor="text1"/>
        </w:rPr>
        <w:t xml:space="preserve"> to improve coordination in the EIA process</w:t>
      </w:r>
      <w:r w:rsidRPr="007D0ED2">
        <w:rPr>
          <w:rFonts w:eastAsia="Calibri"/>
          <w:color w:val="000000" w:themeColor="text1"/>
        </w:rPr>
        <w:t xml:space="preserve">. A Senior Government Official </w:t>
      </w:r>
      <w:r w:rsidR="0068056A">
        <w:rPr>
          <w:rFonts w:eastAsia="Calibri"/>
          <w:color w:val="000000" w:themeColor="text1"/>
        </w:rPr>
        <w:t>stated</w:t>
      </w:r>
      <w:r w:rsidRPr="007D0ED2">
        <w:rPr>
          <w:rFonts w:eastAsia="Calibri"/>
          <w:color w:val="000000" w:themeColor="text1"/>
        </w:rPr>
        <w:t xml:space="preserve">: </w:t>
      </w:r>
      <w:r w:rsidR="00EB2E74">
        <w:rPr>
          <w:rFonts w:eastAsia="Calibri"/>
          <w:color w:val="000000" w:themeColor="text1"/>
        </w:rPr>
        <w:t>“</w:t>
      </w:r>
      <w:r w:rsidR="00032787" w:rsidRPr="007D0ED2">
        <w:rPr>
          <w:rFonts w:eastAsia="Calibri"/>
          <w:i/>
          <w:color w:val="000000" w:themeColor="text1"/>
        </w:rPr>
        <w:t xml:space="preserve">In most cases, people choose to go with </w:t>
      </w:r>
      <w:r w:rsidR="0068056A">
        <w:rPr>
          <w:rFonts w:eastAsia="Calibri"/>
          <w:i/>
          <w:color w:val="000000" w:themeColor="text1"/>
        </w:rPr>
        <w:t xml:space="preserve">the </w:t>
      </w:r>
      <w:r w:rsidR="00032787" w:rsidRPr="007D0ED2">
        <w:rPr>
          <w:rFonts w:eastAsia="Calibri"/>
          <w:i/>
          <w:color w:val="000000" w:themeColor="text1"/>
        </w:rPr>
        <w:t>political structures but then the traditional and religious structures are the ones that are closer to the people</w:t>
      </w:r>
      <w:r w:rsidR="00032787" w:rsidRPr="007D0ED2">
        <w:rPr>
          <w:rFonts w:eastAsia="Calibri"/>
          <w:color w:val="000000" w:themeColor="text1"/>
        </w:rPr>
        <w:t>”</w:t>
      </w:r>
      <w:r w:rsidR="00FD66DC">
        <w:rPr>
          <w:rFonts w:eastAsia="Calibri"/>
          <w:color w:val="000000" w:themeColor="text1"/>
        </w:rPr>
        <w:t xml:space="preserve"> [GovSS2]</w:t>
      </w:r>
      <w:r w:rsidR="00032787" w:rsidRPr="007D0ED2">
        <w:rPr>
          <w:rFonts w:eastAsia="Calibri"/>
          <w:color w:val="000000" w:themeColor="text1"/>
        </w:rPr>
        <w:t>.</w:t>
      </w:r>
    </w:p>
    <w:p w14:paraId="5332C4B2" w14:textId="77777777" w:rsidR="00032787" w:rsidRPr="00E174F4" w:rsidRDefault="00032787" w:rsidP="008B0FF3">
      <w:pPr>
        <w:pStyle w:val="Default"/>
        <w:spacing w:line="360" w:lineRule="auto"/>
        <w:rPr>
          <w:rFonts w:ascii="Times New Roman" w:hAnsi="Times New Roman" w:cs="Times New Roman"/>
          <w:i/>
          <w:iCs/>
          <w:color w:val="000000" w:themeColor="text1"/>
          <w:sz w:val="18"/>
          <w:szCs w:val="18"/>
        </w:rPr>
      </w:pPr>
    </w:p>
    <w:p w14:paraId="5DB0C5E4" w14:textId="77777777" w:rsidR="006D1C10" w:rsidRPr="00E174F4" w:rsidRDefault="000C172D" w:rsidP="00DC5E66">
      <w:pPr>
        <w:pStyle w:val="Heading4"/>
        <w:numPr>
          <w:ilvl w:val="0"/>
          <w:numId w:val="0"/>
        </w:numPr>
        <w:spacing w:line="480" w:lineRule="auto"/>
        <w:jc w:val="both"/>
        <w:rPr>
          <w:rFonts w:cs="Times New Roman"/>
          <w:i/>
          <w:iCs w:val="0"/>
        </w:rPr>
      </w:pPr>
      <w:r w:rsidRPr="00E174F4">
        <w:rPr>
          <w:rFonts w:cs="Times New Roman"/>
          <w:iCs w:val="0"/>
        </w:rPr>
        <w:lastRenderedPageBreak/>
        <w:t>4.3.2.3 Participation</w:t>
      </w:r>
    </w:p>
    <w:p w14:paraId="61A4A4E0" w14:textId="6CA67128" w:rsidR="00627956" w:rsidRDefault="000C172D" w:rsidP="004E0491">
      <w:pPr>
        <w:spacing w:line="480" w:lineRule="auto"/>
        <w:jc w:val="both"/>
        <w:rPr>
          <w:i/>
          <w:iCs/>
          <w:color w:val="000000" w:themeColor="text1"/>
        </w:rPr>
      </w:pPr>
      <w:r w:rsidRPr="00E174F4">
        <w:rPr>
          <w:rFonts w:eastAsia="Calibri"/>
          <w:color w:val="000000" w:themeColor="text1"/>
          <w:lang w:val="en-US" w:eastAsia="en-GB"/>
        </w:rPr>
        <w:t>Participation means that the EIA process promote</w:t>
      </w:r>
      <w:r w:rsidR="00D24260" w:rsidRPr="00E174F4">
        <w:rPr>
          <w:rFonts w:eastAsia="Calibri"/>
          <w:color w:val="000000" w:themeColor="text1"/>
          <w:lang w:val="en-US" w:eastAsia="en-GB"/>
        </w:rPr>
        <w:t>s</w:t>
      </w:r>
      <w:r w:rsidRPr="00E174F4">
        <w:rPr>
          <w:rFonts w:eastAsia="Calibri"/>
          <w:color w:val="000000" w:themeColor="text1"/>
          <w:lang w:val="en-US" w:eastAsia="en-GB"/>
        </w:rPr>
        <w:t xml:space="preserve"> consultation of all interested and affected parties and th</w:t>
      </w:r>
      <w:r w:rsidR="005E6ECC">
        <w:rPr>
          <w:rFonts w:eastAsia="Calibri"/>
          <w:color w:val="000000" w:themeColor="text1"/>
          <w:lang w:val="en-US" w:eastAsia="en-GB"/>
        </w:rPr>
        <w:t>at</w:t>
      </w:r>
      <w:r w:rsidRPr="00E174F4">
        <w:rPr>
          <w:rFonts w:eastAsia="Calibri"/>
          <w:color w:val="000000" w:themeColor="text1"/>
          <w:lang w:val="en-US" w:eastAsia="en-GB"/>
        </w:rPr>
        <w:t xml:space="preserve"> decisions consider their interest, needs, and values. </w:t>
      </w:r>
      <w:r w:rsidR="00D56204" w:rsidRPr="00E174F4">
        <w:rPr>
          <w:rFonts w:eastAsia="Calibri"/>
          <w:color w:val="000000" w:themeColor="text1"/>
          <w:lang w:val="en-US" w:eastAsia="en-GB"/>
        </w:rPr>
        <w:t xml:space="preserve">The </w:t>
      </w:r>
      <w:r w:rsidR="00BC6BA8">
        <w:rPr>
          <w:rFonts w:eastAsia="Calibri"/>
          <w:color w:val="000000" w:themeColor="text1"/>
          <w:lang w:val="en-US" w:eastAsia="en-GB"/>
        </w:rPr>
        <w:t xml:space="preserve">Namibia </w:t>
      </w:r>
      <w:r w:rsidR="00D56204" w:rsidRPr="00E174F4">
        <w:rPr>
          <w:rFonts w:eastAsia="Calibri"/>
          <w:color w:val="000000" w:themeColor="text1"/>
          <w:lang w:val="en-US" w:eastAsia="en-GB"/>
        </w:rPr>
        <w:t>EIA process partially meets the principle of participation</w:t>
      </w:r>
      <w:r w:rsidR="00BC6BA8">
        <w:rPr>
          <w:rFonts w:eastAsia="Calibri"/>
          <w:color w:val="000000" w:themeColor="text1"/>
          <w:lang w:val="en-US" w:eastAsia="en-GB"/>
        </w:rPr>
        <w:t xml:space="preserve"> (</w:t>
      </w:r>
      <w:r w:rsidR="00633E1A">
        <w:rPr>
          <w:rFonts w:eastAsia="Calibri"/>
          <w:color w:val="000000" w:themeColor="text1"/>
          <w:lang w:val="en-US" w:eastAsia="en-GB"/>
        </w:rPr>
        <w:t>Table 2</w:t>
      </w:r>
      <w:r w:rsidR="00BC6BA8">
        <w:rPr>
          <w:rFonts w:eastAsia="Calibri"/>
          <w:color w:val="000000" w:themeColor="text1"/>
          <w:lang w:val="en-US" w:eastAsia="en-GB"/>
        </w:rPr>
        <w:t>)</w:t>
      </w:r>
      <w:r w:rsidR="00D56204" w:rsidRPr="00E174F4">
        <w:rPr>
          <w:rFonts w:eastAsia="Calibri"/>
          <w:color w:val="000000" w:themeColor="text1"/>
          <w:lang w:val="en-US" w:eastAsia="en-GB"/>
        </w:rPr>
        <w:t xml:space="preserve">. </w:t>
      </w:r>
      <w:r w:rsidRPr="00E174F4">
        <w:rPr>
          <w:color w:val="000000" w:themeColor="text1"/>
        </w:rPr>
        <w:t xml:space="preserve">Participation was one of </w:t>
      </w:r>
      <w:r w:rsidR="00A6270D" w:rsidRPr="00E174F4">
        <w:rPr>
          <w:rStyle w:val="cf01"/>
          <w:rFonts w:ascii="Times New Roman" w:eastAsiaTheme="majorEastAsia" w:hAnsi="Times New Roman" w:cs="Times New Roman"/>
          <w:sz w:val="24"/>
          <w:szCs w:val="24"/>
        </w:rPr>
        <w:t>the most frequently mentioned</w:t>
      </w:r>
      <w:r w:rsidR="00A6270D" w:rsidRPr="00E174F4">
        <w:rPr>
          <w:rStyle w:val="cf01"/>
          <w:rFonts w:ascii="Times New Roman" w:eastAsiaTheme="majorEastAsia" w:hAnsi="Times New Roman" w:cs="Times New Roman"/>
        </w:rPr>
        <w:t xml:space="preserve"> </w:t>
      </w:r>
      <w:r w:rsidRPr="00E174F4">
        <w:rPr>
          <w:color w:val="000000" w:themeColor="text1"/>
        </w:rPr>
        <w:t xml:space="preserve">governance qualities in the interviews. </w:t>
      </w:r>
      <w:r w:rsidR="005E6ECC">
        <w:rPr>
          <w:color w:val="000000" w:themeColor="text1"/>
        </w:rPr>
        <w:t xml:space="preserve">Respondents highlighted </w:t>
      </w:r>
      <w:r w:rsidR="00BC6BA8">
        <w:rPr>
          <w:color w:val="000000" w:themeColor="text1"/>
        </w:rPr>
        <w:t xml:space="preserve">that the low rating is a result of </w:t>
      </w:r>
      <w:r w:rsidR="00633E1A">
        <w:rPr>
          <w:color w:val="000000" w:themeColor="text1"/>
        </w:rPr>
        <w:t>various</w:t>
      </w:r>
      <w:r w:rsidRPr="00E174F4">
        <w:rPr>
          <w:color w:val="000000" w:themeColor="text1"/>
        </w:rPr>
        <w:t xml:space="preserve"> shortcomings concerning the </w:t>
      </w:r>
      <w:r w:rsidR="00BC6BA8">
        <w:rPr>
          <w:color w:val="000000" w:themeColor="text1"/>
        </w:rPr>
        <w:t xml:space="preserve">participation </w:t>
      </w:r>
      <w:r w:rsidRPr="00E174F4">
        <w:rPr>
          <w:color w:val="000000" w:themeColor="text1"/>
        </w:rPr>
        <w:t>method</w:t>
      </w:r>
      <w:r w:rsidR="00BC6BA8">
        <w:rPr>
          <w:color w:val="000000" w:themeColor="text1"/>
        </w:rPr>
        <w:t>s</w:t>
      </w:r>
      <w:r w:rsidRPr="00E174F4">
        <w:rPr>
          <w:color w:val="000000" w:themeColor="text1"/>
        </w:rPr>
        <w:t xml:space="preserve"> and approach </w:t>
      </w:r>
      <w:r w:rsidR="00BC6BA8">
        <w:rPr>
          <w:color w:val="000000" w:themeColor="text1"/>
        </w:rPr>
        <w:t>used</w:t>
      </w:r>
      <w:r w:rsidR="00D56204" w:rsidRPr="00E174F4">
        <w:rPr>
          <w:color w:val="000000" w:themeColor="text1"/>
        </w:rPr>
        <w:t xml:space="preserve"> in </w:t>
      </w:r>
      <w:r w:rsidR="00BC6BA8">
        <w:rPr>
          <w:color w:val="000000" w:themeColor="text1"/>
        </w:rPr>
        <w:t xml:space="preserve">the </w:t>
      </w:r>
      <w:r w:rsidR="00D56204" w:rsidRPr="00E174F4">
        <w:rPr>
          <w:color w:val="000000" w:themeColor="text1"/>
        </w:rPr>
        <w:t xml:space="preserve">EIA </w:t>
      </w:r>
      <w:r w:rsidR="00BC6BA8">
        <w:rPr>
          <w:color w:val="000000" w:themeColor="text1"/>
        </w:rPr>
        <w:t>process.</w:t>
      </w:r>
      <w:r w:rsidR="00D56204" w:rsidRPr="00E174F4">
        <w:rPr>
          <w:i/>
          <w:color w:val="000000" w:themeColor="text1"/>
        </w:rPr>
        <w:t xml:space="preserve"> </w:t>
      </w:r>
      <w:r w:rsidRPr="00E174F4">
        <w:rPr>
          <w:color w:val="000000" w:themeColor="text1"/>
        </w:rPr>
        <w:t xml:space="preserve">A Manager of </w:t>
      </w:r>
      <w:r w:rsidR="000F16D7" w:rsidRPr="00E174F4">
        <w:rPr>
          <w:color w:val="000000" w:themeColor="text1"/>
        </w:rPr>
        <w:t xml:space="preserve">an </w:t>
      </w:r>
      <w:r w:rsidRPr="00E174F4">
        <w:rPr>
          <w:color w:val="000000" w:themeColor="text1"/>
        </w:rPr>
        <w:t xml:space="preserve">NGO </w:t>
      </w:r>
      <w:r w:rsidR="00BC6BA8">
        <w:rPr>
          <w:color w:val="000000" w:themeColor="text1"/>
        </w:rPr>
        <w:t>cited that</w:t>
      </w:r>
      <w:r w:rsidR="005E6ECC">
        <w:rPr>
          <w:color w:val="000000" w:themeColor="text1"/>
        </w:rPr>
        <w:t>:</w:t>
      </w:r>
      <w:r w:rsidRPr="00E174F4">
        <w:rPr>
          <w:color w:val="000000" w:themeColor="text1"/>
        </w:rPr>
        <w:t xml:space="preserve"> “</w:t>
      </w:r>
      <w:r w:rsidRPr="00E174F4">
        <w:rPr>
          <w:i/>
          <w:color w:val="000000" w:themeColor="text1"/>
        </w:rPr>
        <w:t>In the current legislation the issue of public and stakeholder consultation and communication is not stated well, especially how it should be done, what is the maximum number of people to be consulted, and at what level</w:t>
      </w:r>
      <w:r w:rsidR="000F16D7" w:rsidRPr="00E174F4">
        <w:rPr>
          <w:i/>
          <w:color w:val="000000" w:themeColor="text1"/>
        </w:rPr>
        <w:t>.</w:t>
      </w:r>
      <w:r w:rsidR="00D17B10" w:rsidRPr="00E174F4">
        <w:rPr>
          <w:i/>
          <w:color w:val="000000" w:themeColor="text1"/>
        </w:rPr>
        <w:t xml:space="preserve"> </w:t>
      </w:r>
      <w:r w:rsidR="000F16D7" w:rsidRPr="00E174F4">
        <w:rPr>
          <w:i/>
          <w:color w:val="000000" w:themeColor="text1"/>
        </w:rPr>
        <w:t>T</w:t>
      </w:r>
      <w:r w:rsidR="00D17B10" w:rsidRPr="00E174F4">
        <w:rPr>
          <w:i/>
          <w:color w:val="000000" w:themeColor="text1"/>
        </w:rPr>
        <w:t>he consultants</w:t>
      </w:r>
      <w:r w:rsidR="00BC6BA8">
        <w:rPr>
          <w:i/>
          <w:color w:val="000000" w:themeColor="text1"/>
        </w:rPr>
        <w:t xml:space="preserve"> therefore</w:t>
      </w:r>
      <w:r w:rsidR="00D17B10" w:rsidRPr="00E174F4">
        <w:rPr>
          <w:i/>
          <w:color w:val="000000" w:themeColor="text1"/>
        </w:rPr>
        <w:t xml:space="preserve"> choose what they see fit</w:t>
      </w:r>
      <w:r w:rsidRPr="00E174F4">
        <w:rPr>
          <w:color w:val="000000" w:themeColor="text1"/>
        </w:rPr>
        <w:t>.</w:t>
      </w:r>
      <w:r w:rsidR="000F16D7" w:rsidRPr="00E174F4">
        <w:rPr>
          <w:color w:val="000000" w:themeColor="text1"/>
        </w:rPr>
        <w:t>”</w:t>
      </w:r>
      <w:r w:rsidR="00FD66DC">
        <w:rPr>
          <w:color w:val="000000" w:themeColor="text1"/>
        </w:rPr>
        <w:t xml:space="preserve"> [NGOM1].</w:t>
      </w:r>
      <w:r w:rsidRPr="00E174F4">
        <w:rPr>
          <w:color w:val="000000" w:themeColor="text1"/>
        </w:rPr>
        <w:t xml:space="preserve"> An academic asserted that </w:t>
      </w:r>
      <w:r w:rsidR="00BC6BA8">
        <w:rPr>
          <w:color w:val="000000" w:themeColor="text1"/>
        </w:rPr>
        <w:t>public participation is a challenge in the EIA process</w:t>
      </w:r>
      <w:r w:rsidR="005E6ECC">
        <w:rPr>
          <w:color w:val="000000" w:themeColor="text1"/>
        </w:rPr>
        <w:t>,</w:t>
      </w:r>
      <w:r w:rsidR="00BC6BA8">
        <w:rPr>
          <w:color w:val="000000" w:themeColor="text1"/>
        </w:rPr>
        <w:t xml:space="preserve"> </w:t>
      </w:r>
      <w:r w:rsidR="005E6ECC">
        <w:rPr>
          <w:color w:val="000000" w:themeColor="text1"/>
        </w:rPr>
        <w:t xml:space="preserve">noting </w:t>
      </w:r>
      <w:r w:rsidR="00BC6BA8">
        <w:rPr>
          <w:color w:val="000000" w:themeColor="text1"/>
        </w:rPr>
        <w:t xml:space="preserve">that </w:t>
      </w:r>
      <w:r w:rsidRPr="00E174F4">
        <w:rPr>
          <w:color w:val="000000" w:themeColor="text1"/>
        </w:rPr>
        <w:t>“</w:t>
      </w:r>
      <w:r w:rsidRPr="00E174F4">
        <w:rPr>
          <w:i/>
          <w:iCs/>
          <w:color w:val="000000" w:themeColor="text1"/>
        </w:rPr>
        <w:t>There is a lack of deliberation in the EIA process,</w:t>
      </w:r>
      <w:r w:rsidR="00BC6BA8">
        <w:rPr>
          <w:i/>
          <w:iCs/>
          <w:color w:val="000000" w:themeColor="text1"/>
        </w:rPr>
        <w:t xml:space="preserve"> and</w:t>
      </w:r>
      <w:r w:rsidRPr="00E174F4">
        <w:rPr>
          <w:i/>
          <w:iCs/>
          <w:color w:val="000000" w:themeColor="text1"/>
        </w:rPr>
        <w:t xml:space="preserve"> the consultants only come to inform the public about their projects</w:t>
      </w:r>
      <w:r w:rsidR="0025484F" w:rsidRPr="00E174F4">
        <w:rPr>
          <w:i/>
          <w:iCs/>
          <w:color w:val="000000" w:themeColor="text1"/>
        </w:rPr>
        <w:t xml:space="preserve">, </w:t>
      </w:r>
      <w:r w:rsidR="0025484F" w:rsidRPr="00E174F4">
        <w:rPr>
          <w:i/>
          <w:iCs/>
        </w:rPr>
        <w:t xml:space="preserve">so the EIA process </w:t>
      </w:r>
      <w:r w:rsidR="00BC6BA8">
        <w:rPr>
          <w:i/>
          <w:iCs/>
        </w:rPr>
        <w:t>is not</w:t>
      </w:r>
      <w:r w:rsidR="0025484F" w:rsidRPr="00E174F4">
        <w:rPr>
          <w:i/>
          <w:iCs/>
        </w:rPr>
        <w:t xml:space="preserve"> transparent and </w:t>
      </w:r>
      <w:r w:rsidR="00BC6BA8">
        <w:rPr>
          <w:i/>
          <w:iCs/>
        </w:rPr>
        <w:t xml:space="preserve">not </w:t>
      </w:r>
      <w:r w:rsidR="0025484F" w:rsidRPr="00E174F4">
        <w:rPr>
          <w:i/>
          <w:iCs/>
        </w:rPr>
        <w:t>legitimate</w:t>
      </w:r>
      <w:r w:rsidRPr="00E174F4">
        <w:rPr>
          <w:i/>
          <w:iCs/>
          <w:color w:val="000000" w:themeColor="text1"/>
        </w:rPr>
        <w:t>”</w:t>
      </w:r>
      <w:r w:rsidR="00FD66DC">
        <w:rPr>
          <w:i/>
          <w:iCs/>
          <w:color w:val="000000" w:themeColor="text1"/>
        </w:rPr>
        <w:t xml:space="preserve"> [ACA1]</w:t>
      </w:r>
      <w:r w:rsidR="00BC6BA8">
        <w:rPr>
          <w:i/>
          <w:iCs/>
          <w:color w:val="000000" w:themeColor="text1"/>
        </w:rPr>
        <w:t>.</w:t>
      </w:r>
      <w:r w:rsidRPr="00E174F4">
        <w:rPr>
          <w:i/>
          <w:iCs/>
          <w:color w:val="000000" w:themeColor="text1"/>
        </w:rPr>
        <w:t xml:space="preserve"> </w:t>
      </w:r>
    </w:p>
    <w:p w14:paraId="30B710E0" w14:textId="77777777" w:rsidR="00042E1B" w:rsidRPr="00BC6BA8" w:rsidRDefault="00042E1B" w:rsidP="004E0491">
      <w:pPr>
        <w:spacing w:line="480" w:lineRule="auto"/>
        <w:jc w:val="both"/>
        <w:rPr>
          <w:color w:val="000000" w:themeColor="text1"/>
        </w:rPr>
      </w:pPr>
    </w:p>
    <w:p w14:paraId="0456188B" w14:textId="77777777" w:rsidR="006D1C10" w:rsidRPr="00E174F4" w:rsidRDefault="000C172D" w:rsidP="00DC5E66">
      <w:pPr>
        <w:pStyle w:val="Heading4"/>
        <w:numPr>
          <w:ilvl w:val="0"/>
          <w:numId w:val="0"/>
        </w:numPr>
        <w:rPr>
          <w:rFonts w:cs="Times New Roman"/>
          <w:iCs w:val="0"/>
        </w:rPr>
      </w:pPr>
      <w:r w:rsidRPr="00E174F4">
        <w:rPr>
          <w:rFonts w:cs="Times New Roman"/>
          <w:iCs w:val="0"/>
        </w:rPr>
        <w:t>4.3.2.4 Responsiveness</w:t>
      </w:r>
    </w:p>
    <w:p w14:paraId="75F846F0" w14:textId="77777777" w:rsidR="000F16D7" w:rsidRPr="00E174F4" w:rsidRDefault="000F16D7" w:rsidP="0072281D">
      <w:pPr>
        <w:rPr>
          <w:iCs/>
        </w:rPr>
      </w:pPr>
    </w:p>
    <w:p w14:paraId="50C6591A" w14:textId="265ABBC8" w:rsidR="00D102B0" w:rsidRDefault="000C172D" w:rsidP="00936EDB">
      <w:pPr>
        <w:spacing w:line="480" w:lineRule="auto"/>
        <w:jc w:val="both"/>
        <w:rPr>
          <w:color w:val="000000" w:themeColor="text1"/>
        </w:rPr>
      </w:pPr>
      <w:r w:rsidRPr="00E174F4">
        <w:rPr>
          <w:color w:val="000000" w:themeColor="text1"/>
        </w:rPr>
        <w:t xml:space="preserve">Responsiveness means </w:t>
      </w:r>
      <w:r w:rsidR="00390EB6">
        <w:rPr>
          <w:color w:val="000000" w:themeColor="text1"/>
        </w:rPr>
        <w:t xml:space="preserve">that </w:t>
      </w:r>
      <w:r w:rsidRPr="00E174F4">
        <w:rPr>
          <w:color w:val="000000" w:themeColor="text1"/>
        </w:rPr>
        <w:t xml:space="preserve">the EIA process responds to concerns raised by stakeholders and </w:t>
      </w:r>
      <w:r w:rsidR="000F16D7" w:rsidRPr="00E174F4">
        <w:rPr>
          <w:color w:val="000000" w:themeColor="text1"/>
        </w:rPr>
        <w:t xml:space="preserve">the </w:t>
      </w:r>
      <w:r w:rsidRPr="00E174F4">
        <w:rPr>
          <w:color w:val="000000" w:themeColor="text1"/>
        </w:rPr>
        <w:t xml:space="preserve">public, within </w:t>
      </w:r>
      <w:r w:rsidR="000F16D7" w:rsidRPr="00E174F4">
        <w:rPr>
          <w:color w:val="000000" w:themeColor="text1"/>
        </w:rPr>
        <w:t xml:space="preserve">a </w:t>
      </w:r>
      <w:r w:rsidRPr="00E174F4">
        <w:rPr>
          <w:color w:val="000000" w:themeColor="text1"/>
        </w:rPr>
        <w:t>reasonable time</w:t>
      </w:r>
      <w:r w:rsidR="005E6ECC">
        <w:rPr>
          <w:color w:val="000000" w:themeColor="text1"/>
        </w:rPr>
        <w:t xml:space="preserve"> frame</w:t>
      </w:r>
      <w:r w:rsidRPr="00E174F4">
        <w:rPr>
          <w:color w:val="000000" w:themeColor="text1"/>
        </w:rPr>
        <w:t>. The rating of the respondents shows that the</w:t>
      </w:r>
      <w:r w:rsidR="00D17B10" w:rsidRPr="00E174F4">
        <w:rPr>
          <w:color w:val="000000" w:themeColor="text1"/>
        </w:rPr>
        <w:t xml:space="preserve"> EIA </w:t>
      </w:r>
      <w:r w:rsidR="00AF7DCD" w:rsidRPr="00E174F4">
        <w:rPr>
          <w:color w:val="000000" w:themeColor="text1"/>
        </w:rPr>
        <w:t>p</w:t>
      </w:r>
      <w:r w:rsidR="00D17B10" w:rsidRPr="00E174F4">
        <w:rPr>
          <w:color w:val="000000" w:themeColor="text1"/>
        </w:rPr>
        <w:t xml:space="preserve">rocess partially </w:t>
      </w:r>
      <w:r w:rsidR="00EB25AD" w:rsidRPr="00E174F4">
        <w:rPr>
          <w:color w:val="000000" w:themeColor="text1"/>
        </w:rPr>
        <w:t>meets the</w:t>
      </w:r>
      <w:r w:rsidRPr="00E174F4">
        <w:rPr>
          <w:color w:val="000000" w:themeColor="text1"/>
        </w:rPr>
        <w:t xml:space="preserve"> principle of responsiveness</w:t>
      </w:r>
      <w:r w:rsidR="003E4125" w:rsidRPr="00E174F4">
        <w:rPr>
          <w:color w:val="000000" w:themeColor="text1"/>
        </w:rPr>
        <w:t xml:space="preserve"> </w:t>
      </w:r>
      <w:r w:rsidR="000F16D7" w:rsidRPr="00E174F4">
        <w:rPr>
          <w:color w:val="000000" w:themeColor="text1"/>
        </w:rPr>
        <w:t>(</w:t>
      </w:r>
      <w:r w:rsidR="005E6ECC">
        <w:rPr>
          <w:color w:val="000000" w:themeColor="text1"/>
        </w:rPr>
        <w:t xml:space="preserve">39.1%; </w:t>
      </w:r>
      <w:r w:rsidR="00633E1A">
        <w:rPr>
          <w:color w:val="000000" w:themeColor="text1"/>
        </w:rPr>
        <w:t>Table 2</w:t>
      </w:r>
      <w:r w:rsidR="000F16D7" w:rsidRPr="00E174F4">
        <w:rPr>
          <w:color w:val="000000" w:themeColor="text1"/>
        </w:rPr>
        <w:t>)</w:t>
      </w:r>
      <w:r w:rsidRPr="00E174F4">
        <w:rPr>
          <w:color w:val="000000" w:themeColor="text1"/>
        </w:rPr>
        <w:t xml:space="preserve">. </w:t>
      </w:r>
      <w:r w:rsidR="0088490C">
        <w:rPr>
          <w:color w:val="000000" w:themeColor="text1"/>
        </w:rPr>
        <w:t xml:space="preserve">A government scientist indicated that there is no assurance that public comments </w:t>
      </w:r>
      <w:r w:rsidR="00BC6BA8">
        <w:rPr>
          <w:color w:val="000000" w:themeColor="text1"/>
        </w:rPr>
        <w:t xml:space="preserve">are responded to or considered in the final assessments. The scientist criticized the EIA system </w:t>
      </w:r>
      <w:r w:rsidR="00455369">
        <w:rPr>
          <w:color w:val="000000" w:themeColor="text1"/>
        </w:rPr>
        <w:t>saying</w:t>
      </w:r>
      <w:r w:rsidR="005E6ECC">
        <w:rPr>
          <w:color w:val="000000" w:themeColor="text1"/>
        </w:rPr>
        <w:t>:</w:t>
      </w:r>
      <w:r w:rsidR="00BC6BA8">
        <w:rPr>
          <w:color w:val="000000" w:themeColor="text1"/>
        </w:rPr>
        <w:t xml:space="preserve"> </w:t>
      </w:r>
      <w:r w:rsidR="0088490C">
        <w:rPr>
          <w:color w:val="000000" w:themeColor="text1"/>
        </w:rPr>
        <w:t>"</w:t>
      </w:r>
      <w:r w:rsidR="0088490C" w:rsidRPr="0088490C">
        <w:rPr>
          <w:i/>
          <w:iCs/>
          <w:color w:val="000000" w:themeColor="text1"/>
        </w:rPr>
        <w:t xml:space="preserve">Sometimes we give comments, but they are not included in the final submission which one is only lucky to </w:t>
      </w:r>
      <w:r w:rsidR="004828C3" w:rsidRPr="0088490C">
        <w:rPr>
          <w:i/>
          <w:iCs/>
          <w:color w:val="000000" w:themeColor="text1"/>
        </w:rPr>
        <w:t>see,</w:t>
      </w:r>
      <w:r w:rsidR="00BC6BA8">
        <w:rPr>
          <w:i/>
          <w:iCs/>
          <w:color w:val="000000" w:themeColor="text1"/>
        </w:rPr>
        <w:t xml:space="preserve"> and one cannot do much about it”</w:t>
      </w:r>
      <w:r w:rsidR="00FD66DC">
        <w:rPr>
          <w:i/>
          <w:iCs/>
          <w:color w:val="000000" w:themeColor="text1"/>
        </w:rPr>
        <w:t xml:space="preserve"> [GovS3]</w:t>
      </w:r>
      <w:r w:rsidR="005D636A">
        <w:rPr>
          <w:i/>
          <w:iCs/>
          <w:color w:val="000000" w:themeColor="text1"/>
        </w:rPr>
        <w:t>.</w:t>
      </w:r>
      <w:r w:rsidR="0088490C" w:rsidRPr="0088490C">
        <w:rPr>
          <w:i/>
          <w:iCs/>
          <w:color w:val="000000" w:themeColor="text1"/>
        </w:rPr>
        <w:t xml:space="preserve"> </w:t>
      </w:r>
    </w:p>
    <w:p w14:paraId="64551448" w14:textId="77777777" w:rsidR="00D57D78" w:rsidRDefault="00D57D78" w:rsidP="00936EDB">
      <w:pPr>
        <w:spacing w:line="480" w:lineRule="auto"/>
        <w:jc w:val="both"/>
        <w:rPr>
          <w:color w:val="000000" w:themeColor="text1"/>
        </w:rPr>
      </w:pPr>
    </w:p>
    <w:p w14:paraId="67DAA906" w14:textId="77777777" w:rsidR="006D1C10" w:rsidRPr="00E174F4" w:rsidRDefault="000C172D" w:rsidP="00DB01E2">
      <w:pPr>
        <w:pStyle w:val="Heading4"/>
        <w:numPr>
          <w:ilvl w:val="0"/>
          <w:numId w:val="0"/>
        </w:numPr>
        <w:rPr>
          <w:rFonts w:cs="Times New Roman"/>
          <w:iCs w:val="0"/>
        </w:rPr>
      </w:pPr>
      <w:r w:rsidRPr="00E174F4">
        <w:rPr>
          <w:rFonts w:cs="Times New Roman"/>
          <w:iCs w:val="0"/>
        </w:rPr>
        <w:lastRenderedPageBreak/>
        <w:t>4.3.2.5 Consensus Oriented</w:t>
      </w:r>
    </w:p>
    <w:p w14:paraId="4A933D4C" w14:textId="77777777" w:rsidR="000F16D7" w:rsidRPr="00E174F4" w:rsidRDefault="000F16D7" w:rsidP="006D1C10">
      <w:pPr>
        <w:rPr>
          <w:color w:val="000000" w:themeColor="text1"/>
        </w:rPr>
      </w:pPr>
    </w:p>
    <w:p w14:paraId="0DA35897" w14:textId="59CBCBB4" w:rsidR="00420E86" w:rsidRPr="00420E86" w:rsidRDefault="000C172D" w:rsidP="00420E86">
      <w:pPr>
        <w:spacing w:line="480" w:lineRule="auto"/>
        <w:jc w:val="both"/>
        <w:rPr>
          <w:rFonts w:eastAsiaTheme="minorHAnsi"/>
          <w:i/>
          <w:iCs/>
        </w:rPr>
      </w:pPr>
      <w:r w:rsidRPr="00420E86">
        <w:rPr>
          <w:color w:val="000000" w:themeColor="text1"/>
        </w:rPr>
        <w:t xml:space="preserve">Consensus-oriented means the EIA process mediates between many different needs, </w:t>
      </w:r>
      <w:r w:rsidR="00AF7DCD" w:rsidRPr="00420E86">
        <w:rPr>
          <w:color w:val="000000" w:themeColor="text1"/>
        </w:rPr>
        <w:t>perspectives,</w:t>
      </w:r>
      <w:r w:rsidRPr="00420E86">
        <w:rPr>
          <w:color w:val="000000" w:themeColor="text1"/>
        </w:rPr>
        <w:t xml:space="preserve"> and expectations of stakeholders. </w:t>
      </w:r>
      <w:r w:rsidR="00486D97" w:rsidRPr="00420E86">
        <w:rPr>
          <w:color w:val="000000" w:themeColor="text1"/>
        </w:rPr>
        <w:t>Almost h</w:t>
      </w:r>
      <w:r w:rsidRPr="00420E86">
        <w:rPr>
          <w:color w:val="000000" w:themeColor="text1"/>
        </w:rPr>
        <w:t>alf of the respondents (</w:t>
      </w:r>
      <w:r w:rsidR="00486D97" w:rsidRPr="00420E86">
        <w:rPr>
          <w:color w:val="000000" w:themeColor="text1"/>
        </w:rPr>
        <w:t>48.2</w:t>
      </w:r>
      <w:r w:rsidRPr="00420E86">
        <w:rPr>
          <w:color w:val="000000" w:themeColor="text1"/>
        </w:rPr>
        <w:t xml:space="preserve">%) </w:t>
      </w:r>
      <w:r w:rsidR="008F45D7" w:rsidRPr="00420E86">
        <w:rPr>
          <w:color w:val="000000" w:themeColor="text1"/>
        </w:rPr>
        <w:t xml:space="preserve">across </w:t>
      </w:r>
      <w:r w:rsidRPr="00420E86">
        <w:rPr>
          <w:color w:val="000000" w:themeColor="text1"/>
        </w:rPr>
        <w:t xml:space="preserve">the five </w:t>
      </w:r>
      <w:r w:rsidR="005E6ECC">
        <w:rPr>
          <w:color w:val="000000" w:themeColor="text1"/>
        </w:rPr>
        <w:t>groups</w:t>
      </w:r>
      <w:r w:rsidR="005E6ECC" w:rsidRPr="00420E86">
        <w:rPr>
          <w:color w:val="000000" w:themeColor="text1"/>
        </w:rPr>
        <w:t xml:space="preserve"> </w:t>
      </w:r>
      <w:r w:rsidR="008F45D7" w:rsidRPr="00420E86">
        <w:rPr>
          <w:color w:val="000000" w:themeColor="text1"/>
        </w:rPr>
        <w:t xml:space="preserve">involved in the survey </w:t>
      </w:r>
      <w:r w:rsidRPr="00420E86">
        <w:rPr>
          <w:color w:val="000000" w:themeColor="text1"/>
        </w:rPr>
        <w:t xml:space="preserve">indicated that the </w:t>
      </w:r>
      <w:r w:rsidR="00D50E4C" w:rsidRPr="00420E86">
        <w:rPr>
          <w:color w:val="000000" w:themeColor="text1"/>
        </w:rPr>
        <w:t>EIA process partially satisfies the principle of consensus-oriented</w:t>
      </w:r>
      <w:r w:rsidR="00C25D38" w:rsidRPr="00420E86">
        <w:rPr>
          <w:color w:val="000000" w:themeColor="text1"/>
        </w:rPr>
        <w:t xml:space="preserve"> </w:t>
      </w:r>
      <w:r w:rsidR="008F45D7" w:rsidRPr="00420E86">
        <w:rPr>
          <w:color w:val="000000" w:themeColor="text1"/>
        </w:rPr>
        <w:t>(</w:t>
      </w:r>
      <w:r w:rsidR="00633E1A">
        <w:rPr>
          <w:color w:val="000000" w:themeColor="text1"/>
        </w:rPr>
        <w:t>Table 2</w:t>
      </w:r>
      <w:r w:rsidR="00D57D78" w:rsidRPr="00420E86">
        <w:rPr>
          <w:color w:val="000000" w:themeColor="text1"/>
        </w:rPr>
        <w:t xml:space="preserve">). </w:t>
      </w:r>
      <w:bookmarkStart w:id="18" w:name="_Hlk118282594"/>
      <w:proofErr w:type="gramStart"/>
      <w:r w:rsidR="00D102B0" w:rsidRPr="00420E86">
        <w:rPr>
          <w:color w:val="000000" w:themeColor="text1"/>
        </w:rPr>
        <w:t>The majority of</w:t>
      </w:r>
      <w:proofErr w:type="gramEnd"/>
      <w:r w:rsidR="00D102B0" w:rsidRPr="00420E86">
        <w:rPr>
          <w:color w:val="000000" w:themeColor="text1"/>
        </w:rPr>
        <w:t xml:space="preserve"> </w:t>
      </w:r>
      <w:r w:rsidR="005E6ECC">
        <w:rPr>
          <w:color w:val="000000" w:themeColor="text1"/>
        </w:rPr>
        <w:t xml:space="preserve">interviewees </w:t>
      </w:r>
      <w:r w:rsidR="00D102B0" w:rsidRPr="00420E86">
        <w:rPr>
          <w:color w:val="000000" w:themeColor="text1"/>
        </w:rPr>
        <w:t xml:space="preserve">were </w:t>
      </w:r>
      <w:r w:rsidR="00455369">
        <w:rPr>
          <w:color w:val="000000" w:themeColor="text1"/>
        </w:rPr>
        <w:t>pessimistic</w:t>
      </w:r>
      <w:r w:rsidR="00D102B0" w:rsidRPr="00420E86">
        <w:rPr>
          <w:color w:val="000000" w:themeColor="text1"/>
        </w:rPr>
        <w:t xml:space="preserve"> about this criterion,</w:t>
      </w:r>
      <w:r w:rsidR="00455369">
        <w:rPr>
          <w:color w:val="000000" w:themeColor="text1"/>
        </w:rPr>
        <w:t xml:space="preserve"> citing that only a few people partake in the EIA process. A</w:t>
      </w:r>
      <w:r w:rsidR="00D57D78" w:rsidRPr="00420E86">
        <w:rPr>
          <w:color w:val="000000" w:themeColor="text1"/>
        </w:rPr>
        <w:t xml:space="preserve"> senior scientist</w:t>
      </w:r>
      <w:r w:rsidR="00455369">
        <w:rPr>
          <w:color w:val="000000" w:themeColor="text1"/>
        </w:rPr>
        <w:t xml:space="preserve"> noted</w:t>
      </w:r>
      <w:r w:rsidR="00D102B0" w:rsidRPr="00420E86">
        <w:rPr>
          <w:color w:val="000000" w:themeColor="text1"/>
        </w:rPr>
        <w:t xml:space="preserve"> that</w:t>
      </w:r>
      <w:r w:rsidR="005E6ECC">
        <w:rPr>
          <w:color w:val="000000" w:themeColor="text1"/>
        </w:rPr>
        <w:t>:</w:t>
      </w:r>
      <w:r w:rsidR="00D102B0" w:rsidRPr="00420E86">
        <w:rPr>
          <w:color w:val="000000" w:themeColor="text1"/>
        </w:rPr>
        <w:t xml:space="preserve"> "</w:t>
      </w:r>
      <w:r w:rsidR="00EA0ED4" w:rsidRPr="00420E86">
        <w:rPr>
          <w:i/>
          <w:iCs/>
          <w:color w:val="000000" w:themeColor="text1"/>
        </w:rPr>
        <w:t>It’s</w:t>
      </w:r>
      <w:r w:rsidR="00D102B0" w:rsidRPr="00420E86">
        <w:rPr>
          <w:i/>
          <w:iCs/>
          <w:color w:val="000000" w:themeColor="text1"/>
        </w:rPr>
        <w:t xml:space="preserve"> difficult to agree on </w:t>
      </w:r>
      <w:r w:rsidR="00EA0ED4" w:rsidRPr="00420E86">
        <w:rPr>
          <w:i/>
          <w:iCs/>
          <w:color w:val="000000" w:themeColor="text1"/>
        </w:rPr>
        <w:t>this criterion</w:t>
      </w:r>
      <w:r w:rsidR="005E6ECC">
        <w:rPr>
          <w:i/>
          <w:iCs/>
          <w:color w:val="000000" w:themeColor="text1"/>
        </w:rPr>
        <w:t>.</w:t>
      </w:r>
      <w:r w:rsidR="00D102B0" w:rsidRPr="00420E86">
        <w:rPr>
          <w:i/>
          <w:iCs/>
          <w:color w:val="000000" w:themeColor="text1"/>
        </w:rPr>
        <w:t xml:space="preserve"> </w:t>
      </w:r>
      <w:r w:rsidR="005E6ECC">
        <w:rPr>
          <w:i/>
          <w:iCs/>
          <w:color w:val="000000" w:themeColor="text1"/>
        </w:rPr>
        <w:t>I</w:t>
      </w:r>
      <w:r w:rsidR="005E6ECC" w:rsidRPr="00420E86">
        <w:rPr>
          <w:i/>
          <w:iCs/>
          <w:color w:val="000000" w:themeColor="text1"/>
        </w:rPr>
        <w:t xml:space="preserve">n </w:t>
      </w:r>
      <w:r w:rsidR="00D102B0" w:rsidRPr="00420E86">
        <w:rPr>
          <w:i/>
          <w:iCs/>
          <w:color w:val="000000" w:themeColor="text1"/>
        </w:rPr>
        <w:t xml:space="preserve">Namibia only a few educated or urban people are often involved in EIA, and only those perspectives are </w:t>
      </w:r>
      <w:r w:rsidRPr="00420E86">
        <w:rPr>
          <w:i/>
          <w:iCs/>
          <w:color w:val="000000" w:themeColor="text1"/>
        </w:rPr>
        <w:t>considered</w:t>
      </w:r>
      <w:r w:rsidR="005E6ECC">
        <w:rPr>
          <w:i/>
          <w:iCs/>
          <w:color w:val="000000" w:themeColor="text1"/>
        </w:rPr>
        <w:t>.</w:t>
      </w:r>
      <w:r w:rsidRPr="00420E86">
        <w:rPr>
          <w:i/>
          <w:iCs/>
          <w:color w:val="000000" w:themeColor="text1"/>
        </w:rPr>
        <w:t xml:space="preserve"> </w:t>
      </w:r>
      <w:r w:rsidR="005E6ECC">
        <w:rPr>
          <w:i/>
          <w:iCs/>
          <w:color w:val="000000" w:themeColor="text1"/>
        </w:rPr>
        <w:t>W</w:t>
      </w:r>
      <w:proofErr w:type="spellStart"/>
      <w:r w:rsidRPr="00420E86">
        <w:rPr>
          <w:rFonts w:eastAsiaTheme="minorHAnsi"/>
          <w:i/>
          <w:iCs/>
          <w:lang w:val="en-US"/>
        </w:rPr>
        <w:t>e</w:t>
      </w:r>
      <w:proofErr w:type="spellEnd"/>
      <w:r w:rsidRPr="00420E86">
        <w:rPr>
          <w:rFonts w:eastAsiaTheme="minorHAnsi"/>
          <w:i/>
          <w:iCs/>
          <w:lang w:val="en-US"/>
        </w:rPr>
        <w:t xml:space="preserve"> can only measure good governance if people know and are aware</w:t>
      </w:r>
      <w:r w:rsidR="005E6ECC">
        <w:rPr>
          <w:rFonts w:eastAsiaTheme="minorHAnsi"/>
          <w:i/>
          <w:iCs/>
          <w:lang w:val="en-US"/>
        </w:rPr>
        <w:t>,</w:t>
      </w:r>
      <w:r w:rsidRPr="00420E86">
        <w:rPr>
          <w:rFonts w:eastAsiaTheme="minorHAnsi"/>
          <w:i/>
          <w:iCs/>
        </w:rPr>
        <w:t xml:space="preserve"> which is not the case</w:t>
      </w:r>
      <w:r w:rsidR="005E6ECC">
        <w:rPr>
          <w:rFonts w:eastAsiaTheme="minorHAnsi"/>
          <w:i/>
          <w:iCs/>
        </w:rPr>
        <w:t>”</w:t>
      </w:r>
      <w:r w:rsidR="00FD66DC">
        <w:rPr>
          <w:rFonts w:eastAsiaTheme="minorHAnsi"/>
          <w:i/>
          <w:iCs/>
        </w:rPr>
        <w:t xml:space="preserve"> [GovSS3]</w:t>
      </w:r>
      <w:r w:rsidRPr="00420E86">
        <w:rPr>
          <w:rFonts w:eastAsiaTheme="minorHAnsi"/>
          <w:i/>
          <w:iCs/>
        </w:rPr>
        <w:t>.</w:t>
      </w:r>
    </w:p>
    <w:bookmarkEnd w:id="18"/>
    <w:p w14:paraId="4E8A5360" w14:textId="77777777" w:rsidR="0002161E" w:rsidRPr="00E174F4" w:rsidRDefault="0002161E" w:rsidP="00EA0ED4">
      <w:pPr>
        <w:spacing w:line="480" w:lineRule="auto"/>
        <w:jc w:val="both"/>
        <w:rPr>
          <w:color w:val="000000" w:themeColor="text1"/>
        </w:rPr>
      </w:pPr>
    </w:p>
    <w:p w14:paraId="2BAD5E65" w14:textId="77777777" w:rsidR="006D1C10" w:rsidRPr="00E174F4" w:rsidRDefault="000C172D" w:rsidP="00DC5E66">
      <w:pPr>
        <w:pStyle w:val="Heading4"/>
        <w:numPr>
          <w:ilvl w:val="0"/>
          <w:numId w:val="0"/>
        </w:numPr>
        <w:rPr>
          <w:rFonts w:cs="Times New Roman"/>
          <w:iCs w:val="0"/>
        </w:rPr>
      </w:pPr>
      <w:r w:rsidRPr="00E174F4">
        <w:rPr>
          <w:rFonts w:cs="Times New Roman"/>
          <w:iCs w:val="0"/>
        </w:rPr>
        <w:t>4.3.2.</w:t>
      </w:r>
      <w:r w:rsidR="00DB01E2" w:rsidRPr="00E174F4">
        <w:rPr>
          <w:rFonts w:cs="Times New Roman"/>
          <w:iCs w:val="0"/>
        </w:rPr>
        <w:t>6</w:t>
      </w:r>
      <w:r w:rsidRPr="00E174F4">
        <w:rPr>
          <w:rFonts w:cs="Times New Roman"/>
          <w:iCs w:val="0"/>
        </w:rPr>
        <w:t xml:space="preserve"> Equity</w:t>
      </w:r>
    </w:p>
    <w:p w14:paraId="350B1E56" w14:textId="77777777" w:rsidR="008F45D7" w:rsidRPr="00E174F4" w:rsidRDefault="008F45D7" w:rsidP="0072281D">
      <w:pPr>
        <w:rPr>
          <w:iCs/>
        </w:rPr>
      </w:pPr>
    </w:p>
    <w:p w14:paraId="06979453" w14:textId="7412DACE" w:rsidR="006D1C10" w:rsidRDefault="000C172D" w:rsidP="006D1C10">
      <w:pPr>
        <w:spacing w:line="480" w:lineRule="auto"/>
        <w:jc w:val="both"/>
        <w:rPr>
          <w:color w:val="000000" w:themeColor="text1"/>
        </w:rPr>
      </w:pPr>
      <w:r w:rsidRPr="00E174F4">
        <w:rPr>
          <w:color w:val="000000" w:themeColor="text1"/>
        </w:rPr>
        <w:t xml:space="preserve">Equity means the EIA process is fair and enhances the representation of communities and stakeholders. </w:t>
      </w:r>
      <w:r w:rsidR="00455369">
        <w:rPr>
          <w:color w:val="000000" w:themeColor="text1"/>
        </w:rPr>
        <w:t>T</w:t>
      </w:r>
      <w:r w:rsidR="00604646" w:rsidRPr="00E174F4">
        <w:rPr>
          <w:color w:val="000000" w:themeColor="text1"/>
        </w:rPr>
        <w:t xml:space="preserve">he </w:t>
      </w:r>
      <w:r w:rsidR="00455369">
        <w:rPr>
          <w:color w:val="000000" w:themeColor="text1"/>
        </w:rPr>
        <w:t xml:space="preserve">Namibia </w:t>
      </w:r>
      <w:r w:rsidR="00604646" w:rsidRPr="00E174F4">
        <w:rPr>
          <w:color w:val="000000" w:themeColor="text1"/>
        </w:rPr>
        <w:t>EIA process partially satisf</w:t>
      </w:r>
      <w:r w:rsidR="00455369">
        <w:rPr>
          <w:color w:val="000000" w:themeColor="text1"/>
        </w:rPr>
        <w:t xml:space="preserve">ies the equity </w:t>
      </w:r>
      <w:r w:rsidR="005E6ECC">
        <w:rPr>
          <w:color w:val="000000" w:themeColor="text1"/>
        </w:rPr>
        <w:t xml:space="preserve">criterion </w:t>
      </w:r>
      <w:r w:rsidR="00455369">
        <w:rPr>
          <w:color w:val="000000" w:themeColor="text1"/>
        </w:rPr>
        <w:t>(</w:t>
      </w:r>
      <w:r w:rsidR="00633E1A">
        <w:rPr>
          <w:color w:val="000000" w:themeColor="text1"/>
        </w:rPr>
        <w:t>Table 2</w:t>
      </w:r>
      <w:r w:rsidR="00455369">
        <w:rPr>
          <w:color w:val="000000" w:themeColor="text1"/>
        </w:rPr>
        <w:t>). Interviewed experts indicated that equity is a challenge in several structures in Namibia</w:t>
      </w:r>
      <w:r w:rsidR="005E6ECC">
        <w:rPr>
          <w:color w:val="000000" w:themeColor="text1"/>
        </w:rPr>
        <w:t>,</w:t>
      </w:r>
      <w:r w:rsidR="00455369">
        <w:rPr>
          <w:color w:val="000000" w:themeColor="text1"/>
        </w:rPr>
        <w:t xml:space="preserve"> including EIA. </w:t>
      </w:r>
      <w:r w:rsidR="00EA0ED4">
        <w:rPr>
          <w:color w:val="000000" w:themeColor="text1"/>
        </w:rPr>
        <w:t>A local authority expert noted that</w:t>
      </w:r>
      <w:r w:rsidR="005E6ECC">
        <w:rPr>
          <w:color w:val="000000" w:themeColor="text1"/>
        </w:rPr>
        <w:t>:</w:t>
      </w:r>
      <w:r w:rsidR="00EA0ED4">
        <w:rPr>
          <w:color w:val="000000" w:themeColor="text1"/>
        </w:rPr>
        <w:t xml:space="preserve"> “</w:t>
      </w:r>
      <w:r w:rsidR="00EA0ED4" w:rsidRPr="00EA0ED4">
        <w:rPr>
          <w:i/>
          <w:iCs/>
          <w:color w:val="000000" w:themeColor="text1"/>
        </w:rPr>
        <w:t>That’s the purpose of EIA</w:t>
      </w:r>
      <w:r w:rsidR="00420E86">
        <w:rPr>
          <w:i/>
          <w:iCs/>
          <w:color w:val="000000" w:themeColor="text1"/>
        </w:rPr>
        <w:t xml:space="preserve"> to enhance equity</w:t>
      </w:r>
      <w:r w:rsidR="005E6ECC">
        <w:rPr>
          <w:i/>
          <w:iCs/>
          <w:color w:val="000000" w:themeColor="text1"/>
        </w:rPr>
        <w:t>,</w:t>
      </w:r>
      <w:r w:rsidR="00EA0ED4" w:rsidRPr="00EA0ED4">
        <w:rPr>
          <w:i/>
          <w:iCs/>
          <w:color w:val="000000" w:themeColor="text1"/>
        </w:rPr>
        <w:t xml:space="preserve"> but not in Namibia</w:t>
      </w:r>
      <w:r w:rsidR="00EA0ED4">
        <w:rPr>
          <w:color w:val="000000" w:themeColor="text1"/>
        </w:rPr>
        <w:t>”</w:t>
      </w:r>
      <w:r w:rsidR="00FD66DC">
        <w:rPr>
          <w:color w:val="000000" w:themeColor="text1"/>
        </w:rPr>
        <w:t xml:space="preserve"> [LA2]</w:t>
      </w:r>
      <w:r w:rsidR="00EA0ED4">
        <w:rPr>
          <w:color w:val="000000" w:themeColor="text1"/>
        </w:rPr>
        <w:t xml:space="preserve">. It was </w:t>
      </w:r>
      <w:r w:rsidR="00455369">
        <w:rPr>
          <w:color w:val="000000" w:themeColor="text1"/>
        </w:rPr>
        <w:t>suggested</w:t>
      </w:r>
      <w:r w:rsidR="00EA0ED4">
        <w:rPr>
          <w:color w:val="000000" w:themeColor="text1"/>
        </w:rPr>
        <w:t xml:space="preserve"> that more education, awareness, and political will toward the EIA process can enhance fairness and </w:t>
      </w:r>
      <w:r w:rsidR="00455369">
        <w:rPr>
          <w:color w:val="000000" w:themeColor="text1"/>
        </w:rPr>
        <w:t>equity</w:t>
      </w:r>
      <w:r w:rsidR="00EA0ED4">
        <w:rPr>
          <w:color w:val="000000" w:themeColor="text1"/>
        </w:rPr>
        <w:t>.</w:t>
      </w:r>
    </w:p>
    <w:p w14:paraId="0021E7C8" w14:textId="77777777" w:rsidR="00420E86" w:rsidRPr="00E174F4" w:rsidRDefault="00420E86" w:rsidP="006D1C10">
      <w:pPr>
        <w:spacing w:line="480" w:lineRule="auto"/>
        <w:jc w:val="both"/>
        <w:rPr>
          <w:color w:val="000000" w:themeColor="text1"/>
        </w:rPr>
      </w:pPr>
    </w:p>
    <w:p w14:paraId="2FC59CE7" w14:textId="77777777" w:rsidR="006D1C10" w:rsidRPr="00E174F4" w:rsidRDefault="000C172D" w:rsidP="00D467A3">
      <w:pPr>
        <w:pStyle w:val="Heading4"/>
        <w:numPr>
          <w:ilvl w:val="0"/>
          <w:numId w:val="0"/>
        </w:numPr>
        <w:rPr>
          <w:rFonts w:cs="Times New Roman"/>
          <w:iCs w:val="0"/>
        </w:rPr>
      </w:pPr>
      <w:r w:rsidRPr="00E174F4">
        <w:rPr>
          <w:rFonts w:cs="Times New Roman"/>
          <w:iCs w:val="0"/>
        </w:rPr>
        <w:t>4.3.2.</w:t>
      </w:r>
      <w:r w:rsidR="00DB01E2" w:rsidRPr="00E174F4">
        <w:rPr>
          <w:rFonts w:cs="Times New Roman"/>
          <w:iCs w:val="0"/>
        </w:rPr>
        <w:t>7</w:t>
      </w:r>
      <w:r w:rsidRPr="00E174F4">
        <w:rPr>
          <w:rFonts w:cs="Times New Roman"/>
          <w:iCs w:val="0"/>
        </w:rPr>
        <w:t xml:space="preserve"> Accountability</w:t>
      </w:r>
    </w:p>
    <w:p w14:paraId="4B211B11" w14:textId="77777777" w:rsidR="007E79F0" w:rsidRPr="00E174F4" w:rsidRDefault="007E79F0" w:rsidP="007E79F0"/>
    <w:p w14:paraId="50183889" w14:textId="4F4EA054" w:rsidR="00FD4523" w:rsidRDefault="000C172D" w:rsidP="00093F4D">
      <w:pPr>
        <w:spacing w:line="480" w:lineRule="auto"/>
        <w:jc w:val="both"/>
        <w:rPr>
          <w:color w:val="000000" w:themeColor="text1"/>
        </w:rPr>
      </w:pPr>
      <w:bookmarkStart w:id="19" w:name="_Hlk111751853"/>
      <w:r>
        <w:rPr>
          <w:color w:val="000000" w:themeColor="text1"/>
        </w:rPr>
        <w:t>A</w:t>
      </w:r>
      <w:r w:rsidR="00DD6D99" w:rsidRPr="00E174F4">
        <w:rPr>
          <w:color w:val="000000" w:themeColor="text1"/>
        </w:rPr>
        <w:t>ccountability means decision-makers and the proponents are responsible to all parties</w:t>
      </w:r>
      <w:r w:rsidR="008F45D7" w:rsidRPr="00E174F4">
        <w:rPr>
          <w:color w:val="000000" w:themeColor="text1"/>
        </w:rPr>
        <w:t>,</w:t>
      </w:r>
      <w:r w:rsidR="00DD6D99" w:rsidRPr="00E174F4">
        <w:rPr>
          <w:color w:val="000000" w:themeColor="text1"/>
        </w:rPr>
        <w:t xml:space="preserve"> including the public</w:t>
      </w:r>
      <w:r w:rsidR="008F45D7" w:rsidRPr="00E174F4">
        <w:rPr>
          <w:color w:val="000000" w:themeColor="text1"/>
        </w:rPr>
        <w:t>,</w:t>
      </w:r>
      <w:r w:rsidR="00DD6D99" w:rsidRPr="00E174F4">
        <w:rPr>
          <w:color w:val="000000" w:themeColor="text1"/>
        </w:rPr>
        <w:t xml:space="preserve"> for </w:t>
      </w:r>
      <w:r w:rsidR="008F45D7" w:rsidRPr="00E174F4">
        <w:rPr>
          <w:color w:val="000000" w:themeColor="text1"/>
        </w:rPr>
        <w:t xml:space="preserve">both </w:t>
      </w:r>
      <w:r w:rsidR="00DD6D99" w:rsidRPr="00E174F4">
        <w:rPr>
          <w:color w:val="000000" w:themeColor="text1"/>
        </w:rPr>
        <w:t xml:space="preserve">the decision and their actions in the EIA process. </w:t>
      </w:r>
      <w:r w:rsidR="00C80DA8" w:rsidRPr="00E174F4">
        <w:rPr>
          <w:color w:val="000000" w:themeColor="text1"/>
        </w:rPr>
        <w:t xml:space="preserve">The </w:t>
      </w:r>
      <w:r w:rsidR="00455369" w:rsidRPr="00E174F4">
        <w:rPr>
          <w:color w:val="000000" w:themeColor="text1"/>
        </w:rPr>
        <w:t>respondents</w:t>
      </w:r>
      <w:r w:rsidR="005E6ECC">
        <w:rPr>
          <w:color w:val="000000" w:themeColor="text1"/>
        </w:rPr>
        <w:t>’</w:t>
      </w:r>
      <w:r w:rsidR="005660F8" w:rsidRPr="00E174F4">
        <w:rPr>
          <w:color w:val="000000" w:themeColor="text1"/>
        </w:rPr>
        <w:t xml:space="preserve"> </w:t>
      </w:r>
      <w:r w:rsidR="00455369">
        <w:rPr>
          <w:color w:val="000000" w:themeColor="text1"/>
        </w:rPr>
        <w:t xml:space="preserve">views were split </w:t>
      </w:r>
      <w:r w:rsidR="00727E1A">
        <w:rPr>
          <w:color w:val="000000" w:themeColor="text1"/>
        </w:rPr>
        <w:t xml:space="preserve">with 30% </w:t>
      </w:r>
      <w:r w:rsidR="00455369">
        <w:rPr>
          <w:color w:val="000000" w:themeColor="text1"/>
        </w:rPr>
        <w:t>r</w:t>
      </w:r>
      <w:r w:rsidR="00727E1A">
        <w:rPr>
          <w:color w:val="000000" w:themeColor="text1"/>
        </w:rPr>
        <w:t>ating accountability in the EIA process</w:t>
      </w:r>
      <w:r w:rsidR="00C80DA8" w:rsidRPr="00E174F4">
        <w:rPr>
          <w:color w:val="000000" w:themeColor="text1"/>
        </w:rPr>
        <w:t xml:space="preserve"> </w:t>
      </w:r>
      <w:r w:rsidR="00455369">
        <w:rPr>
          <w:color w:val="000000" w:themeColor="text1"/>
        </w:rPr>
        <w:t xml:space="preserve">as </w:t>
      </w:r>
      <w:r w:rsidR="00727E1A">
        <w:rPr>
          <w:color w:val="000000" w:themeColor="text1"/>
        </w:rPr>
        <w:t xml:space="preserve">partial </w:t>
      </w:r>
      <w:r w:rsidR="005E6ECC">
        <w:rPr>
          <w:color w:val="000000" w:themeColor="text1"/>
        </w:rPr>
        <w:t xml:space="preserve">or </w:t>
      </w:r>
      <w:r w:rsidR="00C80DA8" w:rsidRPr="00E174F4">
        <w:rPr>
          <w:color w:val="000000" w:themeColor="text1"/>
        </w:rPr>
        <w:t>marginal</w:t>
      </w:r>
      <w:r w:rsidR="00727E1A">
        <w:rPr>
          <w:color w:val="000000" w:themeColor="text1"/>
        </w:rPr>
        <w:t xml:space="preserve"> </w:t>
      </w:r>
      <w:r w:rsidR="00745CF8">
        <w:rPr>
          <w:color w:val="000000" w:themeColor="text1"/>
        </w:rPr>
        <w:t>(</w:t>
      </w:r>
      <w:r w:rsidR="00C80DA8" w:rsidRPr="00E174F4">
        <w:rPr>
          <w:color w:val="000000" w:themeColor="text1"/>
        </w:rPr>
        <w:fldChar w:fldCharType="begin"/>
      </w:r>
      <w:r w:rsidR="00C80DA8" w:rsidRPr="00E174F4">
        <w:rPr>
          <w:color w:val="000000" w:themeColor="text1"/>
        </w:rPr>
        <w:instrText xml:space="preserve"> REF _Ref110447605 \h </w:instrText>
      </w:r>
      <w:r w:rsidR="00E174F4">
        <w:rPr>
          <w:color w:val="000000" w:themeColor="text1"/>
        </w:rPr>
        <w:instrText xml:space="preserve"> \* MERGEFORMAT </w:instrText>
      </w:r>
      <w:r w:rsidR="00C80DA8" w:rsidRPr="00E174F4">
        <w:rPr>
          <w:color w:val="000000" w:themeColor="text1"/>
        </w:rPr>
      </w:r>
      <w:r w:rsidR="00C80DA8" w:rsidRPr="00E174F4">
        <w:rPr>
          <w:color w:val="000000" w:themeColor="text1"/>
        </w:rPr>
        <w:fldChar w:fldCharType="separate"/>
      </w:r>
      <w:r w:rsidR="00C80DA8" w:rsidRPr="00E174F4">
        <w:rPr>
          <w:color w:val="000000" w:themeColor="text1"/>
        </w:rPr>
        <w:t>Table</w:t>
      </w:r>
      <w:r w:rsidR="00C80DA8" w:rsidRPr="00E174F4">
        <w:rPr>
          <w:color w:val="000000" w:themeColor="text1"/>
        </w:rPr>
        <w:fldChar w:fldCharType="end"/>
      </w:r>
      <w:r w:rsidR="00D57D78">
        <w:rPr>
          <w:color w:val="000000" w:themeColor="text1"/>
        </w:rPr>
        <w:t xml:space="preserve"> 1</w:t>
      </w:r>
      <w:r w:rsidR="00745CF8">
        <w:rPr>
          <w:color w:val="000000" w:themeColor="text1"/>
        </w:rPr>
        <w:t>)</w:t>
      </w:r>
      <w:r w:rsidR="00C80DA8" w:rsidRPr="00E174F4">
        <w:rPr>
          <w:color w:val="000000" w:themeColor="text1"/>
        </w:rPr>
        <w:t xml:space="preserve">. </w:t>
      </w:r>
      <w:bookmarkEnd w:id="19"/>
      <w:r w:rsidR="00DD6D99" w:rsidRPr="00E174F4">
        <w:rPr>
          <w:color w:val="000000" w:themeColor="text1"/>
        </w:rPr>
        <w:t xml:space="preserve">Interviewed experts highlighted accountability as a challenge in </w:t>
      </w:r>
      <w:r w:rsidR="00D51C7E" w:rsidRPr="00E174F4">
        <w:rPr>
          <w:color w:val="000000" w:themeColor="text1"/>
        </w:rPr>
        <w:t xml:space="preserve">the </w:t>
      </w:r>
      <w:r w:rsidR="00DD6D99" w:rsidRPr="00E174F4">
        <w:rPr>
          <w:color w:val="000000" w:themeColor="text1"/>
        </w:rPr>
        <w:t xml:space="preserve">decision-making, </w:t>
      </w:r>
      <w:r w:rsidR="00E606B4" w:rsidRPr="00E174F4">
        <w:rPr>
          <w:color w:val="000000" w:themeColor="text1"/>
        </w:rPr>
        <w:t>monitoring,</w:t>
      </w:r>
      <w:r w:rsidR="00DD6D99" w:rsidRPr="00E174F4">
        <w:rPr>
          <w:color w:val="000000" w:themeColor="text1"/>
        </w:rPr>
        <w:t xml:space="preserve"> </w:t>
      </w:r>
      <w:r w:rsidR="00DD6D99" w:rsidRPr="00E174F4">
        <w:rPr>
          <w:color w:val="000000" w:themeColor="text1"/>
        </w:rPr>
        <w:lastRenderedPageBreak/>
        <w:t xml:space="preserve">and implementation of the EIA process. A Senior Government Official </w:t>
      </w:r>
      <w:r w:rsidR="00727E1A">
        <w:rPr>
          <w:color w:val="000000" w:themeColor="text1"/>
        </w:rPr>
        <w:t>noted that accountability is a subset of responsibility commenting</w:t>
      </w:r>
      <w:r w:rsidR="00DD6D99" w:rsidRPr="00E174F4">
        <w:rPr>
          <w:color w:val="000000" w:themeColor="text1"/>
        </w:rPr>
        <w:t>:</w:t>
      </w:r>
      <w:r w:rsidR="00DD6D99" w:rsidRPr="00E174F4">
        <w:rPr>
          <w:i/>
          <w:color w:val="000000" w:themeColor="text1"/>
        </w:rPr>
        <w:t xml:space="preserve"> “I feel there is no accountability in the EIA system because even the </w:t>
      </w:r>
      <w:r w:rsidR="00727E1A">
        <w:rPr>
          <w:i/>
          <w:color w:val="000000" w:themeColor="text1"/>
        </w:rPr>
        <w:t xml:space="preserve">regulatory </w:t>
      </w:r>
      <w:r w:rsidR="00DD6D99" w:rsidRPr="00E174F4">
        <w:rPr>
          <w:i/>
          <w:color w:val="000000" w:themeColor="text1"/>
        </w:rPr>
        <w:t>body that issued the ECC indicates on the conditions that they are not liable for damages</w:t>
      </w:r>
      <w:r w:rsidR="005E6ECC">
        <w:rPr>
          <w:i/>
          <w:color w:val="000000" w:themeColor="text1"/>
        </w:rPr>
        <w:t>,</w:t>
      </w:r>
      <w:r w:rsidR="00727E1A">
        <w:rPr>
          <w:i/>
          <w:color w:val="000000" w:themeColor="text1"/>
        </w:rPr>
        <w:t xml:space="preserve"> which </w:t>
      </w:r>
      <w:r w:rsidR="00DD6D99" w:rsidRPr="00E174F4">
        <w:rPr>
          <w:i/>
          <w:color w:val="000000" w:themeColor="text1"/>
        </w:rPr>
        <w:t>places</w:t>
      </w:r>
      <w:r w:rsidR="00727E1A">
        <w:rPr>
          <w:i/>
          <w:color w:val="000000" w:themeColor="text1"/>
        </w:rPr>
        <w:t xml:space="preserve"> a</w:t>
      </w:r>
      <w:r w:rsidR="00DD6D99" w:rsidRPr="00E174F4">
        <w:rPr>
          <w:i/>
          <w:color w:val="000000" w:themeColor="text1"/>
        </w:rPr>
        <w:t xml:space="preserve"> blame</w:t>
      </w:r>
      <w:r w:rsidR="00727E1A">
        <w:rPr>
          <w:i/>
          <w:color w:val="000000" w:themeColor="text1"/>
        </w:rPr>
        <w:t xml:space="preserve"> or responsibility</w:t>
      </w:r>
      <w:r w:rsidR="00DD6D99" w:rsidRPr="00E174F4">
        <w:rPr>
          <w:i/>
          <w:color w:val="000000" w:themeColor="text1"/>
        </w:rPr>
        <w:t xml:space="preserve"> on no one"</w:t>
      </w:r>
      <w:r w:rsidR="00FD66DC">
        <w:rPr>
          <w:i/>
          <w:color w:val="000000" w:themeColor="text1"/>
        </w:rPr>
        <w:t xml:space="preserve"> [GovSS5]</w:t>
      </w:r>
      <w:r w:rsidR="00727E1A">
        <w:rPr>
          <w:i/>
          <w:color w:val="000000" w:themeColor="text1"/>
        </w:rPr>
        <w:t>.</w:t>
      </w:r>
      <w:r w:rsidR="00C80DA8" w:rsidRPr="00E174F4">
        <w:rPr>
          <w:color w:val="000000" w:themeColor="text1"/>
        </w:rPr>
        <w:t xml:space="preserve"> </w:t>
      </w:r>
      <w:r w:rsidR="00DD6D99" w:rsidRPr="00E174F4">
        <w:rPr>
          <w:color w:val="000000" w:themeColor="text1"/>
        </w:rPr>
        <w:t xml:space="preserve">A Junior Consultant also </w:t>
      </w:r>
      <w:r w:rsidR="00AD1AD1">
        <w:rPr>
          <w:color w:val="000000" w:themeColor="text1"/>
        </w:rPr>
        <w:t>echoed the same view</w:t>
      </w:r>
      <w:r w:rsidR="00727E1A">
        <w:rPr>
          <w:color w:val="000000" w:themeColor="text1"/>
        </w:rPr>
        <w:t xml:space="preserve"> saying</w:t>
      </w:r>
      <w:r w:rsidR="005E6ECC">
        <w:rPr>
          <w:color w:val="000000" w:themeColor="text1"/>
        </w:rPr>
        <w:t>:</w:t>
      </w:r>
      <w:r w:rsidR="00DD6D99" w:rsidRPr="00E174F4">
        <w:rPr>
          <w:color w:val="000000" w:themeColor="text1"/>
        </w:rPr>
        <w:t xml:space="preserve"> “</w:t>
      </w:r>
      <w:r w:rsidR="00B871AC" w:rsidRPr="00E174F4">
        <w:rPr>
          <w:i/>
          <w:iCs/>
          <w:color w:val="000000" w:themeColor="text1"/>
        </w:rPr>
        <w:t>P</w:t>
      </w:r>
      <w:r w:rsidR="00DD6D99" w:rsidRPr="00E174F4">
        <w:rPr>
          <w:i/>
          <w:color w:val="000000" w:themeColor="text1"/>
        </w:rPr>
        <w:t>eople are taking advantage of the lack of accountability knowing they will not be held responsible because on the ECC, MET is saying that they will not be held liable and accountable for whatever is going to happen; and MET hardly inspect approved project</w:t>
      </w:r>
      <w:r w:rsidR="00D51C7E" w:rsidRPr="00E174F4">
        <w:rPr>
          <w:i/>
          <w:color w:val="000000" w:themeColor="text1"/>
        </w:rPr>
        <w:t>s</w:t>
      </w:r>
      <w:bookmarkStart w:id="20" w:name="_Hlk118282818"/>
      <w:r w:rsidR="00FD66DC">
        <w:rPr>
          <w:i/>
          <w:color w:val="000000" w:themeColor="text1"/>
        </w:rPr>
        <w:t xml:space="preserve"> </w:t>
      </w:r>
      <w:r w:rsidR="00FD66DC" w:rsidRPr="00FD66DC">
        <w:rPr>
          <w:i/>
          <w:iCs/>
          <w:color w:val="000000" w:themeColor="text1"/>
        </w:rPr>
        <w:t>[EAP</w:t>
      </w:r>
      <w:r w:rsidR="00FD66DC">
        <w:rPr>
          <w:i/>
          <w:iCs/>
          <w:color w:val="000000" w:themeColor="text1"/>
        </w:rPr>
        <w:t>4</w:t>
      </w:r>
      <w:r w:rsidR="00FD66DC" w:rsidRPr="00FD66DC">
        <w:rPr>
          <w:i/>
          <w:iCs/>
          <w:color w:val="000000" w:themeColor="text1"/>
        </w:rPr>
        <w:t>]</w:t>
      </w:r>
      <w:r w:rsidR="00727E1A" w:rsidRPr="00FD66DC">
        <w:rPr>
          <w:i/>
          <w:iCs/>
          <w:color w:val="000000" w:themeColor="text1"/>
        </w:rPr>
        <w:t>.</w:t>
      </w:r>
      <w:r w:rsidR="00727E1A">
        <w:rPr>
          <w:color w:val="000000" w:themeColor="text1"/>
        </w:rPr>
        <w:t xml:space="preserve"> Interviewe</w:t>
      </w:r>
      <w:r w:rsidR="00E90411">
        <w:rPr>
          <w:color w:val="000000" w:themeColor="text1"/>
        </w:rPr>
        <w:t>e</w:t>
      </w:r>
      <w:r w:rsidR="00727E1A">
        <w:rPr>
          <w:color w:val="000000" w:themeColor="text1"/>
        </w:rPr>
        <w:t xml:space="preserve">s highlighted the need to add </w:t>
      </w:r>
      <w:r w:rsidR="00AD1AD1">
        <w:rPr>
          <w:color w:val="000000" w:themeColor="text1"/>
        </w:rPr>
        <w:t xml:space="preserve">stringent measures </w:t>
      </w:r>
      <w:r w:rsidR="00727E1A">
        <w:rPr>
          <w:color w:val="000000" w:themeColor="text1"/>
        </w:rPr>
        <w:t xml:space="preserve">and conditions </w:t>
      </w:r>
      <w:r w:rsidR="00AD1AD1">
        <w:rPr>
          <w:color w:val="000000" w:themeColor="text1"/>
        </w:rPr>
        <w:t>to the ECC to show government seriousness</w:t>
      </w:r>
      <w:r w:rsidR="006A0A48">
        <w:rPr>
          <w:color w:val="000000" w:themeColor="text1"/>
        </w:rPr>
        <w:t xml:space="preserve"> in enforcement and punishme</w:t>
      </w:r>
      <w:r w:rsidR="00727E1A">
        <w:rPr>
          <w:color w:val="000000" w:themeColor="text1"/>
        </w:rPr>
        <w:t>nt in case of</w:t>
      </w:r>
      <w:r w:rsidR="006A0A48">
        <w:rPr>
          <w:color w:val="000000" w:themeColor="text1"/>
        </w:rPr>
        <w:t xml:space="preserve"> miscon</w:t>
      </w:r>
      <w:r w:rsidR="00727E1A">
        <w:rPr>
          <w:color w:val="000000" w:themeColor="text1"/>
        </w:rPr>
        <w:t>duct</w:t>
      </w:r>
      <w:r w:rsidR="00AD1AD1">
        <w:rPr>
          <w:color w:val="000000" w:themeColor="text1"/>
        </w:rPr>
        <w:t>.</w:t>
      </w:r>
    </w:p>
    <w:p w14:paraId="4C3DC60C" w14:textId="77777777" w:rsidR="00D57D78" w:rsidRDefault="00D57D78" w:rsidP="00093F4D">
      <w:pPr>
        <w:spacing w:line="480" w:lineRule="auto"/>
        <w:jc w:val="both"/>
        <w:rPr>
          <w:color w:val="000000" w:themeColor="text1"/>
        </w:rPr>
      </w:pPr>
    </w:p>
    <w:bookmarkEnd w:id="20"/>
    <w:p w14:paraId="78E391DF" w14:textId="77777777" w:rsidR="006D1C10" w:rsidRPr="00E174F4" w:rsidRDefault="000C172D" w:rsidP="00977CF5">
      <w:pPr>
        <w:pStyle w:val="Heading4"/>
        <w:numPr>
          <w:ilvl w:val="0"/>
          <w:numId w:val="0"/>
        </w:numPr>
        <w:rPr>
          <w:rFonts w:cs="Times New Roman"/>
          <w:iCs w:val="0"/>
        </w:rPr>
      </w:pPr>
      <w:r w:rsidRPr="00E174F4">
        <w:rPr>
          <w:rFonts w:cs="Times New Roman"/>
          <w:iCs w:val="0"/>
        </w:rPr>
        <w:t>4.</w:t>
      </w:r>
      <w:r w:rsidR="001F7018" w:rsidRPr="00E174F4">
        <w:rPr>
          <w:rFonts w:cs="Times New Roman"/>
          <w:iCs w:val="0"/>
        </w:rPr>
        <w:t>3</w:t>
      </w:r>
      <w:r w:rsidRPr="00E174F4">
        <w:rPr>
          <w:rFonts w:cs="Times New Roman"/>
          <w:iCs w:val="0"/>
        </w:rPr>
        <w:t>.</w:t>
      </w:r>
      <w:r w:rsidR="001F7018" w:rsidRPr="00E174F4">
        <w:rPr>
          <w:rFonts w:cs="Times New Roman"/>
          <w:iCs w:val="0"/>
        </w:rPr>
        <w:t>2</w:t>
      </w:r>
      <w:r w:rsidRPr="00E174F4">
        <w:rPr>
          <w:rFonts w:cs="Times New Roman"/>
          <w:iCs w:val="0"/>
        </w:rPr>
        <w:t>.</w:t>
      </w:r>
      <w:r w:rsidR="00DB01E2" w:rsidRPr="00E174F4">
        <w:rPr>
          <w:rFonts w:cs="Times New Roman"/>
          <w:iCs w:val="0"/>
        </w:rPr>
        <w:t>8</w:t>
      </w:r>
      <w:r w:rsidRPr="00E174F4">
        <w:rPr>
          <w:rFonts w:cs="Times New Roman"/>
          <w:iCs w:val="0"/>
        </w:rPr>
        <w:t xml:space="preserve"> Transparency</w:t>
      </w:r>
    </w:p>
    <w:p w14:paraId="4D601E35" w14:textId="77777777" w:rsidR="007E79F0" w:rsidRPr="00E174F4" w:rsidRDefault="007E79F0" w:rsidP="007E79F0"/>
    <w:p w14:paraId="7B73BD61" w14:textId="684CEC36" w:rsidR="001D526C" w:rsidRPr="00DC7D8C" w:rsidRDefault="000C172D" w:rsidP="00AD1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i/>
          <w:iCs/>
        </w:rPr>
      </w:pPr>
      <w:r w:rsidRPr="00E174F4">
        <w:rPr>
          <w:rFonts w:eastAsia="Calibri"/>
          <w:color w:val="000000" w:themeColor="text1"/>
        </w:rPr>
        <w:t>Transparency means the EIA process and decision-making process are open and accessible</w:t>
      </w:r>
      <w:r w:rsidRPr="00E174F4">
        <w:rPr>
          <w:color w:val="000000" w:themeColor="text1"/>
        </w:rPr>
        <w:t xml:space="preserve">. </w:t>
      </w:r>
      <w:r w:rsidR="00747F89" w:rsidRPr="00E174F4">
        <w:rPr>
          <w:color w:val="000000" w:themeColor="text1"/>
        </w:rPr>
        <w:t xml:space="preserve">Survey respondents had divergent views on transparency. </w:t>
      </w:r>
      <w:r w:rsidR="00633E1A">
        <w:rPr>
          <w:color w:val="000000" w:themeColor="text1"/>
        </w:rPr>
        <w:t>Table 2</w:t>
      </w:r>
      <w:r w:rsidR="00D57D78">
        <w:rPr>
          <w:color w:val="000000" w:themeColor="text1"/>
        </w:rPr>
        <w:t xml:space="preserve"> </w:t>
      </w:r>
      <w:r w:rsidR="00C80DA8" w:rsidRPr="00E174F4">
        <w:rPr>
          <w:color w:val="000000" w:themeColor="text1"/>
        </w:rPr>
        <w:t xml:space="preserve">shows that the EIA process in Namibia </w:t>
      </w:r>
      <w:r w:rsidR="00A23F3E" w:rsidRPr="00E174F4">
        <w:rPr>
          <w:color w:val="000000" w:themeColor="text1"/>
        </w:rPr>
        <w:t xml:space="preserve">poorly satisfies the principle of transparency </w:t>
      </w:r>
      <w:r w:rsidR="00C80DA8" w:rsidRPr="00E174F4">
        <w:rPr>
          <w:color w:val="000000" w:themeColor="text1"/>
        </w:rPr>
        <w:t>(</w:t>
      </w:r>
      <w:r w:rsidR="00287CDF" w:rsidRPr="00E174F4">
        <w:rPr>
          <w:color w:val="000000" w:themeColor="text1"/>
        </w:rPr>
        <w:t>29</w:t>
      </w:r>
      <w:r w:rsidR="002C3F54" w:rsidRPr="00E174F4">
        <w:rPr>
          <w:color w:val="000000" w:themeColor="text1"/>
        </w:rPr>
        <w:t>.4</w:t>
      </w:r>
      <w:r w:rsidR="00C80DA8" w:rsidRPr="00E174F4">
        <w:rPr>
          <w:color w:val="000000" w:themeColor="text1"/>
        </w:rPr>
        <w:t>%).</w:t>
      </w:r>
      <w:r w:rsidR="00A23F3E" w:rsidRPr="00E174F4">
        <w:rPr>
          <w:color w:val="000000" w:themeColor="text1"/>
        </w:rPr>
        <w:t xml:space="preserve"> </w:t>
      </w:r>
      <w:r w:rsidR="00E90411">
        <w:rPr>
          <w:color w:val="000000" w:themeColor="text1"/>
        </w:rPr>
        <w:t xml:space="preserve">Interviewees </w:t>
      </w:r>
      <w:r w:rsidRPr="00E174F4">
        <w:rPr>
          <w:rFonts w:eastAsia="Calibri"/>
          <w:color w:val="000000" w:themeColor="text1"/>
        </w:rPr>
        <w:t xml:space="preserve">stressed the lack of transparency in the EIA process. Senior Officials from the NGO and Consultancy </w:t>
      </w:r>
      <w:r w:rsidR="00112C4B">
        <w:rPr>
          <w:rFonts w:eastAsia="Calibri"/>
          <w:color w:val="000000" w:themeColor="text1"/>
        </w:rPr>
        <w:t>sectors</w:t>
      </w:r>
      <w:r w:rsidR="00390EB6">
        <w:rPr>
          <w:rFonts w:eastAsia="Calibri"/>
          <w:color w:val="000000" w:themeColor="text1"/>
        </w:rPr>
        <w:t xml:space="preserve"> </w:t>
      </w:r>
      <w:r w:rsidRPr="00E174F4">
        <w:rPr>
          <w:rFonts w:eastAsia="Calibri"/>
          <w:color w:val="000000" w:themeColor="text1"/>
        </w:rPr>
        <w:t xml:space="preserve">cited the </w:t>
      </w:r>
      <w:r w:rsidR="00E13677">
        <w:rPr>
          <w:rFonts w:eastAsia="Calibri"/>
          <w:color w:val="000000" w:themeColor="text1"/>
        </w:rPr>
        <w:t>lack of access to</w:t>
      </w:r>
      <w:r w:rsidRPr="00E174F4">
        <w:rPr>
          <w:rFonts w:eastAsia="Calibri"/>
          <w:color w:val="000000" w:themeColor="text1"/>
        </w:rPr>
        <w:t xml:space="preserve"> information </w:t>
      </w:r>
      <w:r w:rsidR="00E13677">
        <w:rPr>
          <w:rFonts w:eastAsia="Calibri"/>
          <w:color w:val="000000" w:themeColor="text1"/>
        </w:rPr>
        <w:t>as</w:t>
      </w:r>
      <w:r w:rsidRPr="00E174F4">
        <w:rPr>
          <w:rFonts w:eastAsia="Calibri"/>
          <w:color w:val="000000" w:themeColor="text1"/>
        </w:rPr>
        <w:t xml:space="preserve"> contributing to the lack of transparency</w:t>
      </w:r>
      <w:r w:rsidR="00E13677">
        <w:rPr>
          <w:rFonts w:eastAsia="Calibri"/>
          <w:color w:val="000000" w:themeColor="text1"/>
        </w:rPr>
        <w:t>. An</w:t>
      </w:r>
      <w:r w:rsidR="00D51C7E" w:rsidRPr="00E174F4">
        <w:rPr>
          <w:rFonts w:eastAsia="Calibri"/>
          <w:color w:val="000000" w:themeColor="text1"/>
        </w:rPr>
        <w:t xml:space="preserve"> interviewee </w:t>
      </w:r>
      <w:r w:rsidR="0049738D">
        <w:rPr>
          <w:rFonts w:eastAsia="Calibri"/>
          <w:color w:val="000000" w:themeColor="text1"/>
        </w:rPr>
        <w:t>from Government stated</w:t>
      </w:r>
      <w:r w:rsidR="00E90411" w:rsidRPr="0049738D">
        <w:rPr>
          <w:rFonts w:eastAsia="Calibri"/>
          <w:iCs/>
          <w:color w:val="000000" w:themeColor="text1"/>
        </w:rPr>
        <w:t>:</w:t>
      </w:r>
      <w:r w:rsidR="00E13677">
        <w:rPr>
          <w:rFonts w:eastAsia="Calibri"/>
          <w:i/>
          <w:color w:val="000000" w:themeColor="text1"/>
        </w:rPr>
        <w:t xml:space="preserve"> "Abo</w:t>
      </w:r>
      <w:r w:rsidRPr="00E174F4">
        <w:rPr>
          <w:rFonts w:eastAsia="Calibri"/>
          <w:i/>
          <w:color w:val="000000" w:themeColor="text1"/>
        </w:rPr>
        <w:t xml:space="preserve">ut transparency, the whole EIA process needs </w:t>
      </w:r>
      <w:r w:rsidR="00E13677">
        <w:rPr>
          <w:rFonts w:eastAsia="Calibri"/>
          <w:i/>
          <w:color w:val="000000" w:themeColor="text1"/>
        </w:rPr>
        <w:t>revisiting because</w:t>
      </w:r>
      <w:r w:rsidRPr="00E174F4">
        <w:rPr>
          <w:rFonts w:eastAsia="Calibri"/>
          <w:i/>
          <w:color w:val="000000" w:themeColor="text1"/>
        </w:rPr>
        <w:t xml:space="preserve"> a lot of information is not accessible to the public</w:t>
      </w:r>
      <w:r w:rsidR="00E13677">
        <w:rPr>
          <w:rFonts w:eastAsia="Calibri"/>
          <w:i/>
          <w:color w:val="000000" w:themeColor="text1"/>
        </w:rPr>
        <w:t xml:space="preserve"> and therefore, </w:t>
      </w:r>
      <w:r w:rsidRPr="00E174F4">
        <w:rPr>
          <w:rFonts w:eastAsia="Calibri"/>
          <w:i/>
          <w:color w:val="000000" w:themeColor="text1"/>
        </w:rPr>
        <w:t xml:space="preserve">we </w:t>
      </w:r>
      <w:r w:rsidR="00E13677" w:rsidRPr="00E174F4">
        <w:rPr>
          <w:rFonts w:eastAsia="Calibri"/>
          <w:i/>
          <w:color w:val="000000" w:themeColor="text1"/>
        </w:rPr>
        <w:t>can</w:t>
      </w:r>
      <w:r w:rsidR="00E13677">
        <w:rPr>
          <w:rFonts w:eastAsia="Calibri"/>
          <w:i/>
          <w:color w:val="000000" w:themeColor="text1"/>
        </w:rPr>
        <w:t>not</w:t>
      </w:r>
      <w:r w:rsidRPr="00E174F4">
        <w:rPr>
          <w:rFonts w:eastAsia="Calibri"/>
          <w:i/>
          <w:color w:val="000000" w:themeColor="text1"/>
        </w:rPr>
        <w:t xml:space="preserve"> say </w:t>
      </w:r>
      <w:r w:rsidR="00E13677">
        <w:rPr>
          <w:rFonts w:eastAsia="Calibri"/>
          <w:i/>
          <w:color w:val="000000" w:themeColor="text1"/>
        </w:rPr>
        <w:t>the process is</w:t>
      </w:r>
      <w:r w:rsidRPr="00E174F4">
        <w:rPr>
          <w:rFonts w:eastAsia="Calibri"/>
          <w:i/>
          <w:color w:val="000000" w:themeColor="text1"/>
        </w:rPr>
        <w:t xml:space="preserve"> transparent</w:t>
      </w:r>
      <w:r w:rsidR="00FD66DC">
        <w:rPr>
          <w:rFonts w:eastAsia="Calibri"/>
          <w:i/>
          <w:color w:val="000000" w:themeColor="text1"/>
        </w:rPr>
        <w:t>” [GovS4]</w:t>
      </w:r>
      <w:r w:rsidRPr="00E174F4">
        <w:rPr>
          <w:rFonts w:eastAsia="Calibri"/>
          <w:i/>
          <w:color w:val="000000" w:themeColor="text1"/>
        </w:rPr>
        <w:t>.</w:t>
      </w:r>
      <w:r w:rsidRPr="00E174F4">
        <w:rPr>
          <w:rFonts w:eastAsia="Calibri"/>
          <w:color w:val="000000" w:themeColor="text1"/>
        </w:rPr>
        <w:t xml:space="preserve"> </w:t>
      </w:r>
      <w:r w:rsidR="00E16460" w:rsidRPr="00E174F4">
        <w:rPr>
          <w:rFonts w:eastAsia="Calibri"/>
          <w:color w:val="000000" w:themeColor="text1"/>
        </w:rPr>
        <w:t>A</w:t>
      </w:r>
      <w:r w:rsidR="00E13677">
        <w:rPr>
          <w:rFonts w:eastAsia="Calibri"/>
          <w:color w:val="000000" w:themeColor="text1"/>
        </w:rPr>
        <w:t>nother</w:t>
      </w:r>
      <w:r w:rsidR="00E16460" w:rsidRPr="00E174F4">
        <w:rPr>
          <w:rFonts w:eastAsia="Calibri"/>
          <w:color w:val="000000" w:themeColor="text1"/>
        </w:rPr>
        <w:t xml:space="preserve"> </w:t>
      </w:r>
      <w:r w:rsidRPr="00E174F4">
        <w:rPr>
          <w:rFonts w:eastAsia="Calibri"/>
          <w:color w:val="000000" w:themeColor="text1"/>
        </w:rPr>
        <w:t xml:space="preserve">Consultant </w:t>
      </w:r>
      <w:r w:rsidR="00745CF8">
        <w:rPr>
          <w:rFonts w:eastAsia="Calibri"/>
          <w:color w:val="000000" w:themeColor="text1"/>
        </w:rPr>
        <w:t xml:space="preserve">shared </w:t>
      </w:r>
      <w:r w:rsidRPr="00E174F4">
        <w:rPr>
          <w:rFonts w:eastAsia="Calibri"/>
          <w:color w:val="000000" w:themeColor="text1"/>
        </w:rPr>
        <w:t>a similar sentiment, indicating that</w:t>
      </w:r>
      <w:r w:rsidR="00E90411">
        <w:rPr>
          <w:rFonts w:eastAsia="Calibri"/>
          <w:color w:val="000000" w:themeColor="text1"/>
        </w:rPr>
        <w:t>:</w:t>
      </w:r>
      <w:r w:rsidRPr="00E174F4">
        <w:rPr>
          <w:rFonts w:eastAsia="Calibri"/>
          <w:color w:val="000000" w:themeColor="text1"/>
        </w:rPr>
        <w:t xml:space="preserve"> “</w:t>
      </w:r>
      <w:r w:rsidRPr="00E174F4">
        <w:rPr>
          <w:rFonts w:eastAsia="Calibri"/>
          <w:i/>
          <w:color w:val="000000" w:themeColor="text1"/>
        </w:rPr>
        <w:t>I love working for the good of the environment but the transparency around EIA is almost zero</w:t>
      </w:r>
      <w:r w:rsidR="001A5339" w:rsidRPr="00E174F4">
        <w:rPr>
          <w:rFonts w:eastAsia="Calibri"/>
          <w:i/>
          <w:color w:val="000000" w:themeColor="text1"/>
        </w:rPr>
        <w:t>”</w:t>
      </w:r>
      <w:r w:rsidR="00FD66DC">
        <w:rPr>
          <w:rFonts w:eastAsia="Calibri"/>
          <w:i/>
          <w:color w:val="000000" w:themeColor="text1"/>
        </w:rPr>
        <w:t xml:space="preserve"> [EAP3]</w:t>
      </w:r>
      <w:r w:rsidRPr="00E174F4">
        <w:rPr>
          <w:rFonts w:eastAsia="Calibri"/>
          <w:i/>
          <w:color w:val="000000" w:themeColor="text1"/>
        </w:rPr>
        <w:t>.</w:t>
      </w:r>
      <w:r w:rsidR="00E16460" w:rsidRPr="00E174F4">
        <w:rPr>
          <w:color w:val="000000" w:themeColor="text1"/>
        </w:rPr>
        <w:t xml:space="preserve"> </w:t>
      </w:r>
      <w:r w:rsidR="00756B01">
        <w:rPr>
          <w:color w:val="000000" w:themeColor="text1"/>
        </w:rPr>
        <w:t>A</w:t>
      </w:r>
      <w:r w:rsidR="00E13677">
        <w:rPr>
          <w:color w:val="000000" w:themeColor="text1"/>
        </w:rPr>
        <w:t xml:space="preserve"> </w:t>
      </w:r>
      <w:r w:rsidR="00756B01">
        <w:rPr>
          <w:color w:val="000000" w:themeColor="text1"/>
        </w:rPr>
        <w:t xml:space="preserve">senior consultant highlighted that </w:t>
      </w:r>
      <w:r w:rsidR="00E13677">
        <w:rPr>
          <w:color w:val="000000" w:themeColor="text1"/>
        </w:rPr>
        <w:t>transparency is also affected by conflict of interest</w:t>
      </w:r>
      <w:r w:rsidR="00E90411">
        <w:rPr>
          <w:color w:val="000000" w:themeColor="text1"/>
        </w:rPr>
        <w:t>,</w:t>
      </w:r>
      <w:r w:rsidR="00E13677">
        <w:rPr>
          <w:color w:val="000000" w:themeColor="text1"/>
        </w:rPr>
        <w:t xml:space="preserve"> stating that</w:t>
      </w:r>
      <w:r w:rsidR="00E90411">
        <w:rPr>
          <w:color w:val="000000" w:themeColor="text1"/>
        </w:rPr>
        <w:t>:</w:t>
      </w:r>
      <w:r w:rsidR="00E13677">
        <w:rPr>
          <w:color w:val="000000" w:themeColor="text1"/>
        </w:rPr>
        <w:t xml:space="preserve"> “</w:t>
      </w:r>
      <w:r w:rsidR="00756B01" w:rsidRPr="00E13677">
        <w:rPr>
          <w:i/>
          <w:iCs/>
          <w:color w:val="000000" w:themeColor="text1"/>
        </w:rPr>
        <w:t xml:space="preserve">Namibia's population is </w:t>
      </w:r>
      <w:r w:rsidR="00E13677" w:rsidRPr="00E13677">
        <w:rPr>
          <w:i/>
          <w:iCs/>
          <w:color w:val="000000" w:themeColor="text1"/>
        </w:rPr>
        <w:t>small,</w:t>
      </w:r>
      <w:r w:rsidR="00756B01" w:rsidRPr="00E13677">
        <w:rPr>
          <w:i/>
          <w:iCs/>
          <w:color w:val="000000" w:themeColor="text1"/>
        </w:rPr>
        <w:t xml:space="preserve"> </w:t>
      </w:r>
      <w:r w:rsidR="00E13677" w:rsidRPr="00E13677">
        <w:rPr>
          <w:i/>
          <w:iCs/>
          <w:color w:val="000000" w:themeColor="text1"/>
        </w:rPr>
        <w:t xml:space="preserve">and </w:t>
      </w:r>
      <w:r w:rsidR="00756B01" w:rsidRPr="00E13677">
        <w:rPr>
          <w:i/>
          <w:iCs/>
        </w:rPr>
        <w:t>the environmental sector</w:t>
      </w:r>
      <w:r w:rsidR="00E13677" w:rsidRPr="00E13677">
        <w:rPr>
          <w:i/>
          <w:iCs/>
        </w:rPr>
        <w:t xml:space="preserve"> has </w:t>
      </w:r>
      <w:r w:rsidR="00E13677" w:rsidRPr="00E13677">
        <w:rPr>
          <w:i/>
          <w:iCs/>
          <w:color w:val="000000" w:themeColor="text1"/>
        </w:rPr>
        <w:t>few experts who know each other</w:t>
      </w:r>
      <w:r w:rsidR="00E13677">
        <w:rPr>
          <w:i/>
          <w:iCs/>
          <w:color w:val="000000" w:themeColor="text1"/>
        </w:rPr>
        <w:t xml:space="preserve"> </w:t>
      </w:r>
      <w:r w:rsidR="00E13677">
        <w:rPr>
          <w:i/>
          <w:iCs/>
          <w:color w:val="000000" w:themeColor="text1"/>
        </w:rPr>
        <w:lastRenderedPageBreak/>
        <w:t>and</w:t>
      </w:r>
      <w:r w:rsidR="00E13677" w:rsidRPr="00E13677">
        <w:rPr>
          <w:i/>
          <w:iCs/>
          <w:color w:val="000000" w:themeColor="text1"/>
        </w:rPr>
        <w:t xml:space="preserve"> are often conflicted</w:t>
      </w:r>
      <w:r w:rsidR="00E90411">
        <w:rPr>
          <w:i/>
          <w:iCs/>
          <w:color w:val="000000" w:themeColor="text1"/>
        </w:rPr>
        <w:t>,</w:t>
      </w:r>
      <w:r w:rsidR="00E13677" w:rsidRPr="00E13677">
        <w:rPr>
          <w:i/>
          <w:iCs/>
          <w:color w:val="000000" w:themeColor="text1"/>
        </w:rPr>
        <w:t xml:space="preserve"> </w:t>
      </w:r>
      <w:r w:rsidR="00E13677">
        <w:rPr>
          <w:i/>
          <w:iCs/>
        </w:rPr>
        <w:t>which</w:t>
      </w:r>
      <w:r w:rsidR="00756B01" w:rsidRPr="00E13677">
        <w:rPr>
          <w:i/>
          <w:iCs/>
        </w:rPr>
        <w:t xml:space="preserve"> brings a lack of transparency in some areas"</w:t>
      </w:r>
      <w:r w:rsidR="00FD66DC">
        <w:rPr>
          <w:i/>
          <w:iCs/>
        </w:rPr>
        <w:t xml:space="preserve"> [EAP7]</w:t>
      </w:r>
      <w:r w:rsidR="00756B01" w:rsidRPr="00E13677">
        <w:rPr>
          <w:i/>
          <w:iCs/>
        </w:rPr>
        <w:t xml:space="preserve">. </w:t>
      </w:r>
      <w:r w:rsidRPr="00E174F4">
        <w:rPr>
          <w:color w:val="000000" w:themeColor="text1"/>
        </w:rPr>
        <w:t>R</w:t>
      </w:r>
      <w:r w:rsidR="00EC38B4" w:rsidRPr="00E174F4">
        <w:rPr>
          <w:rFonts w:eastAsia="Calibri"/>
          <w:color w:val="000000" w:themeColor="text1"/>
        </w:rPr>
        <w:t xml:space="preserve">epresentatives from the decision-making authority </w:t>
      </w:r>
      <w:r w:rsidR="00E13677">
        <w:rPr>
          <w:rFonts w:eastAsia="Calibri"/>
          <w:color w:val="000000" w:themeColor="text1"/>
        </w:rPr>
        <w:t xml:space="preserve">however </w:t>
      </w:r>
      <w:r w:rsidR="00E90411">
        <w:rPr>
          <w:rFonts w:eastAsia="Calibri"/>
          <w:color w:val="000000" w:themeColor="text1"/>
        </w:rPr>
        <w:t xml:space="preserve">indicated </w:t>
      </w:r>
      <w:r w:rsidR="00EC38B4" w:rsidRPr="00E174F4">
        <w:rPr>
          <w:rFonts w:eastAsia="Calibri"/>
          <w:color w:val="000000" w:themeColor="text1"/>
        </w:rPr>
        <w:t xml:space="preserve">that the review and decision-making </w:t>
      </w:r>
      <w:r w:rsidR="00E13677">
        <w:rPr>
          <w:rFonts w:eastAsia="Calibri"/>
          <w:color w:val="000000" w:themeColor="text1"/>
        </w:rPr>
        <w:t>stages</w:t>
      </w:r>
      <w:r w:rsidR="00EC38B4" w:rsidRPr="00E174F4">
        <w:rPr>
          <w:rFonts w:eastAsia="Calibri"/>
          <w:color w:val="000000" w:themeColor="text1"/>
        </w:rPr>
        <w:t xml:space="preserve"> of </w:t>
      </w:r>
      <w:r w:rsidR="00E13677">
        <w:rPr>
          <w:rFonts w:eastAsia="Calibri"/>
          <w:color w:val="000000" w:themeColor="text1"/>
        </w:rPr>
        <w:t xml:space="preserve">the </w:t>
      </w:r>
      <w:r w:rsidR="00EC38B4" w:rsidRPr="00E174F4">
        <w:rPr>
          <w:rFonts w:eastAsia="Calibri"/>
          <w:color w:val="000000" w:themeColor="text1"/>
        </w:rPr>
        <w:t xml:space="preserve">EIA </w:t>
      </w:r>
      <w:r w:rsidR="00E13677">
        <w:rPr>
          <w:rFonts w:eastAsia="Calibri"/>
          <w:color w:val="000000" w:themeColor="text1"/>
        </w:rPr>
        <w:t xml:space="preserve">process </w:t>
      </w:r>
      <w:r w:rsidR="00EC38B4" w:rsidRPr="00E174F4">
        <w:rPr>
          <w:rFonts w:eastAsia="Calibri"/>
          <w:color w:val="000000" w:themeColor="text1"/>
        </w:rPr>
        <w:t xml:space="preserve">are </w:t>
      </w:r>
      <w:r w:rsidRPr="00E174F4">
        <w:rPr>
          <w:rFonts w:eastAsia="Calibri"/>
          <w:color w:val="000000" w:themeColor="text1"/>
        </w:rPr>
        <w:t xml:space="preserve">open and </w:t>
      </w:r>
      <w:r w:rsidR="00EC38B4" w:rsidRPr="00E174F4">
        <w:rPr>
          <w:rFonts w:eastAsia="Calibri"/>
          <w:color w:val="000000" w:themeColor="text1"/>
        </w:rPr>
        <w:t xml:space="preserve">transparent. </w:t>
      </w:r>
      <w:r w:rsidRPr="00E174F4">
        <w:rPr>
          <w:rFonts w:eastAsia="Calibri"/>
          <w:color w:val="000000" w:themeColor="text1"/>
        </w:rPr>
        <w:t xml:space="preserve">A scientist from the </w:t>
      </w:r>
      <w:r w:rsidR="00EC38B4" w:rsidRPr="00E174F4">
        <w:rPr>
          <w:rFonts w:eastAsia="Calibri"/>
          <w:color w:val="000000" w:themeColor="text1"/>
        </w:rPr>
        <w:t xml:space="preserve">DEA </w:t>
      </w:r>
      <w:r w:rsidR="00DC7D8C">
        <w:rPr>
          <w:rFonts w:eastAsia="Calibri"/>
          <w:color w:val="000000" w:themeColor="text1"/>
        </w:rPr>
        <w:t>noted</w:t>
      </w:r>
      <w:r w:rsidR="00EC38B4" w:rsidRPr="00E174F4">
        <w:rPr>
          <w:rFonts w:eastAsia="Calibri"/>
          <w:color w:val="000000" w:themeColor="text1"/>
        </w:rPr>
        <w:t xml:space="preserve"> that: “</w:t>
      </w:r>
      <w:r w:rsidR="00EC38B4" w:rsidRPr="00E174F4">
        <w:rPr>
          <w:rFonts w:eastAsia="Calibri"/>
          <w:i/>
          <w:color w:val="000000" w:themeColor="text1"/>
        </w:rPr>
        <w:t xml:space="preserve">The review and decision-making process is very </w:t>
      </w:r>
      <w:r w:rsidR="00FB63FF" w:rsidRPr="00E174F4">
        <w:rPr>
          <w:rFonts w:eastAsia="Calibri"/>
          <w:i/>
          <w:color w:val="000000" w:themeColor="text1"/>
        </w:rPr>
        <w:t>transparent,</w:t>
      </w:r>
      <w:r w:rsidR="00EC38B4" w:rsidRPr="00E174F4">
        <w:rPr>
          <w:rFonts w:eastAsia="Calibri"/>
          <w:i/>
          <w:color w:val="000000" w:themeColor="text1"/>
        </w:rPr>
        <w:t xml:space="preserve"> and assessment is done by different officers and not the environmental commissioner </w:t>
      </w:r>
      <w:r w:rsidR="00FD66DC" w:rsidRPr="00E174F4">
        <w:rPr>
          <w:rFonts w:eastAsia="Calibri"/>
          <w:i/>
          <w:color w:val="000000" w:themeColor="text1"/>
        </w:rPr>
        <w:t>alone</w:t>
      </w:r>
      <w:r w:rsidR="00FD66DC">
        <w:rPr>
          <w:rFonts w:eastAsia="Calibri"/>
          <w:i/>
          <w:color w:val="000000" w:themeColor="text1"/>
        </w:rPr>
        <w:t>” [GovS6]</w:t>
      </w:r>
      <w:r w:rsidR="00DC7D8C">
        <w:rPr>
          <w:rFonts w:eastAsia="Calibri"/>
          <w:i/>
          <w:color w:val="000000" w:themeColor="text1"/>
        </w:rPr>
        <w:t xml:space="preserve">. </w:t>
      </w:r>
      <w:r w:rsidR="00FD66DC">
        <w:rPr>
          <w:rFonts w:eastAsia="Calibri"/>
          <w:iCs/>
          <w:color w:val="000000" w:themeColor="text1"/>
        </w:rPr>
        <w:t>Majority of the interviewees</w:t>
      </w:r>
      <w:r w:rsidR="00DC7D8C">
        <w:rPr>
          <w:rFonts w:eastAsia="Calibri"/>
          <w:iCs/>
          <w:color w:val="000000" w:themeColor="text1"/>
        </w:rPr>
        <w:t xml:space="preserve"> highlighted</w:t>
      </w:r>
      <w:r w:rsidR="00756B01" w:rsidRPr="001D526C">
        <w:rPr>
          <w:rFonts w:eastAsia="Calibri"/>
          <w:iCs/>
          <w:color w:val="000000" w:themeColor="text1"/>
        </w:rPr>
        <w:t xml:space="preserve"> corruption</w:t>
      </w:r>
      <w:bookmarkStart w:id="21" w:name="_Hlk106816587"/>
      <w:r w:rsidR="00DC7D8C">
        <w:rPr>
          <w:rFonts w:eastAsia="Calibri"/>
          <w:iCs/>
          <w:color w:val="000000" w:themeColor="text1"/>
        </w:rPr>
        <w:t xml:space="preserve"> and political </w:t>
      </w:r>
      <w:r w:rsidR="00EC38B4">
        <w:rPr>
          <w:rFonts w:eastAsia="Calibri"/>
          <w:iCs/>
          <w:color w:val="000000" w:themeColor="text1"/>
        </w:rPr>
        <w:t xml:space="preserve">influence </w:t>
      </w:r>
      <w:r w:rsidR="00DC7D8C">
        <w:rPr>
          <w:rFonts w:eastAsia="Calibri"/>
          <w:iCs/>
          <w:color w:val="000000" w:themeColor="text1"/>
        </w:rPr>
        <w:t xml:space="preserve">in the EIA process as impediments to transparency. </w:t>
      </w:r>
      <w:r w:rsidR="00EC38B4">
        <w:rPr>
          <w:rFonts w:eastAsia="Calibri"/>
          <w:iCs/>
          <w:color w:val="000000" w:themeColor="text1"/>
        </w:rPr>
        <w:t xml:space="preserve">A senior government expert </w:t>
      </w:r>
      <w:r w:rsidR="000664D3">
        <w:rPr>
          <w:rFonts w:eastAsia="Calibri"/>
          <w:iCs/>
          <w:color w:val="000000" w:themeColor="text1"/>
        </w:rPr>
        <w:t>asserted</w:t>
      </w:r>
      <w:r w:rsidR="00EC38B4">
        <w:rPr>
          <w:rFonts w:eastAsia="Calibri"/>
          <w:iCs/>
          <w:color w:val="000000" w:themeColor="text1"/>
        </w:rPr>
        <w:t xml:space="preserve"> that: “</w:t>
      </w:r>
      <w:r w:rsidR="00EC38B4" w:rsidRPr="001D526C">
        <w:rPr>
          <w:rFonts w:eastAsiaTheme="minorHAnsi"/>
          <w:i/>
          <w:iCs/>
          <w:lang w:val="en-US"/>
        </w:rPr>
        <w:t>In some projects, there is too much politics involved</w:t>
      </w:r>
      <w:bookmarkEnd w:id="21"/>
      <w:r w:rsidR="00EC38B4">
        <w:rPr>
          <w:rFonts w:eastAsiaTheme="minorHAnsi"/>
          <w:i/>
          <w:iCs/>
          <w:lang w:val="en-US"/>
        </w:rPr>
        <w:t>, s</w:t>
      </w:r>
      <w:r w:rsidR="00EC38B4" w:rsidRPr="001D526C">
        <w:rPr>
          <w:rFonts w:eastAsiaTheme="minorHAnsi"/>
          <w:i/>
          <w:iCs/>
          <w:lang w:val="en-US"/>
        </w:rPr>
        <w:t>ometimes it is perceived and sometimes it is actual</w:t>
      </w:r>
      <w:r w:rsidR="00BA5C56">
        <w:rPr>
          <w:rFonts w:eastAsiaTheme="minorHAnsi"/>
          <w:i/>
          <w:iCs/>
          <w:lang w:val="en-US"/>
        </w:rPr>
        <w:t>,</w:t>
      </w:r>
      <w:r w:rsidR="00EC38B4" w:rsidRPr="001D526C">
        <w:rPr>
          <w:rFonts w:eastAsiaTheme="minorHAnsi"/>
          <w:i/>
          <w:iCs/>
          <w:lang w:val="en-US"/>
        </w:rPr>
        <w:t xml:space="preserve"> but the overall perception is that if there is too much politics involved then the process is likely to be less transparent</w:t>
      </w:r>
      <w:r w:rsidR="00E90411">
        <w:rPr>
          <w:rFonts w:eastAsiaTheme="minorHAnsi"/>
          <w:i/>
          <w:iCs/>
          <w:lang w:val="en-US"/>
        </w:rPr>
        <w:t>”</w:t>
      </w:r>
      <w:r w:rsidR="00FD66DC">
        <w:rPr>
          <w:rFonts w:eastAsiaTheme="minorHAnsi"/>
          <w:i/>
          <w:iCs/>
          <w:lang w:val="en-US"/>
        </w:rPr>
        <w:t xml:space="preserve"> [GovS5]</w:t>
      </w:r>
      <w:r w:rsidR="00EC38B4" w:rsidRPr="001D526C">
        <w:rPr>
          <w:rFonts w:eastAsiaTheme="minorHAnsi"/>
          <w:i/>
          <w:iCs/>
          <w:lang w:val="en-US"/>
        </w:rPr>
        <w:t>.</w:t>
      </w:r>
      <w:r w:rsidR="000664D3">
        <w:rPr>
          <w:rFonts w:eastAsiaTheme="minorHAnsi"/>
          <w:i/>
          <w:iCs/>
          <w:lang w:val="en-US"/>
        </w:rPr>
        <w:t xml:space="preserve"> </w:t>
      </w:r>
      <w:r w:rsidR="000664D3" w:rsidRPr="000664D3">
        <w:rPr>
          <w:rFonts w:eastAsiaTheme="minorHAnsi"/>
          <w:lang w:val="en-US"/>
        </w:rPr>
        <w:t>The expert however</w:t>
      </w:r>
      <w:r w:rsidR="00E90411">
        <w:rPr>
          <w:rFonts w:eastAsiaTheme="minorHAnsi"/>
          <w:lang w:val="en-US"/>
        </w:rPr>
        <w:t>,</w:t>
      </w:r>
      <w:r w:rsidR="000664D3" w:rsidRPr="000664D3">
        <w:rPr>
          <w:rFonts w:eastAsiaTheme="minorHAnsi"/>
          <w:lang w:val="en-US"/>
        </w:rPr>
        <w:t xml:space="preserve"> indicated optimism toward an improved EIA system saying</w:t>
      </w:r>
      <w:r w:rsidR="00E90411">
        <w:rPr>
          <w:rFonts w:eastAsiaTheme="minorHAnsi"/>
          <w:lang w:val="en-US"/>
        </w:rPr>
        <w:t>:</w:t>
      </w:r>
      <w:r w:rsidR="00EC38B4" w:rsidRPr="001D526C">
        <w:rPr>
          <w:rFonts w:eastAsiaTheme="minorHAnsi"/>
          <w:i/>
          <w:iCs/>
          <w:lang w:val="en-US"/>
        </w:rPr>
        <w:t xml:space="preserve"> </w:t>
      </w:r>
      <w:r w:rsidR="000664D3">
        <w:rPr>
          <w:rFonts w:eastAsiaTheme="minorHAnsi"/>
          <w:i/>
          <w:iCs/>
          <w:lang w:val="en-US"/>
        </w:rPr>
        <w:t>“</w:t>
      </w:r>
      <w:r w:rsidR="00EC38B4" w:rsidRPr="001D526C">
        <w:rPr>
          <w:rFonts w:eastAsiaTheme="minorHAnsi"/>
          <w:i/>
          <w:iCs/>
          <w:lang w:val="en-US"/>
        </w:rPr>
        <w:t xml:space="preserve">But I believe in the </w:t>
      </w:r>
      <w:bookmarkStart w:id="22" w:name="_Hlk106816642"/>
      <w:r w:rsidR="00EC38B4" w:rsidRPr="001D526C">
        <w:rPr>
          <w:rFonts w:eastAsiaTheme="minorHAnsi"/>
          <w:i/>
          <w:iCs/>
          <w:lang w:val="en-US"/>
        </w:rPr>
        <w:t xml:space="preserve">next few years </w:t>
      </w:r>
      <w:r w:rsidR="000664D3">
        <w:rPr>
          <w:rFonts w:eastAsiaTheme="minorHAnsi"/>
          <w:i/>
          <w:iCs/>
          <w:lang w:val="en-US"/>
        </w:rPr>
        <w:t>the system</w:t>
      </w:r>
      <w:r w:rsidR="00EC38B4" w:rsidRPr="001D526C">
        <w:rPr>
          <w:rFonts w:eastAsiaTheme="minorHAnsi"/>
          <w:i/>
          <w:iCs/>
          <w:lang w:val="en-US"/>
        </w:rPr>
        <w:t xml:space="preserve"> will be in a much better position than </w:t>
      </w:r>
      <w:r w:rsidR="000664D3">
        <w:rPr>
          <w:rFonts w:eastAsiaTheme="minorHAnsi"/>
          <w:i/>
          <w:iCs/>
          <w:lang w:val="en-US"/>
        </w:rPr>
        <w:t>it is</w:t>
      </w:r>
      <w:r w:rsidR="00EC38B4" w:rsidRPr="001D526C">
        <w:rPr>
          <w:rFonts w:eastAsiaTheme="minorHAnsi"/>
          <w:i/>
          <w:iCs/>
          <w:lang w:val="en-US"/>
        </w:rPr>
        <w:t xml:space="preserve"> now</w:t>
      </w:r>
      <w:bookmarkEnd w:id="22"/>
      <w:r w:rsidR="00EC38B4">
        <w:rPr>
          <w:rFonts w:ascii="Calibri" w:eastAsiaTheme="minorHAnsi" w:hAnsi="Calibri" w:cs="Calibri"/>
          <w:sz w:val="22"/>
          <w:szCs w:val="22"/>
          <w:lang w:val="en-US"/>
        </w:rPr>
        <w:t>”</w:t>
      </w:r>
      <w:r w:rsidR="00FD66DC">
        <w:rPr>
          <w:rFonts w:ascii="Calibri" w:eastAsiaTheme="minorHAnsi" w:hAnsi="Calibri" w:cs="Calibri"/>
          <w:sz w:val="22"/>
          <w:szCs w:val="22"/>
          <w:lang w:val="en-US"/>
        </w:rPr>
        <w:t xml:space="preserve"> [GovS5]</w:t>
      </w:r>
      <w:r w:rsidR="00EC38B4" w:rsidRPr="001D526C">
        <w:rPr>
          <w:rFonts w:ascii="Calibri" w:eastAsiaTheme="minorHAnsi" w:hAnsi="Calibri" w:cs="Calibri"/>
          <w:sz w:val="22"/>
          <w:szCs w:val="22"/>
          <w:lang w:val="en-US"/>
        </w:rPr>
        <w:t>.</w:t>
      </w:r>
    </w:p>
    <w:p w14:paraId="2235222F" w14:textId="77777777" w:rsidR="00B46297" w:rsidRPr="00E174F4" w:rsidRDefault="00B46297" w:rsidP="005660F8">
      <w:pPr>
        <w:pStyle w:val="Default"/>
        <w:spacing w:line="360" w:lineRule="auto"/>
        <w:rPr>
          <w:rFonts w:ascii="Times New Roman" w:hAnsi="Times New Roman" w:cs="Times New Roman"/>
          <w:i/>
          <w:iCs/>
          <w:color w:val="000000" w:themeColor="text1"/>
          <w:sz w:val="18"/>
          <w:szCs w:val="18"/>
        </w:rPr>
      </w:pPr>
    </w:p>
    <w:p w14:paraId="6B6D26EF" w14:textId="77777777" w:rsidR="005A35B2" w:rsidRPr="00E174F4" w:rsidRDefault="000C172D" w:rsidP="005A35B2">
      <w:pPr>
        <w:pStyle w:val="Heading4"/>
        <w:numPr>
          <w:ilvl w:val="0"/>
          <w:numId w:val="0"/>
        </w:numPr>
        <w:rPr>
          <w:rFonts w:cs="Times New Roman"/>
          <w:iCs w:val="0"/>
        </w:rPr>
      </w:pPr>
      <w:r w:rsidRPr="00E174F4">
        <w:rPr>
          <w:rFonts w:cs="Times New Roman"/>
          <w:iCs w:val="0"/>
        </w:rPr>
        <w:t xml:space="preserve">4.3.2.9 </w:t>
      </w:r>
      <w:bookmarkStart w:id="23" w:name="_Hlk111751779"/>
      <w:r w:rsidRPr="00E174F4">
        <w:rPr>
          <w:rFonts w:cs="Times New Roman"/>
          <w:iCs w:val="0"/>
        </w:rPr>
        <w:t>Legitimacy</w:t>
      </w:r>
      <w:bookmarkEnd w:id="23"/>
    </w:p>
    <w:p w14:paraId="557B9210" w14:textId="77777777" w:rsidR="00B46297" w:rsidRPr="00E174F4" w:rsidRDefault="00B46297" w:rsidP="00B46297"/>
    <w:p w14:paraId="009F57BE" w14:textId="244EC991" w:rsidR="00DA3189" w:rsidRPr="00562503" w:rsidRDefault="000C172D" w:rsidP="007056C0">
      <w:pPr>
        <w:spacing w:line="480" w:lineRule="auto"/>
        <w:jc w:val="both"/>
      </w:pPr>
      <w:r w:rsidRPr="00E174F4">
        <w:rPr>
          <w:color w:val="000000" w:themeColor="text1"/>
        </w:rPr>
        <w:t xml:space="preserve">Legitimacy </w:t>
      </w:r>
      <w:r w:rsidR="009F6C72">
        <w:rPr>
          <w:color w:val="000000" w:themeColor="text1"/>
        </w:rPr>
        <w:t>considers</w:t>
      </w:r>
      <w:r w:rsidRPr="00E174F4">
        <w:rPr>
          <w:color w:val="000000" w:themeColor="text1"/>
        </w:rPr>
        <w:t xml:space="preserve"> the extent to which the EIA process is acceptable. </w:t>
      </w:r>
      <w:r w:rsidR="00DC7D8C">
        <w:rPr>
          <w:color w:val="000000" w:themeColor="text1"/>
        </w:rPr>
        <w:t xml:space="preserve">Results show that </w:t>
      </w:r>
      <w:r w:rsidRPr="00E174F4">
        <w:rPr>
          <w:color w:val="000000" w:themeColor="text1"/>
        </w:rPr>
        <w:t xml:space="preserve">the EIA process partially satisfies the principle of legitimacy </w:t>
      </w:r>
      <w:r w:rsidR="00DC7D8C">
        <w:rPr>
          <w:color w:val="000000" w:themeColor="text1"/>
        </w:rPr>
        <w:t>(</w:t>
      </w:r>
      <w:r w:rsidR="00633E1A">
        <w:rPr>
          <w:color w:val="000000" w:themeColor="text1"/>
        </w:rPr>
        <w:t>Table 2</w:t>
      </w:r>
      <w:r w:rsidR="00DC7D8C">
        <w:rPr>
          <w:color w:val="000000" w:themeColor="text1"/>
        </w:rPr>
        <w:t>)</w:t>
      </w:r>
      <w:r w:rsidRPr="00E174F4">
        <w:rPr>
          <w:color w:val="000000" w:themeColor="text1"/>
        </w:rPr>
        <w:t>.</w:t>
      </w:r>
      <w:r>
        <w:rPr>
          <w:color w:val="000000" w:themeColor="text1"/>
        </w:rPr>
        <w:t xml:space="preserve"> Interviewed experts indicated that</w:t>
      </w:r>
      <w:r w:rsidR="00DC7D8C">
        <w:rPr>
          <w:color w:val="000000" w:themeColor="text1"/>
        </w:rPr>
        <w:t xml:space="preserve"> the low score on</w:t>
      </w:r>
      <w:r>
        <w:rPr>
          <w:color w:val="000000" w:themeColor="text1"/>
        </w:rPr>
        <w:t xml:space="preserve"> legitimacy is connected to public participation and how actors are regulated. </w:t>
      </w:r>
      <w:r w:rsidRPr="00D97DCE">
        <w:t>E</w:t>
      </w:r>
      <w:r w:rsidR="004A6DC7" w:rsidRPr="00D97DCE">
        <w:t>xpert</w:t>
      </w:r>
      <w:r w:rsidRPr="00D97DCE">
        <w:t>s</w:t>
      </w:r>
      <w:r w:rsidR="004A6DC7" w:rsidRPr="00D97DCE">
        <w:t xml:space="preserve"> added that legitimacy </w:t>
      </w:r>
      <w:r w:rsidR="00562503">
        <w:t xml:space="preserve">is low in the EIA process because the </w:t>
      </w:r>
      <w:r w:rsidRPr="00D97DCE">
        <w:t xml:space="preserve">government </w:t>
      </w:r>
      <w:r w:rsidR="00562503">
        <w:t xml:space="preserve">undertake projects with little consideration of </w:t>
      </w:r>
      <w:r w:rsidRPr="00D97DCE">
        <w:t xml:space="preserve">EIA laws. </w:t>
      </w:r>
      <w:r w:rsidR="00562503">
        <w:t>Interviewe</w:t>
      </w:r>
      <w:r w:rsidR="00E90411">
        <w:t>e</w:t>
      </w:r>
      <w:r w:rsidR="00562503">
        <w:t xml:space="preserve">s alleged that several projects including </w:t>
      </w:r>
      <w:r w:rsidRPr="00D97DCE">
        <w:t xml:space="preserve">waste disposal in protected areas, water abstractions, and road construction, </w:t>
      </w:r>
      <w:r w:rsidR="00562503">
        <w:t xml:space="preserve">are implemented </w:t>
      </w:r>
      <w:r w:rsidRPr="00D97DCE">
        <w:t xml:space="preserve">without an environmental clearance </w:t>
      </w:r>
      <w:r w:rsidR="00D97DCE" w:rsidRPr="00D97DCE">
        <w:t>certificate (</w:t>
      </w:r>
      <w:r w:rsidRPr="00D97DCE">
        <w:t>ECC)</w:t>
      </w:r>
      <w:r w:rsidR="00D97DCE" w:rsidRPr="00D97DCE">
        <w:t>. A senior consultant criticized the government saying:</w:t>
      </w:r>
      <w:r w:rsidR="00D97DCE">
        <w:rPr>
          <w:i/>
          <w:iCs/>
        </w:rPr>
        <w:t xml:space="preserve"> </w:t>
      </w:r>
      <w:r w:rsidR="00D97DCE" w:rsidRPr="00D97DCE">
        <w:rPr>
          <w:i/>
          <w:iCs/>
        </w:rPr>
        <w:t>“</w:t>
      </w:r>
      <w:bookmarkStart w:id="24" w:name="_Hlk106817242"/>
      <w:r w:rsidR="00D97DCE" w:rsidRPr="00D97DCE">
        <w:rPr>
          <w:i/>
          <w:iCs/>
        </w:rPr>
        <w:t>G</w:t>
      </w:r>
      <w:r w:rsidRPr="00D97DCE">
        <w:rPr>
          <w:i/>
          <w:iCs/>
        </w:rPr>
        <w:t xml:space="preserve">overnment themselves as the regulators are not abiding by many of its laws. </w:t>
      </w:r>
      <w:bookmarkEnd w:id="24"/>
      <w:r w:rsidRPr="00D97DCE">
        <w:rPr>
          <w:i/>
          <w:iCs/>
        </w:rPr>
        <w:t>The problem is bigger than EIA and when you go further you find that small projects are said to need an EIA while bigger projects go without it</w:t>
      </w:r>
      <w:r w:rsidR="00D97DCE" w:rsidRPr="00D97DCE">
        <w:rPr>
          <w:i/>
          <w:iCs/>
        </w:rPr>
        <w:t>”</w:t>
      </w:r>
      <w:r w:rsidR="00FD66DC">
        <w:rPr>
          <w:i/>
          <w:iCs/>
        </w:rPr>
        <w:t xml:space="preserve"> [EAP8]</w:t>
      </w:r>
      <w:r w:rsidR="00562503">
        <w:rPr>
          <w:i/>
          <w:iCs/>
        </w:rPr>
        <w:t>.</w:t>
      </w:r>
    </w:p>
    <w:p w14:paraId="7BF5C506" w14:textId="77777777" w:rsidR="00D6558D" w:rsidRPr="00D97DCE" w:rsidRDefault="00D6558D" w:rsidP="007056C0">
      <w:pPr>
        <w:spacing w:line="480" w:lineRule="auto"/>
        <w:jc w:val="both"/>
        <w:rPr>
          <w:i/>
          <w:iCs/>
        </w:rPr>
      </w:pPr>
    </w:p>
    <w:p w14:paraId="1E946F71" w14:textId="77777777" w:rsidR="006D1C10" w:rsidRPr="00E174F4" w:rsidRDefault="000C172D" w:rsidP="00977CF5">
      <w:pPr>
        <w:pStyle w:val="Heading4"/>
        <w:numPr>
          <w:ilvl w:val="0"/>
          <w:numId w:val="0"/>
        </w:numPr>
        <w:rPr>
          <w:rFonts w:cs="Times New Roman"/>
          <w:iCs w:val="0"/>
        </w:rPr>
      </w:pPr>
      <w:r w:rsidRPr="00E174F4">
        <w:rPr>
          <w:rFonts w:cs="Times New Roman"/>
          <w:iCs w:val="0"/>
        </w:rPr>
        <w:lastRenderedPageBreak/>
        <w:t>4.</w:t>
      </w:r>
      <w:r w:rsidR="00A432A2" w:rsidRPr="00E174F4">
        <w:rPr>
          <w:rFonts w:cs="Times New Roman"/>
          <w:iCs w:val="0"/>
        </w:rPr>
        <w:t>3</w:t>
      </w:r>
      <w:r w:rsidRPr="00E174F4">
        <w:rPr>
          <w:rFonts w:cs="Times New Roman"/>
          <w:iCs w:val="0"/>
        </w:rPr>
        <w:t>.</w:t>
      </w:r>
      <w:r w:rsidR="001F7018" w:rsidRPr="00E174F4">
        <w:rPr>
          <w:rFonts w:cs="Times New Roman"/>
          <w:iCs w:val="0"/>
        </w:rPr>
        <w:t>2</w:t>
      </w:r>
      <w:r w:rsidRPr="00E174F4">
        <w:rPr>
          <w:rFonts w:cs="Times New Roman"/>
          <w:iCs w:val="0"/>
        </w:rPr>
        <w:t>.</w:t>
      </w:r>
      <w:r w:rsidR="005A35B2" w:rsidRPr="00E174F4">
        <w:rPr>
          <w:rFonts w:cs="Times New Roman"/>
          <w:iCs w:val="0"/>
        </w:rPr>
        <w:t>10</w:t>
      </w:r>
      <w:r w:rsidRPr="00E174F4">
        <w:rPr>
          <w:rFonts w:cs="Times New Roman"/>
          <w:iCs w:val="0"/>
        </w:rPr>
        <w:t xml:space="preserve"> Effectiveness and Efficiency</w:t>
      </w:r>
    </w:p>
    <w:p w14:paraId="3F841599" w14:textId="77777777" w:rsidR="007E79F0" w:rsidRPr="00E174F4" w:rsidRDefault="007E79F0" w:rsidP="007E79F0"/>
    <w:p w14:paraId="493D565D" w14:textId="47BB4CCA" w:rsidR="005A7AB8" w:rsidRDefault="000C172D" w:rsidP="00F66914">
      <w:pPr>
        <w:spacing w:line="480" w:lineRule="auto"/>
        <w:jc w:val="both"/>
      </w:pPr>
      <w:r w:rsidRPr="00E174F4">
        <w:rPr>
          <w:rFonts w:eastAsia="Calibri"/>
          <w:color w:val="000000" w:themeColor="text1"/>
        </w:rPr>
        <w:t xml:space="preserve">Efficiency and effectiveness </w:t>
      </w:r>
      <w:r w:rsidR="0092196A" w:rsidRPr="00E174F4">
        <w:rPr>
          <w:rFonts w:eastAsia="Calibri"/>
          <w:color w:val="000000" w:themeColor="text1"/>
        </w:rPr>
        <w:t>mean</w:t>
      </w:r>
      <w:r w:rsidRPr="00E174F4">
        <w:rPr>
          <w:rFonts w:eastAsia="Calibri"/>
          <w:color w:val="000000" w:themeColor="text1"/>
        </w:rPr>
        <w:t xml:space="preserve"> that the EIA process and its outcomes ensure environmental protection and sustainability at the least cost. </w:t>
      </w:r>
      <w:r w:rsidR="00562503">
        <w:rPr>
          <w:rFonts w:eastAsia="Calibri"/>
          <w:color w:val="000000" w:themeColor="text1"/>
        </w:rPr>
        <w:t>T</w:t>
      </w:r>
      <w:r w:rsidRPr="00E174F4">
        <w:rPr>
          <w:rFonts w:eastAsia="Calibri"/>
          <w:color w:val="000000" w:themeColor="text1"/>
        </w:rPr>
        <w:t xml:space="preserve">he EIA process in Namibia partially </w:t>
      </w:r>
      <w:r w:rsidR="00562503">
        <w:rPr>
          <w:rFonts w:eastAsia="Calibri"/>
          <w:color w:val="000000" w:themeColor="text1"/>
        </w:rPr>
        <w:t>satisfies the principle of</w:t>
      </w:r>
      <w:r w:rsidRPr="00E174F4">
        <w:rPr>
          <w:rFonts w:eastAsia="Calibri"/>
          <w:color w:val="000000" w:themeColor="text1"/>
        </w:rPr>
        <w:t xml:space="preserve"> efficiency and effectiveness (</w:t>
      </w:r>
      <w:r w:rsidR="00633E1A">
        <w:rPr>
          <w:rFonts w:eastAsia="Calibri"/>
          <w:color w:val="000000" w:themeColor="text1"/>
        </w:rPr>
        <w:t>Table 2</w:t>
      </w:r>
      <w:r w:rsidR="00562503">
        <w:rPr>
          <w:rFonts w:eastAsia="Calibri"/>
          <w:color w:val="000000" w:themeColor="text1"/>
        </w:rPr>
        <w:t>)</w:t>
      </w:r>
      <w:r w:rsidR="00E16460" w:rsidRPr="00E174F4">
        <w:rPr>
          <w:color w:val="000000" w:themeColor="text1"/>
        </w:rPr>
        <w:t xml:space="preserve">. </w:t>
      </w:r>
      <w:r w:rsidR="000A43A8" w:rsidRPr="00E174F4">
        <w:rPr>
          <w:color w:val="000000" w:themeColor="text1"/>
        </w:rPr>
        <w:t>Interviewe</w:t>
      </w:r>
      <w:r w:rsidR="00EB25AD">
        <w:rPr>
          <w:color w:val="000000" w:themeColor="text1"/>
        </w:rPr>
        <w:t>es</w:t>
      </w:r>
      <w:r w:rsidR="000A43A8" w:rsidRPr="00E174F4">
        <w:rPr>
          <w:color w:val="000000" w:themeColor="text1"/>
        </w:rPr>
        <w:t xml:space="preserve"> linked the effectiveness and efficiency of the EIA process to national governance</w:t>
      </w:r>
      <w:r w:rsidR="00562503">
        <w:rPr>
          <w:color w:val="000000" w:themeColor="text1"/>
        </w:rPr>
        <w:t xml:space="preserve"> and political will</w:t>
      </w:r>
      <w:r w:rsidR="000A43A8" w:rsidRPr="00E174F4">
        <w:rPr>
          <w:color w:val="000000" w:themeColor="text1"/>
        </w:rPr>
        <w:t xml:space="preserve">, with the majority mentioning that </w:t>
      </w:r>
      <w:r w:rsidR="000A43A8" w:rsidRPr="00E174F4">
        <w:t>EIA</w:t>
      </w:r>
      <w:r w:rsidR="00562503">
        <w:t xml:space="preserve"> as a tool</w:t>
      </w:r>
      <w:r w:rsidR="000A43A8" w:rsidRPr="00E174F4">
        <w:t xml:space="preserve"> is not getting support from the government. </w:t>
      </w:r>
      <w:r w:rsidRPr="00E174F4">
        <w:rPr>
          <w:rFonts w:eastAsia="Calibri"/>
          <w:color w:val="000000" w:themeColor="text1"/>
        </w:rPr>
        <w:t>A government scientist asserted that</w:t>
      </w:r>
      <w:r w:rsidR="00E90411">
        <w:rPr>
          <w:rFonts w:eastAsia="Calibri"/>
          <w:color w:val="000000" w:themeColor="text1"/>
        </w:rPr>
        <w:t>:</w:t>
      </w:r>
      <w:r w:rsidRPr="00E174F4">
        <w:rPr>
          <w:rFonts w:eastAsia="Calibri"/>
          <w:color w:val="000000" w:themeColor="text1"/>
        </w:rPr>
        <w:t xml:space="preserve"> </w:t>
      </w:r>
      <w:r w:rsidRPr="00E174F4">
        <w:t>“</w:t>
      </w:r>
      <w:r>
        <w:rPr>
          <w:i/>
          <w:iCs/>
        </w:rPr>
        <w:t>effectiveness</w:t>
      </w:r>
      <w:r w:rsidRPr="00E174F4">
        <w:rPr>
          <w:i/>
          <w:iCs/>
        </w:rPr>
        <w:t xml:space="preserve"> in EIA has so much to do with political will and government support but that component is limited in Namibia</w:t>
      </w:r>
      <w:r w:rsidRPr="00E174F4">
        <w:t>”</w:t>
      </w:r>
      <w:r w:rsidR="00FD66DC">
        <w:t xml:space="preserve"> [GovS3]</w:t>
      </w:r>
      <w:r w:rsidRPr="00E174F4">
        <w:t>.</w:t>
      </w:r>
      <w:r w:rsidRPr="00E174F4">
        <w:rPr>
          <w:rFonts w:eastAsia="Calibri"/>
          <w:color w:val="000000" w:themeColor="text1"/>
        </w:rPr>
        <w:t xml:space="preserve"> An expert from the private sector suggested that </w:t>
      </w:r>
      <w:r w:rsidR="00562503">
        <w:t xml:space="preserve">information </w:t>
      </w:r>
      <w:r w:rsidR="00EB25AD">
        <w:t>sharing,</w:t>
      </w:r>
      <w:r w:rsidR="00562503">
        <w:t xml:space="preserve"> and knowledge management </w:t>
      </w:r>
      <w:r>
        <w:t xml:space="preserve">can also contribute to </w:t>
      </w:r>
      <w:r w:rsidR="007D0ED2">
        <w:t>efficiency</w:t>
      </w:r>
      <w:r w:rsidR="00562503">
        <w:t xml:space="preserve">. </w:t>
      </w:r>
      <w:r w:rsidR="0049738D">
        <w:t>Interviewees</w:t>
      </w:r>
      <w:r w:rsidR="007A1D50">
        <w:t xml:space="preserve"> </w:t>
      </w:r>
      <w:r>
        <w:t>suggest</w:t>
      </w:r>
      <w:r w:rsidR="00562503">
        <w:t xml:space="preserve">ed that </w:t>
      </w:r>
      <w:r w:rsidRPr="00E174F4">
        <w:t xml:space="preserve">a digital mapping system </w:t>
      </w:r>
      <w:r>
        <w:t xml:space="preserve">and </w:t>
      </w:r>
      <w:r w:rsidR="00562503">
        <w:t xml:space="preserve">a </w:t>
      </w:r>
      <w:r>
        <w:t xml:space="preserve">database </w:t>
      </w:r>
      <w:r w:rsidR="00562503">
        <w:t>are needed to depict different developments and to report on the number of approved and rejected projects</w:t>
      </w:r>
      <w:r>
        <w:t xml:space="preserve"> annually. An engineer from the local authority indicated that digital and online systems </w:t>
      </w:r>
      <w:r w:rsidRPr="00E174F4">
        <w:t xml:space="preserve">can </w:t>
      </w:r>
      <w:r w:rsidRPr="00E174F4">
        <w:rPr>
          <w:lang w:val="en-US"/>
        </w:rPr>
        <w:t>improve</w:t>
      </w:r>
      <w:r w:rsidRPr="00E174F4">
        <w:t xml:space="preserve"> inspection, monitoring, and assessments of cumulative impacts</w:t>
      </w:r>
      <w:r w:rsidR="00D6558D">
        <w:t xml:space="preserve">. </w:t>
      </w:r>
    </w:p>
    <w:p w14:paraId="628DCB54" w14:textId="77777777" w:rsidR="00042E1B" w:rsidRDefault="00042E1B" w:rsidP="00F66914">
      <w:pPr>
        <w:spacing w:line="480" w:lineRule="auto"/>
        <w:jc w:val="both"/>
      </w:pPr>
    </w:p>
    <w:p w14:paraId="616D9605" w14:textId="78EA9DA0" w:rsidR="001949FA" w:rsidRPr="00E174F4" w:rsidRDefault="000C172D" w:rsidP="007A1D50">
      <w:pPr>
        <w:spacing w:line="480" w:lineRule="auto"/>
        <w:jc w:val="both"/>
      </w:pPr>
      <w:r w:rsidRPr="00E174F4">
        <w:t>A senior government official</w:t>
      </w:r>
      <w:r>
        <w:t xml:space="preserve"> added</w:t>
      </w:r>
      <w:r w:rsidRPr="00E174F4">
        <w:t xml:space="preserve"> that </w:t>
      </w:r>
      <w:r>
        <w:t>EIA's effectiveness is affected by the level of secrecy and dishonesty in the process</w:t>
      </w:r>
      <w:r w:rsidR="00D6613A">
        <w:t>,</w:t>
      </w:r>
      <w:r>
        <w:t xml:space="preserve"> commenting: </w:t>
      </w:r>
      <w:r w:rsidRPr="00097F65">
        <w:rPr>
          <w:i/>
          <w:iCs/>
        </w:rPr>
        <w:t xml:space="preserve">"There is a lot of secrecy in this whole thing of EIA. You go and ask the sample design from those that </w:t>
      </w:r>
      <w:r w:rsidR="005A7AB8">
        <w:rPr>
          <w:i/>
          <w:iCs/>
        </w:rPr>
        <w:t>undertake</w:t>
      </w:r>
      <w:r w:rsidRPr="00097F65">
        <w:rPr>
          <w:i/>
          <w:iCs/>
        </w:rPr>
        <w:t xml:space="preserve"> sampling and ask the protocols but sometimes they will not provide you with these things because they would not want you to see how they have manipulated the data</w:t>
      </w:r>
      <w:r w:rsidR="005A7AB8">
        <w:rPr>
          <w:i/>
          <w:iCs/>
        </w:rPr>
        <w:t xml:space="preserve">. </w:t>
      </w:r>
      <w:r w:rsidRPr="00097F65">
        <w:rPr>
          <w:i/>
          <w:iCs/>
        </w:rPr>
        <w:t xml:space="preserve">Honesty is not </w:t>
      </w:r>
      <w:r w:rsidR="005A7AB8">
        <w:rPr>
          <w:i/>
          <w:iCs/>
        </w:rPr>
        <w:t>in EIA</w:t>
      </w:r>
      <w:r w:rsidRPr="00097F65">
        <w:rPr>
          <w:i/>
          <w:iCs/>
        </w:rPr>
        <w:t>"</w:t>
      </w:r>
      <w:r w:rsidR="00FD66DC">
        <w:rPr>
          <w:i/>
          <w:iCs/>
        </w:rPr>
        <w:t>[GovSS4].</w:t>
      </w:r>
      <w:r w:rsidR="00E90411">
        <w:rPr>
          <w:rFonts w:eastAsia="Calibri"/>
          <w:color w:val="000000" w:themeColor="text1"/>
        </w:rPr>
        <w:t xml:space="preserve"> </w:t>
      </w:r>
      <w:r w:rsidRPr="00E174F4">
        <w:rPr>
          <w:rFonts w:eastAsia="Calibri"/>
          <w:color w:val="000000" w:themeColor="text1"/>
        </w:rPr>
        <w:t>Interviewe</w:t>
      </w:r>
      <w:r w:rsidR="007A1D50">
        <w:rPr>
          <w:rFonts w:eastAsia="Calibri"/>
          <w:color w:val="000000" w:themeColor="text1"/>
        </w:rPr>
        <w:t>es</w:t>
      </w:r>
      <w:r w:rsidRPr="00E174F4">
        <w:rPr>
          <w:rFonts w:eastAsia="Calibri"/>
          <w:color w:val="000000" w:themeColor="text1"/>
        </w:rPr>
        <w:t xml:space="preserve"> </w:t>
      </w:r>
      <w:r w:rsidR="005A7AB8">
        <w:t xml:space="preserve">agreed that EIA efficiency and effectiveness can be improved through </w:t>
      </w:r>
      <w:r w:rsidR="005A7AB8" w:rsidRPr="00E174F4">
        <w:t>awareness</w:t>
      </w:r>
      <w:r w:rsidRPr="00E174F4">
        <w:t xml:space="preserve"> campaign</w:t>
      </w:r>
      <w:r w:rsidR="005A7AB8">
        <w:t xml:space="preserve">s and </w:t>
      </w:r>
      <w:r w:rsidRPr="00E174F4">
        <w:t>training programs</w:t>
      </w:r>
      <w:r w:rsidR="00C018C0">
        <w:t xml:space="preserve"> on the environment and EIA</w:t>
      </w:r>
      <w:r w:rsidRPr="00E174F4">
        <w:t xml:space="preserve"> across the country</w:t>
      </w:r>
      <w:r w:rsidR="005A7AB8">
        <w:t>.</w:t>
      </w:r>
    </w:p>
    <w:p w14:paraId="442124D8" w14:textId="77777777" w:rsidR="00CC725E" w:rsidRDefault="00CC725E" w:rsidP="005C6C62"/>
    <w:p w14:paraId="468F42F1" w14:textId="77777777" w:rsidR="00373694" w:rsidRDefault="00373694" w:rsidP="005C6C62"/>
    <w:p w14:paraId="0107F48A" w14:textId="77777777" w:rsidR="00373694" w:rsidRDefault="00373694" w:rsidP="005C6C62"/>
    <w:p w14:paraId="293D1592" w14:textId="77777777" w:rsidR="00373694" w:rsidRPr="00E174F4" w:rsidRDefault="00373694" w:rsidP="005C6C62"/>
    <w:p w14:paraId="277147CD" w14:textId="77777777" w:rsidR="00EA6301" w:rsidRPr="000A449A" w:rsidRDefault="000C172D" w:rsidP="000A449A">
      <w:pPr>
        <w:pStyle w:val="Heading2"/>
        <w:numPr>
          <w:ilvl w:val="0"/>
          <w:numId w:val="0"/>
        </w:numPr>
        <w:spacing w:line="480" w:lineRule="auto"/>
        <w:jc w:val="both"/>
        <w:rPr>
          <w:rFonts w:cs="Times New Roman"/>
          <w:szCs w:val="24"/>
        </w:rPr>
      </w:pPr>
      <w:r w:rsidRPr="00E174F4">
        <w:rPr>
          <w:rFonts w:cs="Times New Roman"/>
          <w:szCs w:val="24"/>
        </w:rPr>
        <w:lastRenderedPageBreak/>
        <w:t>4.4 Discussion</w:t>
      </w:r>
    </w:p>
    <w:p w14:paraId="3FDC4692" w14:textId="77777777" w:rsidR="001D19D2" w:rsidRPr="00E174F4" w:rsidRDefault="001D19D2" w:rsidP="0072281D"/>
    <w:p w14:paraId="008C2EFD" w14:textId="0FF2E492" w:rsidR="00E51587" w:rsidRDefault="000C172D" w:rsidP="00E51587">
      <w:pPr>
        <w:spacing w:line="480" w:lineRule="auto"/>
        <w:jc w:val="both"/>
        <w:rPr>
          <w:color w:val="000000" w:themeColor="text1"/>
          <w:shd w:val="clear" w:color="auto" w:fill="FFFFFF"/>
        </w:rPr>
      </w:pPr>
      <w:r>
        <w:rPr>
          <w:color w:val="000000" w:themeColor="text1"/>
          <w:lang w:val="en-US"/>
        </w:rPr>
        <w:t xml:space="preserve">Good governance </w:t>
      </w:r>
      <w:r w:rsidR="00D915F9">
        <w:rPr>
          <w:color w:val="000000" w:themeColor="text1"/>
          <w:lang w:val="en-US"/>
        </w:rPr>
        <w:t>principles</w:t>
      </w:r>
      <w:r>
        <w:rPr>
          <w:color w:val="000000" w:themeColor="text1"/>
          <w:lang w:val="en-US"/>
        </w:rPr>
        <w:t xml:space="preserve"> should be embedded into the legislation, </w:t>
      </w:r>
      <w:r w:rsidR="00C018C0">
        <w:rPr>
          <w:color w:val="000000" w:themeColor="text1"/>
          <w:lang w:val="en-US"/>
        </w:rPr>
        <w:t>provisions,</w:t>
      </w:r>
      <w:r>
        <w:rPr>
          <w:color w:val="000000" w:themeColor="text1"/>
          <w:lang w:val="en-US"/>
        </w:rPr>
        <w:t xml:space="preserve"> and </w:t>
      </w:r>
      <w:r w:rsidR="00D915F9">
        <w:rPr>
          <w:color w:val="000000" w:themeColor="text1"/>
          <w:lang w:val="en-US"/>
        </w:rPr>
        <w:t>requirements</w:t>
      </w:r>
      <w:r>
        <w:rPr>
          <w:color w:val="000000" w:themeColor="text1"/>
          <w:lang w:val="en-US"/>
        </w:rPr>
        <w:t xml:space="preserve"> </w:t>
      </w:r>
      <w:r w:rsidR="00D915F9">
        <w:rPr>
          <w:color w:val="000000" w:themeColor="text1"/>
          <w:lang w:val="en-US"/>
        </w:rPr>
        <w:t xml:space="preserve">to ensure a quality </w:t>
      </w:r>
      <w:r>
        <w:rPr>
          <w:color w:val="000000" w:themeColor="text1"/>
          <w:lang w:val="en-US"/>
        </w:rPr>
        <w:t>EIA system.</w:t>
      </w:r>
      <w:r w:rsidR="00E95A20">
        <w:rPr>
          <w:color w:val="000000" w:themeColor="text1"/>
          <w:lang w:val="en-US"/>
        </w:rPr>
        <w:t xml:space="preserve"> </w:t>
      </w:r>
      <w:r w:rsidR="00D915F9" w:rsidRPr="00E174F4">
        <w:rPr>
          <w:color w:val="000000" w:themeColor="text1"/>
          <w:lang w:val="en-US"/>
        </w:rPr>
        <w:t xml:space="preserve">Studies examining the </w:t>
      </w:r>
      <w:r w:rsidR="00D915F9">
        <w:rPr>
          <w:color w:val="000000" w:themeColor="text1"/>
          <w:lang w:val="en-US"/>
        </w:rPr>
        <w:t xml:space="preserve">quality of EIA systems often </w:t>
      </w:r>
      <w:r w:rsidR="00C018C0">
        <w:rPr>
          <w:color w:val="000000" w:themeColor="text1"/>
          <w:lang w:val="en-US"/>
        </w:rPr>
        <w:t>focus</w:t>
      </w:r>
      <w:r w:rsidR="00D915F9">
        <w:rPr>
          <w:color w:val="000000" w:themeColor="text1"/>
          <w:lang w:val="en-US"/>
        </w:rPr>
        <w:t xml:space="preserve"> on the EIA report, and only a few research</w:t>
      </w:r>
      <w:r w:rsidR="00E90411">
        <w:rPr>
          <w:color w:val="000000" w:themeColor="text1"/>
          <w:lang w:val="en-US"/>
        </w:rPr>
        <w:t>ers have</w:t>
      </w:r>
      <w:r w:rsidR="00D915F9">
        <w:rPr>
          <w:color w:val="000000" w:themeColor="text1"/>
          <w:lang w:val="en-US"/>
        </w:rPr>
        <w:t xml:space="preserve"> examined the </w:t>
      </w:r>
      <w:r w:rsidR="00D915F9" w:rsidRPr="00E174F4">
        <w:rPr>
          <w:color w:val="000000" w:themeColor="text1"/>
          <w:lang w:val="en-US"/>
        </w:rPr>
        <w:t>mechanisms</w:t>
      </w:r>
      <w:r w:rsidR="00D915F9">
        <w:rPr>
          <w:color w:val="000000" w:themeColor="text1"/>
          <w:lang w:val="en-US"/>
        </w:rPr>
        <w:t xml:space="preserve"> in place and the governance context. </w:t>
      </w:r>
      <w:r w:rsidR="00D66232" w:rsidRPr="00E174F4">
        <w:rPr>
          <w:color w:val="000000" w:themeColor="text1"/>
        </w:rPr>
        <w:t>This study evaluate</w:t>
      </w:r>
      <w:r w:rsidR="00F3610B" w:rsidRPr="00E174F4">
        <w:rPr>
          <w:color w:val="000000" w:themeColor="text1"/>
        </w:rPr>
        <w:t>d</w:t>
      </w:r>
      <w:r w:rsidR="00D66232" w:rsidRPr="00E174F4">
        <w:rPr>
          <w:color w:val="000000" w:themeColor="text1"/>
        </w:rPr>
        <w:t xml:space="preserve"> the </w:t>
      </w:r>
      <w:r w:rsidR="00C94BEA">
        <w:rPr>
          <w:color w:val="000000" w:themeColor="text1"/>
        </w:rPr>
        <w:t>a</w:t>
      </w:r>
      <w:r w:rsidR="007C4473" w:rsidRPr="00E174F4">
        <w:rPr>
          <w:color w:val="000000" w:themeColor="text1"/>
        </w:rPr>
        <w:t xml:space="preserve">dequacy of EIA </w:t>
      </w:r>
      <w:r w:rsidR="00A41F91">
        <w:rPr>
          <w:color w:val="000000" w:themeColor="text1"/>
        </w:rPr>
        <w:t xml:space="preserve">governance </w:t>
      </w:r>
      <w:r w:rsidR="00C85B0F">
        <w:rPr>
          <w:color w:val="000000" w:themeColor="text1"/>
        </w:rPr>
        <w:t>m</w:t>
      </w:r>
      <w:r w:rsidR="00C85B0F" w:rsidRPr="00E174F4">
        <w:rPr>
          <w:color w:val="000000" w:themeColor="text1"/>
        </w:rPr>
        <w:t xml:space="preserve">echanisms </w:t>
      </w:r>
      <w:r w:rsidR="007C4473" w:rsidRPr="00E174F4">
        <w:rPr>
          <w:color w:val="000000" w:themeColor="text1"/>
        </w:rPr>
        <w:t xml:space="preserve">in </w:t>
      </w:r>
      <w:r w:rsidR="00C85B0F">
        <w:rPr>
          <w:color w:val="000000" w:themeColor="text1"/>
        </w:rPr>
        <w:t>p</w:t>
      </w:r>
      <w:r w:rsidR="00C85B0F" w:rsidRPr="00E174F4">
        <w:rPr>
          <w:color w:val="000000" w:themeColor="text1"/>
        </w:rPr>
        <w:t xml:space="preserve">lace </w:t>
      </w:r>
      <w:r w:rsidR="007C4473" w:rsidRPr="00E174F4">
        <w:rPr>
          <w:color w:val="000000" w:themeColor="text1"/>
        </w:rPr>
        <w:t xml:space="preserve">for the </w:t>
      </w:r>
      <w:r w:rsidR="00C85B0F">
        <w:rPr>
          <w:color w:val="000000" w:themeColor="text1"/>
        </w:rPr>
        <w:t>c</w:t>
      </w:r>
      <w:r w:rsidR="00C85B0F" w:rsidRPr="00E174F4">
        <w:rPr>
          <w:color w:val="000000" w:themeColor="text1"/>
        </w:rPr>
        <w:t xml:space="preserve">onduct </w:t>
      </w:r>
      <w:r w:rsidR="007C4473" w:rsidRPr="00E174F4">
        <w:rPr>
          <w:color w:val="000000" w:themeColor="text1"/>
        </w:rPr>
        <w:t>of EIA</w:t>
      </w:r>
      <w:r w:rsidR="00C85B0F">
        <w:rPr>
          <w:color w:val="000000" w:themeColor="text1"/>
        </w:rPr>
        <w:t xml:space="preserve"> in </w:t>
      </w:r>
      <w:r w:rsidR="00032787">
        <w:rPr>
          <w:color w:val="000000" w:themeColor="text1"/>
        </w:rPr>
        <w:t>Namibia.</w:t>
      </w:r>
      <w:r w:rsidR="007C4473" w:rsidRPr="00E174F4">
        <w:rPr>
          <w:color w:val="000000" w:themeColor="text1"/>
        </w:rPr>
        <w:t xml:space="preserve"> </w:t>
      </w:r>
      <w:r w:rsidR="00D915F9">
        <w:rPr>
          <w:color w:val="000000" w:themeColor="text1"/>
        </w:rPr>
        <w:t>O</w:t>
      </w:r>
      <w:r w:rsidR="00900E87">
        <w:rPr>
          <w:color w:val="000000" w:themeColor="text1"/>
        </w:rPr>
        <w:t xml:space="preserve">n </w:t>
      </w:r>
      <w:r w:rsidR="00D803C1">
        <w:rPr>
          <w:color w:val="000000" w:themeColor="text1"/>
        </w:rPr>
        <w:t xml:space="preserve">a </w:t>
      </w:r>
      <w:r w:rsidR="00900E87">
        <w:rPr>
          <w:color w:val="000000" w:themeColor="text1"/>
        </w:rPr>
        <w:t>50% pass threshold,</w:t>
      </w:r>
      <w:r w:rsidR="00900E87" w:rsidRPr="00900E87">
        <w:t xml:space="preserve"> </w:t>
      </w:r>
      <w:r w:rsidR="00900E87">
        <w:t xml:space="preserve">only the legal basis, EIA scope, compliance, and procedures </w:t>
      </w:r>
      <w:r w:rsidR="00C94BEA">
        <w:t xml:space="preserve">were considered </w:t>
      </w:r>
      <w:r w:rsidR="00900E87">
        <w:t>adequate</w:t>
      </w:r>
      <w:r w:rsidR="007F2C92">
        <w:t>,</w:t>
      </w:r>
      <w:r w:rsidR="00E30343">
        <w:t xml:space="preserve"> and e</w:t>
      </w:r>
      <w:r w:rsidR="00D803C1">
        <w:t xml:space="preserve">ight </w:t>
      </w:r>
      <w:r w:rsidR="00900E87">
        <w:t xml:space="preserve">criteria </w:t>
      </w:r>
      <w:r w:rsidR="00B10FD4">
        <w:t>did not</w:t>
      </w:r>
      <w:r w:rsidR="00900E87">
        <w:t xml:space="preserve"> pass the threshold,</w:t>
      </w:r>
      <w:r w:rsidR="00B10FD4">
        <w:t xml:space="preserve"> </w:t>
      </w:r>
      <w:r w:rsidR="00E90411">
        <w:t xml:space="preserve">so </w:t>
      </w:r>
      <w:r w:rsidR="00B10FD4">
        <w:t xml:space="preserve">hence </w:t>
      </w:r>
      <w:r w:rsidR="00E90411">
        <w:t xml:space="preserve">are </w:t>
      </w:r>
      <w:r w:rsidR="00E95A20">
        <w:t xml:space="preserve">viewed as </w:t>
      </w:r>
      <w:r w:rsidR="00B10FD4">
        <w:t>inadequate.</w:t>
      </w:r>
      <w:r w:rsidR="00900E87">
        <w:t xml:space="preserve"> </w:t>
      </w:r>
      <w:r w:rsidR="00E90411">
        <w:rPr>
          <w:color w:val="000000" w:themeColor="text1"/>
        </w:rPr>
        <w:t>T</w:t>
      </w:r>
      <w:r w:rsidR="00D915F9">
        <w:rPr>
          <w:color w:val="000000" w:themeColor="text1"/>
        </w:rPr>
        <w:t>he</w:t>
      </w:r>
      <w:r w:rsidR="007C4473">
        <w:rPr>
          <w:color w:val="000000" w:themeColor="text1"/>
        </w:rPr>
        <w:t xml:space="preserve"> </w:t>
      </w:r>
      <w:r w:rsidR="00D915F9">
        <w:rPr>
          <w:color w:val="000000" w:themeColor="text1"/>
        </w:rPr>
        <w:t>mechanisms</w:t>
      </w:r>
      <w:r w:rsidR="007625C8">
        <w:rPr>
          <w:color w:val="000000" w:themeColor="text1"/>
        </w:rPr>
        <w:t xml:space="preserve"> perceived as </w:t>
      </w:r>
      <w:r w:rsidR="007C4473">
        <w:rPr>
          <w:color w:val="000000" w:themeColor="text1"/>
        </w:rPr>
        <w:t>adequate are</w:t>
      </w:r>
      <w:r w:rsidR="007625C8">
        <w:rPr>
          <w:color w:val="000000" w:themeColor="text1"/>
        </w:rPr>
        <w:t xml:space="preserve"> </w:t>
      </w:r>
      <w:r w:rsidR="00D915F9">
        <w:rPr>
          <w:color w:val="000000" w:themeColor="text1"/>
        </w:rPr>
        <w:t xml:space="preserve">mainly </w:t>
      </w:r>
      <w:r w:rsidR="007625C8">
        <w:rPr>
          <w:color w:val="000000" w:themeColor="text1"/>
        </w:rPr>
        <w:t>those</w:t>
      </w:r>
      <w:r w:rsidR="007C4473">
        <w:rPr>
          <w:color w:val="000000" w:themeColor="text1"/>
        </w:rPr>
        <w:t xml:space="preserve"> </w:t>
      </w:r>
      <w:r w:rsidR="00A41F91">
        <w:rPr>
          <w:color w:val="000000" w:themeColor="text1"/>
        </w:rPr>
        <w:t xml:space="preserve">that are </w:t>
      </w:r>
      <w:r w:rsidR="007C4473">
        <w:rPr>
          <w:color w:val="000000" w:themeColor="text1"/>
        </w:rPr>
        <w:t>embodied in</w:t>
      </w:r>
      <w:r w:rsidR="00A41F91">
        <w:rPr>
          <w:color w:val="000000" w:themeColor="text1"/>
        </w:rPr>
        <w:t xml:space="preserve"> </w:t>
      </w:r>
      <w:r w:rsidR="007C4473">
        <w:rPr>
          <w:color w:val="000000" w:themeColor="text1"/>
        </w:rPr>
        <w:t>legislation</w:t>
      </w:r>
      <w:r w:rsidR="00D915F9">
        <w:rPr>
          <w:color w:val="000000" w:themeColor="text1"/>
        </w:rPr>
        <w:t>.</w:t>
      </w:r>
      <w:r w:rsidR="007C4473">
        <w:rPr>
          <w:color w:val="000000" w:themeColor="text1"/>
        </w:rPr>
        <w:t xml:space="preserve"> </w:t>
      </w:r>
      <w:bookmarkStart w:id="25" w:name="_Hlk118283200"/>
      <w:bookmarkStart w:id="26" w:name="_Hlk115958810"/>
      <w:r w:rsidR="007625C8">
        <w:t xml:space="preserve">Criteria below the 50% threshold included </w:t>
      </w:r>
      <w:r w:rsidR="00A41F91">
        <w:t xml:space="preserve">critical </w:t>
      </w:r>
      <w:r w:rsidR="007625C8">
        <w:t xml:space="preserve">requirements on cumulative impacts, alternatives, </w:t>
      </w:r>
      <w:r w:rsidR="00B2699A">
        <w:t>follow-up,</w:t>
      </w:r>
      <w:r w:rsidR="007625C8">
        <w:t xml:space="preserve"> and </w:t>
      </w:r>
      <w:r w:rsidR="00A41F91">
        <w:t xml:space="preserve">impartial </w:t>
      </w:r>
      <w:r w:rsidR="007625C8">
        <w:t>administration</w:t>
      </w:r>
      <w:bookmarkEnd w:id="25"/>
      <w:r w:rsidR="00D915F9">
        <w:t xml:space="preserve">. </w:t>
      </w:r>
      <w:r w:rsidR="00010D6F" w:rsidRPr="00E174F4">
        <w:rPr>
          <w:color w:val="000000" w:themeColor="text1"/>
        </w:rPr>
        <w:t xml:space="preserve">These inadequacies may have serious implications </w:t>
      </w:r>
      <w:r w:rsidR="00C625C0">
        <w:rPr>
          <w:color w:val="000000" w:themeColor="text1"/>
        </w:rPr>
        <w:t xml:space="preserve">for </w:t>
      </w:r>
      <w:r w:rsidR="00010D6F" w:rsidRPr="00E174F4">
        <w:rPr>
          <w:color w:val="000000" w:themeColor="text1"/>
        </w:rPr>
        <w:t xml:space="preserve">the EIA </w:t>
      </w:r>
      <w:r w:rsidR="00010D6F">
        <w:rPr>
          <w:color w:val="000000" w:themeColor="text1"/>
        </w:rPr>
        <w:t>system</w:t>
      </w:r>
      <w:r w:rsidR="00010D6F" w:rsidRPr="00E174F4">
        <w:rPr>
          <w:color w:val="000000" w:themeColor="text1"/>
        </w:rPr>
        <w:t xml:space="preserve"> and can affect the quality of </w:t>
      </w:r>
      <w:r w:rsidR="00010D6F">
        <w:rPr>
          <w:color w:val="000000" w:themeColor="text1"/>
        </w:rPr>
        <w:t xml:space="preserve">the </w:t>
      </w:r>
      <w:r w:rsidR="00010D6F" w:rsidRPr="00E174F4">
        <w:rPr>
          <w:color w:val="000000" w:themeColor="text1"/>
        </w:rPr>
        <w:t xml:space="preserve">assessment and </w:t>
      </w:r>
      <w:r w:rsidR="00C625C0">
        <w:rPr>
          <w:color w:val="000000" w:themeColor="text1"/>
        </w:rPr>
        <w:t>subsequent</w:t>
      </w:r>
      <w:r w:rsidR="00A41F91">
        <w:rPr>
          <w:color w:val="000000" w:themeColor="text1"/>
        </w:rPr>
        <w:t>ly, the</w:t>
      </w:r>
      <w:r w:rsidR="00C625C0">
        <w:rPr>
          <w:color w:val="000000" w:themeColor="text1"/>
        </w:rPr>
        <w:t xml:space="preserve"> </w:t>
      </w:r>
      <w:r w:rsidR="00010D6F" w:rsidRPr="00E174F4">
        <w:rPr>
          <w:color w:val="000000" w:themeColor="text1"/>
        </w:rPr>
        <w:t>decision</w:t>
      </w:r>
      <w:r w:rsidR="00E90411">
        <w:rPr>
          <w:color w:val="000000" w:themeColor="text1"/>
        </w:rPr>
        <w:t>s</w:t>
      </w:r>
      <w:r w:rsidR="00A41F91">
        <w:rPr>
          <w:color w:val="000000" w:themeColor="text1"/>
        </w:rPr>
        <w:t xml:space="preserve"> made</w:t>
      </w:r>
      <w:r w:rsidR="00010D6F" w:rsidRPr="00E174F4">
        <w:rPr>
          <w:color w:val="000000" w:themeColor="text1"/>
        </w:rPr>
        <w:t>.</w:t>
      </w:r>
      <w:bookmarkEnd w:id="26"/>
      <w:r>
        <w:rPr>
          <w:color w:val="000000" w:themeColor="text1"/>
        </w:rPr>
        <w:t xml:space="preserve"> </w:t>
      </w:r>
      <w:r w:rsidR="00D915F9">
        <w:t>A good and innovative EIA system should encompass various mechanisms to provide environmental information needed for developing alternatives, the guidelines of the EAP to prepare an EIA report and to undertake formal public participation, and the requirement for follow-up (Arts et al., 2012).</w:t>
      </w:r>
      <w:r w:rsidR="00D915F9" w:rsidRPr="00E51587">
        <w:t xml:space="preserve"> </w:t>
      </w:r>
      <w:r>
        <w:rPr>
          <w:color w:val="000000" w:themeColor="text1"/>
        </w:rPr>
        <w:t>T</w:t>
      </w:r>
      <w:r w:rsidR="00D85AB8">
        <w:rPr>
          <w:color w:val="000000" w:themeColor="text1"/>
        </w:rPr>
        <w:t xml:space="preserve">he </w:t>
      </w:r>
      <w:r>
        <w:rPr>
          <w:color w:val="000000" w:themeColor="text1"/>
        </w:rPr>
        <w:t xml:space="preserve">requirement for </w:t>
      </w:r>
      <w:r w:rsidR="00D85AB8">
        <w:rPr>
          <w:color w:val="000000" w:themeColor="text1"/>
        </w:rPr>
        <w:t>assessment of cumulative impacts</w:t>
      </w:r>
      <w:r w:rsidR="00E90411">
        <w:rPr>
          <w:color w:val="000000" w:themeColor="text1"/>
        </w:rPr>
        <w:t>,</w:t>
      </w:r>
      <w:r w:rsidR="00D85AB8">
        <w:rPr>
          <w:color w:val="000000" w:themeColor="text1"/>
        </w:rPr>
        <w:t xml:space="preserve"> follow-up</w:t>
      </w:r>
      <w:r w:rsidR="00A41F91">
        <w:rPr>
          <w:color w:val="000000" w:themeColor="text1"/>
        </w:rPr>
        <w:t xml:space="preserve"> and monitoring</w:t>
      </w:r>
      <w:r>
        <w:rPr>
          <w:color w:val="000000" w:themeColor="text1"/>
        </w:rPr>
        <w:t xml:space="preserve"> are </w:t>
      </w:r>
      <w:r w:rsidR="00D915F9">
        <w:rPr>
          <w:color w:val="000000" w:themeColor="text1"/>
        </w:rPr>
        <w:t>cited as</w:t>
      </w:r>
      <w:r>
        <w:rPr>
          <w:color w:val="000000" w:themeColor="text1"/>
        </w:rPr>
        <w:t xml:space="preserve"> challenging mechanisms in both developing and developed EIA systems</w:t>
      </w:r>
      <w:r w:rsidR="00D85AB8">
        <w:rPr>
          <w:color w:val="000000" w:themeColor="text1"/>
        </w:rPr>
        <w:t xml:space="preserve">. </w:t>
      </w:r>
      <w:r w:rsidR="00D85AB8">
        <w:rPr>
          <w:color w:val="000000" w:themeColor="text1"/>
          <w:shd w:val="clear" w:color="auto" w:fill="FFFFFF"/>
        </w:rPr>
        <w:t>Arts et al</w:t>
      </w:r>
      <w:r w:rsidR="00627956">
        <w:rPr>
          <w:color w:val="000000" w:themeColor="text1"/>
          <w:shd w:val="clear" w:color="auto" w:fill="FFFFFF"/>
        </w:rPr>
        <w:t>.</w:t>
      </w:r>
      <w:r w:rsidR="00D85AB8">
        <w:rPr>
          <w:color w:val="000000" w:themeColor="text1"/>
          <w:shd w:val="clear" w:color="auto" w:fill="FFFFFF"/>
        </w:rPr>
        <w:t xml:space="preserve"> (2012) indicated that </w:t>
      </w:r>
      <w:r w:rsidR="00C625C0" w:rsidRPr="006E3C60">
        <w:rPr>
          <w:shd w:val="clear" w:color="auto" w:fill="FFFFFF"/>
        </w:rPr>
        <w:t xml:space="preserve">the </w:t>
      </w:r>
      <w:r w:rsidR="000A449A" w:rsidRPr="006E3C60">
        <w:rPr>
          <w:shd w:val="clear" w:color="auto" w:fill="FFFFFF"/>
        </w:rPr>
        <w:t>U</w:t>
      </w:r>
      <w:r w:rsidR="006E3C60">
        <w:rPr>
          <w:shd w:val="clear" w:color="auto" w:fill="FFFFFF"/>
        </w:rPr>
        <w:t xml:space="preserve">nited </w:t>
      </w:r>
      <w:r w:rsidR="000A449A" w:rsidRPr="006E3C60">
        <w:rPr>
          <w:shd w:val="clear" w:color="auto" w:fill="FFFFFF"/>
        </w:rPr>
        <w:t>K</w:t>
      </w:r>
      <w:r w:rsidR="006E3C60">
        <w:rPr>
          <w:shd w:val="clear" w:color="auto" w:fill="FFFFFF"/>
        </w:rPr>
        <w:t>ingdom (UK)</w:t>
      </w:r>
      <w:r w:rsidR="000A449A" w:rsidRPr="006E3C60">
        <w:rPr>
          <w:shd w:val="clear" w:color="auto" w:fill="FFFFFF"/>
        </w:rPr>
        <w:t xml:space="preserve"> </w:t>
      </w:r>
      <w:r w:rsidR="000A449A">
        <w:rPr>
          <w:color w:val="000000" w:themeColor="text1"/>
          <w:shd w:val="clear" w:color="auto" w:fill="FFFFFF"/>
        </w:rPr>
        <w:t>and</w:t>
      </w:r>
      <w:r w:rsidR="00D85AB8">
        <w:rPr>
          <w:color w:val="000000" w:themeColor="text1"/>
          <w:shd w:val="clear" w:color="auto" w:fill="FFFFFF"/>
        </w:rPr>
        <w:t xml:space="preserve"> </w:t>
      </w:r>
      <w:r w:rsidR="00A1076F">
        <w:rPr>
          <w:color w:val="000000" w:themeColor="text1"/>
          <w:shd w:val="clear" w:color="auto" w:fill="FFFFFF"/>
        </w:rPr>
        <w:t xml:space="preserve">the </w:t>
      </w:r>
      <w:r w:rsidR="004E5083">
        <w:rPr>
          <w:color w:val="000000" w:themeColor="text1"/>
          <w:shd w:val="clear" w:color="auto" w:fill="FFFFFF"/>
        </w:rPr>
        <w:t xml:space="preserve">Netherlands </w:t>
      </w:r>
      <w:r w:rsidR="00E90411">
        <w:rPr>
          <w:color w:val="000000" w:themeColor="text1"/>
          <w:shd w:val="clear" w:color="auto" w:fill="FFFFFF"/>
        </w:rPr>
        <w:t xml:space="preserve">have been </w:t>
      </w:r>
      <w:r w:rsidR="00196399" w:rsidRPr="00196399">
        <w:rPr>
          <w:color w:val="000000" w:themeColor="text1"/>
          <w:shd w:val="clear" w:color="auto" w:fill="FFFFFF"/>
        </w:rPr>
        <w:t>critici</w:t>
      </w:r>
      <w:r w:rsidR="00D85AB8">
        <w:rPr>
          <w:color w:val="000000" w:themeColor="text1"/>
          <w:shd w:val="clear" w:color="auto" w:fill="FFFFFF"/>
        </w:rPr>
        <w:t xml:space="preserve">zed concerning </w:t>
      </w:r>
      <w:r w:rsidR="00196399" w:rsidRPr="00196399">
        <w:rPr>
          <w:color w:val="000000" w:themeColor="text1"/>
          <w:shd w:val="clear" w:color="auto" w:fill="FFFFFF"/>
        </w:rPr>
        <w:t>the lack of consideration of cumulative</w:t>
      </w:r>
      <w:r w:rsidR="00196399">
        <w:rPr>
          <w:color w:val="000000" w:themeColor="text1"/>
          <w:shd w:val="clear" w:color="auto" w:fill="FFFFFF"/>
        </w:rPr>
        <w:t xml:space="preserve"> i</w:t>
      </w:r>
      <w:r w:rsidR="00196399" w:rsidRPr="00196399">
        <w:rPr>
          <w:color w:val="000000" w:themeColor="text1"/>
          <w:shd w:val="clear" w:color="auto" w:fill="FFFFFF"/>
        </w:rPr>
        <w:t>mpacts</w:t>
      </w:r>
      <w:r w:rsidR="00196399">
        <w:rPr>
          <w:color w:val="000000" w:themeColor="text1"/>
          <w:shd w:val="clear" w:color="auto" w:fill="FFFFFF"/>
        </w:rPr>
        <w:t xml:space="preserve"> and alternatives</w:t>
      </w:r>
      <w:r>
        <w:rPr>
          <w:color w:val="000000" w:themeColor="text1"/>
          <w:shd w:val="clear" w:color="auto" w:fill="FFFFFF"/>
        </w:rPr>
        <w:t xml:space="preserve"> in their EIA systems</w:t>
      </w:r>
      <w:r w:rsidR="00D85AB8">
        <w:rPr>
          <w:color w:val="000000" w:themeColor="text1"/>
          <w:shd w:val="clear" w:color="auto" w:fill="FFFFFF"/>
        </w:rPr>
        <w:t xml:space="preserve">. </w:t>
      </w:r>
    </w:p>
    <w:p w14:paraId="1CF356E9" w14:textId="77777777" w:rsidR="00D915F9" w:rsidRDefault="00D915F9" w:rsidP="00E51587">
      <w:pPr>
        <w:spacing w:line="480" w:lineRule="auto"/>
        <w:jc w:val="both"/>
      </w:pPr>
    </w:p>
    <w:p w14:paraId="3E59E88F" w14:textId="61145BA1" w:rsidR="00087D13" w:rsidRDefault="000C172D" w:rsidP="009D199C">
      <w:pPr>
        <w:spacing w:line="480" w:lineRule="auto"/>
        <w:jc w:val="both"/>
      </w:pPr>
      <w:r w:rsidRPr="00E174F4">
        <w:t xml:space="preserve">Kolhoff et al. (2013) </w:t>
      </w:r>
      <w:r w:rsidR="007A1D50">
        <w:t>highlights</w:t>
      </w:r>
      <w:r w:rsidR="00564C4D">
        <w:t xml:space="preserve"> </w:t>
      </w:r>
      <w:r w:rsidR="00F863C8">
        <w:t xml:space="preserve">that </w:t>
      </w:r>
      <w:r w:rsidR="00D915F9">
        <w:t xml:space="preserve">EIA </w:t>
      </w:r>
      <w:r w:rsidRPr="00E174F4">
        <w:t xml:space="preserve">requirements </w:t>
      </w:r>
      <w:r w:rsidR="00D915F9">
        <w:t xml:space="preserve">in developing countries </w:t>
      </w:r>
      <w:r w:rsidRPr="00E174F4">
        <w:t xml:space="preserve">are often overly ambitious and cannot achieve the objectives in the light of constraining </w:t>
      </w:r>
      <w:r>
        <w:t xml:space="preserve">governance and political </w:t>
      </w:r>
      <w:r w:rsidR="00564C4D">
        <w:t>realities</w:t>
      </w:r>
      <w:r w:rsidR="00E90411">
        <w:t>,</w:t>
      </w:r>
      <w:r w:rsidR="00D915F9">
        <w:t xml:space="preserve"> including financial limitations. </w:t>
      </w:r>
      <w:r w:rsidR="00F863C8">
        <w:t xml:space="preserve">For sub-Saharan </w:t>
      </w:r>
      <w:r w:rsidR="00E90411">
        <w:t xml:space="preserve">African </w:t>
      </w:r>
      <w:r w:rsidR="00F863C8">
        <w:t>countries, the</w:t>
      </w:r>
      <w:r w:rsidR="00C32BDE">
        <w:t xml:space="preserve"> </w:t>
      </w:r>
      <w:r w:rsidR="00BB17B7" w:rsidRPr="00E174F4">
        <w:t xml:space="preserve">Southern African </w:t>
      </w:r>
      <w:r w:rsidR="00BB17B7" w:rsidRPr="00E174F4">
        <w:lastRenderedPageBreak/>
        <w:t>Development C</w:t>
      </w:r>
      <w:r w:rsidR="009B22DD">
        <w:t xml:space="preserve">ommunity </w:t>
      </w:r>
      <w:r w:rsidR="00BB17B7" w:rsidRPr="00E174F4">
        <w:t>(SADC)</w:t>
      </w:r>
      <w:r w:rsidR="009B22DD">
        <w:t xml:space="preserve"> </w:t>
      </w:r>
      <w:r w:rsidR="00564C4D">
        <w:rPr>
          <w:color w:val="222222"/>
          <w:shd w:val="clear" w:color="auto" w:fill="FFFFFF"/>
        </w:rPr>
        <w:t>have been a</w:t>
      </w:r>
      <w:r w:rsidR="00564C4D">
        <w:t>dvocat</w:t>
      </w:r>
      <w:r w:rsidR="00761CCD">
        <w:t>ing</w:t>
      </w:r>
      <w:r w:rsidR="00564C4D">
        <w:t xml:space="preserve"> for t</w:t>
      </w:r>
      <w:r w:rsidR="00564C4D" w:rsidRPr="00E174F4">
        <w:t>he harmonization of</w:t>
      </w:r>
      <w:r w:rsidR="00F863C8">
        <w:t xml:space="preserve"> environmental</w:t>
      </w:r>
      <w:r w:rsidR="00564C4D" w:rsidRPr="00E174F4">
        <w:t xml:space="preserve"> policies and legal frameworks </w:t>
      </w:r>
      <w:r w:rsidR="007C4473">
        <w:t>(</w:t>
      </w:r>
      <w:proofErr w:type="spellStart"/>
      <w:r w:rsidR="007C4473" w:rsidRPr="00CF215F">
        <w:rPr>
          <w:color w:val="222222"/>
          <w:shd w:val="clear" w:color="auto" w:fill="FFFFFF"/>
        </w:rPr>
        <w:t>Hartzenberg</w:t>
      </w:r>
      <w:proofErr w:type="spellEnd"/>
      <w:r w:rsidR="007C4473" w:rsidRPr="00CF215F">
        <w:rPr>
          <w:color w:val="222222"/>
          <w:shd w:val="clear" w:color="auto" w:fill="FFFFFF"/>
        </w:rPr>
        <w:t xml:space="preserve"> &amp; Kalenga, 2015</w:t>
      </w:r>
      <w:r w:rsidR="007C4473">
        <w:rPr>
          <w:color w:val="222222"/>
          <w:shd w:val="clear" w:color="auto" w:fill="FFFFFF"/>
        </w:rPr>
        <w:t>;</w:t>
      </w:r>
      <w:r w:rsidR="007C4473" w:rsidRPr="00CF215F">
        <w:rPr>
          <w:color w:val="222222"/>
          <w:shd w:val="clear" w:color="auto" w:fill="FFFFFF"/>
        </w:rPr>
        <w:t xml:space="preserve"> Nshimbi</w:t>
      </w:r>
      <w:r w:rsidR="007C4473">
        <w:rPr>
          <w:color w:val="222222"/>
          <w:shd w:val="clear" w:color="auto" w:fill="FFFFFF"/>
        </w:rPr>
        <w:t xml:space="preserve"> </w:t>
      </w:r>
      <w:r w:rsidR="007C4473" w:rsidRPr="00CF215F">
        <w:rPr>
          <w:color w:val="222222"/>
          <w:shd w:val="clear" w:color="auto" w:fill="FFFFFF"/>
        </w:rPr>
        <w:t>&amp; Fioramonti, 2014</w:t>
      </w:r>
      <w:r w:rsidR="007C4473">
        <w:t>)</w:t>
      </w:r>
      <w:r w:rsidR="007B29D8">
        <w:t xml:space="preserve">. With </w:t>
      </w:r>
      <w:r w:rsidR="00E90411">
        <w:t xml:space="preserve">an </w:t>
      </w:r>
      <w:r w:rsidR="00564C4D">
        <w:t>inadequate EIA mechanism and requirements,</w:t>
      </w:r>
      <w:r w:rsidR="007B29D8">
        <w:t xml:space="preserve"> </w:t>
      </w:r>
      <w:r w:rsidR="009D199C">
        <w:t xml:space="preserve">Namibia can benefit from </w:t>
      </w:r>
      <w:r w:rsidR="007B29D8">
        <w:t xml:space="preserve">collaborative legislation and implementation guidelines </w:t>
      </w:r>
      <w:r w:rsidR="009D199C">
        <w:t xml:space="preserve">from SADC. </w:t>
      </w:r>
      <w:r w:rsidR="00F863C8">
        <w:t>Such r</w:t>
      </w:r>
      <w:r w:rsidR="00C353D2">
        <w:t xml:space="preserve">egional </w:t>
      </w:r>
      <w:r w:rsidR="009D199C">
        <w:t>EIA programs</w:t>
      </w:r>
      <w:r w:rsidR="00C353D2">
        <w:t xml:space="preserve"> </w:t>
      </w:r>
      <w:r w:rsidR="009D199C">
        <w:t>can</w:t>
      </w:r>
      <w:r w:rsidR="00F863C8">
        <w:t xml:space="preserve"> also</w:t>
      </w:r>
      <w:r w:rsidR="009D199C">
        <w:t xml:space="preserve"> </w:t>
      </w:r>
      <w:r w:rsidR="00C353D2">
        <w:t>strengthen transboundary EIA legislation</w:t>
      </w:r>
      <w:r w:rsidR="009D199C">
        <w:t xml:space="preserve"> and</w:t>
      </w:r>
      <w:r w:rsidR="00C353D2">
        <w:t xml:space="preserve"> practices</w:t>
      </w:r>
      <w:r w:rsidR="00E90411">
        <w:t>,</w:t>
      </w:r>
      <w:r w:rsidR="009D199C">
        <w:t xml:space="preserve"> with the possibility of expert exchanges</w:t>
      </w:r>
      <w:r w:rsidR="00564C4D">
        <w:t xml:space="preserve"> and sharing of resources to ensure successful and quality EIAs</w:t>
      </w:r>
      <w:r w:rsidR="00C353D2">
        <w:t xml:space="preserve">. </w:t>
      </w:r>
    </w:p>
    <w:p w14:paraId="1A3B98F8" w14:textId="77777777" w:rsidR="0025633D" w:rsidRPr="0025633D" w:rsidRDefault="0025633D" w:rsidP="0025633D"/>
    <w:p w14:paraId="7B682A2C" w14:textId="77777777" w:rsidR="00DD5C7A" w:rsidRDefault="000C172D" w:rsidP="00564C4D">
      <w:pPr>
        <w:spacing w:line="480" w:lineRule="auto"/>
        <w:jc w:val="both"/>
      </w:pPr>
      <w:r w:rsidRPr="00E174F4">
        <w:rPr>
          <w:color w:val="000000" w:themeColor="text1"/>
        </w:rPr>
        <w:t xml:space="preserve">Results show that out of the </w:t>
      </w:r>
      <w:r w:rsidR="007D0ED2">
        <w:rPr>
          <w:color w:val="000000" w:themeColor="text1"/>
        </w:rPr>
        <w:t>ten</w:t>
      </w:r>
      <w:r w:rsidRPr="00E174F4">
        <w:rPr>
          <w:color w:val="000000" w:themeColor="text1"/>
        </w:rPr>
        <w:t xml:space="preserve"> good governance qualities, </w:t>
      </w:r>
      <w:r w:rsidR="007238BF" w:rsidRPr="00E174F4">
        <w:rPr>
          <w:color w:val="000000" w:themeColor="text1"/>
        </w:rPr>
        <w:t>the Namibia EIA process partiall</w:t>
      </w:r>
      <w:r w:rsidR="00E606B4" w:rsidRPr="00E174F4">
        <w:rPr>
          <w:color w:val="000000" w:themeColor="text1"/>
        </w:rPr>
        <w:t>y</w:t>
      </w:r>
      <w:r w:rsidR="007238BF" w:rsidRPr="00E174F4">
        <w:rPr>
          <w:color w:val="000000" w:themeColor="text1"/>
        </w:rPr>
        <w:t xml:space="preserve"> </w:t>
      </w:r>
      <w:r w:rsidR="00C36E02">
        <w:rPr>
          <w:color w:val="000000" w:themeColor="text1"/>
        </w:rPr>
        <w:t>satisf</w:t>
      </w:r>
      <w:r w:rsidR="007238BF" w:rsidRPr="00E174F4">
        <w:rPr>
          <w:color w:val="000000" w:themeColor="text1"/>
        </w:rPr>
        <w:t xml:space="preserve">ies </w:t>
      </w:r>
      <w:r w:rsidR="006A0A48">
        <w:rPr>
          <w:color w:val="000000" w:themeColor="text1"/>
        </w:rPr>
        <w:t>eight</w:t>
      </w:r>
      <w:r w:rsidR="007238BF" w:rsidRPr="00E174F4">
        <w:rPr>
          <w:color w:val="000000" w:themeColor="text1"/>
        </w:rPr>
        <w:t xml:space="preserve"> good governance principles</w:t>
      </w:r>
      <w:r w:rsidR="00A12177" w:rsidRPr="00E174F4">
        <w:rPr>
          <w:color w:val="000000" w:themeColor="text1"/>
        </w:rPr>
        <w:t xml:space="preserve">, </w:t>
      </w:r>
      <w:r w:rsidR="00C53D66" w:rsidRPr="00E174F4">
        <w:rPr>
          <w:color w:val="000000" w:themeColor="text1"/>
        </w:rPr>
        <w:t>namely</w:t>
      </w:r>
      <w:r w:rsidR="00944D8E">
        <w:rPr>
          <w:color w:val="000000" w:themeColor="text1"/>
        </w:rPr>
        <w:t>:</w:t>
      </w:r>
      <w:r w:rsidR="00C53D66" w:rsidRPr="00E174F4">
        <w:rPr>
          <w:color w:val="000000" w:themeColor="text1"/>
        </w:rPr>
        <w:t xml:space="preserve"> </w:t>
      </w:r>
      <w:r w:rsidR="006E3C60">
        <w:rPr>
          <w:color w:val="000000" w:themeColor="text1"/>
        </w:rPr>
        <w:t xml:space="preserve">rule of law, </w:t>
      </w:r>
      <w:r w:rsidR="00C53D66" w:rsidRPr="00E174F4">
        <w:rPr>
          <w:rFonts w:eastAsia="Calibri"/>
          <w:color w:val="000000" w:themeColor="text1"/>
        </w:rPr>
        <w:t xml:space="preserve">coordination, participation, </w:t>
      </w:r>
      <w:r w:rsidR="006E3C60">
        <w:rPr>
          <w:rFonts w:eastAsia="Calibri"/>
          <w:color w:val="000000" w:themeColor="text1"/>
        </w:rPr>
        <w:t xml:space="preserve">responsiveness, </w:t>
      </w:r>
      <w:r w:rsidR="00C53D66" w:rsidRPr="00E174F4">
        <w:rPr>
          <w:rFonts w:eastAsia="Calibri"/>
          <w:color w:val="000000" w:themeColor="text1"/>
        </w:rPr>
        <w:t>consensus-oriented, equity</w:t>
      </w:r>
      <w:r w:rsidR="00E8792A">
        <w:rPr>
          <w:rFonts w:eastAsia="Calibri"/>
          <w:color w:val="000000" w:themeColor="text1"/>
        </w:rPr>
        <w:t xml:space="preserve">, </w:t>
      </w:r>
      <w:r w:rsidR="006E3C60">
        <w:rPr>
          <w:rFonts w:eastAsia="Calibri"/>
          <w:color w:val="000000" w:themeColor="text1"/>
        </w:rPr>
        <w:t xml:space="preserve">legitimacy, </w:t>
      </w:r>
      <w:r w:rsidR="00E8792A">
        <w:rPr>
          <w:rFonts w:eastAsia="Calibri"/>
          <w:color w:val="000000" w:themeColor="text1"/>
        </w:rPr>
        <w:t>and</w:t>
      </w:r>
      <w:r w:rsidR="00C53D66" w:rsidRPr="00E174F4">
        <w:rPr>
          <w:rFonts w:eastAsia="Calibri"/>
          <w:color w:val="000000" w:themeColor="text1"/>
        </w:rPr>
        <w:t xml:space="preserve"> </w:t>
      </w:r>
      <w:r w:rsidR="00E606B4" w:rsidRPr="00E174F4">
        <w:rPr>
          <w:rFonts w:eastAsia="Calibri"/>
          <w:color w:val="000000" w:themeColor="text1"/>
        </w:rPr>
        <w:t>effectiveness</w:t>
      </w:r>
      <w:r w:rsidR="00C53D66" w:rsidRPr="00E174F4">
        <w:rPr>
          <w:rFonts w:eastAsia="Calibri"/>
          <w:color w:val="000000" w:themeColor="text1"/>
        </w:rPr>
        <w:t xml:space="preserve"> and efficiency</w:t>
      </w:r>
      <w:r w:rsidR="00F863C8">
        <w:rPr>
          <w:rFonts w:eastAsia="Calibri"/>
          <w:color w:val="000000" w:themeColor="text1"/>
        </w:rPr>
        <w:t>.</w:t>
      </w:r>
      <w:r w:rsidR="00D46142" w:rsidRPr="00E174F4">
        <w:rPr>
          <w:rFonts w:eastAsia="Calibri"/>
          <w:color w:val="000000" w:themeColor="text1"/>
        </w:rPr>
        <w:t xml:space="preserve"> </w:t>
      </w:r>
      <w:r w:rsidR="00F863C8">
        <w:rPr>
          <w:rFonts w:eastAsia="Calibri"/>
          <w:color w:val="000000" w:themeColor="text1"/>
        </w:rPr>
        <w:t>The principles of</w:t>
      </w:r>
      <w:r w:rsidR="00D46142" w:rsidRPr="00E174F4">
        <w:rPr>
          <w:rFonts w:eastAsia="Calibri"/>
          <w:color w:val="000000" w:themeColor="text1"/>
        </w:rPr>
        <w:t xml:space="preserve"> </w:t>
      </w:r>
      <w:r w:rsidR="00341AF2" w:rsidRPr="00E174F4">
        <w:rPr>
          <w:rFonts w:eastAsia="Calibri"/>
          <w:color w:val="000000" w:themeColor="text1"/>
        </w:rPr>
        <w:t>a</w:t>
      </w:r>
      <w:r w:rsidR="00C53D66" w:rsidRPr="00E174F4">
        <w:rPr>
          <w:rFonts w:eastAsia="Calibri"/>
          <w:color w:val="000000" w:themeColor="text1"/>
        </w:rPr>
        <w:t xml:space="preserve">ccountability and transparency are marginally </w:t>
      </w:r>
      <w:r w:rsidR="00D46142" w:rsidRPr="00E174F4">
        <w:rPr>
          <w:rFonts w:eastAsia="Calibri"/>
          <w:color w:val="000000" w:themeColor="text1"/>
        </w:rPr>
        <w:t>and poorly met</w:t>
      </w:r>
      <w:r w:rsidR="00792122">
        <w:rPr>
          <w:rFonts w:eastAsia="Calibri"/>
          <w:color w:val="000000" w:themeColor="text1"/>
        </w:rPr>
        <w:t>,</w:t>
      </w:r>
      <w:r w:rsidR="00E8792A">
        <w:rPr>
          <w:rFonts w:eastAsia="Calibri"/>
          <w:color w:val="000000" w:themeColor="text1"/>
        </w:rPr>
        <w:t xml:space="preserve"> </w:t>
      </w:r>
      <w:r w:rsidR="0050655E">
        <w:rPr>
          <w:rFonts w:eastAsia="Calibri"/>
          <w:color w:val="000000" w:themeColor="text1"/>
        </w:rPr>
        <w:t>respectively</w:t>
      </w:r>
      <w:r w:rsidR="00C53D66" w:rsidRPr="00E174F4">
        <w:rPr>
          <w:rFonts w:eastAsia="Calibri"/>
          <w:color w:val="000000" w:themeColor="text1"/>
        </w:rPr>
        <w:t xml:space="preserve">. </w:t>
      </w:r>
      <w:r w:rsidRPr="00E174F4">
        <w:t xml:space="preserve">Ideally, </w:t>
      </w:r>
      <w:r w:rsidRPr="00E174F4">
        <w:rPr>
          <w:rFonts w:eastAsia="Calibri"/>
          <w:color w:val="000000" w:themeColor="text1"/>
        </w:rPr>
        <w:t xml:space="preserve">a well-conceived EIA should reflect many of the elements of good governance qualities </w:t>
      </w:r>
      <w:r w:rsidR="006E7755" w:rsidRPr="00E174F4">
        <w:t>to</w:t>
      </w:r>
      <w:r w:rsidRPr="00E174F4">
        <w:t xml:space="preserve"> produce positive governance outcomes </w:t>
      </w:r>
      <w:r w:rsidR="007238BF" w:rsidRPr="00E174F4">
        <w:t xml:space="preserve">and </w:t>
      </w:r>
      <w:r w:rsidR="00F863C8">
        <w:t xml:space="preserve">to </w:t>
      </w:r>
      <w:r w:rsidR="007238BF" w:rsidRPr="00E174F4">
        <w:t xml:space="preserve">ensure </w:t>
      </w:r>
      <w:r w:rsidRPr="00E174F4">
        <w:t xml:space="preserve">formal and informal networks </w:t>
      </w:r>
      <w:r w:rsidR="007238BF" w:rsidRPr="00E174F4">
        <w:t>among</w:t>
      </w:r>
      <w:r w:rsidRPr="00E174F4">
        <w:t xml:space="preserve"> stakeholders</w:t>
      </w:r>
      <w:r w:rsidR="007238BF" w:rsidRPr="00E174F4">
        <w:t>,</w:t>
      </w:r>
      <w:r w:rsidRPr="00E174F4">
        <w:t xml:space="preserve"> </w:t>
      </w:r>
      <w:r w:rsidR="006E7755" w:rsidRPr="00E174F4">
        <w:t xml:space="preserve">deliberation, </w:t>
      </w:r>
      <w:r w:rsidRPr="00E174F4">
        <w:t>transparency</w:t>
      </w:r>
      <w:r w:rsidR="00863590" w:rsidRPr="00E174F4">
        <w:t xml:space="preserve">, </w:t>
      </w:r>
      <w:r w:rsidRPr="00E174F4">
        <w:t>and accountability in decision-making</w:t>
      </w:r>
      <w:r w:rsidR="00E8792A">
        <w:t xml:space="preserve"> (</w:t>
      </w:r>
      <w:r w:rsidR="00E8792A" w:rsidRPr="00E174F4">
        <w:t>Chi et al., 2016</w:t>
      </w:r>
      <w:r>
        <w:t xml:space="preserve">; </w:t>
      </w:r>
      <w:proofErr w:type="spellStart"/>
      <w:r>
        <w:t>Kakonge</w:t>
      </w:r>
      <w:proofErr w:type="spellEnd"/>
      <w:r>
        <w:t>, 2006</w:t>
      </w:r>
      <w:r w:rsidR="00E8792A">
        <w:t xml:space="preserve">). An EIA process that meets good governance qualities can also </w:t>
      </w:r>
      <w:r w:rsidR="00E8792A" w:rsidRPr="00E174F4">
        <w:t>mitigate</w:t>
      </w:r>
      <w:r w:rsidR="00863590" w:rsidRPr="00E174F4">
        <w:t xml:space="preserve"> the hazards of political interests and conﬂicts</w:t>
      </w:r>
      <w:r w:rsidRPr="00E174F4">
        <w:t xml:space="preserve"> (</w:t>
      </w:r>
      <w:r w:rsidR="006E7755" w:rsidRPr="00E174F4">
        <w:t>Monterio et al</w:t>
      </w:r>
      <w:r w:rsidR="000B3660" w:rsidRPr="00E174F4">
        <w:t>.</w:t>
      </w:r>
      <w:r w:rsidR="006E7755" w:rsidRPr="00E174F4">
        <w:t>, 2017</w:t>
      </w:r>
      <w:r w:rsidRPr="00E174F4">
        <w:t>).</w:t>
      </w:r>
      <w:r w:rsidR="007238BF" w:rsidRPr="00E174F4">
        <w:t xml:space="preserve"> </w:t>
      </w:r>
      <w:r w:rsidR="00E8792A">
        <w:t>Namibia</w:t>
      </w:r>
      <w:r w:rsidRPr="00E174F4">
        <w:t xml:space="preserve">'s EIA process </w:t>
      </w:r>
      <w:r w:rsidR="00E8480F">
        <w:t xml:space="preserve">in this case </w:t>
      </w:r>
      <w:r w:rsidR="00863590" w:rsidRPr="00E174F4">
        <w:t>may</w:t>
      </w:r>
      <w:r w:rsidR="006E7755" w:rsidRPr="00E174F4">
        <w:t xml:space="preserve"> have minimal effect </w:t>
      </w:r>
      <w:r w:rsidR="006E7755" w:rsidRPr="000A449A">
        <w:t xml:space="preserve">in producing </w:t>
      </w:r>
      <w:r w:rsidR="00E8480F" w:rsidRPr="000A449A">
        <w:t xml:space="preserve">quality </w:t>
      </w:r>
      <w:r w:rsidR="006E7755" w:rsidRPr="000A449A">
        <w:t xml:space="preserve">results </w:t>
      </w:r>
      <w:r w:rsidR="00E8480F" w:rsidRPr="000A449A">
        <w:t xml:space="preserve">to effect good </w:t>
      </w:r>
      <w:r w:rsidRPr="000A449A">
        <w:t xml:space="preserve">environmental </w:t>
      </w:r>
      <w:r w:rsidR="00E8480F" w:rsidRPr="000A449A">
        <w:t xml:space="preserve">decisions or to impact governance issues at the national level. </w:t>
      </w:r>
    </w:p>
    <w:p w14:paraId="24576AD8" w14:textId="77777777" w:rsidR="00042E1B" w:rsidRPr="000A449A" w:rsidRDefault="00042E1B" w:rsidP="00564C4D">
      <w:pPr>
        <w:spacing w:line="480" w:lineRule="auto"/>
        <w:jc w:val="both"/>
      </w:pPr>
    </w:p>
    <w:p w14:paraId="6626D025" w14:textId="76F04FED" w:rsidR="00AD1AD1" w:rsidRDefault="000C172D" w:rsidP="00AD1AD1">
      <w:pPr>
        <w:spacing w:line="480" w:lineRule="auto"/>
        <w:jc w:val="both"/>
      </w:pPr>
      <w:r w:rsidRPr="000A449A">
        <w:t>The question of good governance in the Namibia</w:t>
      </w:r>
      <w:r w:rsidR="00BF5F86">
        <w:t>n</w:t>
      </w:r>
      <w:r w:rsidRPr="000A449A">
        <w:t xml:space="preserve"> system is not new.</w:t>
      </w:r>
      <w:r w:rsidR="008F1E53">
        <w:t xml:space="preserve"> </w:t>
      </w:r>
      <w:r w:rsidR="00F863C8">
        <w:t xml:space="preserve">According to </w:t>
      </w:r>
      <w:proofErr w:type="spellStart"/>
      <w:r w:rsidRPr="000A449A">
        <w:t>Kandetu</w:t>
      </w:r>
      <w:proofErr w:type="spellEnd"/>
      <w:r w:rsidRPr="000A449A">
        <w:t xml:space="preserve"> </w:t>
      </w:r>
      <w:r w:rsidRPr="006E3C60">
        <w:rPr>
          <w:i/>
          <w:iCs/>
        </w:rPr>
        <w:t>et al.</w:t>
      </w:r>
      <w:r w:rsidR="00CF215F">
        <w:t xml:space="preserve"> </w:t>
      </w:r>
      <w:r w:rsidRPr="000A449A">
        <w:t>(2001)</w:t>
      </w:r>
      <w:r w:rsidR="00564C4D">
        <w:t xml:space="preserve">, </w:t>
      </w:r>
      <w:r w:rsidRPr="000A449A">
        <w:t xml:space="preserve">the </w:t>
      </w:r>
      <w:r w:rsidR="00F863C8">
        <w:t xml:space="preserve">existing governance </w:t>
      </w:r>
      <w:r w:rsidRPr="000A449A">
        <w:t xml:space="preserve">dilemma is no longer </w:t>
      </w:r>
      <w:r w:rsidR="00F863C8">
        <w:t xml:space="preserve">about </w:t>
      </w:r>
      <w:r w:rsidRPr="000A449A">
        <w:t>the existence of institutions and representative structures, but mainly about access, responsiveness, and effectiveness of political and socio</w:t>
      </w:r>
      <w:r w:rsidR="00F863C8">
        <w:t>-</w:t>
      </w:r>
      <w:r w:rsidRPr="000A449A">
        <w:t xml:space="preserve">economic systems. </w:t>
      </w:r>
      <w:r w:rsidR="00F863C8">
        <w:t>In terms of environmental governance, t</w:t>
      </w:r>
      <w:r>
        <w:t xml:space="preserve">he constitution of Namibia accords high priority to environmental protection, as enshrined in Article 95. </w:t>
      </w:r>
      <w:r w:rsidR="00DD6D99" w:rsidRPr="00E174F4">
        <w:t xml:space="preserve">The Environmental </w:t>
      </w:r>
      <w:r w:rsidR="00DD6D99" w:rsidRPr="00E174F4">
        <w:lastRenderedPageBreak/>
        <w:t xml:space="preserve">Management Act (No. 7 of 2007) (EMA) and accompanying EIA Regulations in Namibia </w:t>
      </w:r>
      <w:r>
        <w:t xml:space="preserve">also </w:t>
      </w:r>
      <w:r w:rsidR="00DD6D99" w:rsidRPr="00E174F4">
        <w:t>expressly outline the essence of the EIA process in terms of the rule of law</w:t>
      </w:r>
      <w:r w:rsidR="00F863C8">
        <w:t xml:space="preserve"> and its significant use for sustainable development</w:t>
      </w:r>
      <w:r w:rsidR="00DD6D99" w:rsidRPr="00E174F4">
        <w:t xml:space="preserve">. </w:t>
      </w:r>
      <w:r w:rsidR="00F863C8">
        <w:t>T</w:t>
      </w:r>
      <w:r>
        <w:t xml:space="preserve">he partial </w:t>
      </w:r>
      <w:r w:rsidRPr="00E174F4">
        <w:t>ranking</w:t>
      </w:r>
      <w:r w:rsidR="00D80A48">
        <w:t xml:space="preserve"> however</w:t>
      </w:r>
      <w:r w:rsidRPr="00E174F4">
        <w:t xml:space="preserve"> acknowledges that </w:t>
      </w:r>
      <w:r>
        <w:t xml:space="preserve">the EIA </w:t>
      </w:r>
      <w:r w:rsidR="00564C4D">
        <w:t>rules are</w:t>
      </w:r>
      <w:r w:rsidRPr="00E174F4">
        <w:t xml:space="preserve"> </w:t>
      </w:r>
      <w:r>
        <w:t xml:space="preserve">lacking. </w:t>
      </w:r>
      <w:r w:rsidR="00DD6D99" w:rsidRPr="00E174F4">
        <w:t>Th</w:t>
      </w:r>
      <w:r>
        <w:t>ese</w:t>
      </w:r>
      <w:r w:rsidR="00DD6D99" w:rsidRPr="00E174F4">
        <w:t xml:space="preserve"> </w:t>
      </w:r>
      <w:r>
        <w:t>findings</w:t>
      </w:r>
      <w:r w:rsidR="00DD6D99" w:rsidRPr="00E174F4">
        <w:t xml:space="preserve"> </w:t>
      </w:r>
      <w:r w:rsidRPr="00E174F4">
        <w:t>are</w:t>
      </w:r>
      <w:r w:rsidR="00DD6D99" w:rsidRPr="00E174F4">
        <w:t xml:space="preserve"> consistent with </w:t>
      </w:r>
      <w:proofErr w:type="spellStart"/>
      <w:r w:rsidR="00DD6D99" w:rsidRPr="00E174F4">
        <w:t>Husselmann's</w:t>
      </w:r>
      <w:proofErr w:type="spellEnd"/>
      <w:r w:rsidR="00DD6D99" w:rsidRPr="00E174F4">
        <w:t xml:space="preserve"> (2016) results, which revealed that Namibia's EIA process is not </w:t>
      </w:r>
      <w:r w:rsidR="007118E6">
        <w:t>adequate</w:t>
      </w:r>
      <w:r w:rsidR="00DD6D99" w:rsidRPr="00E174F4">
        <w:t xml:space="preserve">, as it complies to some level with the rule of law, with </w:t>
      </w:r>
      <w:r w:rsidR="007E2955" w:rsidRPr="00E174F4">
        <w:t>some</w:t>
      </w:r>
      <w:r w:rsidR="00564C4D">
        <w:t xml:space="preserve"> </w:t>
      </w:r>
      <w:r w:rsidR="00DD6D99" w:rsidRPr="00E174F4">
        <w:t xml:space="preserve">notable gaps. </w:t>
      </w:r>
      <w:r>
        <w:t xml:space="preserve">The main challenge </w:t>
      </w:r>
      <w:r w:rsidR="007E2955">
        <w:t xml:space="preserve">found in this study </w:t>
      </w:r>
      <w:r>
        <w:t>is that the law is not followed particularly with big investments</w:t>
      </w:r>
      <w:r w:rsidR="00BF5F86">
        <w:t>,</w:t>
      </w:r>
      <w:r w:rsidR="007E2955">
        <w:t xml:space="preserve"> and government is the main culprit in non-compliance</w:t>
      </w:r>
      <w:r>
        <w:t xml:space="preserve">. </w:t>
      </w:r>
      <w:r w:rsidR="007E2955">
        <w:t>Some of the questionable d</w:t>
      </w:r>
      <w:r>
        <w:t xml:space="preserve">evelopments </w:t>
      </w:r>
      <w:r w:rsidR="007E2955">
        <w:t xml:space="preserve">mentioned by interviewed experts include </w:t>
      </w:r>
      <w:r>
        <w:t>the recently buil</w:t>
      </w:r>
      <w:r w:rsidR="007507FE">
        <w:t>t</w:t>
      </w:r>
      <w:r>
        <w:t xml:space="preserve"> </w:t>
      </w:r>
      <w:r w:rsidR="000A449A">
        <w:t>P</w:t>
      </w:r>
      <w:r>
        <w:t xml:space="preserve">latz shopping mall </w:t>
      </w:r>
      <w:r w:rsidR="007E2955">
        <w:t xml:space="preserve">in Swakopmund </w:t>
      </w:r>
      <w:r>
        <w:t xml:space="preserve">and the </w:t>
      </w:r>
      <w:r w:rsidR="000A449A">
        <w:t>W</w:t>
      </w:r>
      <w:r>
        <w:t>alvis</w:t>
      </w:r>
      <w:r w:rsidR="008671C1">
        <w:t xml:space="preserve"> B</w:t>
      </w:r>
      <w:r>
        <w:t xml:space="preserve">ay container terminal, both on the Namibia coast. </w:t>
      </w:r>
    </w:p>
    <w:p w14:paraId="7A0C0683" w14:textId="7C41FB1B" w:rsidR="00EE08D9" w:rsidRPr="00AD1AD1" w:rsidRDefault="000C172D" w:rsidP="0071137C">
      <w:pPr>
        <w:spacing w:line="480" w:lineRule="auto"/>
        <w:jc w:val="both"/>
      </w:pPr>
      <w:r>
        <w:rPr>
          <w:color w:val="222222"/>
          <w:shd w:val="clear" w:color="auto" w:fill="FFFFFF"/>
        </w:rPr>
        <w:t xml:space="preserve">According to </w:t>
      </w:r>
      <w:r w:rsidRPr="00E174F4">
        <w:rPr>
          <w:color w:val="222222"/>
          <w:shd w:val="clear" w:color="auto" w:fill="FFFFFF"/>
        </w:rPr>
        <w:t xml:space="preserve">Jordan &amp; Lenschow, </w:t>
      </w:r>
      <w:r>
        <w:rPr>
          <w:color w:val="222222"/>
          <w:shd w:val="clear" w:color="auto" w:fill="FFFFFF"/>
        </w:rPr>
        <w:t>(</w:t>
      </w:r>
      <w:r w:rsidRPr="00E174F4">
        <w:rPr>
          <w:color w:val="222222"/>
          <w:shd w:val="clear" w:color="auto" w:fill="FFFFFF"/>
        </w:rPr>
        <w:t>2010</w:t>
      </w:r>
      <w:r>
        <w:rPr>
          <w:color w:val="222222"/>
          <w:shd w:val="clear" w:color="auto" w:fill="FFFFFF"/>
        </w:rPr>
        <w:t>)</w:t>
      </w:r>
      <w:r w:rsidRPr="00E174F4">
        <w:rPr>
          <w:color w:val="222222"/>
          <w:shd w:val="clear" w:color="auto" w:fill="FFFFFF"/>
        </w:rPr>
        <w:t xml:space="preserve"> and Yang, </w:t>
      </w:r>
      <w:r>
        <w:rPr>
          <w:color w:val="222222"/>
          <w:shd w:val="clear" w:color="auto" w:fill="FFFFFF"/>
        </w:rPr>
        <w:t>(</w:t>
      </w:r>
      <w:r w:rsidRPr="00E174F4">
        <w:rPr>
          <w:color w:val="222222"/>
          <w:shd w:val="clear" w:color="auto" w:fill="FFFFFF"/>
        </w:rPr>
        <w:t>2018</w:t>
      </w:r>
      <w:r>
        <w:rPr>
          <w:color w:val="222222"/>
          <w:shd w:val="clear" w:color="auto" w:fill="FFFFFF"/>
        </w:rPr>
        <w:t xml:space="preserve">), </w:t>
      </w:r>
      <w:r w:rsidR="007C4473" w:rsidRPr="00E174F4">
        <w:t xml:space="preserve">EIA processes that conform to the notion of rule of law </w:t>
      </w:r>
      <w:r w:rsidR="00AD1AD1">
        <w:t>strongly</w:t>
      </w:r>
      <w:r w:rsidR="007C4473" w:rsidRPr="00E174F4">
        <w:t xml:space="preserve"> promote </w:t>
      </w:r>
      <w:r w:rsidR="00AD1AD1">
        <w:t xml:space="preserve">other </w:t>
      </w:r>
      <w:r w:rsidR="00BF5F86">
        <w:t xml:space="preserve">good </w:t>
      </w:r>
      <w:r w:rsidR="007C4473" w:rsidRPr="00E174F4">
        <w:t>governance</w:t>
      </w:r>
      <w:r w:rsidR="00AD1AD1">
        <w:t xml:space="preserve"> qualities including</w:t>
      </w:r>
      <w:r w:rsidR="007C4473" w:rsidRPr="00E174F4">
        <w:t xml:space="preserve"> transparency</w:t>
      </w:r>
      <w:r w:rsidR="00DE124C">
        <w:t xml:space="preserve"> and </w:t>
      </w:r>
      <w:r w:rsidR="0029294F" w:rsidRPr="00E174F4">
        <w:t>accountability</w:t>
      </w:r>
      <w:r w:rsidR="007C4473" w:rsidRPr="00E174F4">
        <w:t xml:space="preserve">. </w:t>
      </w:r>
      <w:r>
        <w:t>When fulfilled, t</w:t>
      </w:r>
      <w:r w:rsidR="00BE52E6" w:rsidRPr="00E174F4">
        <w:t xml:space="preserve">he fundamental principle of the rule of </w:t>
      </w:r>
      <w:r w:rsidR="0029294F" w:rsidRPr="00E174F4">
        <w:t xml:space="preserve">law </w:t>
      </w:r>
      <w:r w:rsidR="0029294F">
        <w:t>also</w:t>
      </w:r>
      <w:r w:rsidR="003E4A32">
        <w:t xml:space="preserve"> promotes access to justice (</w:t>
      </w:r>
      <w:r w:rsidR="00BE52E6" w:rsidRPr="00E174F4">
        <w:t>Roe</w:t>
      </w:r>
      <w:r w:rsidR="00992DFF">
        <w:t xml:space="preserve">, </w:t>
      </w:r>
      <w:r w:rsidR="00BE52E6" w:rsidRPr="00E174F4">
        <w:t xml:space="preserve">2020). </w:t>
      </w:r>
      <w:r w:rsidR="0071137C" w:rsidRPr="00E174F4">
        <w:rPr>
          <w:color w:val="222222"/>
          <w:shd w:val="clear" w:color="auto" w:fill="FFFFFF"/>
        </w:rPr>
        <w:t xml:space="preserve">As a result of the study's findings, the Namibian environmental rule of law </w:t>
      </w:r>
      <w:r w:rsidR="004579AF">
        <w:rPr>
          <w:color w:val="222222"/>
          <w:shd w:val="clear" w:color="auto" w:fill="FFFFFF"/>
        </w:rPr>
        <w:t>requires additional measures aimed at more</w:t>
      </w:r>
      <w:r w:rsidR="0071137C" w:rsidRPr="00E174F4">
        <w:rPr>
          <w:color w:val="222222"/>
          <w:shd w:val="clear" w:color="auto" w:fill="FFFFFF"/>
        </w:rPr>
        <w:t xml:space="preserve"> </w:t>
      </w:r>
      <w:r w:rsidR="004579AF">
        <w:rPr>
          <w:color w:val="222222"/>
          <w:shd w:val="clear" w:color="auto" w:fill="FFFFFF"/>
        </w:rPr>
        <w:t>e</w:t>
      </w:r>
      <w:r w:rsidR="0071137C" w:rsidRPr="00E174F4">
        <w:rPr>
          <w:color w:val="222222"/>
          <w:shd w:val="clear" w:color="auto" w:fill="FFFFFF"/>
        </w:rPr>
        <w:t>ffective implement</w:t>
      </w:r>
      <w:r w:rsidR="004579AF">
        <w:rPr>
          <w:color w:val="222222"/>
          <w:shd w:val="clear" w:color="auto" w:fill="FFFFFF"/>
        </w:rPr>
        <w:t xml:space="preserve">ation of </w:t>
      </w:r>
      <w:r w:rsidR="0071137C" w:rsidRPr="00E174F4">
        <w:rPr>
          <w:color w:val="222222"/>
          <w:shd w:val="clear" w:color="auto" w:fill="FFFFFF"/>
        </w:rPr>
        <w:t>EIA process</w:t>
      </w:r>
      <w:r w:rsidR="004579AF">
        <w:rPr>
          <w:color w:val="222222"/>
          <w:shd w:val="clear" w:color="auto" w:fill="FFFFFF"/>
        </w:rPr>
        <w:t>es</w:t>
      </w:r>
      <w:r w:rsidR="0071137C" w:rsidRPr="00E174F4">
        <w:rPr>
          <w:color w:val="222222"/>
          <w:shd w:val="clear" w:color="auto" w:fill="FFFFFF"/>
        </w:rPr>
        <w:t xml:space="preserve"> and </w:t>
      </w:r>
      <w:r w:rsidR="00AD1AD1">
        <w:rPr>
          <w:color w:val="222222"/>
          <w:shd w:val="clear" w:color="auto" w:fill="FFFFFF"/>
        </w:rPr>
        <w:t xml:space="preserve">stringent </w:t>
      </w:r>
      <w:r>
        <w:rPr>
          <w:color w:val="222222"/>
          <w:shd w:val="clear" w:color="auto" w:fill="FFFFFF"/>
        </w:rPr>
        <w:t xml:space="preserve">requirements on </w:t>
      </w:r>
      <w:r w:rsidR="00AD1AD1">
        <w:rPr>
          <w:color w:val="222222"/>
          <w:shd w:val="clear" w:color="auto" w:fill="FFFFFF"/>
        </w:rPr>
        <w:t>follow-up</w:t>
      </w:r>
      <w:r>
        <w:rPr>
          <w:color w:val="222222"/>
          <w:shd w:val="clear" w:color="auto" w:fill="FFFFFF"/>
        </w:rPr>
        <w:t xml:space="preserve"> and monitoring, alternatives when developing</w:t>
      </w:r>
      <w:r w:rsidR="00D80A48">
        <w:rPr>
          <w:color w:val="222222"/>
          <w:shd w:val="clear" w:color="auto" w:fill="FFFFFF"/>
        </w:rPr>
        <w:t xml:space="preserve"> and</w:t>
      </w:r>
      <w:r>
        <w:rPr>
          <w:color w:val="222222"/>
          <w:shd w:val="clear" w:color="auto" w:fill="FFFFFF"/>
        </w:rPr>
        <w:t xml:space="preserve"> consideration of cumulative impacts</w:t>
      </w:r>
      <w:r w:rsidR="00AD1AD1">
        <w:rPr>
          <w:color w:val="222222"/>
          <w:shd w:val="clear" w:color="auto" w:fill="FFFFFF"/>
        </w:rPr>
        <w:t xml:space="preserve"> to ensure </w:t>
      </w:r>
      <w:r w:rsidR="0071137C" w:rsidRPr="00E174F4">
        <w:rPr>
          <w:color w:val="222222"/>
          <w:shd w:val="clear" w:color="auto" w:fill="FFFFFF"/>
        </w:rPr>
        <w:t xml:space="preserve">good governance. The agencies entrusted with enforcing environmental laws, such as the DEA, </w:t>
      </w:r>
      <w:r w:rsidR="004579AF">
        <w:rPr>
          <w:color w:val="222222"/>
          <w:shd w:val="clear" w:color="auto" w:fill="FFFFFF"/>
        </w:rPr>
        <w:t>should</w:t>
      </w:r>
      <w:r w:rsidR="004579AF" w:rsidRPr="00E174F4">
        <w:rPr>
          <w:color w:val="222222"/>
          <w:shd w:val="clear" w:color="auto" w:fill="FFFFFF"/>
        </w:rPr>
        <w:t xml:space="preserve"> </w:t>
      </w:r>
      <w:r w:rsidR="0071137C" w:rsidRPr="00E174F4">
        <w:rPr>
          <w:color w:val="222222"/>
          <w:shd w:val="clear" w:color="auto" w:fill="FFFFFF"/>
        </w:rPr>
        <w:t xml:space="preserve">be strengthened </w:t>
      </w:r>
      <w:r>
        <w:rPr>
          <w:color w:val="222222"/>
          <w:shd w:val="clear" w:color="auto" w:fill="FFFFFF"/>
        </w:rPr>
        <w:t xml:space="preserve">to ensure consistent and impartial </w:t>
      </w:r>
      <w:r w:rsidR="00D80A48">
        <w:rPr>
          <w:color w:val="222222"/>
          <w:shd w:val="clear" w:color="auto" w:fill="FFFFFF"/>
        </w:rPr>
        <w:t>administrative</w:t>
      </w:r>
      <w:r>
        <w:rPr>
          <w:color w:val="222222"/>
          <w:shd w:val="clear" w:color="auto" w:fill="FFFFFF"/>
        </w:rPr>
        <w:t xml:space="preserve"> structures which are accountable, </w:t>
      </w:r>
      <w:r w:rsidR="00D80A48">
        <w:rPr>
          <w:color w:val="222222"/>
          <w:shd w:val="clear" w:color="auto" w:fill="FFFFFF"/>
        </w:rPr>
        <w:t>responsive,</w:t>
      </w:r>
      <w:r>
        <w:rPr>
          <w:color w:val="222222"/>
          <w:shd w:val="clear" w:color="auto" w:fill="FFFFFF"/>
        </w:rPr>
        <w:t xml:space="preserve"> and transparent. </w:t>
      </w:r>
    </w:p>
    <w:p w14:paraId="3A62BF15" w14:textId="77777777" w:rsidR="003652F8" w:rsidRPr="00E174F4" w:rsidRDefault="003652F8" w:rsidP="003652F8"/>
    <w:p w14:paraId="79496D41" w14:textId="75906726" w:rsidR="00CF7D6A" w:rsidRDefault="000C172D" w:rsidP="00D66A36">
      <w:pPr>
        <w:spacing w:line="480" w:lineRule="auto"/>
        <w:jc w:val="both"/>
      </w:pPr>
      <w:r>
        <w:rPr>
          <w:color w:val="000000" w:themeColor="text1"/>
          <w:lang w:val="en-US"/>
        </w:rPr>
        <w:t xml:space="preserve">The principle of coordination and participation is </w:t>
      </w:r>
      <w:r w:rsidR="00D80A48">
        <w:rPr>
          <w:color w:val="000000" w:themeColor="text1"/>
          <w:lang w:val="en-US"/>
        </w:rPr>
        <w:t xml:space="preserve">rated as partially met. </w:t>
      </w:r>
      <w:r w:rsidR="00EC38B4" w:rsidRPr="00AD1AD1">
        <w:rPr>
          <w:color w:val="000000" w:themeColor="text1"/>
          <w:lang w:val="en-US"/>
        </w:rPr>
        <w:t xml:space="preserve">It was suggested that </w:t>
      </w:r>
      <w:r w:rsidR="00EC38B4" w:rsidRPr="00AD1AD1">
        <w:rPr>
          <w:color w:val="000000" w:themeColor="text1"/>
        </w:rPr>
        <w:t xml:space="preserve">there is a need to increase coordination </w:t>
      </w:r>
      <w:r w:rsidR="00D62195" w:rsidRPr="00AD1AD1">
        <w:rPr>
          <w:color w:val="000000" w:themeColor="text1"/>
        </w:rPr>
        <w:t xml:space="preserve">and participation </w:t>
      </w:r>
      <w:r w:rsidR="00EC38B4" w:rsidRPr="00AD1AD1">
        <w:rPr>
          <w:color w:val="000000" w:themeColor="text1"/>
        </w:rPr>
        <w:t xml:space="preserve">within the EIA process amongst Namibia's governing leadership institutions, including political, traditional, and religious entities to improve the EIA process's adherence to good governance standards. </w:t>
      </w:r>
      <w:r w:rsidR="00220EBA" w:rsidRPr="00AD1AD1">
        <w:rPr>
          <w:color w:val="000000" w:themeColor="text1"/>
          <w:shd w:val="clear" w:color="auto" w:fill="FFFFFF"/>
        </w:rPr>
        <w:t xml:space="preserve">These findings are supported by </w:t>
      </w:r>
      <w:r w:rsidR="00220EBA" w:rsidRPr="00AD1AD1">
        <w:rPr>
          <w:color w:val="222222"/>
          <w:shd w:val="clear" w:color="auto" w:fill="FFFFFF"/>
        </w:rPr>
        <w:t>Mustafa and ESCWA (2001),</w:t>
      </w:r>
      <w:r w:rsidR="00220EBA" w:rsidRPr="00AD1AD1">
        <w:rPr>
          <w:color w:val="000000" w:themeColor="text1"/>
          <w:shd w:val="clear" w:color="auto" w:fill="FFFFFF"/>
        </w:rPr>
        <w:t xml:space="preserve"> who also noted that institutional coordination across EIA </w:t>
      </w:r>
      <w:r w:rsidR="00220EBA" w:rsidRPr="00AD1AD1">
        <w:rPr>
          <w:color w:val="000000" w:themeColor="text1"/>
          <w:shd w:val="clear" w:color="auto" w:fill="FFFFFF"/>
        </w:rPr>
        <w:lastRenderedPageBreak/>
        <w:t xml:space="preserve">implementation arrangements is a key factor in determining the efficacy and </w:t>
      </w:r>
      <w:r w:rsidR="00D80A48">
        <w:rPr>
          <w:color w:val="000000" w:themeColor="text1"/>
          <w:shd w:val="clear" w:color="auto" w:fill="FFFFFF"/>
        </w:rPr>
        <w:t>quality</w:t>
      </w:r>
      <w:r w:rsidR="00220EBA" w:rsidRPr="00AD1AD1">
        <w:rPr>
          <w:color w:val="000000" w:themeColor="text1"/>
          <w:shd w:val="clear" w:color="auto" w:fill="FFFFFF"/>
        </w:rPr>
        <w:t xml:space="preserve"> of EIAs. </w:t>
      </w:r>
      <w:r w:rsidR="0005259A" w:rsidRPr="00AD1AD1">
        <w:rPr>
          <w:color w:val="000000" w:themeColor="text1"/>
          <w:shd w:val="clear" w:color="auto" w:fill="FFFFFF"/>
        </w:rPr>
        <w:t xml:space="preserve">In </w:t>
      </w:r>
      <w:r w:rsidR="00D80A48">
        <w:rPr>
          <w:color w:val="000000" w:themeColor="text1"/>
          <w:shd w:val="clear" w:color="auto" w:fill="FFFFFF"/>
        </w:rPr>
        <w:t xml:space="preserve">the context of </w:t>
      </w:r>
      <w:r w:rsidR="0005259A" w:rsidRPr="00AD1AD1">
        <w:rPr>
          <w:color w:val="000000" w:themeColor="text1"/>
          <w:shd w:val="clear" w:color="auto" w:fill="FFFFFF"/>
        </w:rPr>
        <w:t>Namibia, t</w:t>
      </w:r>
      <w:r w:rsidR="00485C6B" w:rsidRPr="00AD1AD1">
        <w:rPr>
          <w:color w:val="000000" w:themeColor="text1"/>
          <w:shd w:val="clear" w:color="auto" w:fill="FFFFFF"/>
        </w:rPr>
        <w:t>radi</w:t>
      </w:r>
      <w:r w:rsidR="0005259A" w:rsidRPr="00AD1AD1">
        <w:rPr>
          <w:color w:val="000000" w:themeColor="text1"/>
          <w:shd w:val="clear" w:color="auto" w:fill="FFFFFF"/>
        </w:rPr>
        <w:t>ti</w:t>
      </w:r>
      <w:r w:rsidR="00485C6B" w:rsidRPr="00AD1AD1">
        <w:rPr>
          <w:color w:val="000000" w:themeColor="text1"/>
          <w:shd w:val="clear" w:color="auto" w:fill="FFFFFF"/>
        </w:rPr>
        <w:t>onal authorities</w:t>
      </w:r>
      <w:r w:rsidR="0011530D">
        <w:rPr>
          <w:color w:val="000000" w:themeColor="text1"/>
          <w:shd w:val="clear" w:color="auto" w:fill="FFFFFF"/>
        </w:rPr>
        <w:t xml:space="preserve"> and local councils</w:t>
      </w:r>
      <w:r w:rsidR="00485C6B" w:rsidRPr="00AD1AD1">
        <w:rPr>
          <w:color w:val="000000" w:themeColor="text1"/>
          <w:shd w:val="clear" w:color="auto" w:fill="FFFFFF"/>
        </w:rPr>
        <w:t xml:space="preserve"> are the close</w:t>
      </w:r>
      <w:r w:rsidR="0005259A" w:rsidRPr="00AD1AD1">
        <w:rPr>
          <w:color w:val="000000" w:themeColor="text1"/>
          <w:shd w:val="clear" w:color="auto" w:fill="FFFFFF"/>
        </w:rPr>
        <w:t>st</w:t>
      </w:r>
      <w:r w:rsidR="00485C6B" w:rsidRPr="00AD1AD1">
        <w:rPr>
          <w:color w:val="000000" w:themeColor="text1"/>
          <w:shd w:val="clear" w:color="auto" w:fill="FFFFFF"/>
        </w:rPr>
        <w:t xml:space="preserve"> to </w:t>
      </w:r>
      <w:r w:rsidR="0005259A" w:rsidRPr="00AD1AD1">
        <w:rPr>
          <w:color w:val="000000" w:themeColor="text1"/>
          <w:shd w:val="clear" w:color="auto" w:fill="FFFFFF"/>
        </w:rPr>
        <w:t xml:space="preserve">the </w:t>
      </w:r>
      <w:r w:rsidR="00485C6B" w:rsidRPr="00AD1AD1">
        <w:rPr>
          <w:color w:val="000000" w:themeColor="text1"/>
          <w:shd w:val="clear" w:color="auto" w:fill="FFFFFF"/>
        </w:rPr>
        <w:t>communities</w:t>
      </w:r>
      <w:r w:rsidR="0005259A" w:rsidRPr="00AD1AD1">
        <w:rPr>
          <w:color w:val="000000" w:themeColor="text1"/>
          <w:shd w:val="clear" w:color="auto" w:fill="FFFFFF"/>
        </w:rPr>
        <w:t>.</w:t>
      </w:r>
      <w:r w:rsidR="00EC38B4" w:rsidRPr="00AD1AD1">
        <w:t xml:space="preserve"> </w:t>
      </w:r>
      <w:r w:rsidR="0005259A" w:rsidRPr="00AD1AD1">
        <w:t>H</w:t>
      </w:r>
      <w:r w:rsidR="00EC38B4" w:rsidRPr="00AD1AD1">
        <w:t>owever, the</w:t>
      </w:r>
      <w:r w:rsidR="00AD1AD1" w:rsidRPr="00AD1AD1">
        <w:t>ir</w:t>
      </w:r>
      <w:r w:rsidR="00EC38B4" w:rsidRPr="00AD1AD1">
        <w:t xml:space="preserve"> role is restricted to advisory,</w:t>
      </w:r>
      <w:r w:rsidR="00485C6B" w:rsidRPr="00AD1AD1">
        <w:t xml:space="preserve"> </w:t>
      </w:r>
      <w:r w:rsidR="00EC38B4" w:rsidRPr="00AD1AD1">
        <w:t xml:space="preserve">supportive, and assistance functions regarding land and </w:t>
      </w:r>
      <w:r w:rsidR="00485C6B" w:rsidRPr="00AD1AD1">
        <w:t>environmental</w:t>
      </w:r>
      <w:r w:rsidR="00EC38B4" w:rsidRPr="00AD1AD1">
        <w:t xml:space="preserve"> matters</w:t>
      </w:r>
      <w:r w:rsidR="0005259A" w:rsidRPr="00AD1AD1">
        <w:t xml:space="preserve"> (</w:t>
      </w:r>
      <w:r w:rsidR="00D62195" w:rsidRPr="00AD1AD1">
        <w:t>Kaapama et al</w:t>
      </w:r>
      <w:r>
        <w:t>.</w:t>
      </w:r>
      <w:r w:rsidR="00D62195" w:rsidRPr="00AD1AD1">
        <w:t>, 2007</w:t>
      </w:r>
      <w:r w:rsidR="0005259A" w:rsidRPr="00AD1AD1">
        <w:t>)</w:t>
      </w:r>
      <w:r w:rsidR="00AD1AD1" w:rsidRPr="00AD1AD1">
        <w:t>. Strengthening the role of traditional authorit</w:t>
      </w:r>
      <w:r w:rsidR="00BF5F86">
        <w:t>ies</w:t>
      </w:r>
      <w:r w:rsidR="00AD1AD1" w:rsidRPr="00AD1AD1">
        <w:t xml:space="preserve"> in the EIA process can be a </w:t>
      </w:r>
      <w:r w:rsidR="00774914">
        <w:t>helpful</w:t>
      </w:r>
      <w:r w:rsidR="00AD1AD1" w:rsidRPr="00AD1AD1">
        <w:t xml:space="preserve"> step toward getting communities' involvement and </w:t>
      </w:r>
      <w:r w:rsidR="00BF5F86">
        <w:t xml:space="preserve">raising their </w:t>
      </w:r>
      <w:r w:rsidR="00AD1AD1" w:rsidRPr="00AD1AD1">
        <w:t xml:space="preserve">awareness. Traditional authorities </w:t>
      </w:r>
      <w:r w:rsidR="00D80A48">
        <w:t xml:space="preserve">in Namibia </w:t>
      </w:r>
      <w:r w:rsidR="00AD1AD1" w:rsidRPr="00AD1AD1">
        <w:t xml:space="preserve">are well noted in the success of custodianship of wildlife to locals through </w:t>
      </w:r>
      <w:r w:rsidR="00992DFF">
        <w:t>C</w:t>
      </w:r>
      <w:r w:rsidR="00AD1AD1" w:rsidRPr="00AD1AD1">
        <w:t xml:space="preserve">ommunity </w:t>
      </w:r>
      <w:r w:rsidR="00992DFF">
        <w:t>B</w:t>
      </w:r>
      <w:r w:rsidR="00AD1AD1" w:rsidRPr="00AD1AD1">
        <w:t xml:space="preserve">ased </w:t>
      </w:r>
      <w:r w:rsidR="00992DFF">
        <w:t>N</w:t>
      </w:r>
      <w:r w:rsidR="00AD1AD1" w:rsidRPr="00AD1AD1">
        <w:t xml:space="preserve">atural </w:t>
      </w:r>
      <w:r w:rsidR="00992DFF">
        <w:t>M</w:t>
      </w:r>
      <w:r w:rsidR="00AD1AD1" w:rsidRPr="00AD1AD1">
        <w:t xml:space="preserve">anagement (CBNRM) in Namibia, hence their involvement in the EIA process </w:t>
      </w:r>
      <w:r w:rsidR="00BF5F86">
        <w:t xml:space="preserve">could usefully </w:t>
      </w:r>
      <w:r w:rsidR="00AD1AD1" w:rsidRPr="00AD1AD1">
        <w:t xml:space="preserve">enhance </w:t>
      </w:r>
      <w:r w:rsidR="00D80A48">
        <w:t xml:space="preserve">participation and </w:t>
      </w:r>
      <w:r w:rsidR="00AD1AD1" w:rsidRPr="00AD1AD1">
        <w:t xml:space="preserve">coordination among communities. </w:t>
      </w:r>
      <w:r w:rsidR="00EC38B4" w:rsidRPr="00AD1AD1">
        <w:rPr>
          <w:color w:val="000000" w:themeColor="text1"/>
          <w:shd w:val="clear" w:color="auto" w:fill="FFFFFF"/>
        </w:rPr>
        <w:t>According to Chi et al</w:t>
      </w:r>
      <w:r w:rsidR="00992DFF">
        <w:rPr>
          <w:color w:val="000000" w:themeColor="text1"/>
          <w:shd w:val="clear" w:color="auto" w:fill="FFFFFF"/>
        </w:rPr>
        <w:t>.</w:t>
      </w:r>
      <w:r w:rsidR="00EC38B4" w:rsidRPr="00AD1AD1">
        <w:rPr>
          <w:color w:val="000000" w:themeColor="text1"/>
          <w:shd w:val="clear" w:color="auto" w:fill="FFFFFF"/>
        </w:rPr>
        <w:t xml:space="preserve"> (2016), good c</w:t>
      </w:r>
      <w:r w:rsidR="00105B2E" w:rsidRPr="00AD1AD1">
        <w:rPr>
          <w:color w:val="000000" w:themeColor="text1"/>
          <w:shd w:val="clear" w:color="auto" w:fill="FFFFFF"/>
        </w:rPr>
        <w:t>oordination</w:t>
      </w:r>
      <w:r w:rsidR="00D62195" w:rsidRPr="00AD1AD1">
        <w:rPr>
          <w:color w:val="000000" w:themeColor="text1"/>
          <w:shd w:val="clear" w:color="auto" w:fill="FFFFFF"/>
        </w:rPr>
        <w:t xml:space="preserve"> and participation</w:t>
      </w:r>
      <w:r w:rsidR="00105B2E" w:rsidRPr="00AD1AD1">
        <w:rPr>
          <w:color w:val="000000" w:themeColor="text1"/>
          <w:shd w:val="clear" w:color="auto" w:fill="FFFFFF"/>
        </w:rPr>
        <w:t xml:space="preserve"> can create networks connecting stakeholders, increase interaction, create bonding, and thus foster a shared perception that may lead to collaborative decisions in EIA</w:t>
      </w:r>
      <w:r w:rsidR="00EC38B4" w:rsidRPr="00AD1AD1">
        <w:rPr>
          <w:color w:val="000000" w:themeColor="text1"/>
          <w:shd w:val="clear" w:color="auto" w:fill="FFFFFF"/>
        </w:rPr>
        <w:t xml:space="preserve">. </w:t>
      </w:r>
      <w:r w:rsidR="00105B2E" w:rsidRPr="00AD1AD1">
        <w:rPr>
          <w:color w:val="000000" w:themeColor="text1"/>
          <w:shd w:val="clear" w:color="auto" w:fill="FFFFFF"/>
        </w:rPr>
        <w:t>Most Central Asian countries' EIA laws emphasize the necessity for improved coordination in the EIA process amongst institutions in very broad terms and without procedur</w:t>
      </w:r>
      <w:r w:rsidR="003107F8">
        <w:rPr>
          <w:color w:val="000000" w:themeColor="text1"/>
          <w:shd w:val="clear" w:color="auto" w:fill="FFFFFF"/>
        </w:rPr>
        <w:t>al</w:t>
      </w:r>
      <w:r w:rsidR="00105B2E" w:rsidRPr="00AD1AD1">
        <w:rPr>
          <w:color w:val="000000" w:themeColor="text1"/>
          <w:shd w:val="clear" w:color="auto" w:fill="FFFFFF"/>
        </w:rPr>
        <w:t xml:space="preserve"> constraints, </w:t>
      </w:r>
      <w:r w:rsidR="0005259A" w:rsidRPr="00AD1AD1">
        <w:rPr>
          <w:color w:val="000000" w:themeColor="text1"/>
          <w:shd w:val="clear" w:color="auto" w:fill="FFFFFF"/>
        </w:rPr>
        <w:t xml:space="preserve">especially amongst </w:t>
      </w:r>
      <w:r w:rsidR="00105B2E" w:rsidRPr="00AD1AD1">
        <w:rPr>
          <w:color w:val="000000" w:themeColor="text1"/>
          <w:shd w:val="clear" w:color="auto" w:fill="FFFFFF"/>
        </w:rPr>
        <w:t>sector</w:t>
      </w:r>
      <w:r w:rsidR="0005259A" w:rsidRPr="00AD1AD1">
        <w:rPr>
          <w:color w:val="000000" w:themeColor="text1"/>
          <w:shd w:val="clear" w:color="auto" w:fill="FFFFFF"/>
        </w:rPr>
        <w:t>s</w:t>
      </w:r>
      <w:r w:rsidR="00105B2E" w:rsidRPr="00AD1AD1">
        <w:rPr>
          <w:color w:val="000000" w:themeColor="text1"/>
          <w:shd w:val="clear" w:color="auto" w:fill="FFFFFF"/>
        </w:rPr>
        <w:t xml:space="preserve"> (</w:t>
      </w:r>
      <w:r w:rsidR="00105B2E" w:rsidRPr="00AD1AD1">
        <w:rPr>
          <w:color w:val="222222"/>
          <w:shd w:val="clear" w:color="auto" w:fill="FFFFFF"/>
        </w:rPr>
        <w:t xml:space="preserve">Klees </w:t>
      </w:r>
      <w:r w:rsidR="006E3C60" w:rsidRPr="006E3C60">
        <w:rPr>
          <w:i/>
          <w:iCs/>
          <w:color w:val="222222"/>
          <w:shd w:val="clear" w:color="auto" w:fill="FFFFFF"/>
        </w:rPr>
        <w:t>et. al.,</w:t>
      </w:r>
      <w:r w:rsidR="00105B2E" w:rsidRPr="00AD1AD1">
        <w:rPr>
          <w:color w:val="222222"/>
          <w:shd w:val="clear" w:color="auto" w:fill="FFFFFF"/>
        </w:rPr>
        <w:t xml:space="preserve"> 2002).</w:t>
      </w:r>
      <w:r w:rsidR="00EC38B4" w:rsidRPr="00AD1AD1">
        <w:rPr>
          <w:color w:val="222222"/>
          <w:shd w:val="clear" w:color="auto" w:fill="FFFFFF"/>
        </w:rPr>
        <w:t xml:space="preserve"> </w:t>
      </w:r>
      <w:r w:rsidR="00D62195" w:rsidRPr="00AD1AD1">
        <w:t>Interviewees</w:t>
      </w:r>
      <w:r w:rsidR="0005259A" w:rsidRPr="00AD1AD1">
        <w:t xml:space="preserve"> suggested that to</w:t>
      </w:r>
      <w:r w:rsidR="00DD6D99" w:rsidRPr="00AD1AD1">
        <w:t xml:space="preserve"> adequately govern the EIA process, </w:t>
      </w:r>
      <w:r w:rsidR="0029294F" w:rsidRPr="000A449A">
        <w:t>decentralization o</w:t>
      </w:r>
      <w:r w:rsidR="0029294F" w:rsidRPr="00AD1AD1">
        <w:t xml:space="preserve">f EIA services to </w:t>
      </w:r>
      <w:r w:rsidR="0005259A" w:rsidRPr="00AD1AD1">
        <w:t xml:space="preserve">regional </w:t>
      </w:r>
      <w:r w:rsidR="0029294F" w:rsidRPr="00AD1AD1">
        <w:t>government departments should be strengthened and tailored to Namibia's socio-cultural and political environment.</w:t>
      </w:r>
      <w:r w:rsidR="003A38E7" w:rsidRPr="00AD1AD1">
        <w:t xml:space="preserve"> In 1997, the government of Namibia adopted decentralization as a means of promoting equal economic, </w:t>
      </w:r>
      <w:r w:rsidR="000A449A" w:rsidRPr="00AD1AD1">
        <w:t>cultural,</w:t>
      </w:r>
      <w:r w:rsidR="003A38E7" w:rsidRPr="00AD1AD1">
        <w:t xml:space="preserve"> and socio-economic development</w:t>
      </w:r>
      <w:r w:rsidR="00EC38B4" w:rsidRPr="00AD1AD1">
        <w:t xml:space="preserve">, </w:t>
      </w:r>
      <w:r w:rsidR="00A66978">
        <w:t xml:space="preserve">and </w:t>
      </w:r>
      <w:r w:rsidR="00F937F9" w:rsidRPr="00AD1AD1">
        <w:t xml:space="preserve">improved participatory </w:t>
      </w:r>
      <w:r w:rsidR="00423CA1" w:rsidRPr="00AD1AD1">
        <w:t>democracy,</w:t>
      </w:r>
      <w:r w:rsidR="00F937F9" w:rsidRPr="00AD1AD1">
        <w:t xml:space="preserve"> </w:t>
      </w:r>
      <w:r w:rsidR="00A66978">
        <w:t xml:space="preserve">with </w:t>
      </w:r>
      <w:r w:rsidR="00F937F9" w:rsidRPr="00AD1AD1">
        <w:t xml:space="preserve">the transfer of powers </w:t>
      </w:r>
      <w:r w:rsidR="00EC38B4" w:rsidRPr="00AD1AD1">
        <w:t xml:space="preserve">to </w:t>
      </w:r>
      <w:r w:rsidR="00F937F9" w:rsidRPr="00AD1AD1">
        <w:t>regional and local government authorities</w:t>
      </w:r>
      <w:r w:rsidR="006E3C60">
        <w:t xml:space="preserve">. </w:t>
      </w:r>
      <w:r w:rsidR="00423CA1" w:rsidRPr="00C018C0">
        <w:rPr>
          <w:color w:val="000000" w:themeColor="text1"/>
          <w:shd w:val="clear" w:color="auto" w:fill="FFFFFF"/>
        </w:rPr>
        <w:t xml:space="preserve">The </w:t>
      </w:r>
      <w:r w:rsidR="00423CA1" w:rsidRPr="00C018C0">
        <w:rPr>
          <w:rStyle w:val="markedcontent"/>
          <w:rFonts w:eastAsiaTheme="majorEastAsia"/>
        </w:rPr>
        <w:t xml:space="preserve">Decentralisation Enabling Act </w:t>
      </w:r>
      <w:r w:rsidR="00F17975" w:rsidRPr="00C018C0">
        <w:rPr>
          <w:rStyle w:val="markedcontent"/>
          <w:rFonts w:eastAsiaTheme="majorEastAsia"/>
        </w:rPr>
        <w:t>(</w:t>
      </w:r>
      <w:r w:rsidR="00423CA1" w:rsidRPr="00C018C0">
        <w:rPr>
          <w:rStyle w:val="markedcontent"/>
          <w:rFonts w:eastAsiaTheme="majorEastAsia"/>
        </w:rPr>
        <w:t>2000</w:t>
      </w:r>
      <w:r w:rsidR="00F17975" w:rsidRPr="00C018C0">
        <w:rPr>
          <w:rStyle w:val="markedcontent"/>
          <w:rFonts w:eastAsiaTheme="majorEastAsia"/>
        </w:rPr>
        <w:t>)</w:t>
      </w:r>
      <w:r w:rsidR="00423CA1" w:rsidRPr="00C018C0">
        <w:rPr>
          <w:rStyle w:val="markedcontent"/>
          <w:rFonts w:eastAsiaTheme="majorEastAsia"/>
        </w:rPr>
        <w:t xml:space="preserve"> provides for stakeholder consultation and communication</w:t>
      </w:r>
      <w:r w:rsidR="00F17975" w:rsidRPr="00C018C0">
        <w:rPr>
          <w:rStyle w:val="markedcontent"/>
          <w:rFonts w:eastAsiaTheme="majorEastAsia"/>
        </w:rPr>
        <w:t xml:space="preserve"> (</w:t>
      </w:r>
      <w:r w:rsidR="00FD1CC1">
        <w:rPr>
          <w:rStyle w:val="markedcontent"/>
          <w:rFonts w:eastAsiaTheme="majorEastAsia"/>
        </w:rPr>
        <w:t>Republic</w:t>
      </w:r>
      <w:r w:rsidR="00F17975" w:rsidRPr="00C018C0">
        <w:rPr>
          <w:rStyle w:val="markedcontent"/>
          <w:rFonts w:eastAsiaTheme="majorEastAsia"/>
        </w:rPr>
        <w:t xml:space="preserve"> of Namibia, 2000)</w:t>
      </w:r>
      <w:r w:rsidR="00423CA1" w:rsidRPr="00C018C0">
        <w:rPr>
          <w:rStyle w:val="markedcontent"/>
          <w:rFonts w:eastAsiaTheme="majorEastAsia"/>
        </w:rPr>
        <w:t>.</w:t>
      </w:r>
      <w:r w:rsidR="00423CA1" w:rsidRPr="00C018C0">
        <w:t xml:space="preserve"> </w:t>
      </w:r>
      <w:r w:rsidR="00EC38B4" w:rsidRPr="00C018C0">
        <w:t xml:space="preserve">EIA services should be top on the decentralization agenda for uptake into local and regional government to ensure cross-sectoral coordination and cooperation between the public and private </w:t>
      </w:r>
      <w:r w:rsidR="000A449A" w:rsidRPr="00C018C0">
        <w:t>sectors</w:t>
      </w:r>
      <w:r w:rsidR="00D80A48" w:rsidRPr="00C018C0">
        <w:rPr>
          <w:rStyle w:val="markedcontent"/>
          <w:rFonts w:eastAsiaTheme="majorEastAsia"/>
        </w:rPr>
        <w:t>.</w:t>
      </w:r>
      <w:r w:rsidR="00423CA1" w:rsidRPr="00C018C0">
        <w:rPr>
          <w:rStyle w:val="Heading1Char"/>
          <w:rFonts w:cs="Times New Roman"/>
          <w:szCs w:val="24"/>
        </w:rPr>
        <w:t xml:space="preserve"> </w:t>
      </w:r>
      <w:r w:rsidR="00423CA1" w:rsidRPr="00C018C0">
        <w:rPr>
          <w:rStyle w:val="Heading1Char"/>
          <w:rFonts w:cs="Times New Roman"/>
          <w:b w:val="0"/>
          <w:bCs w:val="0"/>
          <w:szCs w:val="24"/>
        </w:rPr>
        <w:t>At the local authority level, p</w:t>
      </w:r>
      <w:r w:rsidR="00D80A48" w:rsidRPr="00C018C0">
        <w:rPr>
          <w:rStyle w:val="Heading1Char"/>
          <w:rFonts w:cs="Times New Roman"/>
          <w:b w:val="0"/>
          <w:bCs w:val="0"/>
          <w:szCs w:val="24"/>
        </w:rPr>
        <w:t xml:space="preserve">articipation and coordination of </w:t>
      </w:r>
      <w:r w:rsidR="00423CA1" w:rsidRPr="00C018C0">
        <w:rPr>
          <w:rStyle w:val="Heading1Char"/>
          <w:rFonts w:cs="Times New Roman"/>
          <w:b w:val="0"/>
          <w:bCs w:val="0"/>
          <w:szCs w:val="24"/>
        </w:rPr>
        <w:t xml:space="preserve">the </w:t>
      </w:r>
      <w:r w:rsidR="00D80A48" w:rsidRPr="00C018C0">
        <w:rPr>
          <w:rStyle w:val="Heading1Char"/>
          <w:rFonts w:cs="Times New Roman"/>
          <w:b w:val="0"/>
          <w:bCs w:val="0"/>
          <w:szCs w:val="24"/>
        </w:rPr>
        <w:t xml:space="preserve">EIA process can </w:t>
      </w:r>
      <w:r w:rsidR="00423CA1" w:rsidRPr="00C018C0">
        <w:rPr>
          <w:rStyle w:val="Heading1Char"/>
          <w:rFonts w:cs="Times New Roman"/>
          <w:b w:val="0"/>
          <w:bCs w:val="0"/>
          <w:szCs w:val="24"/>
        </w:rPr>
        <w:t xml:space="preserve">also </w:t>
      </w:r>
      <w:r w:rsidR="00D80A48" w:rsidRPr="00C018C0">
        <w:rPr>
          <w:rStyle w:val="Heading1Char"/>
          <w:rFonts w:cs="Times New Roman"/>
          <w:b w:val="0"/>
          <w:bCs w:val="0"/>
          <w:szCs w:val="24"/>
        </w:rPr>
        <w:t xml:space="preserve">be coordinated through </w:t>
      </w:r>
      <w:r w:rsidR="00423CA1" w:rsidRPr="00C018C0">
        <w:rPr>
          <w:rStyle w:val="Heading1Char"/>
          <w:rFonts w:cs="Times New Roman"/>
          <w:b w:val="0"/>
          <w:bCs w:val="0"/>
          <w:szCs w:val="24"/>
        </w:rPr>
        <w:t>existing</w:t>
      </w:r>
      <w:r w:rsidR="00D80A48" w:rsidRPr="00C018C0">
        <w:rPr>
          <w:rStyle w:val="Heading1Char"/>
          <w:rFonts w:cs="Times New Roman"/>
          <w:b w:val="0"/>
          <w:bCs w:val="0"/>
          <w:szCs w:val="24"/>
        </w:rPr>
        <w:t xml:space="preserve"> bodies such as the </w:t>
      </w:r>
      <w:r w:rsidR="00D80A48" w:rsidRPr="00C018C0">
        <w:rPr>
          <w:rStyle w:val="markedcontent"/>
          <w:rFonts w:eastAsiaTheme="majorEastAsia"/>
        </w:rPr>
        <w:lastRenderedPageBreak/>
        <w:t>Constituency Development Committees</w:t>
      </w:r>
      <w:r w:rsidR="00423CA1" w:rsidRPr="00C018C0">
        <w:rPr>
          <w:rStyle w:val="markedcontent"/>
          <w:rFonts w:eastAsiaTheme="majorEastAsia"/>
        </w:rPr>
        <w:t xml:space="preserve"> </w:t>
      </w:r>
      <w:r w:rsidR="00D80A48" w:rsidRPr="00C018C0">
        <w:rPr>
          <w:rStyle w:val="markedcontent"/>
          <w:rFonts w:eastAsiaTheme="majorEastAsia"/>
        </w:rPr>
        <w:t>(CDCs). CDCs are statutory bodies which operate</w:t>
      </w:r>
      <w:r w:rsidR="00423CA1" w:rsidRPr="00C018C0">
        <w:rPr>
          <w:rStyle w:val="markedcontent"/>
          <w:rFonts w:eastAsiaTheme="majorEastAsia"/>
        </w:rPr>
        <w:t xml:space="preserve"> </w:t>
      </w:r>
      <w:r w:rsidR="00D80A48" w:rsidRPr="00C018C0">
        <w:rPr>
          <w:rStyle w:val="markedcontent"/>
          <w:rFonts w:eastAsiaTheme="majorEastAsia"/>
        </w:rPr>
        <w:t xml:space="preserve">at regional and local levels </w:t>
      </w:r>
      <w:r w:rsidR="00423CA1" w:rsidRPr="00C018C0">
        <w:rPr>
          <w:rStyle w:val="markedcontent"/>
          <w:rFonts w:eastAsiaTheme="majorEastAsia"/>
        </w:rPr>
        <w:t xml:space="preserve">involving </w:t>
      </w:r>
      <w:r w:rsidR="00D80A48" w:rsidRPr="00C018C0">
        <w:rPr>
          <w:rStyle w:val="markedcontent"/>
          <w:rFonts w:eastAsiaTheme="majorEastAsia"/>
        </w:rPr>
        <w:t>elected members, traditional authorities,</w:t>
      </w:r>
      <w:r w:rsidR="00423CA1" w:rsidRPr="00C018C0">
        <w:rPr>
          <w:rStyle w:val="markedcontent"/>
          <w:rFonts w:eastAsiaTheme="majorEastAsia"/>
        </w:rPr>
        <w:t xml:space="preserve"> </w:t>
      </w:r>
      <w:r w:rsidR="00D80A48" w:rsidRPr="00C018C0">
        <w:rPr>
          <w:rStyle w:val="markedcontent"/>
          <w:rFonts w:eastAsiaTheme="majorEastAsia"/>
        </w:rPr>
        <w:t xml:space="preserve">representatives of NGOs and community-based organisations, youth, </w:t>
      </w:r>
      <w:r w:rsidR="00F21B4B" w:rsidRPr="00C018C0">
        <w:rPr>
          <w:rStyle w:val="markedcontent"/>
          <w:rFonts w:eastAsiaTheme="majorEastAsia"/>
        </w:rPr>
        <w:t>women,</w:t>
      </w:r>
      <w:r w:rsidR="00D80A48" w:rsidRPr="00C018C0">
        <w:rPr>
          <w:rStyle w:val="markedcontent"/>
          <w:rFonts w:eastAsiaTheme="majorEastAsia"/>
        </w:rPr>
        <w:t xml:space="preserve"> and</w:t>
      </w:r>
      <w:r w:rsidR="00423CA1" w:rsidRPr="00C018C0">
        <w:rPr>
          <w:rStyle w:val="markedcontent"/>
          <w:rFonts w:eastAsiaTheme="majorEastAsia"/>
        </w:rPr>
        <w:t xml:space="preserve"> </w:t>
      </w:r>
      <w:r w:rsidR="00D80A48" w:rsidRPr="00C018C0">
        <w:rPr>
          <w:rStyle w:val="markedcontent"/>
          <w:rFonts w:eastAsiaTheme="majorEastAsia"/>
        </w:rPr>
        <w:t xml:space="preserve">people with </w:t>
      </w:r>
      <w:r w:rsidR="00423CA1" w:rsidRPr="00C018C0">
        <w:rPr>
          <w:rStyle w:val="markedcontent"/>
          <w:rFonts w:eastAsiaTheme="majorEastAsia"/>
        </w:rPr>
        <w:t>disabilities, making it a good avenue for handling EIA participation and reviews</w:t>
      </w:r>
      <w:r w:rsidR="00F17975" w:rsidRPr="00C018C0">
        <w:rPr>
          <w:rStyle w:val="markedcontent"/>
          <w:rFonts w:eastAsiaTheme="majorEastAsia"/>
        </w:rPr>
        <w:t xml:space="preserve"> (</w:t>
      </w:r>
      <w:r w:rsidR="00FD1CC1">
        <w:rPr>
          <w:rStyle w:val="markedcontent"/>
          <w:rFonts w:eastAsiaTheme="majorEastAsia"/>
        </w:rPr>
        <w:t>Republic</w:t>
      </w:r>
      <w:r w:rsidR="00F17975" w:rsidRPr="00C018C0">
        <w:rPr>
          <w:rStyle w:val="markedcontent"/>
          <w:rFonts w:eastAsiaTheme="majorEastAsia"/>
        </w:rPr>
        <w:t xml:space="preserve"> of Namibia, 2000)</w:t>
      </w:r>
      <w:r w:rsidR="00D80A48" w:rsidRPr="00C018C0">
        <w:rPr>
          <w:rStyle w:val="markedcontent"/>
          <w:rFonts w:eastAsiaTheme="majorEastAsia"/>
        </w:rPr>
        <w:t>.</w:t>
      </w:r>
      <w:r w:rsidR="00D80A48">
        <w:rPr>
          <w:rStyle w:val="markedcontent"/>
          <w:rFonts w:ascii="Arial" w:eastAsiaTheme="majorEastAsia" w:hAnsi="Arial" w:cs="Arial"/>
          <w:sz w:val="29"/>
          <w:szCs w:val="29"/>
        </w:rPr>
        <w:t xml:space="preserve"> </w:t>
      </w:r>
      <w:r>
        <w:t xml:space="preserve">In Chile, </w:t>
      </w:r>
      <w:r w:rsidR="00BF5F86">
        <w:t>m</w:t>
      </w:r>
      <w:r>
        <w:t xml:space="preserve">unicipalities </w:t>
      </w:r>
      <w:r w:rsidR="00423CA1">
        <w:t xml:space="preserve">at the local level </w:t>
      </w:r>
      <w:r>
        <w:t>play a role in environmental impact assessment (EIA) procedures and channelling citizen complaints about environmental offences to appropriate enforcement authorities</w:t>
      </w:r>
      <w:r w:rsidR="000464CA">
        <w:t xml:space="preserve"> (OECD, 2016)</w:t>
      </w:r>
      <w:r>
        <w:t xml:space="preserve">. </w:t>
      </w:r>
      <w:r w:rsidR="00482484">
        <w:t>If supported and strengthened</w:t>
      </w:r>
      <w:r w:rsidR="00BF5F86">
        <w:t>,</w:t>
      </w:r>
      <w:r w:rsidR="00482484">
        <w:t xml:space="preserve"> </w:t>
      </w:r>
      <w:r w:rsidR="00423CA1">
        <w:t>m</w:t>
      </w:r>
      <w:r w:rsidR="00482484">
        <w:t xml:space="preserve">unicipalities </w:t>
      </w:r>
      <w:r w:rsidR="00423CA1">
        <w:t>in Namibia ca</w:t>
      </w:r>
      <w:r w:rsidR="00482484">
        <w:t>n</w:t>
      </w:r>
      <w:r w:rsidR="00423CA1">
        <w:t xml:space="preserve"> also</w:t>
      </w:r>
      <w:r w:rsidR="00482484">
        <w:t xml:space="preserve"> become proactive </w:t>
      </w:r>
      <w:r w:rsidR="00423CA1">
        <w:t>institution</w:t>
      </w:r>
      <w:r w:rsidR="00482484">
        <w:t xml:space="preserve">s </w:t>
      </w:r>
      <w:r w:rsidR="00AA59BD">
        <w:t xml:space="preserve">to decentralise EIA services and to </w:t>
      </w:r>
      <w:r w:rsidR="00482484">
        <w:t>advanc</w:t>
      </w:r>
      <w:r w:rsidR="00AA59BD">
        <w:t>e</w:t>
      </w:r>
      <w:r w:rsidR="00482484">
        <w:t xml:space="preserve"> the </w:t>
      </w:r>
      <w:r w:rsidR="00AA59BD">
        <w:t>national</w:t>
      </w:r>
      <w:r w:rsidR="00482484">
        <w:t xml:space="preserve"> agenda on </w:t>
      </w:r>
      <w:r w:rsidR="00423CA1">
        <w:t xml:space="preserve">sustainable development and environmental protection through </w:t>
      </w:r>
      <w:r w:rsidR="00D0764E">
        <w:t xml:space="preserve">project assessments. </w:t>
      </w:r>
      <w:r w:rsidR="00B4169E" w:rsidRPr="00AD1AD1">
        <w:t xml:space="preserve">The bulk of Namibia's environmental challenges </w:t>
      </w:r>
      <w:r w:rsidR="00B4169E">
        <w:t xml:space="preserve">are </w:t>
      </w:r>
      <w:r w:rsidR="00B4169E" w:rsidRPr="00AD1AD1">
        <w:t>cross-sectoral</w:t>
      </w:r>
      <w:r w:rsidR="00B4169E">
        <w:t>,</w:t>
      </w:r>
      <w:r w:rsidR="00B4169E" w:rsidRPr="00AD1AD1">
        <w:t xml:space="preserve"> </w:t>
      </w:r>
      <w:r w:rsidR="00B4169E">
        <w:t xml:space="preserve">including </w:t>
      </w:r>
      <w:r w:rsidR="00B4169E" w:rsidRPr="00AD1AD1">
        <w:t>pollution, land degradation, and scarce water resources</w:t>
      </w:r>
      <w:r w:rsidR="00B4169E">
        <w:t xml:space="preserve"> </w:t>
      </w:r>
      <w:r w:rsidR="00B4169E" w:rsidRPr="00AD1AD1">
        <w:t>(</w:t>
      </w:r>
      <w:r w:rsidR="00B4169E" w:rsidRPr="00AD1AD1">
        <w:rPr>
          <w:color w:val="222222"/>
          <w:shd w:val="clear" w:color="auto" w:fill="FFFFFF"/>
        </w:rPr>
        <w:t>Nangombe, 2021)</w:t>
      </w:r>
      <w:r w:rsidR="00B4169E">
        <w:t>,</w:t>
      </w:r>
      <w:r w:rsidR="00B4169E" w:rsidRPr="00AD1AD1">
        <w:t xml:space="preserve"> </w:t>
      </w:r>
      <w:r w:rsidR="00B4169E">
        <w:t xml:space="preserve">hence </w:t>
      </w:r>
      <w:r w:rsidR="00B4169E" w:rsidRPr="00AD1AD1">
        <w:t>necessitating a coordinated approach to environmental governance</w:t>
      </w:r>
      <w:r w:rsidR="00B4169E">
        <w:t>.</w:t>
      </w:r>
      <w:r w:rsidR="00B4169E" w:rsidRPr="00AD1AD1">
        <w:t xml:space="preserve"> </w:t>
      </w:r>
    </w:p>
    <w:p w14:paraId="10F154A5" w14:textId="77777777" w:rsidR="003138D7" w:rsidRPr="00E174F4" w:rsidRDefault="003138D7" w:rsidP="003138D7"/>
    <w:p w14:paraId="2E659339" w14:textId="77777777" w:rsidR="00B2699A" w:rsidRDefault="000C172D" w:rsidP="00B2699A">
      <w:pPr>
        <w:spacing w:line="480" w:lineRule="auto"/>
        <w:jc w:val="both"/>
        <w:rPr>
          <w:color w:val="1B1B1B"/>
          <w:shd w:val="clear" w:color="auto" w:fill="FFFFFF"/>
        </w:rPr>
      </w:pPr>
      <w:r>
        <w:rPr>
          <w:color w:val="000000" w:themeColor="text1"/>
        </w:rPr>
        <w:t>T</w:t>
      </w:r>
      <w:r w:rsidR="007C4473" w:rsidRPr="00E174F4">
        <w:rPr>
          <w:color w:val="000000" w:themeColor="text1"/>
        </w:rPr>
        <w:t>he principle of responsiveness</w:t>
      </w:r>
      <w:r w:rsidR="00956B54">
        <w:rPr>
          <w:color w:val="000000" w:themeColor="text1"/>
        </w:rPr>
        <w:t xml:space="preserve"> and equity</w:t>
      </w:r>
      <w:r w:rsidR="007C4473" w:rsidRPr="00E174F4">
        <w:rPr>
          <w:color w:val="000000" w:themeColor="text1"/>
        </w:rPr>
        <w:t xml:space="preserve"> is </w:t>
      </w:r>
      <w:r>
        <w:rPr>
          <w:color w:val="000000" w:themeColor="text1"/>
        </w:rPr>
        <w:t xml:space="preserve">also </w:t>
      </w:r>
      <w:r w:rsidR="007C4473" w:rsidRPr="00E174F4">
        <w:rPr>
          <w:color w:val="000000" w:themeColor="text1"/>
        </w:rPr>
        <w:t xml:space="preserve">partially met in the Namibian EIA process. </w:t>
      </w:r>
      <w:r w:rsidR="007C4473" w:rsidRPr="00E174F4">
        <w:rPr>
          <w:rFonts w:eastAsia="Calibri"/>
          <w:color w:val="000000" w:themeColor="text1"/>
        </w:rPr>
        <w:t xml:space="preserve">As a foundation for good governance, the World Summit on Sustainable Development (WSSD) in 2002 revitalized the </w:t>
      </w:r>
      <w:r w:rsidR="007C4473">
        <w:rPr>
          <w:rFonts w:eastAsia="Calibri"/>
          <w:color w:val="000000" w:themeColor="text1"/>
        </w:rPr>
        <w:t xml:space="preserve">EIA </w:t>
      </w:r>
      <w:r w:rsidR="007C4473" w:rsidRPr="00E174F4">
        <w:rPr>
          <w:rFonts w:eastAsia="Calibri"/>
          <w:color w:val="000000" w:themeColor="text1"/>
        </w:rPr>
        <w:t>agenda to ensure that development is responsive to people's needs and that the rule of law is maintained for environmental justice (Sadler, 2001).</w:t>
      </w:r>
      <w:r w:rsidR="007C4473" w:rsidRPr="00E174F4">
        <w:rPr>
          <w:rStyle w:val="markedcontent"/>
          <w:rFonts w:eastAsiaTheme="majorEastAsia"/>
        </w:rPr>
        <w:t xml:space="preserve"> </w:t>
      </w:r>
      <w:r w:rsidR="007C4473">
        <w:rPr>
          <w:color w:val="000000" w:themeColor="text1"/>
          <w:lang w:val="en-US"/>
        </w:rPr>
        <w:t xml:space="preserve">The results of this study </w:t>
      </w:r>
      <w:r w:rsidR="00956B54" w:rsidRPr="00E174F4">
        <w:rPr>
          <w:color w:val="000000" w:themeColor="text1"/>
          <w:lang w:val="en-US"/>
        </w:rPr>
        <w:t xml:space="preserve">demonstrate the need for </w:t>
      </w:r>
      <w:r w:rsidR="00956B54" w:rsidRPr="00E174F4">
        <w:rPr>
          <w:rFonts w:eastAsia="Calibri"/>
          <w:color w:val="000000" w:themeColor="text1"/>
        </w:rPr>
        <w:t>appropriate and timely opportunities for the Namibian public to be informed and heard</w:t>
      </w:r>
      <w:r w:rsidR="00956B54">
        <w:rPr>
          <w:rFonts w:eastAsia="Calibri"/>
          <w:color w:val="000000" w:themeColor="text1"/>
        </w:rPr>
        <w:t xml:space="preserve"> fairly and equitably.</w:t>
      </w:r>
      <w:r w:rsidR="00256320">
        <w:rPr>
          <w:rStyle w:val="markedcontent"/>
          <w:rFonts w:eastAsiaTheme="majorEastAsia"/>
        </w:rPr>
        <w:t xml:space="preserve"> </w:t>
      </w:r>
      <w:r w:rsidR="00256320">
        <w:rPr>
          <w:color w:val="000000" w:themeColor="text1"/>
        </w:rPr>
        <w:t>T</w:t>
      </w:r>
      <w:r w:rsidR="000B666D" w:rsidRPr="00E174F4">
        <w:rPr>
          <w:color w:val="000000" w:themeColor="text1"/>
        </w:rPr>
        <w:t>he EMA</w:t>
      </w:r>
      <w:r w:rsidR="007C4473">
        <w:rPr>
          <w:color w:val="000000" w:themeColor="text1"/>
        </w:rPr>
        <w:t xml:space="preserve"> (2007)</w:t>
      </w:r>
      <w:r w:rsidR="000B666D" w:rsidRPr="00E174F4">
        <w:rPr>
          <w:color w:val="000000" w:themeColor="text1"/>
        </w:rPr>
        <w:t xml:space="preserve"> </w:t>
      </w:r>
      <w:r w:rsidR="00F70F17">
        <w:rPr>
          <w:color w:val="000000" w:themeColor="text1"/>
        </w:rPr>
        <w:t xml:space="preserve">considers </w:t>
      </w:r>
      <w:r w:rsidR="000B666D" w:rsidRPr="00E174F4">
        <w:rPr>
          <w:color w:val="000000" w:themeColor="text1"/>
        </w:rPr>
        <w:t xml:space="preserve">intergenerational equity in the use of all-natural resources, and the EIA </w:t>
      </w:r>
      <w:r w:rsidR="00256320">
        <w:rPr>
          <w:color w:val="000000" w:themeColor="text1"/>
        </w:rPr>
        <w:t xml:space="preserve">process </w:t>
      </w:r>
      <w:r w:rsidR="008F1E53" w:rsidRPr="00E174F4">
        <w:t>(</w:t>
      </w:r>
      <w:r w:rsidR="008F1E53" w:rsidRPr="00E174F4">
        <w:rPr>
          <w:color w:val="222222"/>
          <w:shd w:val="clear" w:color="auto" w:fill="FFFFFF"/>
        </w:rPr>
        <w:t>Ruppel &amp; Ruppel-Schlichting, 2011</w:t>
      </w:r>
      <w:r w:rsidR="008F1E53" w:rsidRPr="00E174F4">
        <w:t>)</w:t>
      </w:r>
      <w:r w:rsidR="00B63697" w:rsidRPr="00E174F4">
        <w:t>.</w:t>
      </w:r>
      <w:r w:rsidR="009F54E0" w:rsidRPr="00E174F4">
        <w:t xml:space="preserve"> </w:t>
      </w:r>
      <w:r w:rsidR="007C4473">
        <w:t>The challenge is however</w:t>
      </w:r>
      <w:r w:rsidR="00BF5F86">
        <w:t>,</w:t>
      </w:r>
      <w:r w:rsidR="007C4473">
        <w:t xml:space="preserve"> that no action plan is in place to ensure this principle. </w:t>
      </w:r>
      <w:r w:rsidR="00F21B4B">
        <w:t xml:space="preserve">The USA </w:t>
      </w:r>
      <w:r>
        <w:t>adopted a</w:t>
      </w:r>
      <w:r>
        <w:rPr>
          <w:color w:val="000000" w:themeColor="text1"/>
        </w:rPr>
        <w:t>n</w:t>
      </w:r>
      <w:r w:rsidR="00256DA5" w:rsidRPr="00E174F4">
        <w:rPr>
          <w:color w:val="1B1B1B"/>
          <w:shd w:val="clear" w:color="auto" w:fill="FFFFFF"/>
        </w:rPr>
        <w:t xml:space="preserve"> Equity Action Plan</w:t>
      </w:r>
      <w:r>
        <w:rPr>
          <w:color w:val="1B1B1B"/>
          <w:shd w:val="clear" w:color="auto" w:fill="FFFFFF"/>
        </w:rPr>
        <w:t xml:space="preserve">, a </w:t>
      </w:r>
      <w:r w:rsidR="007C4473">
        <w:rPr>
          <w:color w:val="1B1B1B"/>
          <w:shd w:val="clear" w:color="auto" w:fill="FFFFFF"/>
        </w:rPr>
        <w:t xml:space="preserve">tool used to </w:t>
      </w:r>
      <w:r w:rsidR="00832664" w:rsidRPr="00E174F4">
        <w:rPr>
          <w:color w:val="1B1B1B"/>
          <w:shd w:val="clear" w:color="auto" w:fill="FFFFFF"/>
        </w:rPr>
        <w:t xml:space="preserve">break through barriers and advance justice across </w:t>
      </w:r>
      <w:r w:rsidR="00256DA5" w:rsidRPr="00E174F4">
        <w:rPr>
          <w:color w:val="1B1B1B"/>
          <w:shd w:val="clear" w:color="auto" w:fill="FFFFFF"/>
        </w:rPr>
        <w:t xml:space="preserve">underserved communities and their members </w:t>
      </w:r>
      <w:r w:rsidR="00832664" w:rsidRPr="00E174F4">
        <w:rPr>
          <w:color w:val="1B1B1B"/>
          <w:shd w:val="clear" w:color="auto" w:fill="FFFFFF"/>
        </w:rPr>
        <w:t xml:space="preserve">to access and benefit from </w:t>
      </w:r>
      <w:r w:rsidR="00256DA5" w:rsidRPr="00E174F4">
        <w:rPr>
          <w:color w:val="1B1B1B"/>
          <w:shd w:val="clear" w:color="auto" w:fill="FFFFFF"/>
        </w:rPr>
        <w:t xml:space="preserve">environmental opportunities through the federal government </w:t>
      </w:r>
      <w:r w:rsidR="00B2699A" w:rsidRPr="00E174F4">
        <w:rPr>
          <w:color w:val="000000" w:themeColor="text1"/>
        </w:rPr>
        <w:t>(</w:t>
      </w:r>
      <w:r w:rsidR="00B2699A" w:rsidRPr="00486D59">
        <w:rPr>
          <w:color w:val="000000" w:themeColor="text1"/>
        </w:rPr>
        <w:t xml:space="preserve">Environmental Protection </w:t>
      </w:r>
      <w:r w:rsidR="00B2699A" w:rsidRPr="00B2699A">
        <w:rPr>
          <w:color w:val="000000" w:themeColor="text1"/>
        </w:rPr>
        <w:t>Agency [EPA],</w:t>
      </w:r>
      <w:r w:rsidR="00B2699A" w:rsidRPr="00E174F4">
        <w:rPr>
          <w:color w:val="000000" w:themeColor="text1"/>
        </w:rPr>
        <w:t xml:space="preserve"> 2015)</w:t>
      </w:r>
      <w:r w:rsidR="00B2699A" w:rsidRPr="00E174F4">
        <w:rPr>
          <w:color w:val="1B1B1B"/>
          <w:shd w:val="clear" w:color="auto" w:fill="FFFFFF"/>
        </w:rPr>
        <w:t>.</w:t>
      </w:r>
    </w:p>
    <w:p w14:paraId="15490580" w14:textId="09CDCE2C" w:rsidR="00C54E38" w:rsidRDefault="00256320" w:rsidP="006E3C60">
      <w:pPr>
        <w:spacing w:line="480" w:lineRule="auto"/>
        <w:jc w:val="both"/>
        <w:rPr>
          <w:color w:val="000000" w:themeColor="text1"/>
        </w:rPr>
      </w:pPr>
      <w:r>
        <w:rPr>
          <w:color w:val="1B1B1B"/>
          <w:shd w:val="clear" w:color="auto" w:fill="FFFFFF"/>
        </w:rPr>
        <w:lastRenderedPageBreak/>
        <w:t xml:space="preserve">In a context where 70% of the population lives in rural areas </w:t>
      </w:r>
      <w:r w:rsidRPr="000A449A">
        <w:rPr>
          <w:color w:val="1B1B1B"/>
          <w:shd w:val="clear" w:color="auto" w:fill="FFFFFF"/>
        </w:rPr>
        <w:t xml:space="preserve">and depends on natural resources, Namibia </w:t>
      </w:r>
      <w:r w:rsidR="007C4473" w:rsidRPr="000A449A">
        <w:rPr>
          <w:color w:val="1B1B1B"/>
          <w:shd w:val="clear" w:color="auto" w:fill="FFFFFF"/>
        </w:rPr>
        <w:t>needs</w:t>
      </w:r>
      <w:r w:rsidRPr="000A449A">
        <w:rPr>
          <w:color w:val="1B1B1B"/>
          <w:shd w:val="clear" w:color="auto" w:fill="FFFFFF"/>
        </w:rPr>
        <w:t xml:space="preserve"> a</w:t>
      </w:r>
      <w:r w:rsidR="007C4473" w:rsidRPr="000A449A">
        <w:rPr>
          <w:color w:val="1B1B1B"/>
          <w:shd w:val="clear" w:color="auto" w:fill="FFFFFF"/>
        </w:rPr>
        <w:t>n action plan and</w:t>
      </w:r>
      <w:r w:rsidRPr="000A449A">
        <w:rPr>
          <w:color w:val="1B1B1B"/>
          <w:shd w:val="clear" w:color="auto" w:fill="FFFFFF"/>
        </w:rPr>
        <w:t xml:space="preserve"> guideline</w:t>
      </w:r>
      <w:r w:rsidR="00471661">
        <w:rPr>
          <w:color w:val="1B1B1B"/>
          <w:shd w:val="clear" w:color="auto" w:fill="FFFFFF"/>
        </w:rPr>
        <w:t>s</w:t>
      </w:r>
      <w:r w:rsidRPr="000A449A">
        <w:rPr>
          <w:color w:val="1B1B1B"/>
          <w:shd w:val="clear" w:color="auto" w:fill="FFFFFF"/>
        </w:rPr>
        <w:t xml:space="preserve"> on how </w:t>
      </w:r>
      <w:r w:rsidR="00AF100C" w:rsidRPr="000A449A">
        <w:rPr>
          <w:color w:val="1B1B1B"/>
          <w:shd w:val="clear" w:color="auto" w:fill="FFFFFF"/>
        </w:rPr>
        <w:t xml:space="preserve">EIA can be a </w:t>
      </w:r>
      <w:r w:rsidR="007C4473" w:rsidRPr="000A449A">
        <w:rPr>
          <w:color w:val="1B1B1B"/>
          <w:shd w:val="clear" w:color="auto" w:fill="FFFFFF"/>
        </w:rPr>
        <w:t xml:space="preserve">governance </w:t>
      </w:r>
      <w:r w:rsidR="00AF100C" w:rsidRPr="000A449A">
        <w:rPr>
          <w:color w:val="1B1B1B"/>
          <w:shd w:val="clear" w:color="auto" w:fill="FFFFFF"/>
        </w:rPr>
        <w:t xml:space="preserve">tool to </w:t>
      </w:r>
      <w:r w:rsidRPr="000A449A">
        <w:rPr>
          <w:color w:val="1B1B1B"/>
          <w:shd w:val="clear" w:color="auto" w:fill="FFFFFF"/>
        </w:rPr>
        <w:t xml:space="preserve">improve </w:t>
      </w:r>
      <w:r w:rsidR="007C4473" w:rsidRPr="000A449A">
        <w:rPr>
          <w:color w:val="1B1B1B"/>
          <w:shd w:val="clear" w:color="auto" w:fill="FFFFFF"/>
        </w:rPr>
        <w:t xml:space="preserve">equity and responsiveness </w:t>
      </w:r>
      <w:r w:rsidR="00BF5F86">
        <w:rPr>
          <w:color w:val="1B1B1B"/>
          <w:shd w:val="clear" w:color="auto" w:fill="FFFFFF"/>
        </w:rPr>
        <w:t>to</w:t>
      </w:r>
      <w:r w:rsidR="007C4473" w:rsidRPr="000A449A">
        <w:rPr>
          <w:color w:val="1B1B1B"/>
          <w:shd w:val="clear" w:color="auto" w:fill="FFFFFF"/>
        </w:rPr>
        <w:t xml:space="preserve"> </w:t>
      </w:r>
      <w:r w:rsidRPr="000A449A">
        <w:rPr>
          <w:color w:val="1B1B1B"/>
          <w:shd w:val="clear" w:color="auto" w:fill="FFFFFF"/>
        </w:rPr>
        <w:t>environmental right</w:t>
      </w:r>
      <w:r w:rsidR="007C4473" w:rsidRPr="000A449A">
        <w:rPr>
          <w:rFonts w:eastAsiaTheme="majorEastAsia"/>
        </w:rPr>
        <w:t xml:space="preserve">s. </w:t>
      </w:r>
      <w:r w:rsidR="007C4473" w:rsidRPr="000A449A">
        <w:t>Namibia's administrative system's three tiers – central, regional, and local</w:t>
      </w:r>
      <w:r w:rsidR="00BF5F86">
        <w:t>,</w:t>
      </w:r>
      <w:r w:rsidR="007F2484">
        <w:t xml:space="preserve"> including traditional authorities</w:t>
      </w:r>
      <w:r w:rsidR="00BF5F86">
        <w:t>-</w:t>
      </w:r>
      <w:r w:rsidR="007C4473" w:rsidRPr="000A449A">
        <w:t xml:space="preserve"> can be an appropriate avenue for fostering equity through the EIA process. </w:t>
      </w:r>
      <w:r w:rsidR="00AA59BD">
        <w:t>As suggested in the interviews, m</w:t>
      </w:r>
      <w:r w:rsidR="007C4473" w:rsidRPr="000A449A">
        <w:t xml:space="preserve">ore </w:t>
      </w:r>
      <w:r w:rsidR="007C4473" w:rsidRPr="000A449A">
        <w:rPr>
          <w:color w:val="000000" w:themeColor="text1"/>
        </w:rPr>
        <w:t>education</w:t>
      </w:r>
      <w:r w:rsidR="00B4169E">
        <w:rPr>
          <w:color w:val="000000" w:themeColor="text1"/>
        </w:rPr>
        <w:t xml:space="preserve"> and </w:t>
      </w:r>
      <w:r w:rsidR="007C4473" w:rsidRPr="000A449A">
        <w:rPr>
          <w:color w:val="000000" w:themeColor="text1"/>
        </w:rPr>
        <w:t>awareness</w:t>
      </w:r>
      <w:r w:rsidR="00AA59BD">
        <w:rPr>
          <w:color w:val="000000" w:themeColor="text1"/>
        </w:rPr>
        <w:t xml:space="preserve"> campaign</w:t>
      </w:r>
      <w:r w:rsidR="00B4169E">
        <w:rPr>
          <w:color w:val="000000" w:themeColor="text1"/>
        </w:rPr>
        <w:t xml:space="preserve">s </w:t>
      </w:r>
      <w:r w:rsidR="007C4473" w:rsidRPr="000A449A">
        <w:rPr>
          <w:color w:val="000000" w:themeColor="text1"/>
        </w:rPr>
        <w:t>can enhance fairness, equity, community representation</w:t>
      </w:r>
      <w:r w:rsidR="00AA59BD">
        <w:rPr>
          <w:color w:val="000000" w:themeColor="text1"/>
        </w:rPr>
        <w:t xml:space="preserve"> and overall environmental governance</w:t>
      </w:r>
      <w:r w:rsidR="007C4473" w:rsidRPr="000A449A">
        <w:rPr>
          <w:color w:val="000000" w:themeColor="text1"/>
        </w:rPr>
        <w:t>.</w:t>
      </w:r>
    </w:p>
    <w:p w14:paraId="2D64C4E3" w14:textId="77777777" w:rsidR="00AE2684" w:rsidRPr="00E174F4" w:rsidRDefault="00AE2684" w:rsidP="00AE2684"/>
    <w:p w14:paraId="0DE1F396" w14:textId="308F202F" w:rsidR="00F66914" w:rsidRPr="00042E1B" w:rsidRDefault="00BF5F86" w:rsidP="00F66914">
      <w:pPr>
        <w:spacing w:line="480" w:lineRule="auto"/>
        <w:jc w:val="both"/>
      </w:pPr>
      <w:r>
        <w:t>Results show</w:t>
      </w:r>
      <w:r w:rsidR="000C172D" w:rsidRPr="00042E1B">
        <w:t xml:space="preserve"> </w:t>
      </w:r>
      <w:r w:rsidR="00D0764E" w:rsidRPr="00042E1B">
        <w:t xml:space="preserve">the principle of </w:t>
      </w:r>
      <w:r w:rsidR="000C172D" w:rsidRPr="00042E1B">
        <w:t xml:space="preserve">legitimacy and </w:t>
      </w:r>
      <w:r w:rsidR="00D0764E" w:rsidRPr="00042E1B">
        <w:t xml:space="preserve">consensus </w:t>
      </w:r>
      <w:r w:rsidR="007118E6" w:rsidRPr="00042E1B">
        <w:t xml:space="preserve">is also partially met in the </w:t>
      </w:r>
      <w:r>
        <w:t xml:space="preserve">Namibian </w:t>
      </w:r>
      <w:r w:rsidR="007118E6" w:rsidRPr="00042E1B">
        <w:t xml:space="preserve">EIA process. </w:t>
      </w:r>
      <w:bookmarkStart w:id="27" w:name="_Hlk111752103"/>
      <w:r w:rsidR="000F527A" w:rsidRPr="00042E1B">
        <w:t>Bond et al. (201</w:t>
      </w:r>
      <w:r w:rsidR="00AD38E4" w:rsidRPr="00042E1B">
        <w:t>6</w:t>
      </w:r>
      <w:r w:rsidR="000F527A" w:rsidRPr="00042E1B">
        <w:t xml:space="preserve">) </w:t>
      </w:r>
      <w:r w:rsidR="00AD1AD1" w:rsidRPr="00042E1B">
        <w:t xml:space="preserve">highlighted legitimacy as an important principle in the </w:t>
      </w:r>
      <w:r w:rsidR="000F527A" w:rsidRPr="00042E1B">
        <w:t>EIA process.</w:t>
      </w:r>
      <w:r w:rsidR="000C172D" w:rsidRPr="00042E1B">
        <w:rPr>
          <w:color w:val="222222"/>
          <w:shd w:val="clear" w:color="auto" w:fill="FFFFFF"/>
          <w:lang w:val="en-US"/>
        </w:rPr>
        <w:t xml:space="preserve"> </w:t>
      </w:r>
      <w:bookmarkEnd w:id="27"/>
      <w:r w:rsidR="00457179" w:rsidRPr="00042E1B">
        <w:t>According to Lai and Hamilton, (2020), i</w:t>
      </w:r>
      <w:r w:rsidR="00CC017F" w:rsidRPr="00042E1B">
        <w:t xml:space="preserve">f stakeholders believe the process is illegitimate, the implementation of </w:t>
      </w:r>
      <w:r w:rsidR="00D0764E" w:rsidRPr="00042E1B">
        <w:t>EIA in</w:t>
      </w:r>
      <w:r w:rsidR="00CC017F" w:rsidRPr="00042E1B">
        <w:t xml:space="preserve"> conservation and development projects may be compromised</w:t>
      </w:r>
      <w:r w:rsidR="00457179" w:rsidRPr="00042E1B">
        <w:t>.</w:t>
      </w:r>
      <w:r w:rsidR="00CC017F" w:rsidRPr="00042E1B">
        <w:t xml:space="preserve"> </w:t>
      </w:r>
      <w:r w:rsidR="00AD1AD1" w:rsidRPr="00042E1B">
        <w:t xml:space="preserve">Interviewees </w:t>
      </w:r>
      <w:r w:rsidR="00230B93" w:rsidRPr="00042E1B">
        <w:t>view EIA in Namibia as not legitimate</w:t>
      </w:r>
      <w:r>
        <w:t>,</w:t>
      </w:r>
      <w:r w:rsidR="00230B93" w:rsidRPr="00042E1B">
        <w:t xml:space="preserve"> as often only </w:t>
      </w:r>
      <w:r w:rsidR="00B2699A" w:rsidRPr="00042E1B">
        <w:t>educated,</w:t>
      </w:r>
      <w:r w:rsidR="00AD1AD1" w:rsidRPr="00042E1B">
        <w:t xml:space="preserve"> and urban communities </w:t>
      </w:r>
      <w:r w:rsidR="00230B93" w:rsidRPr="00042E1B">
        <w:t>partake in it</w:t>
      </w:r>
      <w:r w:rsidR="00814803" w:rsidRPr="00042E1B">
        <w:t>.</w:t>
      </w:r>
      <w:r w:rsidR="007118E6" w:rsidRPr="00042E1B">
        <w:t xml:space="preserve"> </w:t>
      </w:r>
      <w:r>
        <w:t>O</w:t>
      </w:r>
      <w:r w:rsidR="00814803" w:rsidRPr="00042E1B">
        <w:t xml:space="preserve">nly 43% of </w:t>
      </w:r>
      <w:r w:rsidR="00230B93" w:rsidRPr="00042E1B">
        <w:t>the population</w:t>
      </w:r>
      <w:r w:rsidR="00814803" w:rsidRPr="00042E1B">
        <w:t xml:space="preserve"> lives in urban areas</w:t>
      </w:r>
      <w:r w:rsidR="00230B93" w:rsidRPr="00042E1B">
        <w:t xml:space="preserve"> (National Planning Commission, 2015)</w:t>
      </w:r>
      <w:r w:rsidR="00814803" w:rsidRPr="00042E1B">
        <w:t>. This means a large proportion of citizens living in rural areas have limited opportunity to partake in EIA, a notion that contributes to an illegitimate process.</w:t>
      </w:r>
      <w:r w:rsidR="00B1690E" w:rsidRPr="00042E1B">
        <w:t xml:space="preserve"> </w:t>
      </w:r>
      <w:r w:rsidR="000664D3" w:rsidRPr="00042E1B">
        <w:t xml:space="preserve"> In addition, interviewees noted that government projects do not comply with EIAs and some of the projects bypass the EIA procedures.</w:t>
      </w:r>
      <w:r w:rsidR="00595811" w:rsidRPr="00042E1B">
        <w:rPr>
          <w:lang w:val="en-AU"/>
        </w:rPr>
        <w:t xml:space="preserve"> If </w:t>
      </w:r>
      <w:r w:rsidR="00230B93" w:rsidRPr="00042E1B">
        <w:rPr>
          <w:lang w:val="en-AU"/>
        </w:rPr>
        <w:t xml:space="preserve">the </w:t>
      </w:r>
      <w:r w:rsidR="00595811" w:rsidRPr="00042E1B">
        <w:rPr>
          <w:lang w:val="en-AU"/>
        </w:rPr>
        <w:t xml:space="preserve">Government responsible for ensuring the integrity of the EIA process </w:t>
      </w:r>
      <w:r>
        <w:rPr>
          <w:lang w:val="en-AU"/>
        </w:rPr>
        <w:t>is</w:t>
      </w:r>
      <w:r w:rsidR="00595811" w:rsidRPr="00042E1B">
        <w:rPr>
          <w:lang w:val="en-AU"/>
        </w:rPr>
        <w:t xml:space="preserve"> failing to </w:t>
      </w:r>
      <w:r w:rsidR="00230B93" w:rsidRPr="00042E1B">
        <w:rPr>
          <w:lang w:val="en-AU"/>
        </w:rPr>
        <w:t>comply</w:t>
      </w:r>
      <w:r w:rsidR="00595811" w:rsidRPr="00042E1B">
        <w:rPr>
          <w:lang w:val="en-AU"/>
        </w:rPr>
        <w:t>, then it cannot control other developers and impose EIA as required. Other fa</w:t>
      </w:r>
      <w:r w:rsidR="00134AC4" w:rsidRPr="00042E1B">
        <w:rPr>
          <w:lang w:val="en-AU"/>
        </w:rPr>
        <w:t xml:space="preserve">ctors related to illegitimacy mentioned in the results include </w:t>
      </w:r>
      <w:r w:rsidR="00595811" w:rsidRPr="00042E1B">
        <w:rPr>
          <w:lang w:val="en-AU"/>
        </w:rPr>
        <w:t>bribery and corruption</w:t>
      </w:r>
      <w:r w:rsidR="00134AC4" w:rsidRPr="00042E1B">
        <w:rPr>
          <w:lang w:val="en-AU"/>
        </w:rPr>
        <w:t>, all of which are part of the contextual settings and contribute to poor governance.</w:t>
      </w:r>
    </w:p>
    <w:p w14:paraId="304A8108" w14:textId="77777777" w:rsidR="00F2203A" w:rsidRPr="00E174F4" w:rsidRDefault="00F2203A" w:rsidP="00F2203A"/>
    <w:p w14:paraId="2FF613FE" w14:textId="0A3667BF" w:rsidR="00BC31D7" w:rsidRDefault="000C172D" w:rsidP="00F66914">
      <w:pPr>
        <w:spacing w:line="480" w:lineRule="auto"/>
        <w:jc w:val="both"/>
        <w:rPr>
          <w:color w:val="000000" w:themeColor="text1"/>
          <w:lang w:val="en-US"/>
        </w:rPr>
      </w:pPr>
      <w:r w:rsidRPr="00E174F4">
        <w:t xml:space="preserve">EIA </w:t>
      </w:r>
      <w:r w:rsidR="00243F59" w:rsidRPr="00E174F4">
        <w:t xml:space="preserve">efficiency </w:t>
      </w:r>
      <w:r w:rsidRPr="00E174F4">
        <w:t xml:space="preserve">is influenced by the governance environment in which it takes place (Meuleman, 2015). </w:t>
      </w:r>
      <w:r w:rsidR="0097543E">
        <w:t xml:space="preserve">Interviewed experts in this study noted that the efficiency and effectiveness of EIA in </w:t>
      </w:r>
      <w:r w:rsidR="0097543E">
        <w:lastRenderedPageBreak/>
        <w:t>Namibia is affected by political influence in the EIA process, lack of political</w:t>
      </w:r>
      <w:r w:rsidR="000664D3">
        <w:t xml:space="preserve"> will</w:t>
      </w:r>
      <w:r w:rsidR="0097543E">
        <w:t xml:space="preserve"> and dishonesty in the process. </w:t>
      </w:r>
      <w:r w:rsidRPr="00E14FFE">
        <w:t xml:space="preserve">A lack of political will and weak environmental institutions </w:t>
      </w:r>
      <w:r>
        <w:t>indicates</w:t>
      </w:r>
      <w:r w:rsidRPr="00E14FFE">
        <w:t xml:space="preserve"> poor governance</w:t>
      </w:r>
      <w:r w:rsidR="003803DD">
        <w:t xml:space="preserve"> (</w:t>
      </w:r>
      <w:r w:rsidR="003803DD" w:rsidRPr="003803DD">
        <w:t>Ibeh</w:t>
      </w:r>
      <w:r w:rsidR="00E078C3">
        <w:t xml:space="preserve"> &amp;</w:t>
      </w:r>
      <w:r w:rsidR="003803DD" w:rsidRPr="003803DD">
        <w:t xml:space="preserve"> Walmsley</w:t>
      </w:r>
      <w:r w:rsidR="003803DD">
        <w:t>, 2021)</w:t>
      </w:r>
      <w:r>
        <w:t xml:space="preserve">. </w:t>
      </w:r>
      <w:r w:rsidR="004D3C52" w:rsidRPr="00E174F4">
        <w:t xml:space="preserve">In their study of </w:t>
      </w:r>
      <w:r w:rsidR="00F66914">
        <w:t xml:space="preserve">EIA in </w:t>
      </w:r>
      <w:r w:rsidR="004D3C52" w:rsidRPr="00E174F4">
        <w:t>African countries</w:t>
      </w:r>
      <w:r w:rsidR="004D3C52" w:rsidRPr="00E174F4">
        <w:rPr>
          <w:b/>
          <w:bCs/>
        </w:rPr>
        <w:t xml:space="preserve">, </w:t>
      </w:r>
      <w:r w:rsidR="004D3C52" w:rsidRPr="00E174F4">
        <w:t xml:space="preserve">Marara et al. (2011) identified Rwanda as having high political will and Kenya and Tanzania as exhibiting low political will </w:t>
      </w:r>
      <w:r w:rsidR="00F2554B">
        <w:t xml:space="preserve">in </w:t>
      </w:r>
      <w:r w:rsidR="00900C6D" w:rsidRPr="00E174F4">
        <w:t xml:space="preserve">governing </w:t>
      </w:r>
      <w:r w:rsidR="004D3C52" w:rsidRPr="00E174F4">
        <w:t>EIA implementation.</w:t>
      </w:r>
      <w:r w:rsidR="004D3C52" w:rsidRPr="00E174F4">
        <w:rPr>
          <w:rStyle w:val="markedcontent"/>
          <w:rFonts w:eastAsiaTheme="majorEastAsia"/>
        </w:rPr>
        <w:t xml:space="preserve"> </w:t>
      </w:r>
      <w:r>
        <w:rPr>
          <w:rStyle w:val="markedcontent"/>
          <w:rFonts w:eastAsiaTheme="majorEastAsia"/>
        </w:rPr>
        <w:t xml:space="preserve">For Namibia, limited political will is a challenge </w:t>
      </w:r>
      <w:r w:rsidR="00230B93">
        <w:rPr>
          <w:rStyle w:val="markedcontent"/>
          <w:rFonts w:eastAsiaTheme="majorEastAsia"/>
        </w:rPr>
        <w:t>and</w:t>
      </w:r>
      <w:r>
        <w:rPr>
          <w:rStyle w:val="markedcontent"/>
          <w:rFonts w:eastAsiaTheme="majorEastAsia"/>
        </w:rPr>
        <w:t xml:space="preserve"> the </w:t>
      </w:r>
      <w:r w:rsidR="00F94477" w:rsidRPr="00E174F4">
        <w:rPr>
          <w:color w:val="000000" w:themeColor="text1"/>
          <w:lang w:val="en-US"/>
        </w:rPr>
        <w:t xml:space="preserve">EIA process </w:t>
      </w:r>
      <w:r>
        <w:rPr>
          <w:color w:val="000000" w:themeColor="text1"/>
          <w:lang w:val="en-US"/>
        </w:rPr>
        <w:t>is not supported enough</w:t>
      </w:r>
      <w:r w:rsidR="00230B93">
        <w:rPr>
          <w:color w:val="000000" w:themeColor="text1"/>
          <w:lang w:val="en-US"/>
        </w:rPr>
        <w:t xml:space="preserve"> financially</w:t>
      </w:r>
      <w:r>
        <w:rPr>
          <w:color w:val="000000" w:themeColor="text1"/>
          <w:lang w:val="en-US"/>
        </w:rPr>
        <w:t xml:space="preserve"> </w:t>
      </w:r>
      <w:r w:rsidR="00230B93">
        <w:rPr>
          <w:color w:val="000000" w:themeColor="text1"/>
          <w:lang w:val="en-US"/>
        </w:rPr>
        <w:t>to adequately promote</w:t>
      </w:r>
      <w:r w:rsidR="00B4169E">
        <w:rPr>
          <w:color w:val="000000" w:themeColor="text1"/>
          <w:lang w:val="en-US"/>
        </w:rPr>
        <w:t xml:space="preserve"> good </w:t>
      </w:r>
      <w:r w:rsidR="00F94477" w:rsidRPr="00E174F4">
        <w:rPr>
          <w:color w:val="000000" w:themeColor="text1"/>
          <w:lang w:val="en-US"/>
        </w:rPr>
        <w:t xml:space="preserve">environmental </w:t>
      </w:r>
      <w:r w:rsidR="00B4169E">
        <w:rPr>
          <w:color w:val="000000" w:themeColor="text1"/>
          <w:lang w:val="en-US"/>
        </w:rPr>
        <w:t>governance</w:t>
      </w:r>
      <w:r>
        <w:rPr>
          <w:color w:val="000000" w:themeColor="text1"/>
          <w:lang w:val="en-US"/>
        </w:rPr>
        <w:t xml:space="preserve">. </w:t>
      </w:r>
    </w:p>
    <w:p w14:paraId="0E69B518" w14:textId="77777777" w:rsidR="007A5717" w:rsidRDefault="007A5717" w:rsidP="00F66914">
      <w:pPr>
        <w:spacing w:line="480" w:lineRule="auto"/>
        <w:jc w:val="both"/>
      </w:pPr>
    </w:p>
    <w:p w14:paraId="08550794" w14:textId="1281D667" w:rsidR="002C6C8F" w:rsidRDefault="000C172D" w:rsidP="00D0764E">
      <w:pPr>
        <w:spacing w:line="480" w:lineRule="auto"/>
        <w:jc w:val="both"/>
        <w:rPr>
          <w:bCs/>
          <w:color w:val="000000" w:themeColor="text1"/>
        </w:rPr>
      </w:pPr>
      <w:r>
        <w:rPr>
          <w:color w:val="000000" w:themeColor="text1"/>
        </w:rPr>
        <w:t>T</w:t>
      </w:r>
      <w:r w:rsidR="00D0764E" w:rsidRPr="00E174F4">
        <w:rPr>
          <w:color w:val="000000" w:themeColor="text1"/>
        </w:rPr>
        <w:t>ransparency</w:t>
      </w:r>
      <w:r w:rsidR="00D0764E">
        <w:rPr>
          <w:color w:val="000000" w:themeColor="text1"/>
        </w:rPr>
        <w:t xml:space="preserve"> and </w:t>
      </w:r>
      <w:r w:rsidR="00D0764E" w:rsidRPr="00E174F4">
        <w:rPr>
          <w:color w:val="000000" w:themeColor="text1"/>
          <w:lang w:val="en-US"/>
        </w:rPr>
        <w:t>accountability</w:t>
      </w:r>
      <w:r>
        <w:rPr>
          <w:color w:val="000000" w:themeColor="text1"/>
          <w:lang w:val="en-US"/>
        </w:rPr>
        <w:t xml:space="preserve"> are the two low</w:t>
      </w:r>
      <w:r w:rsidR="00BF5F86">
        <w:rPr>
          <w:color w:val="000000" w:themeColor="text1"/>
          <w:lang w:val="en-US"/>
        </w:rPr>
        <w:t>est</w:t>
      </w:r>
      <w:r>
        <w:rPr>
          <w:color w:val="000000" w:themeColor="text1"/>
          <w:lang w:val="en-US"/>
        </w:rPr>
        <w:t xml:space="preserve"> ranked principles of good governance rated as poor and marginal respectively</w:t>
      </w:r>
      <w:r w:rsidR="00D0764E" w:rsidRPr="00E174F4">
        <w:rPr>
          <w:color w:val="000000" w:themeColor="text1"/>
        </w:rPr>
        <w:t xml:space="preserve">. </w:t>
      </w:r>
      <w:r w:rsidR="00D0764E" w:rsidRPr="00E174F4">
        <w:rPr>
          <w:bCs/>
          <w:color w:val="000000" w:themeColor="text1"/>
        </w:rPr>
        <w:t xml:space="preserve">According to Bond et al. (2020), EIA is aimed </w:t>
      </w:r>
      <w:r w:rsidR="00D0764E">
        <w:rPr>
          <w:bCs/>
          <w:color w:val="000000" w:themeColor="text1"/>
        </w:rPr>
        <w:t>at</w:t>
      </w:r>
      <w:r w:rsidR="00D0764E" w:rsidRPr="00E174F4">
        <w:rPr>
          <w:bCs/>
          <w:color w:val="000000" w:themeColor="text1"/>
        </w:rPr>
        <w:t xml:space="preserve"> bring</w:t>
      </w:r>
      <w:r w:rsidR="00D0764E">
        <w:rPr>
          <w:bCs/>
          <w:color w:val="000000" w:themeColor="text1"/>
        </w:rPr>
        <w:t>ing</w:t>
      </w:r>
      <w:r w:rsidR="00D0764E" w:rsidRPr="00E174F4">
        <w:rPr>
          <w:bCs/>
          <w:color w:val="000000" w:themeColor="text1"/>
        </w:rPr>
        <w:t xml:space="preserve"> accountability </w:t>
      </w:r>
      <w:r w:rsidR="00D0764E">
        <w:rPr>
          <w:bCs/>
          <w:color w:val="000000" w:themeColor="text1"/>
        </w:rPr>
        <w:t xml:space="preserve">and transparency </w:t>
      </w:r>
      <w:r w:rsidR="00D0764E" w:rsidRPr="00E174F4">
        <w:rPr>
          <w:bCs/>
          <w:color w:val="000000" w:themeColor="text1"/>
        </w:rPr>
        <w:t xml:space="preserve">to the decision-making process </w:t>
      </w:r>
      <w:r w:rsidR="00D0764E">
        <w:rPr>
          <w:bCs/>
          <w:color w:val="000000" w:themeColor="text1"/>
        </w:rPr>
        <w:t>by providing</w:t>
      </w:r>
      <w:r w:rsidR="00D0764E" w:rsidRPr="00E174F4">
        <w:rPr>
          <w:bCs/>
          <w:color w:val="000000" w:themeColor="text1"/>
        </w:rPr>
        <w:t xml:space="preserve"> objective and scientific evidence. </w:t>
      </w:r>
      <w:r w:rsidR="00E75980">
        <w:t>Lack of</w:t>
      </w:r>
      <w:r w:rsidR="00D0764E" w:rsidRPr="00E174F4">
        <w:rPr>
          <w:color w:val="000000" w:themeColor="text1"/>
          <w:shd w:val="clear" w:color="auto" w:fill="FFFFFF"/>
        </w:rPr>
        <w:t xml:space="preserve"> transparency </w:t>
      </w:r>
      <w:r w:rsidR="00E75980">
        <w:rPr>
          <w:color w:val="000000" w:themeColor="text1"/>
          <w:shd w:val="clear" w:color="auto" w:fill="FFFFFF"/>
        </w:rPr>
        <w:t xml:space="preserve">can </w:t>
      </w:r>
      <w:r w:rsidR="00D0764E" w:rsidRPr="00E174F4">
        <w:rPr>
          <w:color w:val="000000" w:themeColor="text1"/>
          <w:shd w:val="clear" w:color="auto" w:fill="FFFFFF"/>
        </w:rPr>
        <w:t xml:space="preserve">directly affect several of the other principles </w:t>
      </w:r>
      <w:r w:rsidR="00D0764E">
        <w:rPr>
          <w:color w:val="000000" w:themeColor="text1"/>
          <w:shd w:val="clear" w:color="auto" w:fill="FFFFFF"/>
        </w:rPr>
        <w:t>and can contribute to weak governance</w:t>
      </w:r>
      <w:r w:rsidR="00D0764E" w:rsidRPr="00E174F4">
        <w:rPr>
          <w:color w:val="000000" w:themeColor="text1"/>
          <w:shd w:val="clear" w:color="auto" w:fill="FFFFFF"/>
        </w:rPr>
        <w:t>.</w:t>
      </w:r>
      <w:r w:rsidR="00485124" w:rsidRPr="00485124">
        <w:rPr>
          <w:color w:val="000000" w:themeColor="text1"/>
          <w:lang w:val="en-US"/>
        </w:rPr>
        <w:t xml:space="preserve"> </w:t>
      </w:r>
      <w:r w:rsidR="00485124">
        <w:rPr>
          <w:color w:val="000000" w:themeColor="text1"/>
          <w:lang w:val="en-US"/>
        </w:rPr>
        <w:t xml:space="preserve">Such a ranking </w:t>
      </w:r>
      <w:r w:rsidR="00485124" w:rsidRPr="00E174F4">
        <w:rPr>
          <w:color w:val="000000" w:themeColor="text1"/>
          <w:shd w:val="clear" w:color="auto" w:fill="FFFFFF"/>
        </w:rPr>
        <w:t xml:space="preserve">can </w:t>
      </w:r>
      <w:r w:rsidR="00485124">
        <w:rPr>
          <w:color w:val="000000" w:themeColor="text1"/>
          <w:shd w:val="clear" w:color="auto" w:fill="FFFFFF"/>
        </w:rPr>
        <w:t xml:space="preserve">therefore </w:t>
      </w:r>
      <w:r w:rsidR="00485124" w:rsidRPr="00E174F4">
        <w:rPr>
          <w:color w:val="000000" w:themeColor="text1"/>
          <w:shd w:val="clear" w:color="auto" w:fill="FFFFFF"/>
        </w:rPr>
        <w:t>be detrimental to the quality of the EIA process</w:t>
      </w:r>
      <w:r w:rsidR="00485124">
        <w:rPr>
          <w:color w:val="000000" w:themeColor="text1"/>
          <w:shd w:val="clear" w:color="auto" w:fill="FFFFFF"/>
        </w:rPr>
        <w:t xml:space="preserve"> and environmental governance in Namibia</w:t>
      </w:r>
      <w:r w:rsidR="00485124" w:rsidRPr="00E174F4">
        <w:rPr>
          <w:color w:val="000000" w:themeColor="text1"/>
          <w:shd w:val="clear" w:color="auto" w:fill="FFFFFF"/>
        </w:rPr>
        <w:t xml:space="preserve">. </w:t>
      </w:r>
      <w:r w:rsidR="00D0764E" w:rsidRPr="00E174F4">
        <w:rPr>
          <w:color w:val="000000" w:themeColor="text1"/>
          <w:shd w:val="clear" w:color="auto" w:fill="FFFFFF"/>
        </w:rPr>
        <w:t xml:space="preserve">Morrison-Saunders and Bailey (2000) state that the Canadian Environmental Assessment Agency highlighted transparency as a principle that provides certainty </w:t>
      </w:r>
      <w:r w:rsidR="00D0764E">
        <w:rPr>
          <w:color w:val="000000" w:themeColor="text1"/>
          <w:shd w:val="clear" w:color="auto" w:fill="FFFFFF"/>
        </w:rPr>
        <w:t xml:space="preserve">and </w:t>
      </w:r>
      <w:r w:rsidR="00D0764E" w:rsidRPr="00E174F4">
        <w:rPr>
          <w:color w:val="000000" w:themeColor="text1"/>
          <w:shd w:val="clear" w:color="auto" w:fill="FFFFFF"/>
        </w:rPr>
        <w:t>accountability</w:t>
      </w:r>
      <w:r w:rsidR="00D0764E">
        <w:rPr>
          <w:color w:val="000000" w:themeColor="text1"/>
          <w:shd w:val="clear" w:color="auto" w:fill="FFFFFF"/>
        </w:rPr>
        <w:t xml:space="preserve"> </w:t>
      </w:r>
      <w:r w:rsidR="00D0764E" w:rsidRPr="00E174F4">
        <w:rPr>
          <w:color w:val="000000" w:themeColor="text1"/>
          <w:shd w:val="clear" w:color="auto" w:fill="FFFFFF"/>
        </w:rPr>
        <w:t xml:space="preserve">in the EIA process. </w:t>
      </w:r>
      <w:proofErr w:type="spellStart"/>
      <w:r w:rsidR="00E75980">
        <w:rPr>
          <w:color w:val="000000" w:themeColor="text1"/>
          <w:shd w:val="clear" w:color="auto" w:fill="FFFFFF"/>
        </w:rPr>
        <w:t>Nuesri</w:t>
      </w:r>
      <w:proofErr w:type="spellEnd"/>
      <w:r w:rsidR="00E75980">
        <w:rPr>
          <w:color w:val="000000" w:themeColor="text1"/>
          <w:shd w:val="clear" w:color="auto" w:fill="FFFFFF"/>
        </w:rPr>
        <w:t xml:space="preserve"> (2016) also noted that a</w:t>
      </w:r>
      <w:r w:rsidR="00D0764E" w:rsidRPr="00E174F4">
        <w:rPr>
          <w:color w:val="000000" w:themeColor="text1"/>
        </w:rPr>
        <w:t xml:space="preserve">ccountability </w:t>
      </w:r>
      <w:r w:rsidR="00D0764E" w:rsidRPr="00E174F4">
        <w:t>serves to mitigate negative social and environmental impacts and protects against abuse of power</w:t>
      </w:r>
      <w:r w:rsidR="00D0764E">
        <w:t>,</w:t>
      </w:r>
      <w:r w:rsidR="00D0764E" w:rsidRPr="00E174F4">
        <w:t xml:space="preserve"> guid</w:t>
      </w:r>
      <w:r w:rsidR="00D0764E">
        <w:t>ing</w:t>
      </w:r>
      <w:r w:rsidR="00D0764E" w:rsidRPr="00E174F4">
        <w:t xml:space="preserve"> the actions of powerholders towards more socially and environmentally sustainable results. According to the experts interviewed, lack of </w:t>
      </w:r>
      <w:r w:rsidR="00D0764E">
        <w:t xml:space="preserve">transparency and </w:t>
      </w:r>
      <w:r w:rsidR="00D0764E" w:rsidRPr="00E174F4">
        <w:t xml:space="preserve">accountability </w:t>
      </w:r>
      <w:r w:rsidR="00D0764E">
        <w:t>in</w:t>
      </w:r>
      <w:r w:rsidR="00D0764E" w:rsidRPr="00E174F4">
        <w:t xml:space="preserve"> </w:t>
      </w:r>
      <w:r w:rsidR="00D0764E">
        <w:t>Namibia</w:t>
      </w:r>
      <w:r w:rsidR="00D0764E" w:rsidRPr="00E174F4">
        <w:t xml:space="preserve"> </w:t>
      </w:r>
      <w:r w:rsidR="00D0764E">
        <w:t xml:space="preserve">results from limited access to information, </w:t>
      </w:r>
      <w:r w:rsidR="00E75980">
        <w:t>conflict of interest</w:t>
      </w:r>
      <w:r w:rsidR="00D0764E">
        <w:t xml:space="preserve"> amongst EIA professionals</w:t>
      </w:r>
      <w:r w:rsidR="000E296F">
        <w:t xml:space="preserve"> and lack of monitoring and compliance by </w:t>
      </w:r>
      <w:r w:rsidR="000E296F" w:rsidRPr="00E174F4">
        <w:t>ME</w:t>
      </w:r>
      <w:r w:rsidR="000E296F">
        <w:t>F</w:t>
      </w:r>
      <w:r w:rsidR="000E296F" w:rsidRPr="00E174F4">
        <w:t>T</w:t>
      </w:r>
      <w:r w:rsidR="0044156B">
        <w:t xml:space="preserve"> and political influence in the EIA process</w:t>
      </w:r>
      <w:r w:rsidR="00D0764E" w:rsidRPr="00E174F4">
        <w:rPr>
          <w:color w:val="000000" w:themeColor="text1"/>
          <w:lang w:val="en-US"/>
        </w:rPr>
        <w:t xml:space="preserve">. </w:t>
      </w:r>
      <w:proofErr w:type="spellStart"/>
      <w:r w:rsidR="00E75980" w:rsidRPr="00E174F4">
        <w:t>Sosovele</w:t>
      </w:r>
      <w:proofErr w:type="spellEnd"/>
      <w:r w:rsidR="00E75980" w:rsidRPr="00E174F4">
        <w:t xml:space="preserve"> (2011) </w:t>
      </w:r>
      <w:r w:rsidR="0044156B">
        <w:t>noted</w:t>
      </w:r>
      <w:r w:rsidR="00E75980" w:rsidRPr="00E174F4">
        <w:t xml:space="preserve"> that a lack of accountability in enforcing environmental procedures is a governance failure that renders the EIA process ineffective. </w:t>
      </w:r>
    </w:p>
    <w:p w14:paraId="41107289" w14:textId="798090B6" w:rsidR="00D0764E" w:rsidRPr="00BF5F86" w:rsidRDefault="000C172D" w:rsidP="00D0764E">
      <w:pPr>
        <w:spacing w:line="480" w:lineRule="auto"/>
        <w:jc w:val="both"/>
      </w:pPr>
      <w:r w:rsidRPr="00BF5F86">
        <w:rPr>
          <w:color w:val="000000" w:themeColor="text1"/>
          <w:lang w:val="en-US"/>
        </w:rPr>
        <w:lastRenderedPageBreak/>
        <w:t xml:space="preserve">A transparent and accountable </w:t>
      </w:r>
      <w:r w:rsidRPr="00BF5F86">
        <w:rPr>
          <w:bCs/>
          <w:color w:val="000000" w:themeColor="text1"/>
        </w:rPr>
        <w:t>EIA process can</w:t>
      </w:r>
      <w:r w:rsidR="00706E5A" w:rsidRPr="00BF5F86">
        <w:rPr>
          <w:bCs/>
          <w:color w:val="000000" w:themeColor="text1"/>
        </w:rPr>
        <w:t xml:space="preserve"> also</w:t>
      </w:r>
      <w:r w:rsidRPr="00BF5F86">
        <w:rPr>
          <w:bCs/>
          <w:color w:val="000000" w:themeColor="text1"/>
        </w:rPr>
        <w:t xml:space="preserve"> be an enabling tool to build trusting relationships with indigenous communities and to reconcile biodiversity conservation and human development (Barker &amp; Jones, 2013; </w:t>
      </w:r>
      <w:proofErr w:type="spellStart"/>
      <w:r w:rsidRPr="00BF5F86">
        <w:rPr>
          <w:bCs/>
          <w:color w:val="000000" w:themeColor="text1"/>
        </w:rPr>
        <w:t>Boiral</w:t>
      </w:r>
      <w:proofErr w:type="spellEnd"/>
      <w:r w:rsidRPr="00BF5F86">
        <w:rPr>
          <w:bCs/>
          <w:color w:val="000000" w:themeColor="text1"/>
        </w:rPr>
        <w:t xml:space="preserve"> et al., 2020)</w:t>
      </w:r>
      <w:r w:rsidR="002C6C8F" w:rsidRPr="00BF5F86">
        <w:rPr>
          <w:bCs/>
          <w:color w:val="000000" w:themeColor="text1"/>
        </w:rPr>
        <w:t xml:space="preserve">, a factor that is important </w:t>
      </w:r>
      <w:r w:rsidR="00706E5A" w:rsidRPr="00BF5F86">
        <w:rPr>
          <w:bCs/>
          <w:color w:val="000000" w:themeColor="text1"/>
        </w:rPr>
        <w:t>to</w:t>
      </w:r>
      <w:r w:rsidR="002C6C8F" w:rsidRPr="00BF5F86">
        <w:rPr>
          <w:bCs/>
          <w:color w:val="000000" w:themeColor="text1"/>
        </w:rPr>
        <w:t xml:space="preserve"> a novice EIA system </w:t>
      </w:r>
      <w:r w:rsidR="00706E5A" w:rsidRPr="00BF5F86">
        <w:rPr>
          <w:bCs/>
          <w:color w:val="000000" w:themeColor="text1"/>
        </w:rPr>
        <w:t xml:space="preserve">such as that </w:t>
      </w:r>
      <w:r w:rsidR="002C6C8F" w:rsidRPr="00BF5F86">
        <w:rPr>
          <w:bCs/>
          <w:color w:val="000000" w:themeColor="text1"/>
        </w:rPr>
        <w:t>f</w:t>
      </w:r>
      <w:r w:rsidR="00706E5A" w:rsidRPr="00BF5F86">
        <w:rPr>
          <w:bCs/>
          <w:color w:val="000000" w:themeColor="text1"/>
        </w:rPr>
        <w:t>or</w:t>
      </w:r>
      <w:r w:rsidR="002C6C8F" w:rsidRPr="00BF5F86">
        <w:rPr>
          <w:bCs/>
          <w:color w:val="000000" w:themeColor="text1"/>
        </w:rPr>
        <w:t xml:space="preserve"> Namibia.</w:t>
      </w:r>
      <w:r w:rsidRPr="00BF5F86">
        <w:rPr>
          <w:bCs/>
          <w:color w:val="000000" w:themeColor="text1"/>
        </w:rPr>
        <w:t xml:space="preserve"> </w:t>
      </w:r>
      <w:r w:rsidR="00706E5A" w:rsidRPr="00BF5F86">
        <w:rPr>
          <w:bCs/>
          <w:color w:val="000000" w:themeColor="text1"/>
        </w:rPr>
        <w:t xml:space="preserve">Also, transparency in EIA can enhance </w:t>
      </w:r>
      <w:r w:rsidR="002C6C8F" w:rsidRPr="00BF5F86">
        <w:t>administrative justice</w:t>
      </w:r>
      <w:r w:rsidR="00BF5F86" w:rsidRPr="00BF5F86">
        <w:t>,</w:t>
      </w:r>
      <w:r w:rsidR="002C6C8F" w:rsidRPr="00BF5F86">
        <w:t xml:space="preserve"> </w:t>
      </w:r>
      <w:r w:rsidR="00706E5A" w:rsidRPr="00BF5F86">
        <w:t xml:space="preserve">a </w:t>
      </w:r>
      <w:r w:rsidR="002C6C8F" w:rsidRPr="00BF5F86">
        <w:t>core factor</w:t>
      </w:r>
      <w:r w:rsidR="00706E5A" w:rsidRPr="00BF5F86">
        <w:t xml:space="preserve"> in</w:t>
      </w:r>
      <w:r w:rsidR="002C6C8F" w:rsidRPr="00BF5F86">
        <w:t xml:space="preserve"> shaping the development of EIA </w:t>
      </w:r>
      <w:r w:rsidR="00BF5F86" w:rsidRPr="00BF5F86">
        <w:t>(</w:t>
      </w:r>
      <w:r w:rsidR="002C6C8F" w:rsidRPr="00BF5F86">
        <w:t>Alberts</w:t>
      </w:r>
      <w:r w:rsidR="000E296F" w:rsidRPr="00BF5F86">
        <w:t xml:space="preserve"> et al.</w:t>
      </w:r>
      <w:r w:rsidR="002C6C8F" w:rsidRPr="00BF5F86">
        <w:t xml:space="preserve"> 2022).</w:t>
      </w:r>
      <w:r w:rsidR="0002044C" w:rsidRPr="00BF5F86">
        <w:t xml:space="preserve"> </w:t>
      </w:r>
    </w:p>
    <w:p w14:paraId="2F06CD55" w14:textId="77777777" w:rsidR="00706E5A" w:rsidRPr="00BF5F86" w:rsidRDefault="00706E5A" w:rsidP="00E811AF">
      <w:pPr>
        <w:spacing w:line="480" w:lineRule="auto"/>
        <w:jc w:val="both"/>
        <w:rPr>
          <w:bCs/>
          <w:color w:val="000000" w:themeColor="text1"/>
        </w:rPr>
      </w:pPr>
    </w:p>
    <w:p w14:paraId="33000E5F" w14:textId="73A05CD0" w:rsidR="00D975EA" w:rsidRDefault="000C172D" w:rsidP="00D975EA">
      <w:pPr>
        <w:spacing w:line="480" w:lineRule="auto"/>
        <w:jc w:val="both"/>
        <w:rPr>
          <w:color w:val="000000" w:themeColor="text1"/>
          <w:lang w:val="en-US"/>
        </w:rPr>
      </w:pPr>
      <w:r w:rsidRPr="00BF5F86">
        <w:rPr>
          <w:bCs/>
          <w:color w:val="000000" w:themeColor="text1"/>
        </w:rPr>
        <w:t xml:space="preserve">The poor ranking for transparency and accountability in the Namibia EIA process is a governance deficiency that requires urgent </w:t>
      </w:r>
      <w:r w:rsidR="002C2EA9" w:rsidRPr="00BF5F86">
        <w:rPr>
          <w:bCs/>
          <w:color w:val="000000" w:themeColor="text1"/>
        </w:rPr>
        <w:t>attention if</w:t>
      </w:r>
      <w:r w:rsidRPr="00BF5F86">
        <w:rPr>
          <w:bCs/>
          <w:color w:val="000000" w:themeColor="text1"/>
        </w:rPr>
        <w:t xml:space="preserve"> the EIA </w:t>
      </w:r>
      <w:r w:rsidR="00BF5F86" w:rsidRPr="00BF5F86">
        <w:rPr>
          <w:bCs/>
          <w:color w:val="000000" w:themeColor="text1"/>
        </w:rPr>
        <w:t xml:space="preserve">is to </w:t>
      </w:r>
      <w:r w:rsidRPr="00BF5F86">
        <w:rPr>
          <w:bCs/>
          <w:color w:val="000000" w:themeColor="text1"/>
        </w:rPr>
        <w:t xml:space="preserve">be effective and purposeful. The Namibia government need to strengthen institutions to ensure that the EIA process is undertaken cleanly and is not influenced by corrupt forces. </w:t>
      </w:r>
      <w:r w:rsidR="002C2EA9" w:rsidRPr="00BF5F86">
        <w:rPr>
          <w:bCs/>
          <w:color w:val="000000" w:themeColor="text1"/>
        </w:rPr>
        <w:t xml:space="preserve">According to </w:t>
      </w:r>
      <w:r w:rsidR="002C2EA9" w:rsidRPr="007A1D50">
        <w:t xml:space="preserve">Williams </w:t>
      </w:r>
      <w:r w:rsidR="00BF5F86" w:rsidRPr="007A1D50">
        <w:t>and</w:t>
      </w:r>
      <w:r w:rsidR="002C2EA9" w:rsidRPr="007A1D50">
        <w:t xml:space="preserve"> Dupuy (2017), corrupt behaviours thrive under conditions of secrecy, power imbalances and weak institutions, a condition which is familiar to Namibia.</w:t>
      </w:r>
      <w:r w:rsidR="00E811AF" w:rsidRPr="00BF5F86">
        <w:rPr>
          <w:bCs/>
          <w:color w:val="000000" w:themeColor="text1"/>
        </w:rPr>
        <w:t xml:space="preserve"> </w:t>
      </w:r>
      <w:r w:rsidR="00E811AF">
        <w:rPr>
          <w:bCs/>
          <w:color w:val="000000" w:themeColor="text1"/>
        </w:rPr>
        <w:t xml:space="preserve">Ibeh </w:t>
      </w:r>
      <w:r w:rsidR="00BF5F86">
        <w:rPr>
          <w:bCs/>
          <w:color w:val="000000" w:themeColor="text1"/>
        </w:rPr>
        <w:t>and</w:t>
      </w:r>
      <w:r w:rsidR="00E811AF">
        <w:rPr>
          <w:bCs/>
          <w:color w:val="000000" w:themeColor="text1"/>
        </w:rPr>
        <w:t xml:space="preserve"> Wa</w:t>
      </w:r>
      <w:r w:rsidR="00E27FDA">
        <w:rPr>
          <w:bCs/>
          <w:color w:val="000000" w:themeColor="text1"/>
        </w:rPr>
        <w:t>l</w:t>
      </w:r>
      <w:r w:rsidR="00040A06">
        <w:rPr>
          <w:bCs/>
          <w:color w:val="000000" w:themeColor="text1"/>
        </w:rPr>
        <w:t>m</w:t>
      </w:r>
      <w:r w:rsidR="00E811AF">
        <w:rPr>
          <w:bCs/>
          <w:color w:val="000000" w:themeColor="text1"/>
        </w:rPr>
        <w:t xml:space="preserve">sley </w:t>
      </w:r>
      <w:r w:rsidR="002C2EA9">
        <w:rPr>
          <w:bCs/>
          <w:color w:val="000000" w:themeColor="text1"/>
        </w:rPr>
        <w:t>(</w:t>
      </w:r>
      <w:r w:rsidR="00E811AF">
        <w:rPr>
          <w:bCs/>
          <w:color w:val="000000" w:themeColor="text1"/>
        </w:rPr>
        <w:t xml:space="preserve">2021) </w:t>
      </w:r>
      <w:r w:rsidR="002C2EA9">
        <w:rPr>
          <w:bCs/>
          <w:color w:val="000000" w:themeColor="text1"/>
        </w:rPr>
        <w:t xml:space="preserve">noted that </w:t>
      </w:r>
      <w:r w:rsidR="00E811AF" w:rsidRPr="00E811AF">
        <w:rPr>
          <w:bCs/>
          <w:color w:val="000000" w:themeColor="text1"/>
        </w:rPr>
        <w:t>countries in sub-Saharan Africa</w:t>
      </w:r>
      <w:r w:rsidR="00BF5F86">
        <w:rPr>
          <w:bCs/>
          <w:color w:val="000000" w:themeColor="text1"/>
        </w:rPr>
        <w:t>,</w:t>
      </w:r>
      <w:r w:rsidR="002C2EA9">
        <w:rPr>
          <w:bCs/>
          <w:color w:val="000000" w:themeColor="text1"/>
        </w:rPr>
        <w:t xml:space="preserve"> including Namibia</w:t>
      </w:r>
      <w:r w:rsidR="00BF5F86">
        <w:rPr>
          <w:bCs/>
          <w:color w:val="000000" w:themeColor="text1"/>
        </w:rPr>
        <w:t>,</w:t>
      </w:r>
      <w:r w:rsidR="00E811AF" w:rsidRPr="00E811AF">
        <w:rPr>
          <w:bCs/>
          <w:color w:val="000000" w:themeColor="text1"/>
        </w:rPr>
        <w:t xml:space="preserve"> have weak environmental governance structures</w:t>
      </w:r>
      <w:r w:rsidR="00E811AF">
        <w:rPr>
          <w:bCs/>
          <w:color w:val="000000" w:themeColor="text1"/>
        </w:rPr>
        <w:t xml:space="preserve"> characterised by some </w:t>
      </w:r>
      <w:r w:rsidR="00E811AF" w:rsidRPr="00E811AF">
        <w:rPr>
          <w:bCs/>
          <w:color w:val="000000" w:themeColor="text1"/>
        </w:rPr>
        <w:t>degree of corruption</w:t>
      </w:r>
      <w:r w:rsidR="00E811AF">
        <w:rPr>
          <w:bCs/>
          <w:color w:val="000000" w:themeColor="text1"/>
        </w:rPr>
        <w:t xml:space="preserve">, </w:t>
      </w:r>
      <w:r w:rsidR="000A5911" w:rsidRPr="000A5911">
        <w:rPr>
          <w:bCs/>
          <w:color w:val="000000" w:themeColor="text1"/>
        </w:rPr>
        <w:t>incoherent sustainability policies, weak</w:t>
      </w:r>
      <w:r w:rsidR="000A5911">
        <w:rPr>
          <w:bCs/>
          <w:color w:val="000000" w:themeColor="text1"/>
        </w:rPr>
        <w:t xml:space="preserve"> </w:t>
      </w:r>
      <w:r w:rsidR="000A5911" w:rsidRPr="000A5911">
        <w:rPr>
          <w:bCs/>
          <w:color w:val="000000" w:themeColor="text1"/>
        </w:rPr>
        <w:t>environmental laws and non-existent monitoring and enforcement</w:t>
      </w:r>
      <w:r w:rsidR="000A5911">
        <w:rPr>
          <w:bCs/>
          <w:color w:val="000000" w:themeColor="text1"/>
        </w:rPr>
        <w:t xml:space="preserve">. These challenges not only impact environmental sustainability but can </w:t>
      </w:r>
      <w:r w:rsidR="00E811AF" w:rsidRPr="00E811AF">
        <w:rPr>
          <w:bCs/>
          <w:color w:val="000000" w:themeColor="text1"/>
        </w:rPr>
        <w:t xml:space="preserve">play an important role in </w:t>
      </w:r>
      <w:r w:rsidR="000A5911">
        <w:rPr>
          <w:bCs/>
          <w:color w:val="000000" w:themeColor="text1"/>
        </w:rPr>
        <w:t>national development</w:t>
      </w:r>
      <w:r w:rsidR="00BF5F86">
        <w:rPr>
          <w:bCs/>
          <w:color w:val="000000" w:themeColor="text1"/>
        </w:rPr>
        <w:t>,</w:t>
      </w:r>
      <w:r w:rsidR="000A5911">
        <w:rPr>
          <w:bCs/>
          <w:color w:val="000000" w:themeColor="text1"/>
        </w:rPr>
        <w:t xml:space="preserve"> even limiting the achievement of global goals such as the</w:t>
      </w:r>
      <w:r w:rsidR="00E811AF" w:rsidRPr="00E811AF">
        <w:rPr>
          <w:bCs/>
          <w:color w:val="000000" w:themeColor="text1"/>
        </w:rPr>
        <w:t xml:space="preserve"> SDGs.</w:t>
      </w:r>
      <w:r w:rsidR="00040A06">
        <w:rPr>
          <w:color w:val="000000" w:themeColor="text1"/>
          <w:lang w:val="en-US"/>
        </w:rPr>
        <w:t xml:space="preserve"> </w:t>
      </w:r>
      <w:r w:rsidR="002C2EA9">
        <w:rPr>
          <w:color w:val="000000" w:themeColor="text1"/>
          <w:lang w:val="en-US"/>
        </w:rPr>
        <w:t>Some of the</w:t>
      </w:r>
      <w:r w:rsidRPr="00D975EA">
        <w:rPr>
          <w:color w:val="000000" w:themeColor="text1"/>
          <w:lang w:val="en-US"/>
        </w:rPr>
        <w:t xml:space="preserve"> best </w:t>
      </w:r>
      <w:r w:rsidR="00040A06">
        <w:rPr>
          <w:color w:val="000000" w:themeColor="text1"/>
          <w:lang w:val="en-US"/>
        </w:rPr>
        <w:t xml:space="preserve">EIA </w:t>
      </w:r>
      <w:r w:rsidRPr="00D975EA">
        <w:rPr>
          <w:color w:val="000000" w:themeColor="text1"/>
          <w:lang w:val="en-US"/>
        </w:rPr>
        <w:t>practice</w:t>
      </w:r>
      <w:r w:rsidR="00040A06">
        <w:rPr>
          <w:color w:val="000000" w:themeColor="text1"/>
          <w:lang w:val="en-US"/>
        </w:rPr>
        <w:t xml:space="preserve">s such as ensuring </w:t>
      </w:r>
      <w:r w:rsidRPr="00D975EA">
        <w:rPr>
          <w:color w:val="000000" w:themeColor="text1"/>
          <w:lang w:val="en-US"/>
        </w:rPr>
        <w:t>strict adherence to regulations through data</w:t>
      </w:r>
      <w:r w:rsidR="00040A06">
        <w:rPr>
          <w:color w:val="000000" w:themeColor="text1"/>
          <w:lang w:val="en-US"/>
        </w:rPr>
        <w:t xml:space="preserve"> and decentralized information provision</w:t>
      </w:r>
      <w:r w:rsidRPr="00D975EA">
        <w:rPr>
          <w:color w:val="000000" w:themeColor="text1"/>
          <w:lang w:val="en-US"/>
        </w:rPr>
        <w:t xml:space="preserve">, </w:t>
      </w:r>
      <w:r w:rsidR="00040A06">
        <w:rPr>
          <w:color w:val="000000" w:themeColor="text1"/>
          <w:lang w:val="en-US"/>
        </w:rPr>
        <w:t xml:space="preserve">enhancing </w:t>
      </w:r>
      <w:r w:rsidRPr="00D975EA">
        <w:rPr>
          <w:color w:val="000000" w:themeColor="text1"/>
          <w:lang w:val="en-US"/>
        </w:rPr>
        <w:t xml:space="preserve">conflict resolution, </w:t>
      </w:r>
      <w:r w:rsidR="002C6C8F" w:rsidRPr="00D975EA">
        <w:rPr>
          <w:color w:val="000000" w:themeColor="text1"/>
          <w:lang w:val="en-US"/>
        </w:rPr>
        <w:t>innovation,</w:t>
      </w:r>
      <w:r w:rsidR="00040A06">
        <w:rPr>
          <w:color w:val="000000" w:themeColor="text1"/>
          <w:lang w:val="en-US"/>
        </w:rPr>
        <w:t xml:space="preserve"> and use of technologies for better involvement</w:t>
      </w:r>
      <w:r w:rsidRPr="00D975EA">
        <w:rPr>
          <w:color w:val="000000" w:themeColor="text1"/>
          <w:lang w:val="en-US"/>
        </w:rPr>
        <w:t xml:space="preserve">, </w:t>
      </w:r>
      <w:r w:rsidR="00E078C3">
        <w:rPr>
          <w:color w:val="000000" w:themeColor="text1"/>
          <w:lang w:val="en-US"/>
        </w:rPr>
        <w:t>awareness,</w:t>
      </w:r>
      <w:r w:rsidR="00040A06">
        <w:rPr>
          <w:color w:val="000000" w:themeColor="text1"/>
          <w:lang w:val="en-US"/>
        </w:rPr>
        <w:t xml:space="preserve"> and training</w:t>
      </w:r>
      <w:r w:rsidR="00BF5F86">
        <w:rPr>
          <w:color w:val="000000" w:themeColor="text1"/>
          <w:lang w:val="en-US"/>
        </w:rPr>
        <w:t>,</w:t>
      </w:r>
      <w:r w:rsidR="00040A06">
        <w:rPr>
          <w:color w:val="000000" w:themeColor="text1"/>
          <w:lang w:val="en-US"/>
        </w:rPr>
        <w:t xml:space="preserve"> can improve the adequacy, quality and context under which EIA is implemented.</w:t>
      </w:r>
    </w:p>
    <w:p w14:paraId="2BDA87C6" w14:textId="77777777" w:rsidR="00BF5F86" w:rsidRPr="002C2EA9" w:rsidRDefault="00BF5F86" w:rsidP="00D975EA">
      <w:pPr>
        <w:spacing w:line="480" w:lineRule="auto"/>
        <w:jc w:val="both"/>
        <w:rPr>
          <w:bCs/>
          <w:color w:val="000000" w:themeColor="text1"/>
        </w:rPr>
      </w:pPr>
    </w:p>
    <w:p w14:paraId="7DD04A4F" w14:textId="77777777" w:rsidR="001A1D2A" w:rsidRPr="00246AB7" w:rsidRDefault="000C172D" w:rsidP="00246AB7">
      <w:pPr>
        <w:pStyle w:val="Heading2"/>
        <w:numPr>
          <w:ilvl w:val="1"/>
          <w:numId w:val="32"/>
        </w:numPr>
        <w:spacing w:line="480" w:lineRule="auto"/>
        <w:jc w:val="both"/>
        <w:rPr>
          <w:rFonts w:cs="Times New Roman"/>
          <w:szCs w:val="24"/>
        </w:rPr>
      </w:pPr>
      <w:r w:rsidRPr="00246AB7">
        <w:rPr>
          <w:rFonts w:cs="Times New Roman"/>
          <w:szCs w:val="24"/>
        </w:rPr>
        <w:lastRenderedPageBreak/>
        <w:t>Conclusion and recommendations</w:t>
      </w:r>
    </w:p>
    <w:p w14:paraId="3ABFA68B" w14:textId="2DA901C8" w:rsidR="00001F25" w:rsidRPr="00F21B4B" w:rsidRDefault="000C172D" w:rsidP="00001F25">
      <w:pPr>
        <w:spacing w:line="480" w:lineRule="auto"/>
        <w:jc w:val="both"/>
      </w:pPr>
      <w:r>
        <w:t>EIA can be considered</w:t>
      </w:r>
      <w:r w:rsidR="0002044C">
        <w:t xml:space="preserve"> a</w:t>
      </w:r>
      <w:r>
        <w:t xml:space="preserve"> good environmental governance instrument, as it introduces rules and assigns specific roles and responsibilities to actors. </w:t>
      </w:r>
      <w:r w:rsidR="00DD6D99" w:rsidRPr="00E174F4">
        <w:t>Namibia's commitment to</w:t>
      </w:r>
      <w:r w:rsidR="008B5BDD">
        <w:t xml:space="preserve"> good</w:t>
      </w:r>
      <w:r w:rsidR="00DD6D99" w:rsidRPr="00E174F4">
        <w:t xml:space="preserve"> environmental governance can be noticed in effort</w:t>
      </w:r>
      <w:r w:rsidR="00BF5F86">
        <w:t>s</w:t>
      </w:r>
      <w:r w:rsidR="00DD6D99" w:rsidRPr="00E174F4">
        <w:t xml:space="preserve"> to set up legislation and mechanisms for the conduct </w:t>
      </w:r>
      <w:r w:rsidR="00DD6D99" w:rsidRPr="00CD4392">
        <w:t xml:space="preserve">of the EIA process. </w:t>
      </w:r>
      <w:r w:rsidR="00BF5F86">
        <w:t>I</w:t>
      </w:r>
      <w:r w:rsidR="0002044C" w:rsidRPr="00CD4392">
        <w:t xml:space="preserve">nadequacy however lies in the provisions and </w:t>
      </w:r>
      <w:r w:rsidR="00DD6D99" w:rsidRPr="00CD4392">
        <w:t xml:space="preserve">requirements on participation, </w:t>
      </w:r>
      <w:r w:rsidR="00F83B76" w:rsidRPr="00CD4392">
        <w:t>alternatives</w:t>
      </w:r>
      <w:r w:rsidR="0002044C" w:rsidRPr="00CD4392">
        <w:t>,</w:t>
      </w:r>
      <w:r w:rsidR="00DD6D99" w:rsidRPr="00CD4392">
        <w:t xml:space="preserve"> cumulative impacts, and </w:t>
      </w:r>
      <w:r w:rsidR="0002044C" w:rsidRPr="00CD4392">
        <w:t>monitoring</w:t>
      </w:r>
      <w:r w:rsidRPr="00CD4392">
        <w:t xml:space="preserve"> of project impacts</w:t>
      </w:r>
      <w:r w:rsidR="00DD6D99" w:rsidRPr="00CD4392">
        <w:t>.</w:t>
      </w:r>
      <w:r w:rsidR="00DD6D99" w:rsidRPr="00CD4392">
        <w:rPr>
          <w:color w:val="2A2A2A"/>
          <w:shd w:val="clear" w:color="auto" w:fill="FFFFFF"/>
        </w:rPr>
        <w:t xml:space="preserve"> </w:t>
      </w:r>
      <w:r w:rsidR="0002044C" w:rsidRPr="00CD4392">
        <w:rPr>
          <w:color w:val="2A2A2A"/>
          <w:shd w:val="clear" w:color="auto" w:fill="FFFFFF"/>
        </w:rPr>
        <w:t xml:space="preserve">These limitations </w:t>
      </w:r>
      <w:r w:rsidR="00814803" w:rsidRPr="00CD4392">
        <w:rPr>
          <w:color w:val="2A2A2A"/>
          <w:shd w:val="clear" w:color="auto" w:fill="FFFFFF"/>
        </w:rPr>
        <w:t>culminate</w:t>
      </w:r>
      <w:r w:rsidR="0002044C" w:rsidRPr="00CD4392">
        <w:rPr>
          <w:color w:val="2A2A2A"/>
          <w:shd w:val="clear" w:color="auto" w:fill="FFFFFF"/>
        </w:rPr>
        <w:t xml:space="preserve"> in the overall EIA process to </w:t>
      </w:r>
      <w:r w:rsidR="00814803" w:rsidRPr="00CD4392">
        <w:rPr>
          <w:color w:val="2A2A2A"/>
          <w:shd w:val="clear" w:color="auto" w:fill="FFFFFF"/>
        </w:rPr>
        <w:t>partially</w:t>
      </w:r>
      <w:r w:rsidR="0002044C" w:rsidRPr="00CD4392">
        <w:rPr>
          <w:color w:val="2A2A2A"/>
          <w:shd w:val="clear" w:color="auto" w:fill="FFFFFF"/>
        </w:rPr>
        <w:t xml:space="preserve"> satisfy good governance principles. The rating of transparency and accountability as poor is a </w:t>
      </w:r>
      <w:r w:rsidR="00814803" w:rsidRPr="00CD4392">
        <w:rPr>
          <w:color w:val="2A2A2A"/>
          <w:shd w:val="clear" w:color="auto" w:fill="FFFFFF"/>
        </w:rPr>
        <w:t>setback</w:t>
      </w:r>
      <w:r w:rsidR="0002044C" w:rsidRPr="00CD4392">
        <w:rPr>
          <w:color w:val="2A2A2A"/>
          <w:shd w:val="clear" w:color="auto" w:fill="FFFFFF"/>
        </w:rPr>
        <w:t xml:space="preserve"> </w:t>
      </w:r>
      <w:r w:rsidR="00BF5F86">
        <w:rPr>
          <w:color w:val="2A2A2A"/>
          <w:shd w:val="clear" w:color="auto" w:fill="FFFFFF"/>
        </w:rPr>
        <w:t>for</w:t>
      </w:r>
      <w:r w:rsidR="0002044C" w:rsidRPr="00CD4392">
        <w:rPr>
          <w:color w:val="2A2A2A"/>
          <w:shd w:val="clear" w:color="auto" w:fill="FFFFFF"/>
        </w:rPr>
        <w:t xml:space="preserve"> the quality of the Namibia EIA process. </w:t>
      </w:r>
      <w:r w:rsidRPr="00CD4392">
        <w:rPr>
          <w:color w:val="2A2A2A"/>
          <w:shd w:val="clear" w:color="auto" w:fill="FFFFFF"/>
        </w:rPr>
        <w:t>While legislation reforms</w:t>
      </w:r>
      <w:r w:rsidRPr="00CD4392">
        <w:rPr>
          <w:rStyle w:val="markedcontent"/>
          <w:rFonts w:eastAsiaTheme="majorEastAsia"/>
        </w:rPr>
        <w:t xml:space="preserve"> and </w:t>
      </w:r>
      <w:r w:rsidR="00BF5F86">
        <w:rPr>
          <w:rStyle w:val="markedcontent"/>
          <w:rFonts w:eastAsiaTheme="majorEastAsia"/>
        </w:rPr>
        <w:t>t</w:t>
      </w:r>
      <w:r w:rsidRPr="00CD4392">
        <w:rPr>
          <w:rStyle w:val="markedcontent"/>
          <w:rFonts w:eastAsiaTheme="majorEastAsia"/>
        </w:rPr>
        <w:t>echnocratic modification</w:t>
      </w:r>
      <w:r w:rsidRPr="00CD4392">
        <w:rPr>
          <w:color w:val="2A2A2A"/>
          <w:shd w:val="clear" w:color="auto" w:fill="FFFFFF"/>
        </w:rPr>
        <w:t xml:space="preserve"> are needed to improve the quality of the EIA process, </w:t>
      </w:r>
      <w:r w:rsidR="00BF5F86">
        <w:rPr>
          <w:rStyle w:val="markedcontent"/>
          <w:rFonts w:eastAsiaTheme="majorEastAsia"/>
        </w:rPr>
        <w:t>p</w:t>
      </w:r>
      <w:r w:rsidRPr="00CD4392">
        <w:rPr>
          <w:rStyle w:val="markedcontent"/>
          <w:rFonts w:eastAsiaTheme="majorEastAsia"/>
        </w:rPr>
        <w:t xml:space="preserve">olitical approaches are needed to address the governance and contextual challenges associated with EIA in Namibia. </w:t>
      </w:r>
      <w:r w:rsidR="00BC31D7" w:rsidRPr="00CD4392">
        <w:rPr>
          <w:color w:val="2A2A2A"/>
          <w:shd w:val="clear" w:color="auto" w:fill="FFFFFF"/>
        </w:rPr>
        <w:t>Full involvement of the public and private sectors</w:t>
      </w:r>
      <w:r w:rsidR="0002044C" w:rsidRPr="00CD4392">
        <w:rPr>
          <w:color w:val="2A2A2A"/>
          <w:shd w:val="clear" w:color="auto" w:fill="FFFFFF"/>
        </w:rPr>
        <w:t xml:space="preserve"> and urban and </w:t>
      </w:r>
      <w:r w:rsidR="00814803" w:rsidRPr="00CD4392">
        <w:rPr>
          <w:color w:val="2A2A2A"/>
          <w:shd w:val="clear" w:color="auto" w:fill="FFFFFF"/>
        </w:rPr>
        <w:t>rural</w:t>
      </w:r>
      <w:r w:rsidR="0002044C" w:rsidRPr="00CD4392">
        <w:rPr>
          <w:color w:val="2A2A2A"/>
          <w:shd w:val="clear" w:color="auto" w:fill="FFFFFF"/>
        </w:rPr>
        <w:t xml:space="preserve"> communities</w:t>
      </w:r>
      <w:r w:rsidRPr="00CD4392">
        <w:rPr>
          <w:color w:val="2A2A2A"/>
          <w:shd w:val="clear" w:color="auto" w:fill="FFFFFF"/>
        </w:rPr>
        <w:t xml:space="preserve"> is needed</w:t>
      </w:r>
      <w:r w:rsidR="0002044C" w:rsidRPr="00CD4392">
        <w:rPr>
          <w:color w:val="2A2A2A"/>
          <w:shd w:val="clear" w:color="auto" w:fill="FFFFFF"/>
        </w:rPr>
        <w:t xml:space="preserve">. </w:t>
      </w:r>
      <w:r w:rsidRPr="00CD4392">
        <w:rPr>
          <w:color w:val="2A2A2A"/>
          <w:shd w:val="clear" w:color="auto" w:fill="FFFFFF"/>
        </w:rPr>
        <w:t>C</w:t>
      </w:r>
      <w:r w:rsidR="00814803" w:rsidRPr="00CD4392">
        <w:rPr>
          <w:color w:val="2A2A2A"/>
          <w:shd w:val="clear" w:color="auto" w:fill="FFFFFF"/>
        </w:rPr>
        <w:t xml:space="preserve">ontextual </w:t>
      </w:r>
      <w:r w:rsidR="00BC31D7" w:rsidRPr="00CD4392">
        <w:rPr>
          <w:color w:val="2A2A2A"/>
          <w:shd w:val="clear" w:color="auto" w:fill="FFFFFF"/>
        </w:rPr>
        <w:t>issues ranging from low political will and support</w:t>
      </w:r>
      <w:r w:rsidR="001C3B91" w:rsidRPr="00CD4392">
        <w:rPr>
          <w:color w:val="2A2A2A"/>
          <w:shd w:val="clear" w:color="auto" w:fill="FFFFFF"/>
        </w:rPr>
        <w:t>,</w:t>
      </w:r>
      <w:r w:rsidR="00BC31D7" w:rsidRPr="00CD4392">
        <w:rPr>
          <w:color w:val="2A2A2A"/>
          <w:shd w:val="clear" w:color="auto" w:fill="FFFFFF"/>
        </w:rPr>
        <w:t xml:space="preserve"> implementation of unauthorized projects</w:t>
      </w:r>
      <w:r w:rsidR="00814803" w:rsidRPr="00CD4392">
        <w:rPr>
          <w:color w:val="2A2A2A"/>
          <w:shd w:val="clear" w:color="auto" w:fill="FFFFFF"/>
        </w:rPr>
        <w:t xml:space="preserve"> and political influence in the EIA process,</w:t>
      </w:r>
      <w:r w:rsidR="00BC31D7" w:rsidRPr="00CD4392">
        <w:rPr>
          <w:color w:val="2A2A2A"/>
          <w:shd w:val="clear" w:color="auto" w:fill="FFFFFF"/>
        </w:rPr>
        <w:t xml:space="preserve"> lack of decentralization of EIA services</w:t>
      </w:r>
      <w:r w:rsidR="001C3B91" w:rsidRPr="00CD4392">
        <w:rPr>
          <w:color w:val="2A2A2A"/>
          <w:shd w:val="clear" w:color="auto" w:fill="FFFFFF"/>
        </w:rPr>
        <w:t>,</w:t>
      </w:r>
      <w:r w:rsidR="00BC31D7" w:rsidRPr="00CD4392">
        <w:rPr>
          <w:color w:val="2A2A2A"/>
          <w:shd w:val="clear" w:color="auto" w:fill="FFFFFF"/>
        </w:rPr>
        <w:t xml:space="preserve"> and lack of </w:t>
      </w:r>
      <w:r w:rsidRPr="00CD4392">
        <w:rPr>
          <w:color w:val="2A2A2A"/>
          <w:shd w:val="clear" w:color="auto" w:fill="FFFFFF"/>
        </w:rPr>
        <w:t>resources have received low levels of attention, from the government</w:t>
      </w:r>
      <w:r w:rsidR="00BC31D7" w:rsidRPr="00CD4392">
        <w:rPr>
          <w:color w:val="2A2A2A"/>
          <w:shd w:val="clear" w:color="auto" w:fill="FFFFFF"/>
        </w:rPr>
        <w:t xml:space="preserve">. </w:t>
      </w:r>
      <w:r w:rsidRPr="00CD4392">
        <w:rPr>
          <w:color w:val="2A2A2A"/>
          <w:shd w:val="clear" w:color="auto" w:fill="FFFFFF"/>
        </w:rPr>
        <w:t xml:space="preserve">A befitting solution lies in </w:t>
      </w:r>
      <w:r w:rsidR="00CD4392" w:rsidRPr="00CD4392">
        <w:rPr>
          <w:color w:val="2A2A2A"/>
          <w:shd w:val="clear" w:color="auto" w:fill="FFFFFF"/>
        </w:rPr>
        <w:t xml:space="preserve">strengthening, supporting, and </w:t>
      </w:r>
      <w:r w:rsidRPr="00CD4392">
        <w:rPr>
          <w:color w:val="2A2A2A"/>
          <w:shd w:val="clear" w:color="auto" w:fill="FFFFFF"/>
        </w:rPr>
        <w:t xml:space="preserve">utilizing </w:t>
      </w:r>
      <w:r w:rsidRPr="00CD4392">
        <w:t>local administrative tiers at regional, local, and traditional structures for including the public and private sectors</w:t>
      </w:r>
      <w:r w:rsidR="00CD4392" w:rsidRPr="00CD4392">
        <w:t>, and grass-roots communities living in urban and rural areas of Namibia</w:t>
      </w:r>
      <w:r w:rsidRPr="00CD4392">
        <w:t>. Such efforts could help to ensure improved</w:t>
      </w:r>
      <w:r w:rsidR="00CD4392" w:rsidRPr="00CD4392">
        <w:t xml:space="preserve"> participation,</w:t>
      </w:r>
      <w:r w:rsidRPr="00CD4392">
        <w:t xml:space="preserve"> coordination, legitimacy, accountability, </w:t>
      </w:r>
      <w:r w:rsidR="00CD4392" w:rsidRPr="00CD4392">
        <w:t>and transparency in the EIA process and to ensure responsibility of project monitoring towards all actors</w:t>
      </w:r>
      <w:r w:rsidRPr="00CD4392">
        <w:t xml:space="preserve">. </w:t>
      </w:r>
      <w:r w:rsidR="002B2D5F">
        <w:t xml:space="preserve">With the necessary improvements, EIA can become an essential tool not only to stir principled development but also to </w:t>
      </w:r>
      <w:r w:rsidR="002B2D5F" w:rsidRPr="00F21B4B">
        <w:t>manage conflicts, contradictions, and inconsistencies</w:t>
      </w:r>
      <w:r w:rsidR="00FF0C0E">
        <w:t xml:space="preserve"> which are ingredients of poor governance</w:t>
      </w:r>
      <w:r w:rsidR="002B2D5F" w:rsidRPr="00F21B4B">
        <w:t>.</w:t>
      </w:r>
      <w:r w:rsidR="00FF0C0E" w:rsidRPr="00FF0C0E">
        <w:rPr>
          <w:lang w:val="en-AU"/>
        </w:rPr>
        <w:t xml:space="preserve"> </w:t>
      </w:r>
    </w:p>
    <w:p w14:paraId="6565076C" w14:textId="13656415" w:rsidR="003138D4" w:rsidRDefault="003D1FB3" w:rsidP="00BE4627">
      <w:pPr>
        <w:spacing w:line="480" w:lineRule="auto"/>
        <w:jc w:val="both"/>
        <w:rPr>
          <w:color w:val="2A2A2A"/>
          <w:shd w:val="clear" w:color="auto" w:fill="FFFFFF"/>
        </w:rPr>
      </w:pPr>
      <w:r>
        <w:rPr>
          <w:color w:val="2A2A2A"/>
          <w:shd w:val="clear" w:color="auto" w:fill="FFFFFF"/>
        </w:rPr>
        <w:t>Based on our analysis we recommend that</w:t>
      </w:r>
      <w:r w:rsidR="000C172D">
        <w:rPr>
          <w:color w:val="2A2A2A"/>
          <w:shd w:val="clear" w:color="auto" w:fill="FFFFFF"/>
        </w:rPr>
        <w:t>:</w:t>
      </w:r>
    </w:p>
    <w:p w14:paraId="6FDAADC5" w14:textId="4084E546" w:rsidR="00FF0C0E" w:rsidRPr="00F21B4B" w:rsidRDefault="000C172D" w:rsidP="00FF0C0E">
      <w:pPr>
        <w:pStyle w:val="ListParagraph"/>
        <w:numPr>
          <w:ilvl w:val="0"/>
          <w:numId w:val="33"/>
        </w:numPr>
        <w:spacing w:line="480" w:lineRule="auto"/>
        <w:jc w:val="both"/>
      </w:pPr>
      <w:r w:rsidRPr="00964E7D">
        <w:rPr>
          <w:color w:val="2A2A2A"/>
          <w:shd w:val="clear" w:color="auto" w:fill="FFFFFF"/>
        </w:rPr>
        <w:lastRenderedPageBreak/>
        <w:t>There should be</w:t>
      </w:r>
      <w:r>
        <w:t xml:space="preserve"> a commitment of political leadership</w:t>
      </w:r>
      <w:r w:rsidR="00576538">
        <w:t xml:space="preserve"> and will</w:t>
      </w:r>
      <w:r>
        <w:t xml:space="preserve"> </w:t>
      </w:r>
      <w:r w:rsidR="003D1FB3">
        <w:t xml:space="preserve">from </w:t>
      </w:r>
      <w:r w:rsidR="00964E7D">
        <w:t xml:space="preserve">the Government </w:t>
      </w:r>
      <w:r>
        <w:t>to create an enabling environment for sustainable development</w:t>
      </w:r>
      <w:r w:rsidR="00964E7D">
        <w:t xml:space="preserve"> </w:t>
      </w:r>
      <w:r>
        <w:t>using</w:t>
      </w:r>
      <w:r w:rsidR="00964E7D">
        <w:t xml:space="preserve"> EIA.</w:t>
      </w:r>
      <w:r>
        <w:t xml:space="preserve"> This requires the integration of environmental concerns in all major economic and social policies, plans and decision-making and that</w:t>
      </w:r>
      <w:r w:rsidR="000A449A" w:rsidRPr="00FF0C0E">
        <w:rPr>
          <w:color w:val="2A2A2A"/>
          <w:shd w:val="clear" w:color="auto" w:fill="FFFFFF"/>
        </w:rPr>
        <w:t xml:space="preserve"> </w:t>
      </w:r>
      <w:r w:rsidRPr="00FF0C0E">
        <w:rPr>
          <w:color w:val="2A2A2A"/>
          <w:shd w:val="clear" w:color="auto" w:fill="FFFFFF"/>
        </w:rPr>
        <w:t xml:space="preserve">EIA procedures </w:t>
      </w:r>
      <w:r>
        <w:rPr>
          <w:color w:val="2A2A2A"/>
          <w:shd w:val="clear" w:color="auto" w:fill="FFFFFF"/>
        </w:rPr>
        <w:t xml:space="preserve">are </w:t>
      </w:r>
      <w:r w:rsidRPr="00FF0C0E">
        <w:rPr>
          <w:color w:val="2A2A2A"/>
          <w:shd w:val="clear" w:color="auto" w:fill="FFFFFF"/>
        </w:rPr>
        <w:t xml:space="preserve">strengthened </w:t>
      </w:r>
      <w:r>
        <w:rPr>
          <w:lang w:val="en-AU"/>
        </w:rPr>
        <w:t>to</w:t>
      </w:r>
      <w:r w:rsidRPr="00FF0C0E">
        <w:rPr>
          <w:lang w:val="en-AU"/>
        </w:rPr>
        <w:t xml:space="preserve"> demand appropriate transparency, accountability, and compliance around the assessment efforts.</w:t>
      </w:r>
    </w:p>
    <w:p w14:paraId="33496237" w14:textId="77777777" w:rsidR="00230B93" w:rsidRPr="00230B93" w:rsidRDefault="000C172D" w:rsidP="000A449A">
      <w:pPr>
        <w:pStyle w:val="ListParagraph"/>
        <w:numPr>
          <w:ilvl w:val="0"/>
          <w:numId w:val="33"/>
        </w:numPr>
        <w:spacing w:line="480" w:lineRule="auto"/>
        <w:jc w:val="both"/>
        <w:rPr>
          <w:color w:val="2A2A2A"/>
          <w:shd w:val="clear" w:color="auto" w:fill="FFFFFF"/>
        </w:rPr>
      </w:pPr>
      <w:r>
        <w:rPr>
          <w:color w:val="2A2A2A"/>
          <w:shd w:val="clear" w:color="auto" w:fill="FFFFFF"/>
        </w:rPr>
        <w:t>E</w:t>
      </w:r>
      <w:r w:rsidR="00D06212" w:rsidRPr="00964E7D">
        <w:rPr>
          <w:rFonts w:eastAsia="Calibri"/>
          <w:color w:val="000000" w:themeColor="text1"/>
        </w:rPr>
        <w:t>nvironmental authorities</w:t>
      </w:r>
      <w:r w:rsidR="000A449A" w:rsidRPr="00964E7D">
        <w:rPr>
          <w:rFonts w:eastAsia="Calibri"/>
          <w:color w:val="000000" w:themeColor="text1"/>
        </w:rPr>
        <w:t xml:space="preserve"> (</w:t>
      </w:r>
      <w:r w:rsidR="00D06212" w:rsidRPr="00964E7D">
        <w:rPr>
          <w:rFonts w:eastAsia="Calibri"/>
          <w:color w:val="000000" w:themeColor="text1"/>
        </w:rPr>
        <w:t>DEA</w:t>
      </w:r>
      <w:r w:rsidR="000A449A" w:rsidRPr="00964E7D">
        <w:rPr>
          <w:rFonts w:eastAsia="Calibri"/>
          <w:color w:val="000000" w:themeColor="text1"/>
        </w:rPr>
        <w:t>)</w:t>
      </w:r>
      <w:r w:rsidR="00D06212" w:rsidRPr="00964E7D">
        <w:rPr>
          <w:rFonts w:eastAsia="Calibri"/>
          <w:color w:val="000000" w:themeColor="text1"/>
        </w:rPr>
        <w:t xml:space="preserve">, </w:t>
      </w:r>
      <w:r w:rsidR="000A449A" w:rsidRPr="00964E7D">
        <w:rPr>
          <w:rFonts w:eastAsia="Calibri"/>
          <w:color w:val="000000" w:themeColor="text1"/>
        </w:rPr>
        <w:t xml:space="preserve">require </w:t>
      </w:r>
      <w:r w:rsidR="00D06212" w:rsidRPr="00964E7D">
        <w:rPr>
          <w:rFonts w:eastAsia="Calibri"/>
          <w:color w:val="000000" w:themeColor="text1"/>
        </w:rPr>
        <w:t>strengthen</w:t>
      </w:r>
      <w:r w:rsidR="000A449A" w:rsidRPr="00964E7D">
        <w:rPr>
          <w:rFonts w:eastAsia="Calibri"/>
          <w:color w:val="000000" w:themeColor="text1"/>
        </w:rPr>
        <w:t>ing in monitoring and enforcement to ensure EIA compliance</w:t>
      </w:r>
      <w:r w:rsidR="00F21B4B">
        <w:rPr>
          <w:rFonts w:eastAsia="Calibri"/>
          <w:color w:val="000000" w:themeColor="text1"/>
        </w:rPr>
        <w:t xml:space="preserve">. </w:t>
      </w:r>
    </w:p>
    <w:p w14:paraId="2149B75E" w14:textId="3B6BB8C5" w:rsidR="009670A5" w:rsidRPr="000771FB" w:rsidRDefault="00042E1B" w:rsidP="000A449A">
      <w:pPr>
        <w:pStyle w:val="ListParagraph"/>
        <w:numPr>
          <w:ilvl w:val="0"/>
          <w:numId w:val="33"/>
        </w:numPr>
        <w:spacing w:line="480" w:lineRule="auto"/>
        <w:jc w:val="both"/>
        <w:rPr>
          <w:color w:val="2A2A2A"/>
          <w:shd w:val="clear" w:color="auto" w:fill="FFFFFF"/>
        </w:rPr>
      </w:pPr>
      <w:r>
        <w:rPr>
          <w:rFonts w:eastAsia="Calibri"/>
          <w:color w:val="000000" w:themeColor="text1"/>
        </w:rPr>
        <w:t xml:space="preserve">Government projects should undergo EIA, </w:t>
      </w:r>
      <w:r w:rsidR="003D1FB3">
        <w:rPr>
          <w:rFonts w:eastAsia="Calibri"/>
          <w:color w:val="000000" w:themeColor="text1"/>
        </w:rPr>
        <w:t xml:space="preserve">and </w:t>
      </w:r>
      <w:r>
        <w:rPr>
          <w:rFonts w:eastAsia="Calibri"/>
          <w:color w:val="000000" w:themeColor="text1"/>
        </w:rPr>
        <w:t>t</w:t>
      </w:r>
      <w:r w:rsidR="000C172D">
        <w:rPr>
          <w:rFonts w:eastAsia="Calibri"/>
          <w:color w:val="000000" w:themeColor="text1"/>
        </w:rPr>
        <w:t xml:space="preserve">he government </w:t>
      </w:r>
      <w:r w:rsidR="00FF0C0E">
        <w:rPr>
          <w:rFonts w:eastAsia="Calibri"/>
          <w:color w:val="000000" w:themeColor="text1"/>
        </w:rPr>
        <w:t>should be exemplary in undertaking quality assessment</w:t>
      </w:r>
      <w:r w:rsidR="003D1FB3">
        <w:rPr>
          <w:rFonts w:eastAsia="Calibri"/>
          <w:color w:val="000000" w:themeColor="text1"/>
        </w:rPr>
        <w:t>s</w:t>
      </w:r>
      <w:r w:rsidR="00FF0C0E">
        <w:rPr>
          <w:rFonts w:eastAsia="Calibri"/>
          <w:color w:val="000000" w:themeColor="text1"/>
        </w:rPr>
        <w:t xml:space="preserve">. </w:t>
      </w:r>
      <w:r w:rsidR="0049738D">
        <w:rPr>
          <w:rFonts w:eastAsia="Calibri"/>
          <w:color w:val="000000" w:themeColor="text1"/>
        </w:rPr>
        <w:t xml:space="preserve"> </w:t>
      </w:r>
    </w:p>
    <w:p w14:paraId="604F6020" w14:textId="25A54434" w:rsidR="007A1D50" w:rsidRPr="00F21B4B" w:rsidRDefault="007A1D50" w:rsidP="000A449A">
      <w:pPr>
        <w:pStyle w:val="ListParagraph"/>
        <w:numPr>
          <w:ilvl w:val="0"/>
          <w:numId w:val="33"/>
        </w:numPr>
        <w:spacing w:line="480" w:lineRule="auto"/>
        <w:jc w:val="both"/>
        <w:rPr>
          <w:color w:val="2A2A2A"/>
          <w:shd w:val="clear" w:color="auto" w:fill="FFFFFF"/>
        </w:rPr>
      </w:pPr>
      <w:r>
        <w:rPr>
          <w:rFonts w:eastAsia="Calibri"/>
          <w:color w:val="000000" w:themeColor="text1"/>
        </w:rPr>
        <w:t xml:space="preserve">Government should include all tiers of </w:t>
      </w:r>
      <w:r w:rsidR="000771FB">
        <w:rPr>
          <w:rFonts w:eastAsia="Calibri"/>
          <w:color w:val="000000" w:themeColor="text1"/>
        </w:rPr>
        <w:t>governance</w:t>
      </w:r>
      <w:r>
        <w:rPr>
          <w:rFonts w:eastAsia="Calibri"/>
          <w:color w:val="000000" w:themeColor="text1"/>
        </w:rPr>
        <w:t xml:space="preserve"> into </w:t>
      </w:r>
      <w:r w:rsidR="000771FB">
        <w:rPr>
          <w:rFonts w:eastAsia="Calibri"/>
          <w:color w:val="000000" w:themeColor="text1"/>
        </w:rPr>
        <w:t xml:space="preserve">the </w:t>
      </w:r>
      <w:r>
        <w:rPr>
          <w:rFonts w:eastAsia="Calibri"/>
          <w:color w:val="000000" w:themeColor="text1"/>
        </w:rPr>
        <w:t xml:space="preserve">EIA process by making use of existing bodies </w:t>
      </w:r>
      <w:r w:rsidR="000771FB">
        <w:rPr>
          <w:rFonts w:eastAsia="Calibri"/>
          <w:color w:val="000000" w:themeColor="text1"/>
        </w:rPr>
        <w:t xml:space="preserve">and committees </w:t>
      </w:r>
      <w:r>
        <w:rPr>
          <w:rFonts w:eastAsia="Calibri"/>
          <w:color w:val="000000" w:themeColor="text1"/>
        </w:rPr>
        <w:t xml:space="preserve">in the local and regional councils and the </w:t>
      </w:r>
      <w:r w:rsidR="000771FB">
        <w:rPr>
          <w:rFonts w:eastAsia="Calibri"/>
          <w:color w:val="000000" w:themeColor="text1"/>
        </w:rPr>
        <w:t>traditional</w:t>
      </w:r>
      <w:r>
        <w:rPr>
          <w:rFonts w:eastAsia="Calibri"/>
          <w:color w:val="000000" w:themeColor="text1"/>
        </w:rPr>
        <w:t xml:space="preserve"> </w:t>
      </w:r>
      <w:r w:rsidR="000771FB">
        <w:rPr>
          <w:rFonts w:eastAsia="Calibri"/>
          <w:color w:val="000000" w:themeColor="text1"/>
        </w:rPr>
        <w:t>authorities.</w:t>
      </w:r>
    </w:p>
    <w:p w14:paraId="240C4D65" w14:textId="77777777" w:rsidR="00F21B4B" w:rsidRPr="00964E7D" w:rsidRDefault="00F21B4B" w:rsidP="00F21B4B">
      <w:pPr>
        <w:pStyle w:val="ListParagraph"/>
        <w:spacing w:line="480" w:lineRule="auto"/>
        <w:jc w:val="both"/>
        <w:rPr>
          <w:color w:val="2A2A2A"/>
          <w:shd w:val="clear" w:color="auto" w:fill="FFFFFF"/>
        </w:rPr>
      </w:pPr>
    </w:p>
    <w:p w14:paraId="0701D0AB" w14:textId="01BC2752" w:rsidR="009670A5" w:rsidRPr="00BB6E7A" w:rsidRDefault="000C172D" w:rsidP="009670A5">
      <w:pPr>
        <w:autoSpaceDE w:val="0"/>
        <w:autoSpaceDN w:val="0"/>
        <w:adjustRightInd w:val="0"/>
        <w:spacing w:line="360" w:lineRule="auto"/>
        <w:jc w:val="both"/>
      </w:pPr>
      <w:r w:rsidRPr="00BB6E7A">
        <w:rPr>
          <w:b/>
        </w:rPr>
        <w:t>Acknowledgement</w:t>
      </w:r>
      <w:r w:rsidRPr="00BB6E7A">
        <w:t xml:space="preserve">s: We thank the experts who shared their valuable experiences on EIA in Namibia. Appreciation also goes to the </w:t>
      </w:r>
      <w:r w:rsidR="003D1FB3">
        <w:t xml:space="preserve">reviewers who provided useful feedback on an earlier version of the paper. </w:t>
      </w:r>
      <w:r w:rsidRPr="00BB6E7A">
        <w:t xml:space="preserve"> </w:t>
      </w:r>
    </w:p>
    <w:p w14:paraId="6BAEF3B4" w14:textId="77777777" w:rsidR="009670A5" w:rsidRDefault="009670A5" w:rsidP="009670A5">
      <w:pPr>
        <w:autoSpaceDE w:val="0"/>
        <w:autoSpaceDN w:val="0"/>
        <w:adjustRightInd w:val="0"/>
        <w:spacing w:line="360" w:lineRule="auto"/>
        <w:jc w:val="both"/>
        <w:rPr>
          <w:b/>
        </w:rPr>
      </w:pPr>
    </w:p>
    <w:p w14:paraId="31C83A73" w14:textId="756668AA" w:rsidR="009670A5" w:rsidRPr="00BB6E7A" w:rsidRDefault="000C172D" w:rsidP="009670A5">
      <w:pPr>
        <w:autoSpaceDE w:val="0"/>
        <w:autoSpaceDN w:val="0"/>
        <w:adjustRightInd w:val="0"/>
        <w:spacing w:line="360" w:lineRule="auto"/>
        <w:jc w:val="both"/>
      </w:pPr>
      <w:r w:rsidRPr="00BB6E7A">
        <w:rPr>
          <w:b/>
        </w:rPr>
        <w:t>Funding</w:t>
      </w:r>
      <w:r w:rsidRPr="00BB6E7A">
        <w:t xml:space="preserve">: This work was supported by the Commonwealth Commission Split-Site Scholarship through funding of the </w:t>
      </w:r>
      <w:r w:rsidR="003D1FB3">
        <w:t xml:space="preserve">lead </w:t>
      </w:r>
      <w:r w:rsidRPr="00BB6E7A">
        <w:t>author's PhD studies at the University of Leeds and the University of Namibia.</w:t>
      </w:r>
    </w:p>
    <w:p w14:paraId="69772391" w14:textId="77777777" w:rsidR="007F036A" w:rsidRDefault="007F036A" w:rsidP="000A449A">
      <w:pPr>
        <w:spacing w:line="480" w:lineRule="auto"/>
        <w:jc w:val="both"/>
      </w:pPr>
    </w:p>
    <w:p w14:paraId="1A9C710E" w14:textId="77777777" w:rsidR="00BC74C3" w:rsidRDefault="00BC74C3" w:rsidP="0033543C">
      <w:pPr>
        <w:pStyle w:val="Heading2"/>
        <w:numPr>
          <w:ilvl w:val="0"/>
          <w:numId w:val="0"/>
        </w:numPr>
        <w:rPr>
          <w:rFonts w:cs="Times New Roman"/>
          <w:szCs w:val="24"/>
        </w:rPr>
      </w:pPr>
    </w:p>
    <w:p w14:paraId="7EA9F7D4" w14:textId="77777777" w:rsidR="001A1D2A" w:rsidRPr="00E174F4" w:rsidRDefault="000C172D" w:rsidP="0033543C">
      <w:pPr>
        <w:pStyle w:val="Heading2"/>
        <w:numPr>
          <w:ilvl w:val="0"/>
          <w:numId w:val="0"/>
        </w:numPr>
        <w:rPr>
          <w:rFonts w:cs="Times New Roman"/>
          <w:szCs w:val="24"/>
        </w:rPr>
      </w:pPr>
      <w:r w:rsidRPr="00E174F4">
        <w:rPr>
          <w:rFonts w:cs="Times New Roman"/>
          <w:szCs w:val="24"/>
        </w:rPr>
        <w:t xml:space="preserve">4.6 </w:t>
      </w:r>
      <w:r w:rsidR="00101B7A" w:rsidRPr="00E174F4">
        <w:rPr>
          <w:rFonts w:cs="Times New Roman"/>
          <w:szCs w:val="24"/>
        </w:rPr>
        <w:t xml:space="preserve">References </w:t>
      </w:r>
    </w:p>
    <w:p w14:paraId="0328880E" w14:textId="77777777" w:rsidR="00E078C3" w:rsidRDefault="00E078C3" w:rsidP="00E078C3">
      <w:pPr>
        <w:spacing w:line="480" w:lineRule="auto"/>
        <w:ind w:left="720" w:hanging="720"/>
        <w:jc w:val="both"/>
        <w:rPr>
          <w:color w:val="222222"/>
          <w:shd w:val="clear" w:color="auto" w:fill="FFFFFF"/>
        </w:rPr>
      </w:pPr>
      <w:r w:rsidRPr="0062396E">
        <w:rPr>
          <w:color w:val="222222"/>
          <w:shd w:val="clear" w:color="auto" w:fill="FFFFFF"/>
        </w:rPr>
        <w:t xml:space="preserve">Ahmad, B., &amp; Wood, C. (2002). A comparative evaluation of the EIA systems in Egypt, Turkey, and Tunisia. </w:t>
      </w:r>
      <w:r w:rsidRPr="0062396E">
        <w:rPr>
          <w:i/>
          <w:iCs/>
          <w:color w:val="222222"/>
          <w:shd w:val="clear" w:color="auto" w:fill="FFFFFF"/>
        </w:rPr>
        <w:t xml:space="preserve">Environmental </w:t>
      </w:r>
      <w:r>
        <w:rPr>
          <w:i/>
          <w:iCs/>
          <w:color w:val="222222"/>
          <w:shd w:val="clear" w:color="auto" w:fill="FFFFFF"/>
        </w:rPr>
        <w:t>I</w:t>
      </w:r>
      <w:r w:rsidRPr="0062396E">
        <w:rPr>
          <w:i/>
          <w:iCs/>
          <w:color w:val="222222"/>
          <w:shd w:val="clear" w:color="auto" w:fill="FFFFFF"/>
        </w:rPr>
        <w:t xml:space="preserve">mpact </w:t>
      </w:r>
      <w:r>
        <w:rPr>
          <w:i/>
          <w:iCs/>
          <w:color w:val="222222"/>
          <w:shd w:val="clear" w:color="auto" w:fill="FFFFFF"/>
        </w:rPr>
        <w:t>A</w:t>
      </w:r>
      <w:r w:rsidRPr="0062396E">
        <w:rPr>
          <w:i/>
          <w:iCs/>
          <w:color w:val="222222"/>
          <w:shd w:val="clear" w:color="auto" w:fill="FFFFFF"/>
        </w:rPr>
        <w:t xml:space="preserve">ssessment </w:t>
      </w:r>
      <w:r>
        <w:rPr>
          <w:i/>
          <w:iCs/>
          <w:color w:val="222222"/>
          <w:shd w:val="clear" w:color="auto" w:fill="FFFFFF"/>
        </w:rPr>
        <w:t>R</w:t>
      </w:r>
      <w:r w:rsidRPr="0062396E">
        <w:rPr>
          <w:i/>
          <w:iCs/>
          <w:color w:val="222222"/>
          <w:shd w:val="clear" w:color="auto" w:fill="FFFFFF"/>
        </w:rPr>
        <w:t>eview</w:t>
      </w:r>
      <w:r w:rsidRPr="0062396E">
        <w:rPr>
          <w:color w:val="222222"/>
          <w:shd w:val="clear" w:color="auto" w:fill="FFFFFF"/>
        </w:rPr>
        <w:t>,</w:t>
      </w:r>
      <w:r>
        <w:rPr>
          <w:color w:val="222222"/>
          <w:shd w:val="clear" w:color="auto" w:fill="FFFFFF"/>
        </w:rPr>
        <w:t xml:space="preserve"> </w:t>
      </w:r>
      <w:r w:rsidRPr="0062396E">
        <w:rPr>
          <w:i/>
          <w:iCs/>
          <w:color w:val="222222"/>
          <w:shd w:val="clear" w:color="auto" w:fill="FFFFFF"/>
        </w:rPr>
        <w:t>22</w:t>
      </w:r>
      <w:r w:rsidRPr="0062396E">
        <w:rPr>
          <w:color w:val="222222"/>
          <w:shd w:val="clear" w:color="auto" w:fill="FFFFFF"/>
        </w:rPr>
        <w:t>(3), 213-234.</w:t>
      </w:r>
    </w:p>
    <w:p w14:paraId="599586BC" w14:textId="77777777" w:rsidR="007111A7" w:rsidRPr="00E174F4" w:rsidRDefault="007111A7" w:rsidP="007111A7">
      <w:pPr>
        <w:rPr>
          <w:color w:val="000000" w:themeColor="text1"/>
        </w:rPr>
      </w:pPr>
    </w:p>
    <w:p w14:paraId="585ECAEA" w14:textId="77777777" w:rsidR="00421C97" w:rsidRDefault="000C172D" w:rsidP="00F37A8F">
      <w:pPr>
        <w:spacing w:line="480" w:lineRule="auto"/>
        <w:ind w:left="720" w:hanging="720"/>
        <w:jc w:val="both"/>
        <w:rPr>
          <w:rFonts w:eastAsia="Calibri"/>
        </w:rPr>
      </w:pPr>
      <w:r w:rsidRPr="00E174F4">
        <w:rPr>
          <w:rFonts w:eastAsia="Calibri"/>
        </w:rPr>
        <w:lastRenderedPageBreak/>
        <w:t xml:space="preserve">Arts, J, </w:t>
      </w:r>
      <w:proofErr w:type="spellStart"/>
      <w:r w:rsidRPr="00E174F4">
        <w:rPr>
          <w:rFonts w:eastAsia="Calibri"/>
        </w:rPr>
        <w:t>Runhaar</w:t>
      </w:r>
      <w:proofErr w:type="spellEnd"/>
      <w:r w:rsidRPr="00E174F4">
        <w:rPr>
          <w:rFonts w:eastAsia="Calibri"/>
        </w:rPr>
        <w:t xml:space="preserve">, H. A. C., Fischer, T. B., Jha-Thakur, U., Van </w:t>
      </w:r>
      <w:proofErr w:type="spellStart"/>
      <w:r w:rsidRPr="00E174F4">
        <w:rPr>
          <w:rFonts w:eastAsia="Calibri"/>
        </w:rPr>
        <w:t>Laerhoven</w:t>
      </w:r>
      <w:proofErr w:type="spellEnd"/>
      <w:r w:rsidRPr="00E174F4">
        <w:rPr>
          <w:rFonts w:eastAsia="Calibri"/>
        </w:rPr>
        <w:t>, F, Driessen, P. P. J., &amp; Onyango, V. (2012). The effectiveness of EIA as an instrument for environmental governance: reflecting on 25 years of EIA practice in the Netherlands and the</w:t>
      </w:r>
      <w:r w:rsidR="00E57289" w:rsidRPr="00E174F4">
        <w:rPr>
          <w:rFonts w:eastAsia="Calibri"/>
        </w:rPr>
        <w:t xml:space="preserve"> UK.</w:t>
      </w:r>
      <w:r w:rsidR="00F77280" w:rsidRPr="00E174F4">
        <w:t xml:space="preserve"> </w:t>
      </w:r>
      <w:r w:rsidR="00F77280" w:rsidRPr="00AD38E4">
        <w:rPr>
          <w:rFonts w:eastAsia="Calibri"/>
          <w:i/>
          <w:iCs/>
        </w:rPr>
        <w:t>Journal of Environmental Assessment Policy and Management</w:t>
      </w:r>
      <w:r w:rsidR="00F77280" w:rsidRPr="00E174F4">
        <w:rPr>
          <w:rFonts w:eastAsia="Calibri"/>
        </w:rPr>
        <w:t>. 14. (04). 10.1142/S1464333212500251.</w:t>
      </w:r>
    </w:p>
    <w:p w14:paraId="33FC168E" w14:textId="080259AA" w:rsidR="00B2699A" w:rsidRPr="00E078C3" w:rsidRDefault="00B2699A" w:rsidP="00B2699A">
      <w:pPr>
        <w:spacing w:line="480" w:lineRule="auto"/>
        <w:ind w:left="720" w:hanging="720"/>
        <w:jc w:val="both"/>
        <w:rPr>
          <w:color w:val="222222"/>
          <w:shd w:val="clear" w:color="auto" w:fill="FFFFFF"/>
        </w:rPr>
      </w:pPr>
      <w:r w:rsidRPr="00E078C3">
        <w:rPr>
          <w:rStyle w:val="markedcontent"/>
          <w:rFonts w:eastAsiaTheme="majorEastAsia"/>
        </w:rPr>
        <w:t>Asefa, S., and Huang, W (2015). The Political Economy of Good Governance. Editors Kalamazoo, MI: W.E. Upjohn Institute for Employment Research. DOI: 10.17848/9780880994989. ch7.</w:t>
      </w:r>
    </w:p>
    <w:p w14:paraId="2BE8921E" w14:textId="77777777" w:rsidR="00AE4611" w:rsidRPr="00E174F4" w:rsidRDefault="000C172D" w:rsidP="00F37A8F">
      <w:pPr>
        <w:spacing w:line="480" w:lineRule="auto"/>
        <w:ind w:left="720" w:hanging="720"/>
        <w:jc w:val="both"/>
        <w:rPr>
          <w:rFonts w:eastAsia="Calibri"/>
        </w:rPr>
      </w:pPr>
      <w:r w:rsidRPr="00E174F4">
        <w:rPr>
          <w:rFonts w:eastAsia="Calibri"/>
        </w:rPr>
        <w:t>Barker</w:t>
      </w:r>
      <w:r w:rsidR="001031BB">
        <w:rPr>
          <w:rFonts w:eastAsia="Calibri"/>
        </w:rPr>
        <w:t>,</w:t>
      </w:r>
      <w:r w:rsidRPr="00E174F4">
        <w:rPr>
          <w:rFonts w:eastAsia="Calibri"/>
        </w:rPr>
        <w:t xml:space="preserve"> A. &amp; Jones C. (2013). A critique of the performance of EIA within the offshore oil and gas sector.</w:t>
      </w:r>
      <w:r w:rsidR="00732A9D">
        <w:rPr>
          <w:rFonts w:eastAsia="Calibri"/>
        </w:rPr>
        <w:t xml:space="preserve"> </w:t>
      </w:r>
      <w:r w:rsidRPr="00E174F4">
        <w:rPr>
          <w:rFonts w:eastAsia="Calibri"/>
          <w:i/>
        </w:rPr>
        <w:t>Impact Assessment</w:t>
      </w:r>
      <w:r w:rsidR="00732A9D">
        <w:rPr>
          <w:rFonts w:eastAsia="Calibri"/>
          <w:i/>
        </w:rPr>
        <w:t xml:space="preserve"> </w:t>
      </w:r>
      <w:r w:rsidRPr="00E174F4">
        <w:rPr>
          <w:rFonts w:eastAsia="Calibri"/>
          <w:i/>
        </w:rPr>
        <w:t>Review</w:t>
      </w:r>
      <w:r w:rsidRPr="00E174F4">
        <w:rPr>
          <w:rFonts w:eastAsia="Calibri"/>
        </w:rPr>
        <w:t>.</w:t>
      </w:r>
      <w:r w:rsidR="00732A9D">
        <w:rPr>
          <w:rFonts w:eastAsia="Calibri"/>
        </w:rPr>
        <w:t xml:space="preserve"> </w:t>
      </w:r>
      <w:r w:rsidRPr="00E174F4">
        <w:rPr>
          <w:rFonts w:eastAsia="Calibri"/>
          <w:bCs/>
        </w:rPr>
        <w:t>43</w:t>
      </w:r>
      <w:r w:rsidRPr="00E174F4">
        <w:rPr>
          <w:rFonts w:eastAsia="Calibri"/>
        </w:rPr>
        <w:t>: 31–39.</w:t>
      </w:r>
    </w:p>
    <w:p w14:paraId="511A665C" w14:textId="77777777" w:rsidR="00E078C3" w:rsidRPr="00E174F4" w:rsidRDefault="00E078C3" w:rsidP="00E078C3">
      <w:pPr>
        <w:widowControl w:val="0"/>
        <w:autoSpaceDE w:val="0"/>
        <w:autoSpaceDN w:val="0"/>
        <w:adjustRightInd w:val="0"/>
        <w:spacing w:line="480" w:lineRule="auto"/>
        <w:ind w:left="480" w:hanging="480"/>
        <w:jc w:val="both"/>
        <w:rPr>
          <w:color w:val="000000" w:themeColor="text1"/>
        </w:rPr>
      </w:pPr>
      <w:r w:rsidRPr="00CE512C">
        <w:rPr>
          <w:color w:val="000000" w:themeColor="text1"/>
        </w:rPr>
        <w:t>Bice, S., &amp; Fischer, T. B.</w:t>
      </w:r>
      <w:r>
        <w:rPr>
          <w:color w:val="000000" w:themeColor="text1"/>
        </w:rPr>
        <w:t xml:space="preserve"> </w:t>
      </w:r>
      <w:r w:rsidRPr="00E174F4">
        <w:rPr>
          <w:color w:val="000000" w:themeColor="text1"/>
        </w:rPr>
        <w:t xml:space="preserve">(2020). Impact assessment for the 21st century – what future? </w:t>
      </w:r>
      <w:r w:rsidRPr="00E174F4">
        <w:rPr>
          <w:i/>
          <w:iCs/>
          <w:color w:val="000000" w:themeColor="text1"/>
        </w:rPr>
        <w:t>Impact Assessment and Project Appraisal</w:t>
      </w:r>
      <w:r w:rsidRPr="00E174F4">
        <w:rPr>
          <w:color w:val="000000" w:themeColor="text1"/>
        </w:rPr>
        <w:t>, 38 (2), 89-93</w:t>
      </w:r>
      <w:r>
        <w:rPr>
          <w:color w:val="000000" w:themeColor="text1"/>
        </w:rPr>
        <w:t xml:space="preserve"> </w:t>
      </w:r>
      <w:hyperlink r:id="rId13" w:history="1">
        <w:r w:rsidRPr="00C01C4A">
          <w:rPr>
            <w:rStyle w:val="Hyperlink"/>
          </w:rPr>
          <w:t>https://doi.org/10.1080/14615517.2020.1731202</w:t>
        </w:r>
      </w:hyperlink>
      <w:r>
        <w:t>.</w:t>
      </w:r>
    </w:p>
    <w:p w14:paraId="1CFF3473" w14:textId="77777777" w:rsidR="00B4638A" w:rsidRPr="00E174F4" w:rsidRDefault="000C172D" w:rsidP="00F37A8F">
      <w:pPr>
        <w:spacing w:line="480" w:lineRule="auto"/>
        <w:ind w:left="720" w:hanging="720"/>
        <w:jc w:val="both"/>
        <w:rPr>
          <w:color w:val="222222"/>
          <w:shd w:val="clear" w:color="auto" w:fill="FFFFFF"/>
        </w:rPr>
      </w:pPr>
      <w:proofErr w:type="spellStart"/>
      <w:r w:rsidRPr="00E174F4">
        <w:rPr>
          <w:color w:val="222222"/>
          <w:shd w:val="clear" w:color="auto" w:fill="FFFFFF"/>
        </w:rPr>
        <w:t>Boiral</w:t>
      </w:r>
      <w:proofErr w:type="spellEnd"/>
      <w:r w:rsidRPr="00E174F4">
        <w:rPr>
          <w:color w:val="222222"/>
          <w:shd w:val="clear" w:color="auto" w:fill="FFFFFF"/>
        </w:rPr>
        <w:t>, O., Heras-</w:t>
      </w:r>
      <w:proofErr w:type="spellStart"/>
      <w:r w:rsidRPr="00E174F4">
        <w:rPr>
          <w:color w:val="222222"/>
          <w:shd w:val="clear" w:color="auto" w:fill="FFFFFF"/>
        </w:rPr>
        <w:t>Saizarbitoria</w:t>
      </w:r>
      <w:proofErr w:type="spellEnd"/>
      <w:r w:rsidRPr="00E174F4">
        <w:rPr>
          <w:color w:val="222222"/>
          <w:shd w:val="clear" w:color="auto" w:fill="FFFFFF"/>
        </w:rPr>
        <w:t xml:space="preserve">, I., &amp; Brotherton, M. C. (2020). Improving environmental management through indigenous people's involvement. </w:t>
      </w:r>
      <w:r w:rsidRPr="00E174F4">
        <w:rPr>
          <w:i/>
          <w:iCs/>
          <w:color w:val="222222"/>
          <w:shd w:val="clear" w:color="auto" w:fill="FFFFFF"/>
        </w:rPr>
        <w:t>Environmental Science &amp; Policy, 103</w:t>
      </w:r>
      <w:r w:rsidRPr="00E174F4">
        <w:rPr>
          <w:color w:val="222222"/>
          <w:shd w:val="clear" w:color="auto" w:fill="FFFFFF"/>
        </w:rPr>
        <w:t>, 10-20.</w:t>
      </w:r>
    </w:p>
    <w:p w14:paraId="39101A91" w14:textId="77777777" w:rsidR="00E078C3" w:rsidRDefault="00E078C3" w:rsidP="00E078C3">
      <w:pPr>
        <w:widowControl w:val="0"/>
        <w:autoSpaceDE w:val="0"/>
        <w:autoSpaceDN w:val="0"/>
        <w:adjustRightInd w:val="0"/>
        <w:spacing w:line="480" w:lineRule="auto"/>
        <w:ind w:left="480" w:hanging="480"/>
        <w:jc w:val="both"/>
        <w:rPr>
          <w:rStyle w:val="markedcontent"/>
          <w:rFonts w:eastAsiaTheme="majorEastAsia"/>
        </w:rPr>
      </w:pPr>
      <w:r w:rsidRPr="00CE512C">
        <w:rPr>
          <w:rStyle w:val="markedcontent"/>
          <w:rFonts w:eastAsiaTheme="majorEastAsia"/>
          <w:lang w:val="nl-NL"/>
        </w:rPr>
        <w:t xml:space="preserve">Bond, A., Retief, F., Cave, B., Fundingsland, M., Duinker, P. N., Verheem, R., &amp; Brown, A. L. (2018). </w:t>
      </w:r>
      <w:r w:rsidRPr="00E174F4">
        <w:rPr>
          <w:rStyle w:val="markedcontent"/>
          <w:rFonts w:eastAsiaTheme="majorEastAsia"/>
        </w:rPr>
        <w:t>A contribution to the conceptualization of quality in impact assessment</w:t>
      </w:r>
      <w:r>
        <w:rPr>
          <w:rStyle w:val="markedcontent"/>
          <w:rFonts w:eastAsiaTheme="majorEastAsia"/>
        </w:rPr>
        <w:t>.</w:t>
      </w:r>
      <w:r w:rsidRPr="00E174F4">
        <w:rPr>
          <w:rStyle w:val="markedcontent"/>
          <w:rFonts w:eastAsiaTheme="majorEastAsia"/>
        </w:rPr>
        <w:t xml:space="preserve"> </w:t>
      </w:r>
      <w:r w:rsidRPr="00732A9D">
        <w:rPr>
          <w:rStyle w:val="markedcontent"/>
          <w:rFonts w:eastAsiaTheme="majorEastAsia"/>
          <w:i/>
          <w:iCs/>
        </w:rPr>
        <w:t>Environmental Impact Assessment Review</w:t>
      </w:r>
      <w:r w:rsidRPr="00E174F4">
        <w:rPr>
          <w:rStyle w:val="markedcontent"/>
          <w:rFonts w:eastAsiaTheme="majorEastAsia"/>
        </w:rPr>
        <w:t xml:space="preserve"> 68</w:t>
      </w:r>
      <w:r>
        <w:rPr>
          <w:rStyle w:val="markedcontent"/>
          <w:rFonts w:eastAsiaTheme="majorEastAsia"/>
        </w:rPr>
        <w:t xml:space="preserve"> </w:t>
      </w:r>
      <w:r w:rsidRPr="00E174F4">
        <w:rPr>
          <w:rStyle w:val="markedcontent"/>
          <w:rFonts w:eastAsiaTheme="majorEastAsia"/>
        </w:rPr>
        <w:t xml:space="preserve">(1), 49–58. </w:t>
      </w:r>
      <w:hyperlink r:id="rId14" w:history="1">
        <w:r w:rsidRPr="00E174F4">
          <w:rPr>
            <w:rStyle w:val="Hyperlink"/>
            <w:rFonts w:eastAsiaTheme="majorEastAsia"/>
          </w:rPr>
          <w:t>https://doi.org/10.1016/j</w:t>
        </w:r>
      </w:hyperlink>
      <w:r w:rsidRPr="00E174F4">
        <w:rPr>
          <w:rStyle w:val="markedcontent"/>
          <w:rFonts w:eastAsiaTheme="majorEastAsia"/>
        </w:rPr>
        <w:t xml:space="preserve">. </w:t>
      </w:r>
    </w:p>
    <w:p w14:paraId="62423E9E" w14:textId="3311F005" w:rsidR="00AD38E4" w:rsidRPr="009B00B8" w:rsidRDefault="000C172D" w:rsidP="00F37A8F">
      <w:pPr>
        <w:widowControl w:val="0"/>
        <w:autoSpaceDE w:val="0"/>
        <w:autoSpaceDN w:val="0"/>
        <w:adjustRightInd w:val="0"/>
        <w:spacing w:line="480" w:lineRule="auto"/>
        <w:ind w:left="480" w:hanging="480"/>
        <w:jc w:val="both"/>
        <w:rPr>
          <w:rStyle w:val="markedcontent"/>
          <w:rFonts w:eastAsiaTheme="majorEastAsia"/>
        </w:rPr>
      </w:pPr>
      <w:r w:rsidRPr="009B00B8">
        <w:rPr>
          <w:color w:val="222222"/>
          <w:shd w:val="clear" w:color="auto" w:fill="FFFFFF"/>
        </w:rPr>
        <w:t>Bond, A., Pope, J., Morrison-Saunders, A., &amp; Retief, F. (2016). A game theory perspective on environmental assessment: What games are played and what does this tell us about decision-making rationality and legitimacy?</w:t>
      </w:r>
      <w:r>
        <w:rPr>
          <w:color w:val="222222"/>
          <w:shd w:val="clear" w:color="auto" w:fill="FFFFFF"/>
        </w:rPr>
        <w:t xml:space="preserve"> </w:t>
      </w:r>
      <w:r w:rsidRPr="009B00B8">
        <w:rPr>
          <w:i/>
          <w:iCs/>
          <w:color w:val="222222"/>
          <w:shd w:val="clear" w:color="auto" w:fill="FFFFFF"/>
        </w:rPr>
        <w:t>Environmental Impact Assessment Review</w:t>
      </w:r>
      <w:r w:rsidRPr="009B00B8">
        <w:rPr>
          <w:color w:val="222222"/>
          <w:shd w:val="clear" w:color="auto" w:fill="FFFFFF"/>
        </w:rPr>
        <w:t>,</w:t>
      </w:r>
      <w:r w:rsidR="00F37A8F">
        <w:rPr>
          <w:color w:val="222222"/>
          <w:shd w:val="clear" w:color="auto" w:fill="FFFFFF"/>
        </w:rPr>
        <w:t xml:space="preserve"> </w:t>
      </w:r>
      <w:r w:rsidRPr="009B00B8">
        <w:rPr>
          <w:i/>
          <w:iCs/>
          <w:color w:val="222222"/>
          <w:shd w:val="clear" w:color="auto" w:fill="FFFFFF"/>
        </w:rPr>
        <w:t>57</w:t>
      </w:r>
      <w:r w:rsidRPr="009B00B8">
        <w:rPr>
          <w:color w:val="222222"/>
          <w:shd w:val="clear" w:color="auto" w:fill="FFFFFF"/>
        </w:rPr>
        <w:t>, 187-194.</w:t>
      </w:r>
    </w:p>
    <w:p w14:paraId="226919E7" w14:textId="77777777" w:rsidR="00AE4611" w:rsidRPr="00E174F4" w:rsidRDefault="000C172D" w:rsidP="00F37A8F">
      <w:pPr>
        <w:spacing w:line="480" w:lineRule="auto"/>
        <w:ind w:left="720" w:hanging="720"/>
        <w:jc w:val="both"/>
        <w:rPr>
          <w:color w:val="222222"/>
          <w:shd w:val="clear" w:color="auto" w:fill="FFFFFF"/>
        </w:rPr>
      </w:pPr>
      <w:r w:rsidRPr="00E174F4">
        <w:rPr>
          <w:color w:val="222222"/>
          <w:shd w:val="clear" w:color="auto" w:fill="FFFFFF"/>
        </w:rPr>
        <w:lastRenderedPageBreak/>
        <w:t xml:space="preserve">Bond, A., Pope, J., Fundingsland, M., Morrison-Saunders, A., Retief, F., &amp; </w:t>
      </w:r>
      <w:proofErr w:type="spellStart"/>
      <w:r w:rsidRPr="00E174F4">
        <w:rPr>
          <w:color w:val="222222"/>
          <w:shd w:val="clear" w:color="auto" w:fill="FFFFFF"/>
        </w:rPr>
        <w:t>Hauptfleisch</w:t>
      </w:r>
      <w:proofErr w:type="spellEnd"/>
      <w:r w:rsidRPr="00E174F4">
        <w:rPr>
          <w:color w:val="222222"/>
          <w:shd w:val="clear" w:color="auto" w:fill="FFFFFF"/>
        </w:rPr>
        <w:t>, M. (2020). Explaining the political nature of environmental impact assessment (EIA): A neo-Gramscian perspective.</w:t>
      </w:r>
      <w:r w:rsidR="00732A9D">
        <w:rPr>
          <w:color w:val="222222"/>
          <w:shd w:val="clear" w:color="auto" w:fill="FFFFFF"/>
        </w:rPr>
        <w:t xml:space="preserve"> </w:t>
      </w:r>
      <w:r w:rsidRPr="00E174F4">
        <w:rPr>
          <w:i/>
          <w:iCs/>
          <w:color w:val="222222"/>
          <w:shd w:val="clear" w:color="auto" w:fill="FFFFFF"/>
        </w:rPr>
        <w:t>Journal of cleaner production</w:t>
      </w:r>
      <w:r w:rsidRPr="00E174F4">
        <w:rPr>
          <w:color w:val="222222"/>
          <w:shd w:val="clear" w:color="auto" w:fill="FFFFFF"/>
        </w:rPr>
        <w:t>,</w:t>
      </w:r>
      <w:r w:rsidR="00732A9D">
        <w:rPr>
          <w:color w:val="222222"/>
          <w:shd w:val="clear" w:color="auto" w:fill="FFFFFF"/>
        </w:rPr>
        <w:t xml:space="preserve"> </w:t>
      </w:r>
      <w:r w:rsidRPr="00E174F4">
        <w:rPr>
          <w:i/>
          <w:iCs/>
          <w:color w:val="222222"/>
          <w:shd w:val="clear" w:color="auto" w:fill="FFFFFF"/>
        </w:rPr>
        <w:t>244</w:t>
      </w:r>
      <w:r w:rsidRPr="00E174F4">
        <w:rPr>
          <w:color w:val="222222"/>
          <w:shd w:val="clear" w:color="auto" w:fill="FFFFFF"/>
        </w:rPr>
        <w:t>, 118694.</w:t>
      </w:r>
    </w:p>
    <w:p w14:paraId="351378FA" w14:textId="76124432" w:rsidR="00A11C76" w:rsidRPr="001031BB" w:rsidRDefault="000C172D" w:rsidP="00F37A8F">
      <w:pPr>
        <w:spacing w:line="360" w:lineRule="auto"/>
        <w:ind w:left="720" w:hanging="720"/>
        <w:jc w:val="both"/>
        <w:rPr>
          <w:rFonts w:eastAsia="Calibri"/>
        </w:rPr>
      </w:pPr>
      <w:proofErr w:type="spellStart"/>
      <w:r w:rsidRPr="00E174F4">
        <w:rPr>
          <w:rFonts w:eastAsia="Calibri"/>
        </w:rPr>
        <w:t>Chanchitpricha</w:t>
      </w:r>
      <w:proofErr w:type="spellEnd"/>
      <w:r w:rsidRPr="00E174F4">
        <w:rPr>
          <w:rFonts w:eastAsia="Calibri"/>
        </w:rPr>
        <w:t>, C</w:t>
      </w:r>
      <w:r w:rsidR="00E078C3">
        <w:rPr>
          <w:rFonts w:eastAsia="Calibri"/>
        </w:rPr>
        <w:t>.,</w:t>
      </w:r>
      <w:r w:rsidRPr="00E174F4">
        <w:rPr>
          <w:rFonts w:eastAsia="Calibri"/>
        </w:rPr>
        <w:t xml:space="preserve"> &amp; Bond, A., (2013). Conceptualizing the effectiveness of impact assessment processes. </w:t>
      </w:r>
      <w:r w:rsidRPr="00E174F4">
        <w:rPr>
          <w:rFonts w:eastAsia="Calibri"/>
          <w:i/>
        </w:rPr>
        <w:t>Environmental Impact Assessment Review</w:t>
      </w:r>
      <w:r w:rsidRPr="00E174F4">
        <w:rPr>
          <w:rFonts w:eastAsia="Calibri"/>
        </w:rPr>
        <w:t xml:space="preserve"> 43, 65–72. </w:t>
      </w:r>
      <w:hyperlink r:id="rId15" w:history="1">
        <w:r w:rsidRPr="00E174F4">
          <w:rPr>
            <w:rFonts w:eastAsia="Calibri"/>
            <w:color w:val="0563C1"/>
            <w:u w:val="single"/>
          </w:rPr>
          <w:t>https://doi.org/10.1016/j.eiar.2013.05.006</w:t>
        </w:r>
      </w:hyperlink>
      <w:r w:rsidRPr="00E174F4">
        <w:rPr>
          <w:rFonts w:eastAsia="Calibri"/>
        </w:rPr>
        <w:t>.</w:t>
      </w:r>
    </w:p>
    <w:p w14:paraId="4714E24A" w14:textId="77777777" w:rsidR="00D44FBD" w:rsidRDefault="00000000" w:rsidP="00D44FBD">
      <w:pPr>
        <w:spacing w:line="480" w:lineRule="auto"/>
        <w:ind w:left="720" w:hanging="720"/>
        <w:jc w:val="both"/>
        <w:rPr>
          <w:rStyle w:val="issue-heading"/>
          <w:rFonts w:eastAsiaTheme="majorEastAsia"/>
        </w:rPr>
      </w:pPr>
      <w:hyperlink r:id="rId16" w:history="1">
        <w:r w:rsidR="00AA0C88" w:rsidRPr="00E174F4">
          <w:rPr>
            <w:rStyle w:val="Hyperlink"/>
            <w:rFonts w:eastAsiaTheme="majorEastAsia"/>
            <w:color w:val="auto"/>
            <w:u w:val="none"/>
          </w:rPr>
          <w:t>Chi</w:t>
        </w:r>
      </w:hyperlink>
      <w:r w:rsidR="00AA0C88" w:rsidRPr="00E174F4">
        <w:t>, C.S.F,</w:t>
      </w:r>
      <w:hyperlink r:id="rId17" w:history="1">
        <w:r w:rsidR="00AA0C88" w:rsidRPr="00E174F4">
          <w:rPr>
            <w:rStyle w:val="Hyperlink"/>
            <w:rFonts w:eastAsiaTheme="majorEastAsia"/>
            <w:color w:val="auto"/>
            <w:u w:val="none"/>
          </w:rPr>
          <w:t xml:space="preserve"> Ruuska</w:t>
        </w:r>
      </w:hyperlink>
      <w:r w:rsidR="00AA0C88" w:rsidRPr="00E174F4">
        <w:t xml:space="preserve">, I. </w:t>
      </w:r>
      <w:r w:rsidR="00AA0C88" w:rsidRPr="00E174F4">
        <w:rPr>
          <w:rStyle w:val="contribdegrees"/>
          <w:rFonts w:eastAsiaTheme="majorEastAsia"/>
        </w:rPr>
        <w:t xml:space="preserve">&amp; </w:t>
      </w:r>
      <w:hyperlink r:id="rId18" w:history="1">
        <w:r w:rsidR="00AA0C88" w:rsidRPr="00E174F4">
          <w:rPr>
            <w:rStyle w:val="Hyperlink"/>
            <w:rFonts w:eastAsiaTheme="majorEastAsia"/>
            <w:color w:val="auto"/>
            <w:u w:val="none"/>
          </w:rPr>
          <w:t>Jianhua Xu</w:t>
        </w:r>
      </w:hyperlink>
      <w:r w:rsidR="00AA0C88" w:rsidRPr="00E174F4">
        <w:t xml:space="preserve">, J. (2016). </w:t>
      </w:r>
      <w:r w:rsidR="00AA0C88" w:rsidRPr="00E174F4">
        <w:rPr>
          <w:rStyle w:val="nlmarticle-title"/>
          <w:rFonts w:eastAsiaTheme="majorEastAsia"/>
        </w:rPr>
        <w:t xml:space="preserve">Environmental impact assessment of infrastructure projects: a governance perspective. </w:t>
      </w:r>
      <w:hyperlink r:id="rId19" w:history="1">
        <w:r w:rsidR="00AA0C88" w:rsidRPr="00E174F4">
          <w:rPr>
            <w:rStyle w:val="Hyperlink"/>
            <w:rFonts w:eastAsiaTheme="majorEastAsia"/>
            <w:color w:val="auto"/>
            <w:u w:val="none"/>
          </w:rPr>
          <w:t>Journal of Environmental Planning and Management</w:t>
        </w:r>
      </w:hyperlink>
      <w:r w:rsidR="00AA0C88" w:rsidRPr="00E174F4">
        <w:rPr>
          <w:rStyle w:val="issue-heading"/>
          <w:rFonts w:eastAsiaTheme="majorEastAsia"/>
        </w:rPr>
        <w:t>,</w:t>
      </w:r>
      <w:r w:rsidR="00732A9D">
        <w:rPr>
          <w:rStyle w:val="issue-heading"/>
          <w:rFonts w:eastAsiaTheme="majorEastAsia"/>
        </w:rPr>
        <w:t xml:space="preserve"> </w:t>
      </w:r>
      <w:r w:rsidR="00AA0C88" w:rsidRPr="00E174F4">
        <w:rPr>
          <w:rStyle w:val="issue-heading"/>
          <w:rFonts w:eastAsiaTheme="majorEastAsia"/>
        </w:rPr>
        <w:t xml:space="preserve">59, 2016 – </w:t>
      </w:r>
      <w:hyperlink r:id="rId20" w:history="1">
        <w:r w:rsidR="00AA0C88" w:rsidRPr="00E174F4">
          <w:rPr>
            <w:rStyle w:val="Hyperlink"/>
            <w:rFonts w:eastAsiaTheme="majorEastAsia"/>
            <w:color w:val="auto"/>
            <w:u w:val="none"/>
          </w:rPr>
          <w:t>(3).</w:t>
        </w:r>
      </w:hyperlink>
      <w:r w:rsidR="00AA0C88" w:rsidRPr="00E174F4">
        <w:rPr>
          <w:rStyle w:val="issue-heading"/>
          <w:rFonts w:eastAsiaTheme="majorEastAsia"/>
        </w:rPr>
        <w:t xml:space="preserve"> </w:t>
      </w:r>
    </w:p>
    <w:p w14:paraId="5AB9D5DC" w14:textId="77777777" w:rsidR="00076CFA" w:rsidRPr="00F37A8F" w:rsidRDefault="000C172D" w:rsidP="00F37A8F">
      <w:pPr>
        <w:spacing w:line="360" w:lineRule="auto"/>
        <w:ind w:left="720" w:hanging="720"/>
        <w:jc w:val="both"/>
        <w:rPr>
          <w:rFonts w:eastAsia="Calibri"/>
        </w:rPr>
      </w:pPr>
      <w:r w:rsidRPr="00E174F4">
        <w:rPr>
          <w:rFonts w:eastAsia="Calibri"/>
        </w:rPr>
        <w:t xml:space="preserve">Elvan, O. D. (2018). Analysis of environmental impact assessment practices and legislation in Turkey. </w:t>
      </w:r>
      <w:r w:rsidRPr="00E174F4">
        <w:rPr>
          <w:rFonts w:eastAsia="Calibri"/>
          <w:i/>
        </w:rPr>
        <w:t>Environmental Science and Policy</w:t>
      </w:r>
      <w:r w:rsidRPr="00E174F4">
        <w:rPr>
          <w:rFonts w:eastAsia="Calibri"/>
        </w:rPr>
        <w:t xml:space="preserve">, 84, 1-6. </w:t>
      </w:r>
    </w:p>
    <w:p w14:paraId="264E2DAB" w14:textId="44D9FD0E" w:rsidR="00D32908" w:rsidRDefault="000C172D" w:rsidP="00D32908">
      <w:pPr>
        <w:spacing w:line="480" w:lineRule="auto"/>
        <w:ind w:left="720" w:hanging="720"/>
        <w:jc w:val="both"/>
      </w:pPr>
      <w:r w:rsidRPr="00E174F4">
        <w:rPr>
          <w:color w:val="000000" w:themeColor="text1"/>
        </w:rPr>
        <w:t>Environmental Protection Agency</w:t>
      </w:r>
      <w:r w:rsidRPr="00E174F4">
        <w:t xml:space="preserve"> </w:t>
      </w:r>
      <w:r w:rsidR="00860E1F">
        <w:t>[</w:t>
      </w:r>
      <w:r w:rsidR="00DD6D99" w:rsidRPr="00E174F4">
        <w:t>EPA</w:t>
      </w:r>
      <w:r w:rsidR="00860E1F">
        <w:t>]</w:t>
      </w:r>
      <w:r w:rsidR="00DD6D99" w:rsidRPr="00E174F4">
        <w:t xml:space="preserve">. </w:t>
      </w:r>
      <w:r w:rsidRPr="00E174F4">
        <w:t xml:space="preserve">(2015). </w:t>
      </w:r>
      <w:r w:rsidR="00DD6D99" w:rsidRPr="00E174F4">
        <w:t>Title VI and Environmental Justice</w:t>
      </w:r>
      <w:r w:rsidRPr="00E174F4">
        <w:t xml:space="preserve">. </w:t>
      </w:r>
      <w:hyperlink r:id="rId21" w:history="1">
        <w:r w:rsidR="00CF215F" w:rsidRPr="00AA0FEC">
          <w:rPr>
            <w:rStyle w:val="Hyperlink"/>
          </w:rPr>
          <w:t>https://www.epa.gov/environmentaljustice/title-vi-and-environmental-justice. Accessed 10 June 2022</w:t>
        </w:r>
      </w:hyperlink>
      <w:r w:rsidR="00DD6D99" w:rsidRPr="00E174F4">
        <w:t>.</w:t>
      </w:r>
    </w:p>
    <w:p w14:paraId="087D3E6B" w14:textId="77777777" w:rsidR="00CF215F" w:rsidRPr="00CF215F" w:rsidRDefault="000C172D" w:rsidP="00F37A8F">
      <w:pPr>
        <w:spacing w:line="480" w:lineRule="auto"/>
        <w:ind w:left="720" w:hanging="720"/>
        <w:jc w:val="both"/>
        <w:rPr>
          <w:rFonts w:eastAsia="Calibri"/>
        </w:rPr>
      </w:pPr>
      <w:proofErr w:type="spellStart"/>
      <w:r w:rsidRPr="00CF215F">
        <w:rPr>
          <w:color w:val="222222"/>
          <w:shd w:val="clear" w:color="auto" w:fill="FFFFFF"/>
        </w:rPr>
        <w:t>Hartzenberg</w:t>
      </w:r>
      <w:proofErr w:type="spellEnd"/>
      <w:r w:rsidRPr="00CF215F">
        <w:rPr>
          <w:color w:val="222222"/>
          <w:shd w:val="clear" w:color="auto" w:fill="FFFFFF"/>
        </w:rPr>
        <w:t>, T., &amp; Kalenga, P. (2015).</w:t>
      </w:r>
      <w:r w:rsidR="00732A9D">
        <w:rPr>
          <w:color w:val="222222"/>
          <w:shd w:val="clear" w:color="auto" w:fill="FFFFFF"/>
        </w:rPr>
        <w:t xml:space="preserve"> </w:t>
      </w:r>
      <w:r w:rsidRPr="00CF215F">
        <w:rPr>
          <w:i/>
          <w:iCs/>
          <w:color w:val="222222"/>
          <w:shd w:val="clear" w:color="auto" w:fill="FFFFFF"/>
        </w:rPr>
        <w:t>National policies and regional integration in the South African Development Community</w:t>
      </w:r>
      <w:r w:rsidR="00732A9D">
        <w:rPr>
          <w:color w:val="222222"/>
          <w:shd w:val="clear" w:color="auto" w:fill="FFFFFF"/>
        </w:rPr>
        <w:t xml:space="preserve"> </w:t>
      </w:r>
      <w:r w:rsidRPr="00CF215F">
        <w:rPr>
          <w:color w:val="222222"/>
          <w:shd w:val="clear" w:color="auto" w:fill="FFFFFF"/>
        </w:rPr>
        <w:t>(No. 2015/056). WIDER Working Paper.</w:t>
      </w:r>
    </w:p>
    <w:p w14:paraId="47D0439F" w14:textId="33977928" w:rsidR="00C318DF" w:rsidRPr="00E174F4" w:rsidRDefault="000C172D" w:rsidP="00F37A8F">
      <w:pPr>
        <w:spacing w:line="480" w:lineRule="auto"/>
        <w:ind w:left="720" w:hanging="720"/>
        <w:jc w:val="both"/>
        <w:rPr>
          <w:color w:val="222222"/>
          <w:shd w:val="clear" w:color="auto" w:fill="FFFFFF"/>
        </w:rPr>
      </w:pPr>
      <w:bookmarkStart w:id="28" w:name="_Hlk106805029"/>
      <w:proofErr w:type="spellStart"/>
      <w:r w:rsidRPr="00E174F4">
        <w:rPr>
          <w:color w:val="222222"/>
          <w:shd w:val="clear" w:color="auto" w:fill="FFFFFF"/>
        </w:rPr>
        <w:t>Husselmann</w:t>
      </w:r>
      <w:proofErr w:type="spellEnd"/>
      <w:r w:rsidRPr="00E174F4">
        <w:rPr>
          <w:color w:val="222222"/>
          <w:shd w:val="clear" w:color="auto" w:fill="FFFFFF"/>
        </w:rPr>
        <w:t>, S. E. (2016).</w:t>
      </w:r>
      <w:r w:rsidR="00076CFA">
        <w:rPr>
          <w:color w:val="222222"/>
          <w:shd w:val="clear" w:color="auto" w:fill="FFFFFF"/>
        </w:rPr>
        <w:t xml:space="preserve"> </w:t>
      </w:r>
      <w:r w:rsidRPr="00E174F4">
        <w:rPr>
          <w:i/>
          <w:iCs/>
          <w:color w:val="222222"/>
          <w:shd w:val="clear" w:color="auto" w:fill="FFFFFF"/>
        </w:rPr>
        <w:t>Environmental impact assessment in Namibia: the effectiveness of the system and its implementation in practice</w:t>
      </w:r>
      <w:r w:rsidR="00076CFA">
        <w:rPr>
          <w:color w:val="222222"/>
          <w:shd w:val="clear" w:color="auto" w:fill="FFFFFF"/>
        </w:rPr>
        <w:t xml:space="preserve"> (</w:t>
      </w:r>
      <w:r w:rsidR="00860E1F" w:rsidRPr="00E174F4">
        <w:rPr>
          <w:color w:val="222222"/>
          <w:shd w:val="clear" w:color="auto" w:fill="FFFFFF"/>
        </w:rPr>
        <w:t>master’s</w:t>
      </w:r>
      <w:r w:rsidRPr="00E174F4">
        <w:rPr>
          <w:color w:val="222222"/>
          <w:shd w:val="clear" w:color="auto" w:fill="FFFFFF"/>
        </w:rPr>
        <w:t xml:space="preserve"> thesis, University of Cape Town).</w:t>
      </w:r>
    </w:p>
    <w:p w14:paraId="096861E6" w14:textId="23840C76" w:rsidR="00511DDE" w:rsidRPr="00E174F4" w:rsidRDefault="000C172D" w:rsidP="00F37A8F">
      <w:pPr>
        <w:widowControl w:val="0"/>
        <w:autoSpaceDE w:val="0"/>
        <w:autoSpaceDN w:val="0"/>
        <w:adjustRightInd w:val="0"/>
        <w:spacing w:line="480" w:lineRule="auto"/>
        <w:ind w:left="480" w:hanging="480"/>
        <w:jc w:val="both"/>
        <w:rPr>
          <w:color w:val="222222"/>
          <w:shd w:val="clear" w:color="auto" w:fill="FFFFFF"/>
        </w:rPr>
      </w:pPr>
      <w:r w:rsidRPr="00E174F4">
        <w:rPr>
          <w:color w:val="222222"/>
          <w:shd w:val="clear" w:color="auto" w:fill="FFFFFF"/>
        </w:rPr>
        <w:t xml:space="preserve">Jordan, A., &amp; Lenschow, A. (2010). Environmental policy integration: a state-of-the-art review. </w:t>
      </w:r>
      <w:r w:rsidRPr="00E174F4">
        <w:rPr>
          <w:i/>
          <w:iCs/>
          <w:color w:val="222222"/>
          <w:shd w:val="clear" w:color="auto" w:fill="FFFFFF"/>
        </w:rPr>
        <w:t>Environmental policy and governance, 20</w:t>
      </w:r>
      <w:r w:rsidR="00F37A8F">
        <w:rPr>
          <w:i/>
          <w:iCs/>
          <w:color w:val="222222"/>
          <w:shd w:val="clear" w:color="auto" w:fill="FFFFFF"/>
        </w:rPr>
        <w:t xml:space="preserve"> </w:t>
      </w:r>
      <w:r w:rsidRPr="00E174F4">
        <w:rPr>
          <w:color w:val="222222"/>
          <w:shd w:val="clear" w:color="auto" w:fill="FFFFFF"/>
        </w:rPr>
        <w:t>(3), 147-158.</w:t>
      </w:r>
    </w:p>
    <w:p w14:paraId="048062CA" w14:textId="77777777" w:rsidR="00BC74C3" w:rsidRDefault="000C172D" w:rsidP="00BC74C3">
      <w:pPr>
        <w:widowControl w:val="0"/>
        <w:autoSpaceDE w:val="0"/>
        <w:autoSpaceDN w:val="0"/>
        <w:adjustRightInd w:val="0"/>
        <w:spacing w:line="480" w:lineRule="auto"/>
        <w:ind w:left="480" w:hanging="480"/>
        <w:jc w:val="both"/>
        <w:rPr>
          <w:color w:val="222222"/>
          <w:shd w:val="clear" w:color="auto" w:fill="FFFFFF"/>
        </w:rPr>
      </w:pPr>
      <w:r w:rsidRPr="00CF215F">
        <w:rPr>
          <w:color w:val="222222"/>
          <w:shd w:val="clear" w:color="auto" w:fill="FFFFFF"/>
        </w:rPr>
        <w:t xml:space="preserve">Jalava, K., </w:t>
      </w:r>
      <w:proofErr w:type="spellStart"/>
      <w:r w:rsidRPr="00CF215F">
        <w:rPr>
          <w:color w:val="222222"/>
          <w:shd w:val="clear" w:color="auto" w:fill="FFFFFF"/>
        </w:rPr>
        <w:t>Pölönen</w:t>
      </w:r>
      <w:proofErr w:type="spellEnd"/>
      <w:r w:rsidRPr="00CF215F">
        <w:rPr>
          <w:color w:val="222222"/>
          <w:shd w:val="clear" w:color="auto" w:fill="FFFFFF"/>
        </w:rPr>
        <w:t>, I., Hokkanen, P., &amp; Kuitunen, M. (2013). The precautionary principle and management of uncertainties in EIAs–analysis of waste incineration cases in Finland.</w:t>
      </w:r>
      <w:r w:rsidR="00F37A8F">
        <w:rPr>
          <w:color w:val="222222"/>
          <w:shd w:val="clear" w:color="auto" w:fill="FFFFFF"/>
        </w:rPr>
        <w:t xml:space="preserve"> </w:t>
      </w:r>
      <w:r w:rsidRPr="00CF215F">
        <w:rPr>
          <w:i/>
          <w:iCs/>
          <w:color w:val="222222"/>
          <w:shd w:val="clear" w:color="auto" w:fill="FFFFFF"/>
        </w:rPr>
        <w:t>Impact Assessment and Project Appraisal</w:t>
      </w:r>
      <w:r w:rsidRPr="00CF215F">
        <w:rPr>
          <w:color w:val="222222"/>
          <w:shd w:val="clear" w:color="auto" w:fill="FFFFFF"/>
        </w:rPr>
        <w:t>,</w:t>
      </w:r>
      <w:r w:rsidR="00F37A8F">
        <w:rPr>
          <w:color w:val="222222"/>
          <w:shd w:val="clear" w:color="auto" w:fill="FFFFFF"/>
        </w:rPr>
        <w:t xml:space="preserve"> </w:t>
      </w:r>
      <w:r w:rsidRPr="00CF215F">
        <w:rPr>
          <w:i/>
          <w:iCs/>
          <w:color w:val="222222"/>
          <w:shd w:val="clear" w:color="auto" w:fill="FFFFFF"/>
        </w:rPr>
        <w:t>31</w:t>
      </w:r>
      <w:r w:rsidR="00F37A8F">
        <w:rPr>
          <w:i/>
          <w:iCs/>
          <w:color w:val="222222"/>
          <w:shd w:val="clear" w:color="auto" w:fill="FFFFFF"/>
        </w:rPr>
        <w:t xml:space="preserve"> </w:t>
      </w:r>
      <w:r w:rsidRPr="00CF215F">
        <w:rPr>
          <w:color w:val="222222"/>
          <w:shd w:val="clear" w:color="auto" w:fill="FFFFFF"/>
        </w:rPr>
        <w:t>(4), 280-290.</w:t>
      </w:r>
    </w:p>
    <w:p w14:paraId="4C5A95A1" w14:textId="12FE76F3" w:rsidR="00BC74C3" w:rsidRPr="00BC74C3" w:rsidRDefault="000C172D" w:rsidP="00BC74C3">
      <w:pPr>
        <w:widowControl w:val="0"/>
        <w:autoSpaceDE w:val="0"/>
        <w:autoSpaceDN w:val="0"/>
        <w:adjustRightInd w:val="0"/>
        <w:spacing w:line="480" w:lineRule="auto"/>
        <w:ind w:left="480" w:hanging="480"/>
        <w:jc w:val="both"/>
        <w:rPr>
          <w:color w:val="222222"/>
          <w:shd w:val="clear" w:color="auto" w:fill="FFFFFF"/>
        </w:rPr>
      </w:pPr>
      <w:r>
        <w:t xml:space="preserve">Ibeh, C., </w:t>
      </w:r>
      <w:r w:rsidR="00860E1F">
        <w:t xml:space="preserve">&amp; </w:t>
      </w:r>
      <w:r>
        <w:t xml:space="preserve">Walmsley, B. (2021). The role of impact assessment in achieving the sustainable development goals in Africa. International Association for Impact Assessment (IAIA) 2021 </w:t>
      </w:r>
      <w:r>
        <w:lastRenderedPageBreak/>
        <w:t>conference (18th -21st May 2021).</w:t>
      </w:r>
    </w:p>
    <w:p w14:paraId="4A2B2ECF" w14:textId="77777777" w:rsidR="007F036A" w:rsidRPr="001031BB" w:rsidRDefault="000C172D" w:rsidP="00F37A8F">
      <w:pPr>
        <w:widowControl w:val="0"/>
        <w:autoSpaceDE w:val="0"/>
        <w:autoSpaceDN w:val="0"/>
        <w:adjustRightInd w:val="0"/>
        <w:spacing w:line="480" w:lineRule="auto"/>
        <w:ind w:left="480" w:hanging="480"/>
        <w:jc w:val="both"/>
      </w:pPr>
      <w:r w:rsidRPr="001031BB">
        <w:rPr>
          <w:color w:val="222222"/>
          <w:shd w:val="clear" w:color="auto" w:fill="FFFFFF"/>
        </w:rPr>
        <w:t xml:space="preserve">Kaapama, P., Blaauw, L., &amp; </w:t>
      </w:r>
      <w:proofErr w:type="spellStart"/>
      <w:r w:rsidRPr="001031BB">
        <w:rPr>
          <w:color w:val="222222"/>
          <w:shd w:val="clear" w:color="auto" w:fill="FFFFFF"/>
        </w:rPr>
        <w:t>Zaaruka</w:t>
      </w:r>
      <w:proofErr w:type="spellEnd"/>
      <w:r w:rsidRPr="001031BB">
        <w:rPr>
          <w:color w:val="222222"/>
          <w:shd w:val="clear" w:color="auto" w:fill="FFFFFF"/>
        </w:rPr>
        <w:t>, B. (2007). Consolidating Democratic Governance in Southern Africa: Namibia.</w:t>
      </w:r>
    </w:p>
    <w:p w14:paraId="75AF958F" w14:textId="308292DB" w:rsidR="00511DDE" w:rsidRDefault="000C172D" w:rsidP="00F37A8F">
      <w:pPr>
        <w:widowControl w:val="0"/>
        <w:autoSpaceDE w:val="0"/>
        <w:autoSpaceDN w:val="0"/>
        <w:adjustRightInd w:val="0"/>
        <w:spacing w:line="480" w:lineRule="auto"/>
        <w:ind w:left="480" w:hanging="480"/>
        <w:jc w:val="both"/>
      </w:pPr>
      <w:proofErr w:type="spellStart"/>
      <w:r w:rsidRPr="007F036A">
        <w:t>Kandetu</w:t>
      </w:r>
      <w:proofErr w:type="spellEnd"/>
      <w:r w:rsidRPr="007F036A">
        <w:t xml:space="preserve"> B.</w:t>
      </w:r>
      <w:r>
        <w:t xml:space="preserve"> </w:t>
      </w:r>
      <w:r w:rsidRPr="007F036A">
        <w:t>V</w:t>
      </w:r>
      <w:r>
        <w:t xml:space="preserve">, </w:t>
      </w:r>
      <w:proofErr w:type="spellStart"/>
      <w:r w:rsidRPr="007F036A">
        <w:t>Ndjoze</w:t>
      </w:r>
      <w:proofErr w:type="spellEnd"/>
      <w:r w:rsidRPr="007F036A">
        <w:t>-Ojo</w:t>
      </w:r>
      <w:r w:rsidR="00860E1F">
        <w:t>,</w:t>
      </w:r>
      <w:r w:rsidRPr="007F036A">
        <w:t xml:space="preserve"> B.R.K</w:t>
      </w:r>
      <w:r w:rsidR="00860E1F">
        <w:t>.</w:t>
      </w:r>
      <w:r w:rsidRPr="007F036A">
        <w:t xml:space="preserve">, </w:t>
      </w:r>
      <w:proofErr w:type="spellStart"/>
      <w:r w:rsidRPr="007F036A">
        <w:t>Mijiga</w:t>
      </w:r>
      <w:proofErr w:type="spellEnd"/>
      <w:r w:rsidRPr="007F036A">
        <w:t xml:space="preserve"> F</w:t>
      </w:r>
      <w:r w:rsidR="00860E1F">
        <w:t>.</w:t>
      </w:r>
      <w:r w:rsidRPr="007F036A">
        <w:t>,</w:t>
      </w:r>
      <w:r w:rsidR="00860E1F">
        <w:t xml:space="preserve"> &amp;</w:t>
      </w:r>
      <w:r w:rsidRPr="007F036A">
        <w:t xml:space="preserve"> </w:t>
      </w:r>
      <w:proofErr w:type="spellStart"/>
      <w:r w:rsidRPr="007F036A">
        <w:t>Nampila</w:t>
      </w:r>
      <w:proofErr w:type="spellEnd"/>
      <w:r w:rsidRPr="007F036A">
        <w:t xml:space="preserve"> P. (2001</w:t>
      </w:r>
      <w:r>
        <w:t>)</w:t>
      </w:r>
      <w:r w:rsidRPr="007F036A">
        <w:t xml:space="preserve">. </w:t>
      </w:r>
      <w:r w:rsidR="001031BB" w:rsidRPr="007F036A">
        <w:t xml:space="preserve">Governance and public participation: </w:t>
      </w:r>
      <w:r w:rsidRPr="007F036A">
        <w:t>A Summary of Focus Group Survey Findings. National Democratic Institute for International Affairs, Namibia</w:t>
      </w:r>
      <w:r w:rsidR="001031BB">
        <w:t>.</w:t>
      </w:r>
      <w:r w:rsidRPr="007F036A">
        <w:t xml:space="preserve"> </w:t>
      </w:r>
    </w:p>
    <w:p w14:paraId="6C099166" w14:textId="77777777" w:rsidR="0062396E" w:rsidRPr="0062396E" w:rsidRDefault="000C172D" w:rsidP="00F37A8F">
      <w:pPr>
        <w:widowControl w:val="0"/>
        <w:autoSpaceDE w:val="0"/>
        <w:autoSpaceDN w:val="0"/>
        <w:adjustRightInd w:val="0"/>
        <w:spacing w:line="480" w:lineRule="auto"/>
        <w:ind w:left="480" w:hanging="480"/>
        <w:jc w:val="both"/>
      </w:pPr>
      <w:proofErr w:type="spellStart"/>
      <w:r w:rsidRPr="0062396E">
        <w:rPr>
          <w:color w:val="222222"/>
          <w:shd w:val="clear" w:color="auto" w:fill="FFFFFF"/>
        </w:rPr>
        <w:t>Keken</w:t>
      </w:r>
      <w:proofErr w:type="spellEnd"/>
      <w:r w:rsidRPr="0062396E">
        <w:rPr>
          <w:color w:val="222222"/>
          <w:shd w:val="clear" w:color="auto" w:fill="FFFFFF"/>
        </w:rPr>
        <w:t xml:space="preserve">, Z., Hanušová, T., </w:t>
      </w:r>
      <w:proofErr w:type="spellStart"/>
      <w:r w:rsidRPr="0062396E">
        <w:rPr>
          <w:color w:val="222222"/>
          <w:shd w:val="clear" w:color="auto" w:fill="FFFFFF"/>
        </w:rPr>
        <w:t>Kulendík</w:t>
      </w:r>
      <w:proofErr w:type="spellEnd"/>
      <w:r w:rsidRPr="0062396E">
        <w:rPr>
          <w:color w:val="222222"/>
          <w:shd w:val="clear" w:color="auto" w:fill="FFFFFF"/>
        </w:rPr>
        <w:t xml:space="preserve">, J., </w:t>
      </w:r>
      <w:proofErr w:type="spellStart"/>
      <w:r w:rsidRPr="0062396E">
        <w:rPr>
          <w:color w:val="222222"/>
          <w:shd w:val="clear" w:color="auto" w:fill="FFFFFF"/>
        </w:rPr>
        <w:t>Wimmerová</w:t>
      </w:r>
      <w:proofErr w:type="spellEnd"/>
      <w:r w:rsidRPr="0062396E">
        <w:rPr>
          <w:color w:val="222222"/>
          <w:shd w:val="clear" w:color="auto" w:fill="FFFFFF"/>
        </w:rPr>
        <w:t xml:space="preserve">, L., </w:t>
      </w:r>
      <w:proofErr w:type="spellStart"/>
      <w:r w:rsidRPr="0062396E">
        <w:rPr>
          <w:color w:val="222222"/>
          <w:shd w:val="clear" w:color="auto" w:fill="FFFFFF"/>
        </w:rPr>
        <w:t>Zítková</w:t>
      </w:r>
      <w:proofErr w:type="spellEnd"/>
      <w:r w:rsidRPr="0062396E">
        <w:rPr>
          <w:color w:val="222222"/>
          <w:shd w:val="clear" w:color="auto" w:fill="FFFFFF"/>
        </w:rPr>
        <w:t xml:space="preserve">, J., &amp; </w:t>
      </w:r>
      <w:proofErr w:type="spellStart"/>
      <w:r w:rsidRPr="0062396E">
        <w:rPr>
          <w:color w:val="222222"/>
          <w:shd w:val="clear" w:color="auto" w:fill="FFFFFF"/>
        </w:rPr>
        <w:t>Zdražil</w:t>
      </w:r>
      <w:proofErr w:type="spellEnd"/>
      <w:r w:rsidRPr="0062396E">
        <w:rPr>
          <w:color w:val="222222"/>
          <w:shd w:val="clear" w:color="auto" w:fill="FFFFFF"/>
        </w:rPr>
        <w:t>, V. (2022). Environmental impact assessment–The range of activities covered and the potential of linking to post-project auditing.</w:t>
      </w:r>
      <w:r w:rsidR="00F37A8F">
        <w:rPr>
          <w:color w:val="222222"/>
          <w:shd w:val="clear" w:color="auto" w:fill="FFFFFF"/>
        </w:rPr>
        <w:t xml:space="preserve"> </w:t>
      </w:r>
      <w:r w:rsidRPr="0062396E">
        <w:rPr>
          <w:i/>
          <w:iCs/>
          <w:color w:val="222222"/>
          <w:shd w:val="clear" w:color="auto" w:fill="FFFFFF"/>
        </w:rPr>
        <w:t>Environmental Impact Assessment Review</w:t>
      </w:r>
      <w:r w:rsidRPr="0062396E">
        <w:rPr>
          <w:color w:val="222222"/>
          <w:shd w:val="clear" w:color="auto" w:fill="FFFFFF"/>
        </w:rPr>
        <w:t>,</w:t>
      </w:r>
      <w:r w:rsidR="00F37A8F">
        <w:rPr>
          <w:color w:val="222222"/>
          <w:shd w:val="clear" w:color="auto" w:fill="FFFFFF"/>
        </w:rPr>
        <w:t xml:space="preserve"> </w:t>
      </w:r>
      <w:r w:rsidRPr="0062396E">
        <w:rPr>
          <w:i/>
          <w:iCs/>
          <w:color w:val="222222"/>
          <w:shd w:val="clear" w:color="auto" w:fill="FFFFFF"/>
        </w:rPr>
        <w:t>93</w:t>
      </w:r>
      <w:r w:rsidRPr="0062396E">
        <w:rPr>
          <w:color w:val="222222"/>
          <w:shd w:val="clear" w:color="auto" w:fill="FFFFFF"/>
        </w:rPr>
        <w:t>, 106726.</w:t>
      </w:r>
    </w:p>
    <w:bookmarkEnd w:id="28"/>
    <w:p w14:paraId="461BD909" w14:textId="77777777" w:rsidR="00413B4D" w:rsidRPr="00E174F4" w:rsidRDefault="000C172D" w:rsidP="00F37A8F">
      <w:pPr>
        <w:spacing w:line="480" w:lineRule="auto"/>
        <w:ind w:left="720" w:hanging="720"/>
        <w:jc w:val="both"/>
        <w:rPr>
          <w:color w:val="222222"/>
          <w:shd w:val="clear" w:color="auto" w:fill="FFFFFF"/>
        </w:rPr>
      </w:pPr>
      <w:r w:rsidRPr="00E174F4">
        <w:t>Kolhoff, A</w:t>
      </w:r>
      <w:r w:rsidR="000C024B" w:rsidRPr="00E174F4">
        <w:t>.</w:t>
      </w:r>
      <w:r w:rsidRPr="00E174F4">
        <w:t>J, Driessen P</w:t>
      </w:r>
      <w:r w:rsidR="000C024B" w:rsidRPr="00E174F4">
        <w:t>.</w:t>
      </w:r>
      <w:r w:rsidRPr="00E174F4">
        <w:t>P</w:t>
      </w:r>
      <w:r w:rsidR="000C024B" w:rsidRPr="00E174F4">
        <w:t>.</w:t>
      </w:r>
      <w:r w:rsidRPr="00E174F4">
        <w:t>J,</w:t>
      </w:r>
      <w:r w:rsidR="000C024B" w:rsidRPr="00E174F4">
        <w:t xml:space="preserve"> &amp;</w:t>
      </w:r>
      <w:r w:rsidRPr="00E174F4">
        <w:t xml:space="preserve"> </w:t>
      </w:r>
      <w:proofErr w:type="spellStart"/>
      <w:r w:rsidRPr="00E174F4">
        <w:t>Runhaar</w:t>
      </w:r>
      <w:proofErr w:type="spellEnd"/>
      <w:r w:rsidRPr="00E174F4">
        <w:t xml:space="preserve"> H</w:t>
      </w:r>
      <w:r w:rsidR="000C024B" w:rsidRPr="00E174F4">
        <w:t>.</w:t>
      </w:r>
      <w:r w:rsidRPr="00E174F4">
        <w:t>A</w:t>
      </w:r>
      <w:r w:rsidR="000C024B" w:rsidRPr="00E174F4">
        <w:t>.</w:t>
      </w:r>
      <w:r w:rsidRPr="00E174F4">
        <w:t xml:space="preserve">C. </w:t>
      </w:r>
      <w:r w:rsidR="000C024B" w:rsidRPr="00E174F4">
        <w:t>(</w:t>
      </w:r>
      <w:r w:rsidRPr="00E174F4">
        <w:t>2013</w:t>
      </w:r>
      <w:r w:rsidR="000C024B" w:rsidRPr="00E174F4">
        <w:t>)</w:t>
      </w:r>
      <w:r w:rsidRPr="00E174F4">
        <w:t>. An analysis framework for characterizing</w:t>
      </w:r>
      <w:r w:rsidR="000C024B" w:rsidRPr="00E174F4">
        <w:t xml:space="preserve"> </w:t>
      </w:r>
      <w:r w:rsidRPr="00E174F4">
        <w:t>and explaining the development of EIA legislation in developing countries –illustrated for</w:t>
      </w:r>
      <w:r w:rsidR="000C024B" w:rsidRPr="00E174F4">
        <w:t xml:space="preserve"> </w:t>
      </w:r>
      <w:r w:rsidRPr="00E174F4">
        <w:t xml:space="preserve">Georgia, Ghana, and Yemen. </w:t>
      </w:r>
      <w:r w:rsidRPr="00F37A8F">
        <w:rPr>
          <w:i/>
          <w:iCs/>
        </w:rPr>
        <w:t>Environ</w:t>
      </w:r>
      <w:r w:rsidR="00F37A8F" w:rsidRPr="00F37A8F">
        <w:rPr>
          <w:i/>
          <w:iCs/>
        </w:rPr>
        <w:t>mental</w:t>
      </w:r>
      <w:r w:rsidRPr="00F37A8F">
        <w:rPr>
          <w:i/>
          <w:iCs/>
        </w:rPr>
        <w:t xml:space="preserve"> Impact Assess</w:t>
      </w:r>
      <w:r w:rsidR="000C024B" w:rsidRPr="00F37A8F">
        <w:rPr>
          <w:i/>
          <w:iCs/>
        </w:rPr>
        <w:t>ment</w:t>
      </w:r>
      <w:r w:rsidRPr="00F37A8F">
        <w:rPr>
          <w:i/>
          <w:iCs/>
        </w:rPr>
        <w:t xml:space="preserve"> Rev</w:t>
      </w:r>
      <w:r w:rsidR="000C024B" w:rsidRPr="00F37A8F">
        <w:rPr>
          <w:i/>
          <w:iCs/>
        </w:rPr>
        <w:t>iew</w:t>
      </w:r>
      <w:r w:rsidRPr="00E174F4">
        <w:t>. 1–15.</w:t>
      </w:r>
    </w:p>
    <w:p w14:paraId="35620629" w14:textId="77777777" w:rsidR="009C06C4" w:rsidRPr="00E174F4" w:rsidRDefault="000C172D" w:rsidP="00F37A8F">
      <w:pPr>
        <w:spacing w:line="480" w:lineRule="auto"/>
        <w:ind w:left="720" w:hanging="720"/>
        <w:jc w:val="both"/>
        <w:rPr>
          <w:color w:val="222222"/>
          <w:shd w:val="clear" w:color="auto" w:fill="FFFFFF"/>
        </w:rPr>
      </w:pPr>
      <w:r w:rsidRPr="00E174F4">
        <w:rPr>
          <w:color w:val="222222"/>
          <w:shd w:val="clear" w:color="auto" w:fill="FFFFFF"/>
        </w:rPr>
        <w:t xml:space="preserve">Klees, R., </w:t>
      </w:r>
      <w:proofErr w:type="spellStart"/>
      <w:r w:rsidRPr="00E174F4">
        <w:rPr>
          <w:color w:val="222222"/>
          <w:shd w:val="clear" w:color="auto" w:fill="FFFFFF"/>
        </w:rPr>
        <w:t>Capcelea</w:t>
      </w:r>
      <w:proofErr w:type="spellEnd"/>
      <w:r w:rsidRPr="00E174F4">
        <w:rPr>
          <w:color w:val="222222"/>
          <w:shd w:val="clear" w:color="auto" w:fill="FFFFFF"/>
        </w:rPr>
        <w:t xml:space="preserve">, A., &amp; </w:t>
      </w:r>
      <w:proofErr w:type="spellStart"/>
      <w:r w:rsidRPr="00E174F4">
        <w:rPr>
          <w:color w:val="222222"/>
          <w:shd w:val="clear" w:color="auto" w:fill="FFFFFF"/>
        </w:rPr>
        <w:t>Barannik</w:t>
      </w:r>
      <w:proofErr w:type="spellEnd"/>
      <w:r w:rsidRPr="00E174F4">
        <w:rPr>
          <w:color w:val="222222"/>
          <w:shd w:val="clear" w:color="auto" w:fill="FFFFFF"/>
        </w:rPr>
        <w:t>, A. (2002).</w:t>
      </w:r>
      <w:r w:rsidR="00F37A8F">
        <w:rPr>
          <w:color w:val="222222"/>
          <w:shd w:val="clear" w:color="auto" w:fill="FFFFFF"/>
        </w:rPr>
        <w:t xml:space="preserve"> </w:t>
      </w:r>
      <w:r w:rsidRPr="00E174F4">
        <w:rPr>
          <w:i/>
          <w:iCs/>
          <w:color w:val="222222"/>
          <w:shd w:val="clear" w:color="auto" w:fill="FFFFFF"/>
        </w:rPr>
        <w:t>Environmental impact assessment (EIA) systems in Europe and Central Asia countries</w:t>
      </w:r>
      <w:r w:rsidRPr="00E174F4">
        <w:rPr>
          <w:color w:val="222222"/>
          <w:shd w:val="clear" w:color="auto" w:fill="FFFFFF"/>
        </w:rPr>
        <w:t> (No. 30067, p. 1). The World Bank.</w:t>
      </w:r>
    </w:p>
    <w:p w14:paraId="0C932F36" w14:textId="77777777" w:rsidR="00D73B2F" w:rsidRDefault="000C172D" w:rsidP="00F37A8F">
      <w:pPr>
        <w:spacing w:line="480" w:lineRule="auto"/>
        <w:ind w:left="720" w:hanging="720"/>
        <w:jc w:val="both"/>
        <w:rPr>
          <w:color w:val="222222"/>
          <w:shd w:val="clear" w:color="auto" w:fill="FFFFFF"/>
        </w:rPr>
      </w:pPr>
      <w:r w:rsidRPr="00E174F4">
        <w:rPr>
          <w:color w:val="222222"/>
          <w:shd w:val="clear" w:color="auto" w:fill="FFFFFF"/>
        </w:rPr>
        <w:t>Lai, J. Y., &amp; Hamilton, A. (2020). For whom do NGOs speak? Accountability and legitimacy in pursuit of just environmental impact assessment.</w:t>
      </w:r>
      <w:r w:rsidR="00F37A8F">
        <w:rPr>
          <w:color w:val="222222"/>
          <w:shd w:val="clear" w:color="auto" w:fill="FFFFFF"/>
        </w:rPr>
        <w:t xml:space="preserve"> </w:t>
      </w:r>
      <w:r w:rsidRPr="00E174F4">
        <w:rPr>
          <w:i/>
          <w:iCs/>
          <w:color w:val="222222"/>
          <w:shd w:val="clear" w:color="auto" w:fill="FFFFFF"/>
        </w:rPr>
        <w:t>Environmental Impact Assessment Review</w:t>
      </w:r>
      <w:r w:rsidRPr="00E174F4">
        <w:rPr>
          <w:color w:val="222222"/>
          <w:shd w:val="clear" w:color="auto" w:fill="FFFFFF"/>
        </w:rPr>
        <w:t>,</w:t>
      </w:r>
      <w:r w:rsidR="00732A9D">
        <w:rPr>
          <w:color w:val="222222"/>
          <w:shd w:val="clear" w:color="auto" w:fill="FFFFFF"/>
        </w:rPr>
        <w:t xml:space="preserve"> </w:t>
      </w:r>
      <w:r w:rsidRPr="00E174F4">
        <w:rPr>
          <w:i/>
          <w:iCs/>
          <w:color w:val="222222"/>
          <w:shd w:val="clear" w:color="auto" w:fill="FFFFFF"/>
        </w:rPr>
        <w:t>82</w:t>
      </w:r>
      <w:r w:rsidRPr="00E174F4">
        <w:rPr>
          <w:color w:val="222222"/>
          <w:shd w:val="clear" w:color="auto" w:fill="FFFFFF"/>
        </w:rPr>
        <w:t>, 106374.</w:t>
      </w:r>
    </w:p>
    <w:p w14:paraId="0586D5B4" w14:textId="77777777" w:rsidR="004F704B" w:rsidRPr="00B759D0" w:rsidRDefault="000C172D" w:rsidP="00F37A8F">
      <w:pPr>
        <w:spacing w:line="480" w:lineRule="auto"/>
        <w:ind w:left="720" w:hanging="720"/>
        <w:jc w:val="both"/>
        <w:rPr>
          <w:color w:val="222222"/>
          <w:shd w:val="clear" w:color="auto" w:fill="FFFFFF"/>
        </w:rPr>
      </w:pPr>
      <w:proofErr w:type="spellStart"/>
      <w:r w:rsidRPr="00B759D0">
        <w:rPr>
          <w:color w:val="222222"/>
          <w:shd w:val="clear" w:color="auto" w:fill="FFFFFF"/>
        </w:rPr>
        <w:t>Leeuwerik</w:t>
      </w:r>
      <w:proofErr w:type="spellEnd"/>
      <w:r w:rsidRPr="00B759D0">
        <w:rPr>
          <w:color w:val="222222"/>
          <w:shd w:val="clear" w:color="auto" w:fill="FFFFFF"/>
        </w:rPr>
        <w:t xml:space="preserve">, R. N. C., </w:t>
      </w:r>
      <w:proofErr w:type="spellStart"/>
      <w:r w:rsidRPr="00B759D0">
        <w:rPr>
          <w:color w:val="222222"/>
          <w:shd w:val="clear" w:color="auto" w:fill="FFFFFF"/>
        </w:rPr>
        <w:t>Rozemeijer</w:t>
      </w:r>
      <w:proofErr w:type="spellEnd"/>
      <w:r w:rsidRPr="00B759D0">
        <w:rPr>
          <w:color w:val="222222"/>
          <w:shd w:val="clear" w:color="auto" w:fill="FFFFFF"/>
        </w:rPr>
        <w:t xml:space="preserve">, M. J. C., &amp; Van Leeuwen, J. (2021). Conceptualizing the interaction of context, </w:t>
      </w:r>
      <w:proofErr w:type="gramStart"/>
      <w:r w:rsidRPr="00B759D0">
        <w:rPr>
          <w:color w:val="222222"/>
          <w:shd w:val="clear" w:color="auto" w:fill="FFFFFF"/>
        </w:rPr>
        <w:t>process</w:t>
      </w:r>
      <w:proofErr w:type="gramEnd"/>
      <w:r w:rsidRPr="00B759D0">
        <w:rPr>
          <w:color w:val="222222"/>
          <w:shd w:val="clear" w:color="auto" w:fill="FFFFFF"/>
        </w:rPr>
        <w:t xml:space="preserve"> and status in the Social License to operate: The case of marine diamond mining in Namibia.</w:t>
      </w:r>
      <w:r w:rsidR="00F37A8F">
        <w:rPr>
          <w:color w:val="222222"/>
          <w:shd w:val="clear" w:color="auto" w:fill="FFFFFF"/>
        </w:rPr>
        <w:t xml:space="preserve"> </w:t>
      </w:r>
      <w:r w:rsidRPr="00B759D0">
        <w:rPr>
          <w:i/>
          <w:iCs/>
          <w:color w:val="222222"/>
          <w:shd w:val="clear" w:color="auto" w:fill="FFFFFF"/>
        </w:rPr>
        <w:t>Resources Policy</w:t>
      </w:r>
      <w:r w:rsidRPr="00B759D0">
        <w:rPr>
          <w:color w:val="222222"/>
          <w:shd w:val="clear" w:color="auto" w:fill="FFFFFF"/>
        </w:rPr>
        <w:t>,</w:t>
      </w:r>
      <w:r w:rsidR="00F37A8F">
        <w:rPr>
          <w:color w:val="222222"/>
          <w:shd w:val="clear" w:color="auto" w:fill="FFFFFF"/>
        </w:rPr>
        <w:t xml:space="preserve"> </w:t>
      </w:r>
      <w:r w:rsidRPr="00B759D0">
        <w:rPr>
          <w:i/>
          <w:iCs/>
          <w:color w:val="222222"/>
          <w:shd w:val="clear" w:color="auto" w:fill="FFFFFF"/>
        </w:rPr>
        <w:t>73</w:t>
      </w:r>
      <w:r w:rsidRPr="00B759D0">
        <w:rPr>
          <w:color w:val="222222"/>
          <w:shd w:val="clear" w:color="auto" w:fill="FFFFFF"/>
        </w:rPr>
        <w:t>, 102153.</w:t>
      </w:r>
    </w:p>
    <w:p w14:paraId="20C11EE1" w14:textId="77777777" w:rsidR="008F0E30" w:rsidRDefault="000C172D" w:rsidP="00F37A8F">
      <w:pPr>
        <w:spacing w:line="480" w:lineRule="auto"/>
        <w:ind w:left="720" w:hanging="720"/>
        <w:jc w:val="both"/>
        <w:rPr>
          <w:color w:val="000000" w:themeColor="text1"/>
        </w:rPr>
      </w:pPr>
      <w:r w:rsidRPr="00E174F4">
        <w:rPr>
          <w:color w:val="000000" w:themeColor="text1"/>
        </w:rPr>
        <w:t xml:space="preserve">Marara, M., Okello, N., </w:t>
      </w:r>
      <w:proofErr w:type="spellStart"/>
      <w:r w:rsidRPr="00E174F4">
        <w:rPr>
          <w:color w:val="000000" w:themeColor="text1"/>
        </w:rPr>
        <w:t>Kuhanwa</w:t>
      </w:r>
      <w:proofErr w:type="spellEnd"/>
      <w:r w:rsidRPr="00E174F4">
        <w:rPr>
          <w:color w:val="000000" w:themeColor="text1"/>
        </w:rPr>
        <w:t xml:space="preserve">, Z., </w:t>
      </w:r>
      <w:proofErr w:type="spellStart"/>
      <w:r w:rsidRPr="00E174F4">
        <w:rPr>
          <w:color w:val="000000" w:themeColor="text1"/>
        </w:rPr>
        <w:t>Douven</w:t>
      </w:r>
      <w:proofErr w:type="spellEnd"/>
      <w:r w:rsidRPr="00E174F4">
        <w:rPr>
          <w:color w:val="000000" w:themeColor="text1"/>
        </w:rPr>
        <w:t xml:space="preserve">, W., Beevers, L., &amp; </w:t>
      </w:r>
      <w:proofErr w:type="spellStart"/>
      <w:r w:rsidRPr="00E174F4">
        <w:rPr>
          <w:color w:val="000000" w:themeColor="text1"/>
        </w:rPr>
        <w:t>Leentvaar</w:t>
      </w:r>
      <w:proofErr w:type="spellEnd"/>
      <w:r w:rsidRPr="00E174F4">
        <w:rPr>
          <w:color w:val="000000" w:themeColor="text1"/>
        </w:rPr>
        <w:t xml:space="preserve">, J. (2011). The importance of context in delivering effective EIA: Case studies from East Africa. </w:t>
      </w:r>
      <w:r w:rsidRPr="00E174F4">
        <w:rPr>
          <w:i/>
          <w:iCs/>
          <w:color w:val="000000" w:themeColor="text1"/>
        </w:rPr>
        <w:t>Environmental Impact Assessment Review, 31(</w:t>
      </w:r>
      <w:r w:rsidRPr="00E174F4">
        <w:rPr>
          <w:color w:val="000000" w:themeColor="text1"/>
        </w:rPr>
        <w:t>3), 286-296.</w:t>
      </w:r>
    </w:p>
    <w:p w14:paraId="72F8D110" w14:textId="2F343192" w:rsidR="00860E1F" w:rsidRDefault="00860E1F" w:rsidP="00F37A8F">
      <w:pPr>
        <w:spacing w:line="480" w:lineRule="auto"/>
        <w:ind w:left="720" w:hanging="720"/>
        <w:jc w:val="both"/>
        <w:rPr>
          <w:color w:val="000000" w:themeColor="text1"/>
        </w:rPr>
      </w:pPr>
      <w:r w:rsidRPr="001C226B">
        <w:rPr>
          <w:color w:val="222222"/>
          <w:shd w:val="clear" w:color="auto" w:fill="FFFFFF"/>
        </w:rPr>
        <w:lastRenderedPageBreak/>
        <w:t>Meuleman, L. (2015). Owl meets beehive: how impact assessment and governance relate. </w:t>
      </w:r>
      <w:r w:rsidRPr="001C226B">
        <w:rPr>
          <w:i/>
          <w:iCs/>
          <w:color w:val="222222"/>
          <w:shd w:val="clear" w:color="auto" w:fill="FFFFFF"/>
        </w:rPr>
        <w:t>Impact Assessment and Project Appraisal</w:t>
      </w:r>
      <w:r w:rsidRPr="001C226B">
        <w:rPr>
          <w:color w:val="222222"/>
          <w:shd w:val="clear" w:color="auto" w:fill="FFFFFF"/>
        </w:rPr>
        <w:t>, </w:t>
      </w:r>
      <w:r w:rsidRPr="001C226B">
        <w:rPr>
          <w:i/>
          <w:iCs/>
          <w:color w:val="222222"/>
          <w:shd w:val="clear" w:color="auto" w:fill="FFFFFF"/>
        </w:rPr>
        <w:t>33</w:t>
      </w:r>
      <w:r w:rsidRPr="001C226B">
        <w:rPr>
          <w:color w:val="222222"/>
          <w:shd w:val="clear" w:color="auto" w:fill="FFFFFF"/>
        </w:rPr>
        <w:t>(1), 4-15.</w:t>
      </w:r>
    </w:p>
    <w:p w14:paraId="6788D3F6" w14:textId="77777777" w:rsidR="00E078C3" w:rsidRPr="00D44FBD" w:rsidRDefault="00E078C3" w:rsidP="00E078C3">
      <w:pPr>
        <w:spacing w:line="480" w:lineRule="auto"/>
        <w:ind w:left="720" w:hanging="720"/>
        <w:jc w:val="both"/>
        <w:rPr>
          <w:rFonts w:eastAsiaTheme="majorEastAsia"/>
        </w:rPr>
      </w:pPr>
      <w:r w:rsidRPr="00774CF5">
        <w:rPr>
          <w:rFonts w:ascii="BMNCNC+TimesNewRoman" w:hAnsi="BMNCNC+TimesNewRoman" w:cs="BMNCNC+TimesNewRoman"/>
          <w:color w:val="000000"/>
          <w:sz w:val="23"/>
          <w:szCs w:val="23"/>
        </w:rPr>
        <w:t>Ministry of Environmental and Tourism</w:t>
      </w:r>
      <w:r w:rsidRPr="005C20B9">
        <w:t xml:space="preserve"> </w:t>
      </w:r>
      <w:r w:rsidRPr="005C20B9">
        <w:rPr>
          <w:rFonts w:ascii="BMNCNC+TimesNewRoman" w:hAnsi="BMNCNC+TimesNewRoman" w:cs="BMNCNC+TimesNewRoman"/>
          <w:color w:val="000000"/>
          <w:sz w:val="23"/>
          <w:szCs w:val="23"/>
        </w:rPr>
        <w:t>[</w:t>
      </w:r>
      <w:r>
        <w:rPr>
          <w:rFonts w:ascii="BMNCNC+TimesNewRoman" w:hAnsi="BMNCNC+TimesNewRoman" w:cs="BMNCNC+TimesNewRoman"/>
          <w:color w:val="000000"/>
          <w:sz w:val="23"/>
          <w:szCs w:val="23"/>
        </w:rPr>
        <w:t>MET</w:t>
      </w:r>
      <w:r w:rsidRPr="005C20B9">
        <w:rPr>
          <w:rFonts w:ascii="BMNCNC+TimesNewRoman" w:hAnsi="BMNCNC+TimesNewRoman" w:cs="BMNCNC+TimesNewRoman"/>
          <w:color w:val="000000"/>
          <w:sz w:val="23"/>
          <w:szCs w:val="23"/>
        </w:rPr>
        <w:t>]</w:t>
      </w:r>
      <w:r>
        <w:rPr>
          <w:rFonts w:ascii="BMNCNC+TimesNewRoman" w:hAnsi="BMNCNC+TimesNewRoman" w:cs="BMNCNC+TimesNewRoman"/>
          <w:color w:val="000000"/>
          <w:sz w:val="23"/>
          <w:szCs w:val="23"/>
        </w:rPr>
        <w:t>. (1995).</w:t>
      </w:r>
      <w:r>
        <w:rPr>
          <w:sz w:val="23"/>
          <w:szCs w:val="23"/>
        </w:rPr>
        <w:t xml:space="preserve"> </w:t>
      </w:r>
      <w:r w:rsidRPr="008A7D7A">
        <w:rPr>
          <w:rFonts w:ascii="BMNCNC+TimesNewRoman" w:hAnsi="BMNCNC+TimesNewRoman" w:cs="BMNCNC+TimesNewRoman"/>
          <w:i/>
          <w:iCs/>
          <w:color w:val="000000"/>
          <w:sz w:val="23"/>
          <w:szCs w:val="23"/>
        </w:rPr>
        <w:t>Namibia’s Environmental Assessment Policy for sustainable development and environmental conservation</w:t>
      </w:r>
      <w:r>
        <w:rPr>
          <w:sz w:val="23"/>
          <w:szCs w:val="23"/>
        </w:rPr>
        <w:t xml:space="preserve">. </w:t>
      </w:r>
      <w:r w:rsidRPr="005C20B9">
        <w:rPr>
          <w:sz w:val="23"/>
          <w:szCs w:val="23"/>
        </w:rPr>
        <w:t>https://www.npc.gov.na/wp-content/uploads/2022/06/Namibias-Environmental-Assessment-Policy-For-Sustainable-Development-And-Environmental-Conservation-Jan-1995.pdf</w:t>
      </w:r>
    </w:p>
    <w:p w14:paraId="2BCA51F7" w14:textId="6192A643" w:rsidR="006B37AC" w:rsidRPr="00E174F4" w:rsidRDefault="000C172D" w:rsidP="00F37A8F">
      <w:pPr>
        <w:spacing w:line="480" w:lineRule="auto"/>
        <w:ind w:left="720" w:hanging="720"/>
        <w:jc w:val="both"/>
        <w:rPr>
          <w:rStyle w:val="markedcontent"/>
          <w:rFonts w:eastAsiaTheme="majorEastAsia"/>
        </w:rPr>
      </w:pPr>
      <w:r w:rsidRPr="00E174F4">
        <w:rPr>
          <w:rStyle w:val="markedcontent"/>
          <w:rFonts w:eastAsiaTheme="majorEastAsia"/>
        </w:rPr>
        <w:t>Monteiro, M. B</w:t>
      </w:r>
      <w:r w:rsidR="00860E1F">
        <w:rPr>
          <w:rStyle w:val="markedcontent"/>
          <w:rFonts w:eastAsiaTheme="majorEastAsia"/>
        </w:rPr>
        <w:t>.,</w:t>
      </w:r>
      <w:r w:rsidRPr="00E174F4">
        <w:rPr>
          <w:rStyle w:val="markedcontent"/>
          <w:rFonts w:eastAsiaTheme="majorEastAsia"/>
        </w:rPr>
        <w:t xml:space="preserve"> &amp; </w:t>
      </w:r>
      <w:proofErr w:type="spellStart"/>
      <w:r w:rsidRPr="00E174F4">
        <w:rPr>
          <w:rStyle w:val="markedcontent"/>
          <w:rFonts w:eastAsiaTheme="majorEastAsia"/>
        </w:rPr>
        <w:t>Partidário</w:t>
      </w:r>
      <w:proofErr w:type="spellEnd"/>
      <w:r w:rsidRPr="00E174F4">
        <w:rPr>
          <w:rStyle w:val="markedcontent"/>
          <w:rFonts w:eastAsiaTheme="majorEastAsia"/>
        </w:rPr>
        <w:t xml:space="preserve"> M., (2017). Governance in Strategic Environmental Assessment: Lessons from the Portuguese practice. </w:t>
      </w:r>
      <w:r w:rsidRPr="00F37A8F">
        <w:rPr>
          <w:rStyle w:val="markedcontent"/>
          <w:rFonts w:eastAsiaTheme="majorEastAsia"/>
          <w:i/>
          <w:iCs/>
        </w:rPr>
        <w:t>Environmental Impact Assessment Review</w:t>
      </w:r>
      <w:r w:rsidR="00F37A8F">
        <w:rPr>
          <w:rStyle w:val="markedcontent"/>
          <w:rFonts w:eastAsiaTheme="majorEastAsia"/>
        </w:rPr>
        <w:t>,</w:t>
      </w:r>
      <w:r w:rsidRPr="00E174F4">
        <w:rPr>
          <w:rStyle w:val="markedcontent"/>
          <w:rFonts w:eastAsiaTheme="majorEastAsia"/>
        </w:rPr>
        <w:t xml:space="preserve"> (65) 125–138</w:t>
      </w:r>
      <w:r w:rsidR="00F37A8F">
        <w:rPr>
          <w:rStyle w:val="markedcontent"/>
          <w:rFonts w:eastAsiaTheme="majorEastAsia"/>
        </w:rPr>
        <w:t>.</w:t>
      </w:r>
    </w:p>
    <w:p w14:paraId="7149A982" w14:textId="77777777" w:rsidR="00860E1F" w:rsidRPr="00E174F4" w:rsidRDefault="00860E1F" w:rsidP="00860E1F">
      <w:pPr>
        <w:spacing w:line="480" w:lineRule="auto"/>
        <w:ind w:left="720" w:hanging="720"/>
        <w:jc w:val="both"/>
        <w:rPr>
          <w:rStyle w:val="markedcontent"/>
          <w:rFonts w:eastAsiaTheme="majorEastAsia"/>
        </w:rPr>
      </w:pPr>
      <w:r w:rsidRPr="00717859">
        <w:rPr>
          <w:lang w:val="pt-PT"/>
        </w:rPr>
        <w:t>Monteiro, M. B., do Rosário Partidário, M., &amp; Meuleman, L.</w:t>
      </w:r>
      <w:r w:rsidRPr="00717859" w:rsidDel="00717859">
        <w:rPr>
          <w:lang w:val="pt-PT"/>
        </w:rPr>
        <w:t xml:space="preserve"> </w:t>
      </w:r>
      <w:r w:rsidRPr="00CE512C">
        <w:rPr>
          <w:lang w:val="pt-PT"/>
        </w:rPr>
        <w:t xml:space="preserve">(2018). </w:t>
      </w:r>
      <w:r w:rsidRPr="00E174F4">
        <w:t xml:space="preserve">A comparative analysis on how different governance contexts may influence Strategic Environmental Assessment. </w:t>
      </w:r>
      <w:r w:rsidRPr="00F37A8F">
        <w:rPr>
          <w:i/>
          <w:iCs/>
        </w:rPr>
        <w:t>E</w:t>
      </w:r>
      <w:r w:rsidRPr="00F37A8F">
        <w:rPr>
          <w:rStyle w:val="markedcontent"/>
          <w:rFonts w:eastAsiaTheme="majorEastAsia"/>
          <w:i/>
          <w:iCs/>
        </w:rPr>
        <w:t>nvironmental Impact Assessment Review</w:t>
      </w:r>
      <w:r w:rsidRPr="00E174F4">
        <w:rPr>
          <w:rStyle w:val="markedcontent"/>
          <w:rFonts w:eastAsiaTheme="majorEastAsia"/>
        </w:rPr>
        <w:t xml:space="preserve"> 72 (2018) 79–87</w:t>
      </w:r>
      <w:r>
        <w:rPr>
          <w:rStyle w:val="markedcontent"/>
          <w:rFonts w:eastAsiaTheme="majorEastAsia"/>
        </w:rPr>
        <w:t>.</w:t>
      </w:r>
    </w:p>
    <w:p w14:paraId="0F6D0EF8" w14:textId="4776826B" w:rsidR="00AE4611" w:rsidRPr="00E174F4" w:rsidRDefault="000C172D" w:rsidP="00F37A8F">
      <w:pPr>
        <w:spacing w:line="480" w:lineRule="auto"/>
        <w:ind w:left="720" w:hanging="720"/>
        <w:jc w:val="both"/>
      </w:pPr>
      <w:r w:rsidRPr="00E174F4">
        <w:t xml:space="preserve">Mounir, Z. M. (2015) Evaluation of the Quality of Environmental Impact Assessment Reports Using Lee and Colley Package in Niger </w:t>
      </w:r>
      <w:r w:rsidR="0003105A" w:rsidRPr="00E174F4">
        <w:t>Republic.</w:t>
      </w:r>
      <w:r w:rsidRPr="00E174F4">
        <w:t xml:space="preserve"> Modern Applied Science; </w:t>
      </w:r>
      <w:r w:rsidR="0043071A">
        <w:t>(</w:t>
      </w:r>
      <w:r w:rsidRPr="00E174F4">
        <w:t>9</w:t>
      </w:r>
      <w:r w:rsidR="0043071A">
        <w:t>)</w:t>
      </w:r>
      <w:r w:rsidRPr="00E174F4">
        <w:t xml:space="preserve">, 1; ISSN 1913-1844 E-ISSN 1913-1852 Published by Canadian </w:t>
      </w:r>
      <w:proofErr w:type="spellStart"/>
      <w:r w:rsidRPr="00E174F4">
        <w:t>Center</w:t>
      </w:r>
      <w:proofErr w:type="spellEnd"/>
      <w:r w:rsidRPr="00E174F4">
        <w:t xml:space="preserve"> of Science and Education</w:t>
      </w:r>
      <w:r w:rsidR="00F37A8F">
        <w:t>.</w:t>
      </w:r>
    </w:p>
    <w:p w14:paraId="65E3EBB3" w14:textId="77777777" w:rsidR="004F704B" w:rsidRPr="00D85B8C" w:rsidRDefault="000C172D" w:rsidP="00F37A8F">
      <w:pPr>
        <w:spacing w:line="480" w:lineRule="auto"/>
        <w:ind w:left="720" w:hanging="720"/>
        <w:jc w:val="both"/>
        <w:rPr>
          <w:color w:val="000000" w:themeColor="text1"/>
        </w:rPr>
      </w:pPr>
      <w:r w:rsidRPr="00D85B8C">
        <w:rPr>
          <w:color w:val="222222"/>
          <w:shd w:val="clear" w:color="auto" w:fill="FFFFFF"/>
        </w:rPr>
        <w:t>Morrison-Saunders, A., &amp; Bailey, J. (2000). Transparency in environment impact assessment decision-making: recent developments in Western Australia.</w:t>
      </w:r>
      <w:r w:rsidR="00F37A8F">
        <w:rPr>
          <w:color w:val="222222"/>
          <w:shd w:val="clear" w:color="auto" w:fill="FFFFFF"/>
        </w:rPr>
        <w:t xml:space="preserve"> </w:t>
      </w:r>
      <w:r w:rsidRPr="00D85B8C">
        <w:rPr>
          <w:i/>
          <w:iCs/>
          <w:color w:val="222222"/>
          <w:shd w:val="clear" w:color="auto" w:fill="FFFFFF"/>
        </w:rPr>
        <w:t>Impact Assessment and Project Appraisal</w:t>
      </w:r>
      <w:r w:rsidRPr="00D85B8C">
        <w:rPr>
          <w:color w:val="222222"/>
          <w:shd w:val="clear" w:color="auto" w:fill="FFFFFF"/>
        </w:rPr>
        <w:t>,</w:t>
      </w:r>
      <w:r w:rsidR="00F37A8F">
        <w:rPr>
          <w:color w:val="222222"/>
          <w:shd w:val="clear" w:color="auto" w:fill="FFFFFF"/>
        </w:rPr>
        <w:t xml:space="preserve"> </w:t>
      </w:r>
      <w:r w:rsidRPr="00D85B8C">
        <w:rPr>
          <w:i/>
          <w:iCs/>
          <w:color w:val="222222"/>
          <w:shd w:val="clear" w:color="auto" w:fill="FFFFFF"/>
        </w:rPr>
        <w:t>18</w:t>
      </w:r>
      <w:r w:rsidRPr="00D85B8C">
        <w:rPr>
          <w:color w:val="222222"/>
          <w:shd w:val="clear" w:color="auto" w:fill="FFFFFF"/>
        </w:rPr>
        <w:t>(4), 260-270.</w:t>
      </w:r>
    </w:p>
    <w:p w14:paraId="73D6274A" w14:textId="77777777" w:rsidR="00250954" w:rsidRPr="002C45FA" w:rsidRDefault="000C172D" w:rsidP="00F37A8F">
      <w:pPr>
        <w:spacing w:line="480" w:lineRule="auto"/>
        <w:ind w:left="720" w:hanging="720"/>
        <w:jc w:val="both"/>
        <w:rPr>
          <w:color w:val="222222"/>
          <w:shd w:val="clear" w:color="auto" w:fill="FFFFFF"/>
        </w:rPr>
      </w:pPr>
      <w:r w:rsidRPr="002C45FA">
        <w:rPr>
          <w:color w:val="222222"/>
          <w:shd w:val="clear" w:color="auto" w:fill="FFFFFF"/>
        </w:rPr>
        <w:t>Morgan, R. K. (2012). Environmental impact assessment: the state of the art.</w:t>
      </w:r>
      <w:r w:rsidR="00732A9D">
        <w:rPr>
          <w:color w:val="222222"/>
          <w:shd w:val="clear" w:color="auto" w:fill="FFFFFF"/>
        </w:rPr>
        <w:t xml:space="preserve"> Journal of </w:t>
      </w:r>
      <w:r w:rsidRPr="002C45FA">
        <w:rPr>
          <w:i/>
          <w:iCs/>
          <w:color w:val="222222"/>
          <w:shd w:val="clear" w:color="auto" w:fill="FFFFFF"/>
        </w:rPr>
        <w:t>Impact assessment and project appraisal</w:t>
      </w:r>
      <w:r w:rsidRPr="002C45FA">
        <w:rPr>
          <w:color w:val="222222"/>
          <w:shd w:val="clear" w:color="auto" w:fill="FFFFFF"/>
        </w:rPr>
        <w:t>,</w:t>
      </w:r>
      <w:r w:rsidR="00732A9D">
        <w:rPr>
          <w:color w:val="222222"/>
          <w:shd w:val="clear" w:color="auto" w:fill="FFFFFF"/>
        </w:rPr>
        <w:t xml:space="preserve"> </w:t>
      </w:r>
      <w:r w:rsidRPr="002C45FA">
        <w:rPr>
          <w:i/>
          <w:iCs/>
          <w:color w:val="222222"/>
          <w:shd w:val="clear" w:color="auto" w:fill="FFFFFF"/>
        </w:rPr>
        <w:t>30</w:t>
      </w:r>
      <w:r w:rsidR="00F37A8F">
        <w:rPr>
          <w:i/>
          <w:iCs/>
          <w:color w:val="222222"/>
          <w:shd w:val="clear" w:color="auto" w:fill="FFFFFF"/>
        </w:rPr>
        <w:t xml:space="preserve"> </w:t>
      </w:r>
      <w:r w:rsidRPr="002C45FA">
        <w:rPr>
          <w:color w:val="222222"/>
          <w:shd w:val="clear" w:color="auto" w:fill="FFFFFF"/>
        </w:rPr>
        <w:t>(1), 5-14.</w:t>
      </w:r>
    </w:p>
    <w:p w14:paraId="79AE25FC" w14:textId="77777777" w:rsidR="00220EBA" w:rsidRPr="00E174F4" w:rsidRDefault="000C172D" w:rsidP="00F37A8F">
      <w:pPr>
        <w:spacing w:line="480" w:lineRule="auto"/>
        <w:ind w:left="720" w:hanging="720"/>
        <w:jc w:val="both"/>
        <w:rPr>
          <w:rStyle w:val="markedcontent"/>
          <w:color w:val="222222"/>
          <w:shd w:val="clear" w:color="auto" w:fill="FFFFFF"/>
        </w:rPr>
      </w:pPr>
      <w:r w:rsidRPr="00E174F4">
        <w:rPr>
          <w:color w:val="222222"/>
          <w:shd w:val="clear" w:color="auto" w:fill="FFFFFF"/>
        </w:rPr>
        <w:t xml:space="preserve">Mustafa, E. S. I., &amp; ESCWA, U. (2001). Evaluation of environmental impact </w:t>
      </w:r>
      <w:r w:rsidR="00BE01C3" w:rsidRPr="00E174F4">
        <w:rPr>
          <w:color w:val="222222"/>
          <w:shd w:val="clear" w:color="auto" w:fill="FFFFFF"/>
        </w:rPr>
        <w:t>assessment</w:t>
      </w:r>
      <w:r w:rsidRPr="00E174F4">
        <w:rPr>
          <w:color w:val="222222"/>
          <w:shd w:val="clear" w:color="auto" w:fill="FFFFFF"/>
        </w:rPr>
        <w:t xml:space="preserve"> in selected ESCWA countries/by El-Sayeda I. Moustafa.</w:t>
      </w:r>
    </w:p>
    <w:p w14:paraId="28F4282A" w14:textId="77777777" w:rsidR="003D6C56" w:rsidRDefault="000C172D" w:rsidP="00F37A8F">
      <w:pPr>
        <w:spacing w:line="480" w:lineRule="auto"/>
        <w:ind w:left="720" w:hanging="720"/>
        <w:jc w:val="both"/>
        <w:rPr>
          <w:color w:val="222222"/>
          <w:shd w:val="clear" w:color="auto" w:fill="FFFFFF"/>
        </w:rPr>
      </w:pPr>
      <w:r w:rsidRPr="00E174F4">
        <w:rPr>
          <w:color w:val="222222"/>
          <w:shd w:val="clear" w:color="auto" w:fill="FFFFFF"/>
        </w:rPr>
        <w:lastRenderedPageBreak/>
        <w:t>Nangombe, L. R. (2021).</w:t>
      </w:r>
      <w:r w:rsidR="00732A9D">
        <w:rPr>
          <w:color w:val="222222"/>
          <w:shd w:val="clear" w:color="auto" w:fill="FFFFFF"/>
        </w:rPr>
        <w:t xml:space="preserve"> </w:t>
      </w:r>
      <w:r w:rsidRPr="00732A9D">
        <w:rPr>
          <w:color w:val="222222"/>
          <w:shd w:val="clear" w:color="auto" w:fill="FFFFFF"/>
        </w:rPr>
        <w:t>Evaluation of environmental impact assessments in coastal</w:t>
      </w:r>
      <w:r w:rsidR="00F37A8F">
        <w:rPr>
          <w:color w:val="222222"/>
          <w:shd w:val="clear" w:color="auto" w:fill="FFFFFF"/>
        </w:rPr>
        <w:t xml:space="preserve"> </w:t>
      </w:r>
      <w:r w:rsidRPr="00732A9D">
        <w:rPr>
          <w:color w:val="222222"/>
          <w:shd w:val="clear" w:color="auto" w:fill="FFFFFF"/>
        </w:rPr>
        <w:t xml:space="preserve">management: a case of the </w:t>
      </w:r>
      <w:proofErr w:type="spellStart"/>
      <w:r w:rsidRPr="00732A9D">
        <w:rPr>
          <w:color w:val="222222"/>
          <w:shd w:val="clear" w:color="auto" w:fill="FFFFFF"/>
        </w:rPr>
        <w:t>Erongo</w:t>
      </w:r>
      <w:proofErr w:type="spellEnd"/>
      <w:r w:rsidRPr="00732A9D">
        <w:rPr>
          <w:color w:val="222222"/>
          <w:shd w:val="clear" w:color="auto" w:fill="FFFFFF"/>
        </w:rPr>
        <w:t xml:space="preserve"> region in Namibia</w:t>
      </w:r>
      <w:r w:rsidR="00732A9D">
        <w:rPr>
          <w:color w:val="222222"/>
          <w:shd w:val="clear" w:color="auto" w:fill="FFFFFF"/>
        </w:rPr>
        <w:t xml:space="preserve"> </w:t>
      </w:r>
      <w:r w:rsidRPr="00E174F4">
        <w:rPr>
          <w:color w:val="222222"/>
          <w:shd w:val="clear" w:color="auto" w:fill="FFFFFF"/>
        </w:rPr>
        <w:t>(Doctoral dissertation, Stellenbosch: Stellenbosch University).</w:t>
      </w:r>
    </w:p>
    <w:p w14:paraId="39B59139" w14:textId="7AFD2EE2" w:rsidR="000A6C28" w:rsidRDefault="005E6B9A" w:rsidP="00F37A8F">
      <w:pPr>
        <w:spacing w:line="480" w:lineRule="auto"/>
        <w:ind w:left="720" w:hanging="720"/>
        <w:jc w:val="both"/>
        <w:rPr>
          <w:color w:val="222222"/>
          <w:shd w:val="clear" w:color="auto" w:fill="FFFFFF"/>
        </w:rPr>
      </w:pPr>
      <w:r>
        <w:t>N</w:t>
      </w:r>
      <w:r w:rsidRPr="00C5120A">
        <w:t xml:space="preserve">ational </w:t>
      </w:r>
      <w:r>
        <w:t>P</w:t>
      </w:r>
      <w:r w:rsidRPr="00C5120A">
        <w:t>lanning</w:t>
      </w:r>
      <w:r>
        <w:t xml:space="preserve"> C</w:t>
      </w:r>
      <w:r w:rsidRPr="00C5120A">
        <w:t>ommission</w:t>
      </w:r>
      <w:r w:rsidR="00860E1F">
        <w:t xml:space="preserve"> [NPC]</w:t>
      </w:r>
      <w:r w:rsidRPr="00C5120A">
        <w:t xml:space="preserve"> (2015) </w:t>
      </w:r>
      <w:r>
        <w:t>P</w:t>
      </w:r>
      <w:r w:rsidRPr="00C5120A">
        <w:t xml:space="preserve">olicy </w:t>
      </w:r>
      <w:r>
        <w:t>B</w:t>
      </w:r>
      <w:r w:rsidRPr="00C5120A">
        <w:t xml:space="preserve">rief. </w:t>
      </w:r>
      <w:r>
        <w:t>P</w:t>
      </w:r>
      <w:r w:rsidRPr="00C5120A">
        <w:t>opulation</w:t>
      </w:r>
      <w:r>
        <w:t xml:space="preserve"> D</w:t>
      </w:r>
      <w:r w:rsidRPr="00C5120A">
        <w:t xml:space="preserve">ynamics, </w:t>
      </w:r>
      <w:r>
        <w:t>O</w:t>
      </w:r>
      <w:r w:rsidRPr="00C5120A">
        <w:t>ffice of the</w:t>
      </w:r>
      <w:r>
        <w:t xml:space="preserve"> P</w:t>
      </w:r>
      <w:r w:rsidRPr="00C5120A">
        <w:t>resident</w:t>
      </w:r>
      <w:r>
        <w:t>, Windhoek, R</w:t>
      </w:r>
      <w:r w:rsidRPr="00C5120A">
        <w:t xml:space="preserve">epublic of </w:t>
      </w:r>
      <w:r>
        <w:t>N</w:t>
      </w:r>
      <w:r w:rsidRPr="00C5120A">
        <w:t>amibia</w:t>
      </w:r>
      <w:r>
        <w:t>.</w:t>
      </w:r>
    </w:p>
    <w:p w14:paraId="059119DE" w14:textId="77777777" w:rsidR="00F37A8F" w:rsidRDefault="000C172D" w:rsidP="00F37A8F">
      <w:pPr>
        <w:spacing w:line="480" w:lineRule="auto"/>
        <w:ind w:left="720" w:hanging="720"/>
        <w:jc w:val="both"/>
        <w:rPr>
          <w:color w:val="222222"/>
          <w:shd w:val="clear" w:color="auto" w:fill="FFFFFF"/>
        </w:rPr>
      </w:pPr>
      <w:r w:rsidRPr="00CF215F">
        <w:rPr>
          <w:color w:val="222222"/>
          <w:shd w:val="clear" w:color="auto" w:fill="FFFFFF"/>
        </w:rPr>
        <w:t>Nshimbi, C. C., &amp; Fioramonti, L. (2014). The will to integrate: South Africa's responses to regional migration from the SADC region.</w:t>
      </w:r>
      <w:r w:rsidR="00BE01C3">
        <w:rPr>
          <w:color w:val="222222"/>
          <w:shd w:val="clear" w:color="auto" w:fill="FFFFFF"/>
        </w:rPr>
        <w:t xml:space="preserve"> </w:t>
      </w:r>
      <w:r w:rsidRPr="00CF215F">
        <w:rPr>
          <w:i/>
          <w:iCs/>
          <w:color w:val="222222"/>
          <w:shd w:val="clear" w:color="auto" w:fill="FFFFFF"/>
        </w:rPr>
        <w:t>African Development Review</w:t>
      </w:r>
      <w:r w:rsidRPr="00CF215F">
        <w:rPr>
          <w:color w:val="222222"/>
          <w:shd w:val="clear" w:color="auto" w:fill="FFFFFF"/>
        </w:rPr>
        <w:t>,</w:t>
      </w:r>
      <w:r w:rsidR="00732A9D">
        <w:rPr>
          <w:color w:val="222222"/>
          <w:shd w:val="clear" w:color="auto" w:fill="FFFFFF"/>
        </w:rPr>
        <w:t xml:space="preserve"> </w:t>
      </w:r>
      <w:r w:rsidRPr="00CF215F">
        <w:rPr>
          <w:i/>
          <w:iCs/>
          <w:color w:val="222222"/>
          <w:shd w:val="clear" w:color="auto" w:fill="FFFFFF"/>
        </w:rPr>
        <w:t>26</w:t>
      </w:r>
      <w:r w:rsidRPr="00CF215F">
        <w:rPr>
          <w:color w:val="222222"/>
          <w:shd w:val="clear" w:color="auto" w:fill="FFFFFF"/>
        </w:rPr>
        <w:t>(S1), 52-63.</w:t>
      </w:r>
    </w:p>
    <w:p w14:paraId="14A766B4" w14:textId="77777777" w:rsidR="00860E1F" w:rsidRDefault="00860E1F" w:rsidP="00860E1F">
      <w:pPr>
        <w:spacing w:line="480" w:lineRule="auto"/>
        <w:ind w:left="720" w:hanging="720"/>
        <w:jc w:val="both"/>
      </w:pPr>
      <w:r>
        <w:t xml:space="preserve">Organisation for Economic Co-operation and Development [OECD]. (2016), </w:t>
      </w:r>
      <w:r>
        <w:rPr>
          <w:i/>
          <w:iCs/>
        </w:rPr>
        <w:t>OECD Environmental Performance Reviews: Chile 2016</w:t>
      </w:r>
      <w:r>
        <w:t xml:space="preserve">, OECD Environmental Performance Reviews, OECD Publishing, Paris, </w:t>
      </w:r>
      <w:hyperlink r:id="rId22" w:history="1">
        <w:r>
          <w:rPr>
            <w:rStyle w:val="Hyperlink"/>
            <w:rFonts w:eastAsiaTheme="majorEastAsia"/>
          </w:rPr>
          <w:t>https://doi.org/10.1787/9789264252615-en</w:t>
        </w:r>
      </w:hyperlink>
      <w:r>
        <w:t xml:space="preserve">. </w:t>
      </w:r>
    </w:p>
    <w:p w14:paraId="72AB99A8" w14:textId="6697CFB9" w:rsidR="00F37A8F" w:rsidRPr="00F37A8F" w:rsidRDefault="000C172D" w:rsidP="00F37A8F">
      <w:pPr>
        <w:spacing w:line="480" w:lineRule="auto"/>
        <w:ind w:left="720" w:hanging="720"/>
        <w:jc w:val="both"/>
        <w:rPr>
          <w:color w:val="222222"/>
          <w:shd w:val="clear" w:color="auto" w:fill="FFFFFF"/>
        </w:rPr>
      </w:pPr>
      <w:r>
        <w:t>Project Management Institute</w:t>
      </w:r>
      <w:r w:rsidR="00860E1F">
        <w:t xml:space="preserve"> [PMI]</w:t>
      </w:r>
      <w:r>
        <w:t xml:space="preserve">. (2017). </w:t>
      </w:r>
      <w:r>
        <w:rPr>
          <w:i/>
          <w:iCs/>
        </w:rPr>
        <w:t>A guide to the Project Management Body of Knowledge (PMBOK guide)</w:t>
      </w:r>
      <w:r>
        <w:t xml:space="preserve"> (6th ed.). Project Management Institute.</w:t>
      </w:r>
    </w:p>
    <w:p w14:paraId="3C32B9D8" w14:textId="77777777" w:rsidR="00BE52E6" w:rsidRDefault="000C172D" w:rsidP="00F37A8F">
      <w:pPr>
        <w:spacing w:line="480" w:lineRule="auto"/>
        <w:ind w:left="720" w:hanging="720"/>
        <w:jc w:val="both"/>
        <w:rPr>
          <w:color w:val="222222"/>
          <w:shd w:val="clear" w:color="auto" w:fill="FFFFFF"/>
        </w:rPr>
      </w:pPr>
      <w:r w:rsidRPr="00E174F4">
        <w:rPr>
          <w:color w:val="222222"/>
          <w:shd w:val="clear" w:color="auto" w:fill="FFFFFF"/>
        </w:rPr>
        <w:t>Roe, B. (2020). Slaying the Leviathan: How Inconsistent Restrictions on State Immunity Undermine the Rule of Law.</w:t>
      </w:r>
      <w:r w:rsidR="00732A9D">
        <w:rPr>
          <w:color w:val="222222"/>
          <w:shd w:val="clear" w:color="auto" w:fill="FFFFFF"/>
        </w:rPr>
        <w:t xml:space="preserve"> </w:t>
      </w:r>
      <w:r w:rsidRPr="00E174F4">
        <w:rPr>
          <w:i/>
          <w:iCs/>
          <w:color w:val="222222"/>
          <w:shd w:val="clear" w:color="auto" w:fill="FFFFFF"/>
        </w:rPr>
        <w:t>Am. U. Int'l L. Rev.</w:t>
      </w:r>
      <w:r w:rsidRPr="00E174F4">
        <w:rPr>
          <w:color w:val="222222"/>
          <w:shd w:val="clear" w:color="auto" w:fill="FFFFFF"/>
        </w:rPr>
        <w:t>,</w:t>
      </w:r>
      <w:r w:rsidRPr="00E174F4">
        <w:rPr>
          <w:i/>
          <w:iCs/>
          <w:color w:val="222222"/>
          <w:shd w:val="clear" w:color="auto" w:fill="FFFFFF"/>
        </w:rPr>
        <w:t>36</w:t>
      </w:r>
      <w:r w:rsidRPr="00E174F4">
        <w:rPr>
          <w:color w:val="222222"/>
          <w:shd w:val="clear" w:color="auto" w:fill="FFFFFF"/>
        </w:rPr>
        <w:t>, 105.</w:t>
      </w:r>
    </w:p>
    <w:p w14:paraId="372D001A" w14:textId="77777777" w:rsidR="00860E1F" w:rsidRPr="00D32908" w:rsidRDefault="00860E1F" w:rsidP="00860E1F">
      <w:pPr>
        <w:spacing w:line="480" w:lineRule="auto"/>
        <w:ind w:left="720" w:hanging="720"/>
        <w:jc w:val="both"/>
      </w:pPr>
      <w:r>
        <w:rPr>
          <w:rStyle w:val="markedcontent"/>
          <w:rFonts w:eastAsiaTheme="majorEastAsia"/>
        </w:rPr>
        <w:t xml:space="preserve">Republic of Namibia. </w:t>
      </w:r>
      <w:r w:rsidRPr="00D32908">
        <w:rPr>
          <w:rStyle w:val="markedcontent"/>
          <w:rFonts w:eastAsiaTheme="majorEastAsia"/>
        </w:rPr>
        <w:t>(2000).</w:t>
      </w:r>
      <w:r w:rsidRPr="00D32908">
        <w:rPr>
          <w:rStyle w:val="Heading1Char"/>
          <w:rFonts w:cs="Times New Roman"/>
          <w:szCs w:val="24"/>
        </w:rPr>
        <w:t xml:space="preserve"> </w:t>
      </w:r>
      <w:r w:rsidRPr="001C226B">
        <w:rPr>
          <w:rStyle w:val="markedcontent"/>
          <w:rFonts w:eastAsiaTheme="majorEastAsia"/>
          <w:i/>
          <w:iCs/>
        </w:rPr>
        <w:t>Decentralisation Enabling Act 33 of 2000</w:t>
      </w:r>
      <w:r>
        <w:rPr>
          <w:rStyle w:val="markedcontent"/>
          <w:rFonts w:eastAsiaTheme="majorEastAsia"/>
        </w:rPr>
        <w:t xml:space="preserve">. </w:t>
      </w:r>
      <w:r w:rsidRPr="005C20B9">
        <w:rPr>
          <w:rStyle w:val="markedcontent"/>
          <w:rFonts w:eastAsiaTheme="majorEastAsia"/>
        </w:rPr>
        <w:t>https://www.lac.org.na/laws/annoSTAT/Decentralisation%20Enabling%20Act%2033%20of%202000.pdf</w:t>
      </w:r>
    </w:p>
    <w:p w14:paraId="01105808" w14:textId="41C1B043" w:rsidR="00242A19" w:rsidRPr="00E174F4" w:rsidRDefault="000C172D" w:rsidP="00F37A8F">
      <w:pPr>
        <w:spacing w:line="480" w:lineRule="auto"/>
        <w:ind w:left="720" w:hanging="720"/>
        <w:jc w:val="both"/>
        <w:rPr>
          <w:rFonts w:eastAsia="Calibri"/>
        </w:rPr>
      </w:pPr>
      <w:r w:rsidRPr="00E174F4">
        <w:rPr>
          <w:rFonts w:eastAsia="Calibri"/>
        </w:rPr>
        <w:t>Retief, F., Bond</w:t>
      </w:r>
      <w:r w:rsidR="00860E1F">
        <w:rPr>
          <w:rFonts w:eastAsia="Calibri"/>
        </w:rPr>
        <w:t>,</w:t>
      </w:r>
      <w:r w:rsidRPr="00E174F4">
        <w:rPr>
          <w:rFonts w:eastAsia="Calibri"/>
        </w:rPr>
        <w:t xml:space="preserve"> A., Pope J., Morrison-Saunders A., &amp; King N. (2016). Global megatrends and their implications for environmental assessment practice.</w:t>
      </w:r>
      <w:r w:rsidR="007D1175" w:rsidRPr="00E174F4">
        <w:rPr>
          <w:rFonts w:eastAsia="Calibri"/>
        </w:rPr>
        <w:t xml:space="preserve"> </w:t>
      </w:r>
      <w:r w:rsidRPr="00E174F4">
        <w:rPr>
          <w:rFonts w:eastAsia="Calibri"/>
        </w:rPr>
        <w:t>About.</w:t>
      </w:r>
      <w:r w:rsidR="007D1175" w:rsidRPr="00E174F4">
        <w:rPr>
          <w:rFonts w:eastAsia="Calibri"/>
        </w:rPr>
        <w:t xml:space="preserve"> </w:t>
      </w:r>
      <w:r w:rsidRPr="00E174F4">
        <w:rPr>
          <w:rFonts w:eastAsia="Calibri"/>
          <w:i/>
        </w:rPr>
        <w:t>Impact Assess</w:t>
      </w:r>
      <w:r w:rsidR="007D1175" w:rsidRPr="00E174F4">
        <w:rPr>
          <w:rFonts w:eastAsia="Calibri"/>
          <w:i/>
        </w:rPr>
        <w:t>ment</w:t>
      </w:r>
      <w:r w:rsidRPr="00E174F4">
        <w:rPr>
          <w:rFonts w:eastAsia="Calibri"/>
          <w:i/>
        </w:rPr>
        <w:t>.</w:t>
      </w:r>
      <w:r w:rsidR="007D1175" w:rsidRPr="00E174F4">
        <w:rPr>
          <w:rFonts w:eastAsia="Calibri"/>
          <w:i/>
        </w:rPr>
        <w:t xml:space="preserve"> </w:t>
      </w:r>
      <w:r w:rsidRPr="00E174F4">
        <w:rPr>
          <w:rFonts w:eastAsia="Calibri"/>
          <w:i/>
        </w:rPr>
        <w:t>Rev</w:t>
      </w:r>
      <w:r w:rsidR="007D1175" w:rsidRPr="00E174F4">
        <w:rPr>
          <w:rFonts w:eastAsia="Calibri"/>
          <w:i/>
        </w:rPr>
        <w:t>iew</w:t>
      </w:r>
      <w:r w:rsidRPr="00E174F4">
        <w:rPr>
          <w:rFonts w:eastAsia="Calibri"/>
        </w:rPr>
        <w:t>.</w:t>
      </w:r>
      <w:r w:rsidR="007D1175" w:rsidRPr="00E174F4">
        <w:rPr>
          <w:rFonts w:eastAsia="Calibri"/>
        </w:rPr>
        <w:t xml:space="preserve"> </w:t>
      </w:r>
      <w:r w:rsidRPr="00E174F4">
        <w:rPr>
          <w:rFonts w:eastAsia="Calibri"/>
          <w:bCs/>
        </w:rPr>
        <w:t>61</w:t>
      </w:r>
      <w:r w:rsidRPr="00E174F4">
        <w:rPr>
          <w:rFonts w:eastAsia="Calibri"/>
        </w:rPr>
        <w:t>: 52–60.</w:t>
      </w:r>
    </w:p>
    <w:p w14:paraId="6B0DE619" w14:textId="77777777" w:rsidR="002F1141" w:rsidRDefault="000C172D" w:rsidP="00F37A8F">
      <w:pPr>
        <w:spacing w:line="480" w:lineRule="auto"/>
        <w:ind w:left="720" w:hanging="720"/>
        <w:jc w:val="both"/>
        <w:rPr>
          <w:color w:val="222222"/>
          <w:shd w:val="clear" w:color="auto" w:fill="FFFFFF"/>
        </w:rPr>
      </w:pPr>
      <w:r w:rsidRPr="00E174F4">
        <w:rPr>
          <w:color w:val="222222"/>
          <w:shd w:val="clear" w:color="auto" w:fill="FFFFFF"/>
        </w:rPr>
        <w:t>Ruppel, O. C., &amp; Ruppel-Schlichting, K. (Eds.). (2011).</w:t>
      </w:r>
      <w:r w:rsidR="00BE01C3">
        <w:rPr>
          <w:color w:val="222222"/>
          <w:shd w:val="clear" w:color="auto" w:fill="FFFFFF"/>
        </w:rPr>
        <w:t xml:space="preserve"> </w:t>
      </w:r>
      <w:r w:rsidRPr="00E174F4">
        <w:rPr>
          <w:i/>
          <w:iCs/>
          <w:color w:val="222222"/>
          <w:shd w:val="clear" w:color="auto" w:fill="FFFFFF"/>
        </w:rPr>
        <w:t>Environmental law and policy in Namibia</w:t>
      </w:r>
      <w:r w:rsidRPr="00E174F4">
        <w:rPr>
          <w:color w:val="222222"/>
          <w:shd w:val="clear" w:color="auto" w:fill="FFFFFF"/>
        </w:rPr>
        <w:t>. Hanns Seidel Foundation.</w:t>
      </w:r>
    </w:p>
    <w:p w14:paraId="6D78D37B" w14:textId="77777777" w:rsidR="00FD1CC1" w:rsidRPr="00E174F4" w:rsidRDefault="00FD1CC1" w:rsidP="00FD1CC1">
      <w:pPr>
        <w:widowControl w:val="0"/>
        <w:autoSpaceDE w:val="0"/>
        <w:autoSpaceDN w:val="0"/>
        <w:adjustRightInd w:val="0"/>
        <w:spacing w:line="480" w:lineRule="auto"/>
        <w:ind w:left="480" w:hanging="480"/>
        <w:jc w:val="both"/>
        <w:rPr>
          <w:rStyle w:val="markedcontent"/>
          <w:rFonts w:eastAsiaTheme="majorEastAsia"/>
        </w:rPr>
      </w:pPr>
      <w:bookmarkStart w:id="29" w:name="_Hlk152323950"/>
      <w:r w:rsidRPr="001C226B">
        <w:rPr>
          <w:rStyle w:val="markedcontent"/>
          <w:rFonts w:eastAsiaTheme="majorEastAsia"/>
          <w:lang w:val="nl-NL"/>
        </w:rPr>
        <w:t xml:space="preserve">Sandham, L. A., Van Heerden, A.J., Jones, C.E., Retief, F.P. &amp; Morrison-Saunders, A.N., (2013). </w:t>
      </w:r>
      <w:r w:rsidRPr="00E174F4">
        <w:rPr>
          <w:rStyle w:val="markedcontent"/>
          <w:rFonts w:eastAsiaTheme="majorEastAsia"/>
        </w:rPr>
        <w:lastRenderedPageBreak/>
        <w:t xml:space="preserve">Does enhanced regulation improve EIA report quality? Lessons from South Africa, </w:t>
      </w:r>
      <w:r w:rsidRPr="00732A9D">
        <w:rPr>
          <w:i/>
          <w:iCs/>
        </w:rPr>
        <w:t>Journal</w:t>
      </w:r>
      <w:r w:rsidRPr="00732A9D">
        <w:rPr>
          <w:rStyle w:val="markedcontent"/>
          <w:rFonts w:eastAsiaTheme="majorEastAsia"/>
          <w:i/>
          <w:iCs/>
        </w:rPr>
        <w:t xml:space="preserve"> Environmental Impact Assessment Review</w:t>
      </w:r>
      <w:r w:rsidRPr="00E174F4">
        <w:rPr>
          <w:rStyle w:val="markedcontent"/>
          <w:rFonts w:eastAsiaTheme="majorEastAsia"/>
        </w:rPr>
        <w:t xml:space="preserve"> 38</w:t>
      </w:r>
      <w:r>
        <w:rPr>
          <w:rStyle w:val="markedcontent"/>
          <w:rFonts w:eastAsiaTheme="majorEastAsia"/>
        </w:rPr>
        <w:t xml:space="preserve"> </w:t>
      </w:r>
      <w:r w:rsidRPr="00E174F4">
        <w:rPr>
          <w:rStyle w:val="markedcontent"/>
          <w:rFonts w:eastAsiaTheme="majorEastAsia"/>
        </w:rPr>
        <w:t>(1), 155–162. doi.org/10.1016/j.eiar.2012.08.001</w:t>
      </w:r>
      <w:r>
        <w:rPr>
          <w:rStyle w:val="markedcontent"/>
          <w:rFonts w:eastAsiaTheme="majorEastAsia"/>
        </w:rPr>
        <w:t>.</w:t>
      </w:r>
    </w:p>
    <w:p w14:paraId="4F560DDE" w14:textId="77777777" w:rsidR="00FD1CC1" w:rsidRPr="00E174F4" w:rsidRDefault="00FD1CC1" w:rsidP="00FD1CC1">
      <w:pPr>
        <w:spacing w:line="480" w:lineRule="auto"/>
        <w:ind w:left="720" w:hanging="720"/>
        <w:jc w:val="both"/>
      </w:pPr>
      <w:bookmarkStart w:id="30" w:name="_Hlk152324029"/>
      <w:bookmarkEnd w:id="29"/>
      <w:r w:rsidRPr="00E174F4">
        <w:t>Sinclair, A.</w:t>
      </w:r>
      <w:r>
        <w:t xml:space="preserve"> </w:t>
      </w:r>
      <w:r w:rsidRPr="00E174F4">
        <w:t xml:space="preserve">J, Peirson-Smith T.J., &amp; </w:t>
      </w:r>
      <w:proofErr w:type="spellStart"/>
      <w:r w:rsidRPr="00E174F4">
        <w:t>Boerchers</w:t>
      </w:r>
      <w:proofErr w:type="spellEnd"/>
      <w:r w:rsidRPr="00E174F4">
        <w:t>, M. (2017</w:t>
      </w:r>
      <w:r>
        <w:t>)</w:t>
      </w:r>
      <w:r w:rsidRPr="00E174F4">
        <w:t>. Environmental assessments in the Internet age: the role of e-governance and social media in creating platforms for meaningful participation</w:t>
      </w:r>
      <w:r>
        <w:t>.</w:t>
      </w:r>
      <w:r w:rsidRPr="00E174F4">
        <w:t xml:space="preserve"> </w:t>
      </w:r>
      <w:r w:rsidRPr="00732A9D">
        <w:rPr>
          <w:i/>
          <w:iCs/>
        </w:rPr>
        <w:t>Journal Impact Assessment and Project Appraisal</w:t>
      </w:r>
      <w:r w:rsidRPr="00E174F4">
        <w:t>, 35</w:t>
      </w:r>
      <w:r>
        <w:t xml:space="preserve"> (</w:t>
      </w:r>
      <w:r w:rsidRPr="00E174F4">
        <w:t>2</w:t>
      </w:r>
      <w:r>
        <w:t>)</w:t>
      </w:r>
      <w:r w:rsidRPr="00E174F4">
        <w:t>, 148-157, DOI: 10.1080/14615517.2016.1251697</w:t>
      </w:r>
      <w:r>
        <w:t>.</w:t>
      </w:r>
    </w:p>
    <w:p w14:paraId="335EE4FA" w14:textId="77777777" w:rsidR="00FD1CC1" w:rsidRPr="00E174F4" w:rsidRDefault="00FD1CC1" w:rsidP="00FD1CC1">
      <w:pPr>
        <w:spacing w:line="480" w:lineRule="auto"/>
        <w:ind w:left="720" w:hanging="720"/>
        <w:jc w:val="both"/>
      </w:pPr>
      <w:proofErr w:type="spellStart"/>
      <w:r w:rsidRPr="00E174F4">
        <w:t>Sosovele</w:t>
      </w:r>
      <w:proofErr w:type="spellEnd"/>
      <w:r w:rsidRPr="00E174F4">
        <w:t xml:space="preserve">, H. (2011). Governance challenges in Tanzania’s environmental impact assessment practice. </w:t>
      </w:r>
      <w:r w:rsidRPr="00732A9D">
        <w:rPr>
          <w:i/>
          <w:iCs/>
        </w:rPr>
        <w:t>African Journal of Environmental Science and Technology</w:t>
      </w:r>
      <w:r w:rsidRPr="00E174F4">
        <w:t>. 5</w:t>
      </w:r>
      <w:r>
        <w:t xml:space="preserve"> </w:t>
      </w:r>
      <w:r w:rsidRPr="00E174F4">
        <w:t>(2), 126-130.</w:t>
      </w:r>
    </w:p>
    <w:p w14:paraId="5A8310CD" w14:textId="77777777" w:rsidR="00FD1CC1" w:rsidRPr="00E174F4" w:rsidRDefault="00FD1CC1" w:rsidP="00FD1CC1">
      <w:pPr>
        <w:spacing w:line="480" w:lineRule="auto"/>
        <w:ind w:left="720" w:hanging="720"/>
        <w:jc w:val="both"/>
        <w:rPr>
          <w:rFonts w:eastAsia="Calibri"/>
        </w:rPr>
      </w:pPr>
      <w:r w:rsidRPr="00E174F4">
        <w:rPr>
          <w:rFonts w:eastAsia="Calibri"/>
        </w:rPr>
        <w:t xml:space="preserve">United Nations Development Programme </w:t>
      </w:r>
      <w:r>
        <w:rPr>
          <w:rFonts w:eastAsia="Calibri"/>
        </w:rPr>
        <w:t>[</w:t>
      </w:r>
      <w:r w:rsidRPr="00E174F4">
        <w:rPr>
          <w:rFonts w:eastAsia="Calibri"/>
        </w:rPr>
        <w:t>UNDP</w:t>
      </w:r>
      <w:r>
        <w:rPr>
          <w:rFonts w:eastAsia="Calibri"/>
        </w:rPr>
        <w:t>]</w:t>
      </w:r>
      <w:r w:rsidRPr="00E174F4">
        <w:rPr>
          <w:rFonts w:eastAsia="Calibri"/>
        </w:rPr>
        <w:t xml:space="preserve">. (2011). </w:t>
      </w:r>
      <w:r w:rsidRPr="00E174F4">
        <w:rPr>
          <w:rFonts w:eastAsia="Calibri"/>
          <w:i/>
        </w:rPr>
        <w:t>Supporting Country-Led Democratic Governance Assessments</w:t>
      </w:r>
      <w:r w:rsidRPr="00E174F4">
        <w:rPr>
          <w:rFonts w:eastAsia="Calibri"/>
        </w:rPr>
        <w:t>. Practice Note.</w:t>
      </w:r>
    </w:p>
    <w:bookmarkEnd w:id="30"/>
    <w:p w14:paraId="71287B56" w14:textId="77777777" w:rsidR="00FD1CC1" w:rsidRDefault="00FD1CC1" w:rsidP="00FD1CC1">
      <w:pPr>
        <w:spacing w:line="480" w:lineRule="auto"/>
        <w:ind w:left="720" w:hanging="720"/>
        <w:jc w:val="both"/>
        <w:rPr>
          <w:color w:val="222222"/>
          <w:shd w:val="clear" w:color="auto" w:fill="FFFFFF"/>
        </w:rPr>
      </w:pPr>
      <w:proofErr w:type="spellStart"/>
      <w:r w:rsidRPr="00992DFF">
        <w:rPr>
          <w:color w:val="222222"/>
          <w:shd w:val="clear" w:color="auto" w:fill="FFFFFF"/>
        </w:rPr>
        <w:t>Vaismoradi</w:t>
      </w:r>
      <w:proofErr w:type="spellEnd"/>
      <w:r w:rsidRPr="00992DFF">
        <w:rPr>
          <w:color w:val="222222"/>
          <w:shd w:val="clear" w:color="auto" w:fill="FFFFFF"/>
        </w:rPr>
        <w:t xml:space="preserve">, M., Turunen, H., &amp; </w:t>
      </w:r>
      <w:proofErr w:type="spellStart"/>
      <w:r w:rsidRPr="00992DFF">
        <w:rPr>
          <w:color w:val="222222"/>
          <w:shd w:val="clear" w:color="auto" w:fill="FFFFFF"/>
        </w:rPr>
        <w:t>Bondas</w:t>
      </w:r>
      <w:proofErr w:type="spellEnd"/>
      <w:r w:rsidRPr="00992DFF">
        <w:rPr>
          <w:color w:val="222222"/>
          <w:shd w:val="clear" w:color="auto" w:fill="FFFFFF"/>
        </w:rPr>
        <w:t>, T. (2013). Content analysis and thematic analysis: Implications for conducting a qualitative descriptive study.</w:t>
      </w:r>
      <w:r>
        <w:rPr>
          <w:color w:val="222222"/>
          <w:shd w:val="clear" w:color="auto" w:fill="FFFFFF"/>
        </w:rPr>
        <w:t xml:space="preserve"> </w:t>
      </w:r>
      <w:r w:rsidRPr="00992DFF">
        <w:rPr>
          <w:i/>
          <w:iCs/>
          <w:color w:val="222222"/>
          <w:shd w:val="clear" w:color="auto" w:fill="FFFFFF"/>
        </w:rPr>
        <w:t>Nursing &amp; health sciences</w:t>
      </w:r>
      <w:r w:rsidRPr="00992DFF">
        <w:rPr>
          <w:color w:val="222222"/>
          <w:shd w:val="clear" w:color="auto" w:fill="FFFFFF"/>
        </w:rPr>
        <w:t>,</w:t>
      </w:r>
      <w:r>
        <w:rPr>
          <w:color w:val="222222"/>
          <w:shd w:val="clear" w:color="auto" w:fill="FFFFFF"/>
        </w:rPr>
        <w:t xml:space="preserve"> </w:t>
      </w:r>
      <w:r w:rsidRPr="00992DFF">
        <w:rPr>
          <w:i/>
          <w:iCs/>
          <w:color w:val="222222"/>
          <w:shd w:val="clear" w:color="auto" w:fill="FFFFFF"/>
        </w:rPr>
        <w:t>15</w:t>
      </w:r>
      <w:r>
        <w:rPr>
          <w:i/>
          <w:iCs/>
          <w:color w:val="222222"/>
          <w:shd w:val="clear" w:color="auto" w:fill="FFFFFF"/>
        </w:rPr>
        <w:t xml:space="preserve"> </w:t>
      </w:r>
      <w:r w:rsidRPr="00992DFF">
        <w:rPr>
          <w:color w:val="222222"/>
          <w:shd w:val="clear" w:color="auto" w:fill="FFFFFF"/>
        </w:rPr>
        <w:t>(3), 398-405.</w:t>
      </w:r>
    </w:p>
    <w:p w14:paraId="39107D8A" w14:textId="77777777" w:rsidR="00FD1CC1" w:rsidRPr="00373694" w:rsidRDefault="00FD1CC1" w:rsidP="00FD1CC1">
      <w:pPr>
        <w:spacing w:line="480" w:lineRule="auto"/>
        <w:ind w:left="720" w:hanging="720"/>
        <w:jc w:val="both"/>
        <w:rPr>
          <w:rStyle w:val="Hyperlink"/>
          <w:color w:val="222222"/>
          <w:u w:val="none"/>
          <w:shd w:val="clear" w:color="auto" w:fill="FFFFFF"/>
        </w:rPr>
      </w:pPr>
      <w:bookmarkStart w:id="31" w:name="_Hlk152324069"/>
      <w:r w:rsidRPr="00717859">
        <w:t>Williams, A., &amp; Dupuy, K.</w:t>
      </w:r>
      <w:r w:rsidRPr="00717859" w:rsidDel="00717859">
        <w:t xml:space="preserve"> </w:t>
      </w:r>
      <w:r w:rsidRPr="00373694">
        <w:t>(2017)</w:t>
      </w:r>
      <w:r>
        <w:t>.</w:t>
      </w:r>
      <w:r w:rsidRPr="00373694">
        <w:t xml:space="preserve"> Deciding over nature: Corruption and environmental impact assessments. </w:t>
      </w:r>
      <w:r w:rsidRPr="00373694">
        <w:rPr>
          <w:i/>
          <w:iCs/>
        </w:rPr>
        <w:t>Environmental Impact Assessment Review</w:t>
      </w:r>
      <w:r w:rsidRPr="00373694">
        <w:t>, 65, 118-124</w:t>
      </w:r>
      <w:r>
        <w:t>.</w:t>
      </w:r>
    </w:p>
    <w:bookmarkEnd w:id="31"/>
    <w:p w14:paraId="48ACF52B" w14:textId="77777777" w:rsidR="00FD1CC1" w:rsidRPr="00E174F4" w:rsidRDefault="00FD1CC1" w:rsidP="00FD1CC1">
      <w:pPr>
        <w:spacing w:line="480" w:lineRule="auto"/>
        <w:ind w:left="720" w:hanging="720"/>
        <w:jc w:val="both"/>
        <w:rPr>
          <w:rFonts w:eastAsia="Calibri"/>
        </w:rPr>
      </w:pPr>
      <w:r w:rsidRPr="00E174F4">
        <w:rPr>
          <w:rFonts w:eastAsia="Calibri"/>
        </w:rPr>
        <w:t xml:space="preserve">World Bank. (2011). </w:t>
      </w:r>
      <w:r w:rsidRPr="00E174F4">
        <w:rPr>
          <w:rFonts w:eastAsia="Calibri"/>
          <w:i/>
        </w:rPr>
        <w:t>Governance and Development</w:t>
      </w:r>
      <w:r w:rsidRPr="00E174F4">
        <w:rPr>
          <w:rFonts w:eastAsia="Calibri"/>
        </w:rPr>
        <w:t>. Washington D.C., The World Bank.</w:t>
      </w:r>
    </w:p>
    <w:p w14:paraId="59B3BF41" w14:textId="77777777" w:rsidR="00FD1CC1" w:rsidRPr="00666485" w:rsidRDefault="00FD1CC1" w:rsidP="00FD1CC1">
      <w:pPr>
        <w:widowControl w:val="0"/>
        <w:autoSpaceDE w:val="0"/>
        <w:autoSpaceDN w:val="0"/>
        <w:adjustRightInd w:val="0"/>
        <w:spacing w:line="480" w:lineRule="auto"/>
        <w:ind w:left="480" w:hanging="480"/>
        <w:jc w:val="both"/>
        <w:rPr>
          <w:shd w:val="clear" w:color="auto" w:fill="FFFFFF"/>
        </w:rPr>
      </w:pPr>
      <w:r w:rsidRPr="00666485">
        <w:rPr>
          <w:shd w:val="clear" w:color="auto" w:fill="FFFFFF"/>
        </w:rPr>
        <w:t xml:space="preserve">Yang, T. (2018). The emergence of the environmental impact assessment duty as a global legal norm and general principle of law. </w:t>
      </w:r>
      <w:r w:rsidRPr="00666485">
        <w:rPr>
          <w:i/>
          <w:iCs/>
          <w:shd w:val="clear" w:color="auto" w:fill="FFFFFF"/>
        </w:rPr>
        <w:t>Hastings LJ</w:t>
      </w:r>
      <w:r w:rsidRPr="00666485">
        <w:rPr>
          <w:shd w:val="clear" w:color="auto" w:fill="FFFFFF"/>
        </w:rPr>
        <w:t xml:space="preserve">, </w:t>
      </w:r>
      <w:r w:rsidRPr="00666485">
        <w:rPr>
          <w:i/>
          <w:iCs/>
          <w:shd w:val="clear" w:color="auto" w:fill="FFFFFF"/>
        </w:rPr>
        <w:t>70</w:t>
      </w:r>
      <w:r w:rsidRPr="00666485">
        <w:rPr>
          <w:shd w:val="clear" w:color="auto" w:fill="FFFFFF"/>
        </w:rPr>
        <w:t>, 525.</w:t>
      </w:r>
    </w:p>
    <w:sectPr w:rsidR="00FD1CC1" w:rsidRPr="00666485" w:rsidSect="00013604">
      <w:footerReference w:type="default" r:id="rId23"/>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10ED" w14:textId="77777777" w:rsidR="00CB4164" w:rsidRDefault="00CB4164">
      <w:r>
        <w:separator/>
      </w:r>
    </w:p>
  </w:endnote>
  <w:endnote w:type="continuationSeparator" w:id="0">
    <w:p w14:paraId="7EB1113F" w14:textId="77777777" w:rsidR="00CB4164" w:rsidRDefault="00CB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 SIL">
    <w:altName w:val="Calibri"/>
    <w:charset w:val="00"/>
    <w:family w:val="auto"/>
    <w:pitch w:val="variable"/>
    <w:sig w:usb0="A00002FF" w:usb1="5200A1FF" w:usb2="02000009"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MNCNC+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494772"/>
      <w:docPartObj>
        <w:docPartGallery w:val="Page Numbers (Bottom of Page)"/>
        <w:docPartUnique/>
      </w:docPartObj>
    </w:sdtPr>
    <w:sdtEndPr>
      <w:rPr>
        <w:noProof/>
      </w:rPr>
    </w:sdtEndPr>
    <w:sdtContent>
      <w:p w14:paraId="75E885BA" w14:textId="77777777" w:rsidR="00040A06" w:rsidRDefault="000C172D">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14:paraId="745F32DE" w14:textId="77777777" w:rsidR="00040A06" w:rsidRDefault="0004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D3AE" w14:textId="77777777" w:rsidR="00CB4164" w:rsidRDefault="00CB4164">
      <w:r>
        <w:separator/>
      </w:r>
    </w:p>
  </w:footnote>
  <w:footnote w:type="continuationSeparator" w:id="0">
    <w:p w14:paraId="6CEF59D6" w14:textId="77777777" w:rsidR="00CB4164" w:rsidRDefault="00CB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D0CD2"/>
    <w:multiLevelType w:val="multilevel"/>
    <w:tmpl w:val="FC18ED42"/>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34618"/>
    <w:multiLevelType w:val="multilevel"/>
    <w:tmpl w:val="7C309A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0601C"/>
    <w:multiLevelType w:val="multilevel"/>
    <w:tmpl w:val="9962EB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E4C08"/>
    <w:multiLevelType w:val="multilevel"/>
    <w:tmpl w:val="2938D536"/>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3C2CAB"/>
    <w:multiLevelType w:val="hybridMultilevel"/>
    <w:tmpl w:val="A37EC470"/>
    <w:lvl w:ilvl="0" w:tplc="B0764D52">
      <w:start w:val="1"/>
      <w:numFmt w:val="bullet"/>
      <w:lvlText w:val=""/>
      <w:lvlJc w:val="left"/>
      <w:pPr>
        <w:ind w:left="720" w:hanging="360"/>
      </w:pPr>
      <w:rPr>
        <w:rFonts w:ascii="Symbol" w:hAnsi="Symbol" w:hint="default"/>
      </w:rPr>
    </w:lvl>
    <w:lvl w:ilvl="1" w:tplc="C1A0B824" w:tentative="1">
      <w:start w:val="1"/>
      <w:numFmt w:val="bullet"/>
      <w:lvlText w:val="o"/>
      <w:lvlJc w:val="left"/>
      <w:pPr>
        <w:ind w:left="1440" w:hanging="360"/>
      </w:pPr>
      <w:rPr>
        <w:rFonts w:ascii="Courier New" w:hAnsi="Courier New" w:cs="Courier New" w:hint="default"/>
      </w:rPr>
    </w:lvl>
    <w:lvl w:ilvl="2" w:tplc="F4ECB086" w:tentative="1">
      <w:start w:val="1"/>
      <w:numFmt w:val="bullet"/>
      <w:lvlText w:val=""/>
      <w:lvlJc w:val="left"/>
      <w:pPr>
        <w:ind w:left="2160" w:hanging="360"/>
      </w:pPr>
      <w:rPr>
        <w:rFonts w:ascii="Wingdings" w:hAnsi="Wingdings" w:hint="default"/>
      </w:rPr>
    </w:lvl>
    <w:lvl w:ilvl="3" w:tplc="B1327FB8" w:tentative="1">
      <w:start w:val="1"/>
      <w:numFmt w:val="bullet"/>
      <w:lvlText w:val=""/>
      <w:lvlJc w:val="left"/>
      <w:pPr>
        <w:ind w:left="2880" w:hanging="360"/>
      </w:pPr>
      <w:rPr>
        <w:rFonts w:ascii="Symbol" w:hAnsi="Symbol" w:hint="default"/>
      </w:rPr>
    </w:lvl>
    <w:lvl w:ilvl="4" w:tplc="2DB4C5BC" w:tentative="1">
      <w:start w:val="1"/>
      <w:numFmt w:val="bullet"/>
      <w:lvlText w:val="o"/>
      <w:lvlJc w:val="left"/>
      <w:pPr>
        <w:ind w:left="3600" w:hanging="360"/>
      </w:pPr>
      <w:rPr>
        <w:rFonts w:ascii="Courier New" w:hAnsi="Courier New" w:cs="Courier New" w:hint="default"/>
      </w:rPr>
    </w:lvl>
    <w:lvl w:ilvl="5" w:tplc="55CA91F8" w:tentative="1">
      <w:start w:val="1"/>
      <w:numFmt w:val="bullet"/>
      <w:lvlText w:val=""/>
      <w:lvlJc w:val="left"/>
      <w:pPr>
        <w:ind w:left="4320" w:hanging="360"/>
      </w:pPr>
      <w:rPr>
        <w:rFonts w:ascii="Wingdings" w:hAnsi="Wingdings" w:hint="default"/>
      </w:rPr>
    </w:lvl>
    <w:lvl w:ilvl="6" w:tplc="44CA4848" w:tentative="1">
      <w:start w:val="1"/>
      <w:numFmt w:val="bullet"/>
      <w:lvlText w:val=""/>
      <w:lvlJc w:val="left"/>
      <w:pPr>
        <w:ind w:left="5040" w:hanging="360"/>
      </w:pPr>
      <w:rPr>
        <w:rFonts w:ascii="Symbol" w:hAnsi="Symbol" w:hint="default"/>
      </w:rPr>
    </w:lvl>
    <w:lvl w:ilvl="7" w:tplc="7E5AD812" w:tentative="1">
      <w:start w:val="1"/>
      <w:numFmt w:val="bullet"/>
      <w:lvlText w:val="o"/>
      <w:lvlJc w:val="left"/>
      <w:pPr>
        <w:ind w:left="5760" w:hanging="360"/>
      </w:pPr>
      <w:rPr>
        <w:rFonts w:ascii="Courier New" w:hAnsi="Courier New" w:cs="Courier New" w:hint="default"/>
      </w:rPr>
    </w:lvl>
    <w:lvl w:ilvl="8" w:tplc="AD727102" w:tentative="1">
      <w:start w:val="1"/>
      <w:numFmt w:val="bullet"/>
      <w:lvlText w:val=""/>
      <w:lvlJc w:val="left"/>
      <w:pPr>
        <w:ind w:left="6480" w:hanging="360"/>
      </w:pPr>
      <w:rPr>
        <w:rFonts w:ascii="Wingdings" w:hAnsi="Wingdings" w:hint="default"/>
      </w:rPr>
    </w:lvl>
  </w:abstractNum>
  <w:abstractNum w:abstractNumId="5" w15:restartNumberingAfterBreak="0">
    <w:nsid w:val="3D331FBA"/>
    <w:multiLevelType w:val="hybridMultilevel"/>
    <w:tmpl w:val="C2720B44"/>
    <w:lvl w:ilvl="0" w:tplc="25965E4E">
      <w:start w:val="1"/>
      <w:numFmt w:val="bullet"/>
      <w:lvlText w:val=""/>
      <w:lvlJc w:val="left"/>
      <w:pPr>
        <w:ind w:left="720" w:hanging="360"/>
      </w:pPr>
      <w:rPr>
        <w:rFonts w:ascii="Symbol" w:hAnsi="Symbol" w:hint="default"/>
      </w:rPr>
    </w:lvl>
    <w:lvl w:ilvl="1" w:tplc="60286C76" w:tentative="1">
      <w:start w:val="1"/>
      <w:numFmt w:val="bullet"/>
      <w:lvlText w:val="o"/>
      <w:lvlJc w:val="left"/>
      <w:pPr>
        <w:ind w:left="1440" w:hanging="360"/>
      </w:pPr>
      <w:rPr>
        <w:rFonts w:ascii="Courier New" w:hAnsi="Courier New" w:cs="Courier New" w:hint="default"/>
      </w:rPr>
    </w:lvl>
    <w:lvl w:ilvl="2" w:tplc="76FC1DBA" w:tentative="1">
      <w:start w:val="1"/>
      <w:numFmt w:val="bullet"/>
      <w:lvlText w:val=""/>
      <w:lvlJc w:val="left"/>
      <w:pPr>
        <w:ind w:left="2160" w:hanging="360"/>
      </w:pPr>
      <w:rPr>
        <w:rFonts w:ascii="Wingdings" w:hAnsi="Wingdings" w:hint="default"/>
      </w:rPr>
    </w:lvl>
    <w:lvl w:ilvl="3" w:tplc="DE2E3DF2" w:tentative="1">
      <w:start w:val="1"/>
      <w:numFmt w:val="bullet"/>
      <w:lvlText w:val=""/>
      <w:lvlJc w:val="left"/>
      <w:pPr>
        <w:ind w:left="2880" w:hanging="360"/>
      </w:pPr>
      <w:rPr>
        <w:rFonts w:ascii="Symbol" w:hAnsi="Symbol" w:hint="default"/>
      </w:rPr>
    </w:lvl>
    <w:lvl w:ilvl="4" w:tplc="EA8208AE" w:tentative="1">
      <w:start w:val="1"/>
      <w:numFmt w:val="bullet"/>
      <w:lvlText w:val="o"/>
      <w:lvlJc w:val="left"/>
      <w:pPr>
        <w:ind w:left="3600" w:hanging="360"/>
      </w:pPr>
      <w:rPr>
        <w:rFonts w:ascii="Courier New" w:hAnsi="Courier New" w:cs="Courier New" w:hint="default"/>
      </w:rPr>
    </w:lvl>
    <w:lvl w:ilvl="5" w:tplc="60147078" w:tentative="1">
      <w:start w:val="1"/>
      <w:numFmt w:val="bullet"/>
      <w:lvlText w:val=""/>
      <w:lvlJc w:val="left"/>
      <w:pPr>
        <w:ind w:left="4320" w:hanging="360"/>
      </w:pPr>
      <w:rPr>
        <w:rFonts w:ascii="Wingdings" w:hAnsi="Wingdings" w:hint="default"/>
      </w:rPr>
    </w:lvl>
    <w:lvl w:ilvl="6" w:tplc="1BA63A00" w:tentative="1">
      <w:start w:val="1"/>
      <w:numFmt w:val="bullet"/>
      <w:lvlText w:val=""/>
      <w:lvlJc w:val="left"/>
      <w:pPr>
        <w:ind w:left="5040" w:hanging="360"/>
      </w:pPr>
      <w:rPr>
        <w:rFonts w:ascii="Symbol" w:hAnsi="Symbol" w:hint="default"/>
      </w:rPr>
    </w:lvl>
    <w:lvl w:ilvl="7" w:tplc="96DAB6AC" w:tentative="1">
      <w:start w:val="1"/>
      <w:numFmt w:val="bullet"/>
      <w:lvlText w:val="o"/>
      <w:lvlJc w:val="left"/>
      <w:pPr>
        <w:ind w:left="5760" w:hanging="360"/>
      </w:pPr>
      <w:rPr>
        <w:rFonts w:ascii="Courier New" w:hAnsi="Courier New" w:cs="Courier New" w:hint="default"/>
      </w:rPr>
    </w:lvl>
    <w:lvl w:ilvl="8" w:tplc="701447CA" w:tentative="1">
      <w:start w:val="1"/>
      <w:numFmt w:val="bullet"/>
      <w:lvlText w:val=""/>
      <w:lvlJc w:val="left"/>
      <w:pPr>
        <w:ind w:left="6480" w:hanging="360"/>
      </w:pPr>
      <w:rPr>
        <w:rFonts w:ascii="Wingdings" w:hAnsi="Wingdings" w:hint="default"/>
      </w:rPr>
    </w:lvl>
  </w:abstractNum>
  <w:abstractNum w:abstractNumId="6" w15:restartNumberingAfterBreak="0">
    <w:nsid w:val="3FFD0959"/>
    <w:multiLevelType w:val="hybridMultilevel"/>
    <w:tmpl w:val="898AD9D6"/>
    <w:lvl w:ilvl="0" w:tplc="C3C29688">
      <w:start w:val="1"/>
      <w:numFmt w:val="decimal"/>
      <w:lvlText w:val="%1."/>
      <w:lvlJc w:val="left"/>
      <w:pPr>
        <w:ind w:left="720" w:hanging="360"/>
      </w:pPr>
    </w:lvl>
    <w:lvl w:ilvl="1" w:tplc="8B42F5D8" w:tentative="1">
      <w:start w:val="1"/>
      <w:numFmt w:val="lowerLetter"/>
      <w:lvlText w:val="%2."/>
      <w:lvlJc w:val="left"/>
      <w:pPr>
        <w:ind w:left="1440" w:hanging="360"/>
      </w:pPr>
    </w:lvl>
    <w:lvl w:ilvl="2" w:tplc="F198DCBC" w:tentative="1">
      <w:start w:val="1"/>
      <w:numFmt w:val="lowerRoman"/>
      <w:lvlText w:val="%3."/>
      <w:lvlJc w:val="right"/>
      <w:pPr>
        <w:ind w:left="2160" w:hanging="180"/>
      </w:pPr>
    </w:lvl>
    <w:lvl w:ilvl="3" w:tplc="925674AE" w:tentative="1">
      <w:start w:val="1"/>
      <w:numFmt w:val="decimal"/>
      <w:lvlText w:val="%4."/>
      <w:lvlJc w:val="left"/>
      <w:pPr>
        <w:ind w:left="2880" w:hanging="360"/>
      </w:pPr>
    </w:lvl>
    <w:lvl w:ilvl="4" w:tplc="95D45E68" w:tentative="1">
      <w:start w:val="1"/>
      <w:numFmt w:val="lowerLetter"/>
      <w:lvlText w:val="%5."/>
      <w:lvlJc w:val="left"/>
      <w:pPr>
        <w:ind w:left="3600" w:hanging="360"/>
      </w:pPr>
    </w:lvl>
    <w:lvl w:ilvl="5" w:tplc="509E263E" w:tentative="1">
      <w:start w:val="1"/>
      <w:numFmt w:val="lowerRoman"/>
      <w:lvlText w:val="%6."/>
      <w:lvlJc w:val="right"/>
      <w:pPr>
        <w:ind w:left="4320" w:hanging="180"/>
      </w:pPr>
    </w:lvl>
    <w:lvl w:ilvl="6" w:tplc="95C05080" w:tentative="1">
      <w:start w:val="1"/>
      <w:numFmt w:val="decimal"/>
      <w:lvlText w:val="%7."/>
      <w:lvlJc w:val="left"/>
      <w:pPr>
        <w:ind w:left="5040" w:hanging="360"/>
      </w:pPr>
    </w:lvl>
    <w:lvl w:ilvl="7" w:tplc="A3C06C2A" w:tentative="1">
      <w:start w:val="1"/>
      <w:numFmt w:val="lowerLetter"/>
      <w:lvlText w:val="%8."/>
      <w:lvlJc w:val="left"/>
      <w:pPr>
        <w:ind w:left="5760" w:hanging="360"/>
      </w:pPr>
    </w:lvl>
    <w:lvl w:ilvl="8" w:tplc="22603AFE" w:tentative="1">
      <w:start w:val="1"/>
      <w:numFmt w:val="lowerRoman"/>
      <w:lvlText w:val="%9."/>
      <w:lvlJc w:val="right"/>
      <w:pPr>
        <w:ind w:left="6480" w:hanging="180"/>
      </w:pPr>
    </w:lvl>
  </w:abstractNum>
  <w:abstractNum w:abstractNumId="7" w15:restartNumberingAfterBreak="0">
    <w:nsid w:val="45AB6CF6"/>
    <w:multiLevelType w:val="multilevel"/>
    <w:tmpl w:val="A574DD0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83724B7"/>
    <w:multiLevelType w:val="multilevel"/>
    <w:tmpl w:val="0A442AB4"/>
    <w:lvl w:ilvl="0">
      <w:start w:val="4"/>
      <w:numFmt w:val="cardinalText"/>
      <w:pStyle w:val="Heading1"/>
      <w:suff w:val="space"/>
      <w:lvlText w:val="Chapter %1"/>
      <w:lvlJc w:val="left"/>
      <w:pPr>
        <w:ind w:left="2340" w:firstLine="0"/>
      </w:pPr>
      <w:rPr>
        <w:rFonts w:hint="default"/>
        <w:caps/>
      </w:rPr>
    </w:lvl>
    <w:lvl w:ilvl="1">
      <w:start w:val="1"/>
      <w:numFmt w:val="none"/>
      <w:pStyle w:val="Heading2"/>
      <w:suff w:val="nothing"/>
      <w:lvlText w:val=""/>
      <w:lvlJc w:val="left"/>
      <w:pPr>
        <w:ind w:left="2056" w:firstLine="0"/>
      </w:pPr>
      <w:rPr>
        <w:rFonts w:hint="default"/>
      </w:rPr>
    </w:lvl>
    <w:lvl w:ilvl="2">
      <w:start w:val="1"/>
      <w:numFmt w:val="none"/>
      <w:pStyle w:val="Heading3"/>
      <w:suff w:val="nothing"/>
      <w:lvlText w:val=""/>
      <w:lvlJc w:val="left"/>
      <w:pPr>
        <w:ind w:left="2056" w:firstLine="0"/>
      </w:pPr>
      <w:rPr>
        <w:rFonts w:hint="default"/>
      </w:rPr>
    </w:lvl>
    <w:lvl w:ilvl="3">
      <w:start w:val="1"/>
      <w:numFmt w:val="none"/>
      <w:pStyle w:val="Heading4"/>
      <w:suff w:val="nothing"/>
      <w:lvlText w:val=""/>
      <w:lvlJc w:val="left"/>
      <w:pPr>
        <w:ind w:left="2056" w:firstLine="0"/>
      </w:pPr>
      <w:rPr>
        <w:rFonts w:hint="default"/>
      </w:rPr>
    </w:lvl>
    <w:lvl w:ilvl="4">
      <w:start w:val="1"/>
      <w:numFmt w:val="none"/>
      <w:pStyle w:val="Heading5"/>
      <w:suff w:val="nothing"/>
      <w:lvlText w:val=""/>
      <w:lvlJc w:val="left"/>
      <w:pPr>
        <w:ind w:left="2056" w:firstLine="0"/>
      </w:pPr>
      <w:rPr>
        <w:rFonts w:hint="default"/>
      </w:rPr>
    </w:lvl>
    <w:lvl w:ilvl="5">
      <w:start w:val="1"/>
      <w:numFmt w:val="none"/>
      <w:pStyle w:val="Heading6"/>
      <w:suff w:val="nothing"/>
      <w:lvlText w:val=""/>
      <w:lvlJc w:val="left"/>
      <w:pPr>
        <w:ind w:left="2056" w:firstLine="0"/>
      </w:pPr>
      <w:rPr>
        <w:rFonts w:hint="default"/>
      </w:rPr>
    </w:lvl>
    <w:lvl w:ilvl="6">
      <w:start w:val="1"/>
      <w:numFmt w:val="none"/>
      <w:pStyle w:val="Heading7"/>
      <w:suff w:val="nothing"/>
      <w:lvlText w:val=""/>
      <w:lvlJc w:val="left"/>
      <w:pPr>
        <w:ind w:left="2056" w:firstLine="0"/>
      </w:pPr>
      <w:rPr>
        <w:rFonts w:hint="default"/>
      </w:rPr>
    </w:lvl>
    <w:lvl w:ilvl="7">
      <w:start w:val="1"/>
      <w:numFmt w:val="none"/>
      <w:pStyle w:val="Heading8"/>
      <w:suff w:val="nothing"/>
      <w:lvlText w:val=""/>
      <w:lvlJc w:val="left"/>
      <w:pPr>
        <w:ind w:left="2056" w:firstLine="0"/>
      </w:pPr>
      <w:rPr>
        <w:rFonts w:hint="default"/>
      </w:rPr>
    </w:lvl>
    <w:lvl w:ilvl="8">
      <w:start w:val="1"/>
      <w:numFmt w:val="none"/>
      <w:pStyle w:val="Heading9"/>
      <w:suff w:val="nothing"/>
      <w:lvlText w:val=""/>
      <w:lvlJc w:val="left"/>
      <w:pPr>
        <w:ind w:left="2056" w:firstLine="0"/>
      </w:pPr>
      <w:rPr>
        <w:rFonts w:hint="default"/>
      </w:rPr>
    </w:lvl>
  </w:abstractNum>
  <w:abstractNum w:abstractNumId="9" w15:restartNumberingAfterBreak="0">
    <w:nsid w:val="4E8F1231"/>
    <w:multiLevelType w:val="multilevel"/>
    <w:tmpl w:val="24369A5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BD59C4"/>
    <w:multiLevelType w:val="multilevel"/>
    <w:tmpl w:val="040EE5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16A63"/>
    <w:multiLevelType w:val="hybridMultilevel"/>
    <w:tmpl w:val="0D0C0884"/>
    <w:lvl w:ilvl="0" w:tplc="45F68484">
      <w:start w:val="1"/>
      <w:numFmt w:val="bullet"/>
      <w:lvlText w:val=""/>
      <w:lvlJc w:val="left"/>
      <w:pPr>
        <w:ind w:left="720" w:hanging="360"/>
      </w:pPr>
      <w:rPr>
        <w:rFonts w:ascii="Symbol" w:hAnsi="Symbol" w:hint="default"/>
      </w:rPr>
    </w:lvl>
    <w:lvl w:ilvl="1" w:tplc="3ADA46D2" w:tentative="1">
      <w:start w:val="1"/>
      <w:numFmt w:val="bullet"/>
      <w:lvlText w:val="o"/>
      <w:lvlJc w:val="left"/>
      <w:pPr>
        <w:ind w:left="1440" w:hanging="360"/>
      </w:pPr>
      <w:rPr>
        <w:rFonts w:ascii="Courier New" w:hAnsi="Courier New" w:cs="Courier New" w:hint="default"/>
      </w:rPr>
    </w:lvl>
    <w:lvl w:ilvl="2" w:tplc="6BC24AFC" w:tentative="1">
      <w:start w:val="1"/>
      <w:numFmt w:val="bullet"/>
      <w:lvlText w:val=""/>
      <w:lvlJc w:val="left"/>
      <w:pPr>
        <w:ind w:left="2160" w:hanging="360"/>
      </w:pPr>
      <w:rPr>
        <w:rFonts w:ascii="Wingdings" w:hAnsi="Wingdings" w:hint="default"/>
      </w:rPr>
    </w:lvl>
    <w:lvl w:ilvl="3" w:tplc="F3083FEC" w:tentative="1">
      <w:start w:val="1"/>
      <w:numFmt w:val="bullet"/>
      <w:lvlText w:val=""/>
      <w:lvlJc w:val="left"/>
      <w:pPr>
        <w:ind w:left="2880" w:hanging="360"/>
      </w:pPr>
      <w:rPr>
        <w:rFonts w:ascii="Symbol" w:hAnsi="Symbol" w:hint="default"/>
      </w:rPr>
    </w:lvl>
    <w:lvl w:ilvl="4" w:tplc="CAF221EE" w:tentative="1">
      <w:start w:val="1"/>
      <w:numFmt w:val="bullet"/>
      <w:lvlText w:val="o"/>
      <w:lvlJc w:val="left"/>
      <w:pPr>
        <w:ind w:left="3600" w:hanging="360"/>
      </w:pPr>
      <w:rPr>
        <w:rFonts w:ascii="Courier New" w:hAnsi="Courier New" w:cs="Courier New" w:hint="default"/>
      </w:rPr>
    </w:lvl>
    <w:lvl w:ilvl="5" w:tplc="EEC8FE62" w:tentative="1">
      <w:start w:val="1"/>
      <w:numFmt w:val="bullet"/>
      <w:lvlText w:val=""/>
      <w:lvlJc w:val="left"/>
      <w:pPr>
        <w:ind w:left="4320" w:hanging="360"/>
      </w:pPr>
      <w:rPr>
        <w:rFonts w:ascii="Wingdings" w:hAnsi="Wingdings" w:hint="default"/>
      </w:rPr>
    </w:lvl>
    <w:lvl w:ilvl="6" w:tplc="9F0047D8" w:tentative="1">
      <w:start w:val="1"/>
      <w:numFmt w:val="bullet"/>
      <w:lvlText w:val=""/>
      <w:lvlJc w:val="left"/>
      <w:pPr>
        <w:ind w:left="5040" w:hanging="360"/>
      </w:pPr>
      <w:rPr>
        <w:rFonts w:ascii="Symbol" w:hAnsi="Symbol" w:hint="default"/>
      </w:rPr>
    </w:lvl>
    <w:lvl w:ilvl="7" w:tplc="B42C9DB4" w:tentative="1">
      <w:start w:val="1"/>
      <w:numFmt w:val="bullet"/>
      <w:lvlText w:val="o"/>
      <w:lvlJc w:val="left"/>
      <w:pPr>
        <w:ind w:left="5760" w:hanging="360"/>
      </w:pPr>
      <w:rPr>
        <w:rFonts w:ascii="Courier New" w:hAnsi="Courier New" w:cs="Courier New" w:hint="default"/>
      </w:rPr>
    </w:lvl>
    <w:lvl w:ilvl="8" w:tplc="8640CA38" w:tentative="1">
      <w:start w:val="1"/>
      <w:numFmt w:val="bullet"/>
      <w:lvlText w:val=""/>
      <w:lvlJc w:val="left"/>
      <w:pPr>
        <w:ind w:left="6480" w:hanging="360"/>
      </w:pPr>
      <w:rPr>
        <w:rFonts w:ascii="Wingdings" w:hAnsi="Wingdings" w:hint="default"/>
      </w:rPr>
    </w:lvl>
  </w:abstractNum>
  <w:abstractNum w:abstractNumId="12" w15:restartNumberingAfterBreak="0">
    <w:nsid w:val="5CD52624"/>
    <w:multiLevelType w:val="hybridMultilevel"/>
    <w:tmpl w:val="FBCC5A42"/>
    <w:lvl w:ilvl="0" w:tplc="3204130A">
      <w:start w:val="1"/>
      <w:numFmt w:val="decimal"/>
      <w:lvlText w:val="%1."/>
      <w:lvlJc w:val="left"/>
      <w:pPr>
        <w:ind w:left="450" w:hanging="360"/>
      </w:pPr>
    </w:lvl>
    <w:lvl w:ilvl="1" w:tplc="CF7C5FEA" w:tentative="1">
      <w:start w:val="1"/>
      <w:numFmt w:val="lowerLetter"/>
      <w:lvlText w:val="%2."/>
      <w:lvlJc w:val="left"/>
      <w:pPr>
        <w:ind w:left="1440" w:hanging="360"/>
      </w:pPr>
    </w:lvl>
    <w:lvl w:ilvl="2" w:tplc="14C06C38" w:tentative="1">
      <w:start w:val="1"/>
      <w:numFmt w:val="lowerRoman"/>
      <w:lvlText w:val="%3."/>
      <w:lvlJc w:val="right"/>
      <w:pPr>
        <w:ind w:left="2160" w:hanging="180"/>
      </w:pPr>
    </w:lvl>
    <w:lvl w:ilvl="3" w:tplc="16286C56" w:tentative="1">
      <w:start w:val="1"/>
      <w:numFmt w:val="decimal"/>
      <w:lvlText w:val="%4."/>
      <w:lvlJc w:val="left"/>
      <w:pPr>
        <w:ind w:left="2880" w:hanging="360"/>
      </w:pPr>
    </w:lvl>
    <w:lvl w:ilvl="4" w:tplc="9E105096" w:tentative="1">
      <w:start w:val="1"/>
      <w:numFmt w:val="lowerLetter"/>
      <w:lvlText w:val="%5."/>
      <w:lvlJc w:val="left"/>
      <w:pPr>
        <w:ind w:left="3600" w:hanging="360"/>
      </w:pPr>
    </w:lvl>
    <w:lvl w:ilvl="5" w:tplc="191824F6" w:tentative="1">
      <w:start w:val="1"/>
      <w:numFmt w:val="lowerRoman"/>
      <w:lvlText w:val="%6."/>
      <w:lvlJc w:val="right"/>
      <w:pPr>
        <w:ind w:left="4320" w:hanging="180"/>
      </w:pPr>
    </w:lvl>
    <w:lvl w:ilvl="6" w:tplc="5CFA5712" w:tentative="1">
      <w:start w:val="1"/>
      <w:numFmt w:val="decimal"/>
      <w:lvlText w:val="%7."/>
      <w:lvlJc w:val="left"/>
      <w:pPr>
        <w:ind w:left="5040" w:hanging="360"/>
      </w:pPr>
    </w:lvl>
    <w:lvl w:ilvl="7" w:tplc="E35CF664" w:tentative="1">
      <w:start w:val="1"/>
      <w:numFmt w:val="lowerLetter"/>
      <w:lvlText w:val="%8."/>
      <w:lvlJc w:val="left"/>
      <w:pPr>
        <w:ind w:left="5760" w:hanging="360"/>
      </w:pPr>
    </w:lvl>
    <w:lvl w:ilvl="8" w:tplc="DA966EF2" w:tentative="1">
      <w:start w:val="1"/>
      <w:numFmt w:val="lowerRoman"/>
      <w:lvlText w:val="%9."/>
      <w:lvlJc w:val="right"/>
      <w:pPr>
        <w:ind w:left="6480" w:hanging="180"/>
      </w:pPr>
    </w:lvl>
  </w:abstractNum>
  <w:abstractNum w:abstractNumId="13" w15:restartNumberingAfterBreak="0">
    <w:nsid w:val="606F5D1E"/>
    <w:multiLevelType w:val="hybridMultilevel"/>
    <w:tmpl w:val="9C76C43E"/>
    <w:lvl w:ilvl="0" w:tplc="7C3ECB2C">
      <w:start w:val="1"/>
      <w:numFmt w:val="bullet"/>
      <w:lvlText w:val=""/>
      <w:lvlJc w:val="left"/>
      <w:pPr>
        <w:ind w:left="720" w:hanging="360"/>
      </w:pPr>
      <w:rPr>
        <w:rFonts w:ascii="Symbol" w:hAnsi="Symbol" w:hint="default"/>
      </w:rPr>
    </w:lvl>
    <w:lvl w:ilvl="1" w:tplc="E390B27C" w:tentative="1">
      <w:start w:val="1"/>
      <w:numFmt w:val="bullet"/>
      <w:lvlText w:val="o"/>
      <w:lvlJc w:val="left"/>
      <w:pPr>
        <w:ind w:left="1440" w:hanging="360"/>
      </w:pPr>
      <w:rPr>
        <w:rFonts w:ascii="Courier New" w:hAnsi="Courier New" w:cs="Courier New" w:hint="default"/>
      </w:rPr>
    </w:lvl>
    <w:lvl w:ilvl="2" w:tplc="D71E192A" w:tentative="1">
      <w:start w:val="1"/>
      <w:numFmt w:val="bullet"/>
      <w:lvlText w:val=""/>
      <w:lvlJc w:val="left"/>
      <w:pPr>
        <w:ind w:left="2160" w:hanging="360"/>
      </w:pPr>
      <w:rPr>
        <w:rFonts w:ascii="Wingdings" w:hAnsi="Wingdings" w:hint="default"/>
      </w:rPr>
    </w:lvl>
    <w:lvl w:ilvl="3" w:tplc="E1F89746" w:tentative="1">
      <w:start w:val="1"/>
      <w:numFmt w:val="bullet"/>
      <w:lvlText w:val=""/>
      <w:lvlJc w:val="left"/>
      <w:pPr>
        <w:ind w:left="2880" w:hanging="360"/>
      </w:pPr>
      <w:rPr>
        <w:rFonts w:ascii="Symbol" w:hAnsi="Symbol" w:hint="default"/>
      </w:rPr>
    </w:lvl>
    <w:lvl w:ilvl="4" w:tplc="E95ABAF2" w:tentative="1">
      <w:start w:val="1"/>
      <w:numFmt w:val="bullet"/>
      <w:lvlText w:val="o"/>
      <w:lvlJc w:val="left"/>
      <w:pPr>
        <w:ind w:left="3600" w:hanging="360"/>
      </w:pPr>
      <w:rPr>
        <w:rFonts w:ascii="Courier New" w:hAnsi="Courier New" w:cs="Courier New" w:hint="default"/>
      </w:rPr>
    </w:lvl>
    <w:lvl w:ilvl="5" w:tplc="8D6CD5A0" w:tentative="1">
      <w:start w:val="1"/>
      <w:numFmt w:val="bullet"/>
      <w:lvlText w:val=""/>
      <w:lvlJc w:val="left"/>
      <w:pPr>
        <w:ind w:left="4320" w:hanging="360"/>
      </w:pPr>
      <w:rPr>
        <w:rFonts w:ascii="Wingdings" w:hAnsi="Wingdings" w:hint="default"/>
      </w:rPr>
    </w:lvl>
    <w:lvl w:ilvl="6" w:tplc="02F83200" w:tentative="1">
      <w:start w:val="1"/>
      <w:numFmt w:val="bullet"/>
      <w:lvlText w:val=""/>
      <w:lvlJc w:val="left"/>
      <w:pPr>
        <w:ind w:left="5040" w:hanging="360"/>
      </w:pPr>
      <w:rPr>
        <w:rFonts w:ascii="Symbol" w:hAnsi="Symbol" w:hint="default"/>
      </w:rPr>
    </w:lvl>
    <w:lvl w:ilvl="7" w:tplc="8B3295E4" w:tentative="1">
      <w:start w:val="1"/>
      <w:numFmt w:val="bullet"/>
      <w:lvlText w:val="o"/>
      <w:lvlJc w:val="left"/>
      <w:pPr>
        <w:ind w:left="5760" w:hanging="360"/>
      </w:pPr>
      <w:rPr>
        <w:rFonts w:ascii="Courier New" w:hAnsi="Courier New" w:cs="Courier New" w:hint="default"/>
      </w:rPr>
    </w:lvl>
    <w:lvl w:ilvl="8" w:tplc="DFD218D6" w:tentative="1">
      <w:start w:val="1"/>
      <w:numFmt w:val="bullet"/>
      <w:lvlText w:val=""/>
      <w:lvlJc w:val="left"/>
      <w:pPr>
        <w:ind w:left="6480" w:hanging="360"/>
      </w:pPr>
      <w:rPr>
        <w:rFonts w:ascii="Wingdings" w:hAnsi="Wingdings" w:hint="default"/>
      </w:rPr>
    </w:lvl>
  </w:abstractNum>
  <w:abstractNum w:abstractNumId="14" w15:restartNumberingAfterBreak="0">
    <w:nsid w:val="6DEB2E68"/>
    <w:multiLevelType w:val="hybridMultilevel"/>
    <w:tmpl w:val="1590AEC4"/>
    <w:lvl w:ilvl="0" w:tplc="B8CC0638">
      <w:start w:val="1"/>
      <w:numFmt w:val="bullet"/>
      <w:lvlText w:val=""/>
      <w:lvlJc w:val="left"/>
      <w:pPr>
        <w:ind w:left="720" w:hanging="360"/>
      </w:pPr>
      <w:rPr>
        <w:rFonts w:ascii="Symbol" w:hAnsi="Symbol" w:hint="default"/>
      </w:rPr>
    </w:lvl>
    <w:lvl w:ilvl="1" w:tplc="EE524796" w:tentative="1">
      <w:start w:val="1"/>
      <w:numFmt w:val="bullet"/>
      <w:lvlText w:val="o"/>
      <w:lvlJc w:val="left"/>
      <w:pPr>
        <w:ind w:left="1440" w:hanging="360"/>
      </w:pPr>
      <w:rPr>
        <w:rFonts w:ascii="Courier New" w:hAnsi="Courier New" w:cs="Courier New" w:hint="default"/>
      </w:rPr>
    </w:lvl>
    <w:lvl w:ilvl="2" w:tplc="C09EE046" w:tentative="1">
      <w:start w:val="1"/>
      <w:numFmt w:val="bullet"/>
      <w:lvlText w:val=""/>
      <w:lvlJc w:val="left"/>
      <w:pPr>
        <w:ind w:left="2160" w:hanging="360"/>
      </w:pPr>
      <w:rPr>
        <w:rFonts w:ascii="Wingdings" w:hAnsi="Wingdings" w:hint="default"/>
      </w:rPr>
    </w:lvl>
    <w:lvl w:ilvl="3" w:tplc="662884BA" w:tentative="1">
      <w:start w:val="1"/>
      <w:numFmt w:val="bullet"/>
      <w:lvlText w:val=""/>
      <w:lvlJc w:val="left"/>
      <w:pPr>
        <w:ind w:left="2880" w:hanging="360"/>
      </w:pPr>
      <w:rPr>
        <w:rFonts w:ascii="Symbol" w:hAnsi="Symbol" w:hint="default"/>
      </w:rPr>
    </w:lvl>
    <w:lvl w:ilvl="4" w:tplc="43323D02" w:tentative="1">
      <w:start w:val="1"/>
      <w:numFmt w:val="bullet"/>
      <w:lvlText w:val="o"/>
      <w:lvlJc w:val="left"/>
      <w:pPr>
        <w:ind w:left="3600" w:hanging="360"/>
      </w:pPr>
      <w:rPr>
        <w:rFonts w:ascii="Courier New" w:hAnsi="Courier New" w:cs="Courier New" w:hint="default"/>
      </w:rPr>
    </w:lvl>
    <w:lvl w:ilvl="5" w:tplc="EE34F9FA" w:tentative="1">
      <w:start w:val="1"/>
      <w:numFmt w:val="bullet"/>
      <w:lvlText w:val=""/>
      <w:lvlJc w:val="left"/>
      <w:pPr>
        <w:ind w:left="4320" w:hanging="360"/>
      </w:pPr>
      <w:rPr>
        <w:rFonts w:ascii="Wingdings" w:hAnsi="Wingdings" w:hint="default"/>
      </w:rPr>
    </w:lvl>
    <w:lvl w:ilvl="6" w:tplc="80AA8B7C" w:tentative="1">
      <w:start w:val="1"/>
      <w:numFmt w:val="bullet"/>
      <w:lvlText w:val=""/>
      <w:lvlJc w:val="left"/>
      <w:pPr>
        <w:ind w:left="5040" w:hanging="360"/>
      </w:pPr>
      <w:rPr>
        <w:rFonts w:ascii="Symbol" w:hAnsi="Symbol" w:hint="default"/>
      </w:rPr>
    </w:lvl>
    <w:lvl w:ilvl="7" w:tplc="7C88DD86" w:tentative="1">
      <w:start w:val="1"/>
      <w:numFmt w:val="bullet"/>
      <w:lvlText w:val="o"/>
      <w:lvlJc w:val="left"/>
      <w:pPr>
        <w:ind w:left="5760" w:hanging="360"/>
      </w:pPr>
      <w:rPr>
        <w:rFonts w:ascii="Courier New" w:hAnsi="Courier New" w:cs="Courier New" w:hint="default"/>
      </w:rPr>
    </w:lvl>
    <w:lvl w:ilvl="8" w:tplc="192E729C" w:tentative="1">
      <w:start w:val="1"/>
      <w:numFmt w:val="bullet"/>
      <w:lvlText w:val=""/>
      <w:lvlJc w:val="left"/>
      <w:pPr>
        <w:ind w:left="6480" w:hanging="360"/>
      </w:pPr>
      <w:rPr>
        <w:rFonts w:ascii="Wingdings" w:hAnsi="Wingdings" w:hint="default"/>
      </w:rPr>
    </w:lvl>
  </w:abstractNum>
  <w:abstractNum w:abstractNumId="15" w15:restartNumberingAfterBreak="0">
    <w:nsid w:val="74082AF4"/>
    <w:multiLevelType w:val="multilevel"/>
    <w:tmpl w:val="2F9E07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DD0E12"/>
    <w:multiLevelType w:val="multilevel"/>
    <w:tmpl w:val="E7009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90C09B5"/>
    <w:multiLevelType w:val="multilevel"/>
    <w:tmpl w:val="1416F6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2354D2"/>
    <w:multiLevelType w:val="multilevel"/>
    <w:tmpl w:val="AD5400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3276556">
    <w:abstractNumId w:val="8"/>
  </w:num>
  <w:num w:numId="2" w16cid:durableId="1172602166">
    <w:abstractNumId w:val="7"/>
  </w:num>
  <w:num w:numId="3" w16cid:durableId="569539695">
    <w:abstractNumId w:val="16"/>
  </w:num>
  <w:num w:numId="4" w16cid:durableId="1426732091">
    <w:abstractNumId w:val="18"/>
  </w:num>
  <w:num w:numId="5" w16cid:durableId="385105052">
    <w:abstractNumId w:val="12"/>
  </w:num>
  <w:num w:numId="6" w16cid:durableId="1933195477">
    <w:abstractNumId w:val="15"/>
  </w:num>
  <w:num w:numId="7" w16cid:durableId="1133712737">
    <w:abstractNumId w:val="10"/>
  </w:num>
  <w:num w:numId="8" w16cid:durableId="1745954672">
    <w:abstractNumId w:val="2"/>
  </w:num>
  <w:num w:numId="9" w16cid:durableId="2043242002">
    <w:abstractNumId w:val="4"/>
  </w:num>
  <w:num w:numId="10" w16cid:durableId="2144615446">
    <w:abstractNumId w:val="1"/>
  </w:num>
  <w:num w:numId="11" w16cid:durableId="2022706291">
    <w:abstractNumId w:val="17"/>
  </w:num>
  <w:num w:numId="12" w16cid:durableId="131301866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199192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53343">
    <w:abstractNumId w:val="6"/>
  </w:num>
  <w:num w:numId="15" w16cid:durableId="1329560529">
    <w:abstractNumId w:val="14"/>
  </w:num>
  <w:num w:numId="16" w16cid:durableId="347949130">
    <w:abstractNumId w:val="13"/>
  </w:num>
  <w:num w:numId="17" w16cid:durableId="643312629">
    <w:abstractNumId w:val="11"/>
  </w:num>
  <w:num w:numId="18" w16cid:durableId="138117094">
    <w:abstractNumId w:val="0"/>
  </w:num>
  <w:num w:numId="19" w16cid:durableId="960310061">
    <w:abstractNumId w:val="8"/>
  </w:num>
  <w:num w:numId="20" w16cid:durableId="1470901857">
    <w:abstractNumId w:val="8"/>
  </w:num>
  <w:num w:numId="21" w16cid:durableId="1925603721">
    <w:abstractNumId w:val="8"/>
  </w:num>
  <w:num w:numId="22" w16cid:durableId="48042067">
    <w:abstractNumId w:val="8"/>
  </w:num>
  <w:num w:numId="23" w16cid:durableId="1163163553">
    <w:abstractNumId w:val="8"/>
  </w:num>
  <w:num w:numId="24" w16cid:durableId="1499227723">
    <w:abstractNumId w:val="8"/>
  </w:num>
  <w:num w:numId="25" w16cid:durableId="1546604822">
    <w:abstractNumId w:val="8"/>
  </w:num>
  <w:num w:numId="26" w16cid:durableId="923684166">
    <w:abstractNumId w:val="8"/>
  </w:num>
  <w:num w:numId="27" w16cid:durableId="537814178">
    <w:abstractNumId w:val="8"/>
  </w:num>
  <w:num w:numId="28" w16cid:durableId="280185491">
    <w:abstractNumId w:val="3"/>
  </w:num>
  <w:num w:numId="29" w16cid:durableId="1134832156">
    <w:abstractNumId w:val="8"/>
  </w:num>
  <w:num w:numId="30" w16cid:durableId="891386288">
    <w:abstractNumId w:val="8"/>
  </w:num>
  <w:num w:numId="31" w16cid:durableId="2004165824">
    <w:abstractNumId w:val="8"/>
  </w:num>
  <w:num w:numId="32" w16cid:durableId="2026441936">
    <w:abstractNumId w:val="9"/>
  </w:num>
  <w:num w:numId="33" w16cid:durableId="1893078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7AAksYmppbm5ko6SsGpxcWZ+XkgBYa1APIIId8sAAAA"/>
  </w:docVars>
  <w:rsids>
    <w:rsidRoot w:val="00903D87"/>
    <w:rsid w:val="00001F25"/>
    <w:rsid w:val="000022E0"/>
    <w:rsid w:val="00002BD8"/>
    <w:rsid w:val="00003590"/>
    <w:rsid w:val="00004BC2"/>
    <w:rsid w:val="00005F73"/>
    <w:rsid w:val="00005F92"/>
    <w:rsid w:val="00006D08"/>
    <w:rsid w:val="00010D6F"/>
    <w:rsid w:val="00013604"/>
    <w:rsid w:val="00015593"/>
    <w:rsid w:val="00015EFE"/>
    <w:rsid w:val="00016E48"/>
    <w:rsid w:val="000170B9"/>
    <w:rsid w:val="0002044C"/>
    <w:rsid w:val="000208E3"/>
    <w:rsid w:val="00020BC5"/>
    <w:rsid w:val="0002161E"/>
    <w:rsid w:val="00021812"/>
    <w:rsid w:val="00025818"/>
    <w:rsid w:val="00026DC5"/>
    <w:rsid w:val="00027532"/>
    <w:rsid w:val="0003072C"/>
    <w:rsid w:val="0003105A"/>
    <w:rsid w:val="00032787"/>
    <w:rsid w:val="000340DE"/>
    <w:rsid w:val="00040A06"/>
    <w:rsid w:val="000412EC"/>
    <w:rsid w:val="00042E1B"/>
    <w:rsid w:val="00042FD0"/>
    <w:rsid w:val="000456AD"/>
    <w:rsid w:val="00045952"/>
    <w:rsid w:val="00045D01"/>
    <w:rsid w:val="000464CA"/>
    <w:rsid w:val="000476D1"/>
    <w:rsid w:val="0005259A"/>
    <w:rsid w:val="00057F94"/>
    <w:rsid w:val="00060F67"/>
    <w:rsid w:val="00061CDC"/>
    <w:rsid w:val="00063B66"/>
    <w:rsid w:val="00063C2E"/>
    <w:rsid w:val="00064701"/>
    <w:rsid w:val="000656E0"/>
    <w:rsid w:val="000659D1"/>
    <w:rsid w:val="000664D3"/>
    <w:rsid w:val="00067660"/>
    <w:rsid w:val="0007420D"/>
    <w:rsid w:val="00076CFA"/>
    <w:rsid w:val="000771FB"/>
    <w:rsid w:val="00081D91"/>
    <w:rsid w:val="000822CD"/>
    <w:rsid w:val="00087D13"/>
    <w:rsid w:val="00092675"/>
    <w:rsid w:val="00093F4D"/>
    <w:rsid w:val="000960BE"/>
    <w:rsid w:val="00097F65"/>
    <w:rsid w:val="000A11E6"/>
    <w:rsid w:val="000A1527"/>
    <w:rsid w:val="000A43A8"/>
    <w:rsid w:val="000A449A"/>
    <w:rsid w:val="000A5911"/>
    <w:rsid w:val="000A648C"/>
    <w:rsid w:val="000A6C28"/>
    <w:rsid w:val="000B2D44"/>
    <w:rsid w:val="000B3660"/>
    <w:rsid w:val="000B5AD5"/>
    <w:rsid w:val="000B666D"/>
    <w:rsid w:val="000B7B0D"/>
    <w:rsid w:val="000C024B"/>
    <w:rsid w:val="000C172D"/>
    <w:rsid w:val="000C2773"/>
    <w:rsid w:val="000C31B4"/>
    <w:rsid w:val="000C5DA2"/>
    <w:rsid w:val="000C7600"/>
    <w:rsid w:val="000D126F"/>
    <w:rsid w:val="000D1FC4"/>
    <w:rsid w:val="000D27B8"/>
    <w:rsid w:val="000D2E88"/>
    <w:rsid w:val="000D3329"/>
    <w:rsid w:val="000D3E9C"/>
    <w:rsid w:val="000D5449"/>
    <w:rsid w:val="000E296F"/>
    <w:rsid w:val="000E41C4"/>
    <w:rsid w:val="000E6EC5"/>
    <w:rsid w:val="000F0839"/>
    <w:rsid w:val="000F139A"/>
    <w:rsid w:val="000F16D7"/>
    <w:rsid w:val="000F3D22"/>
    <w:rsid w:val="000F42EE"/>
    <w:rsid w:val="000F432B"/>
    <w:rsid w:val="000F4A6A"/>
    <w:rsid w:val="000F5006"/>
    <w:rsid w:val="000F527A"/>
    <w:rsid w:val="000F72B7"/>
    <w:rsid w:val="000F74CE"/>
    <w:rsid w:val="00101B7A"/>
    <w:rsid w:val="001031BB"/>
    <w:rsid w:val="00103736"/>
    <w:rsid w:val="001041C0"/>
    <w:rsid w:val="00105B2E"/>
    <w:rsid w:val="00107F26"/>
    <w:rsid w:val="001104CE"/>
    <w:rsid w:val="00111F81"/>
    <w:rsid w:val="00112C4B"/>
    <w:rsid w:val="00112E94"/>
    <w:rsid w:val="00114ED4"/>
    <w:rsid w:val="0011530D"/>
    <w:rsid w:val="00117A3A"/>
    <w:rsid w:val="0012284B"/>
    <w:rsid w:val="00122ECF"/>
    <w:rsid w:val="00124080"/>
    <w:rsid w:val="0012478A"/>
    <w:rsid w:val="00126B41"/>
    <w:rsid w:val="00126C3C"/>
    <w:rsid w:val="001309A7"/>
    <w:rsid w:val="0013168D"/>
    <w:rsid w:val="001319C9"/>
    <w:rsid w:val="001338C5"/>
    <w:rsid w:val="00134AC4"/>
    <w:rsid w:val="00137EA1"/>
    <w:rsid w:val="00145217"/>
    <w:rsid w:val="00147708"/>
    <w:rsid w:val="001477BE"/>
    <w:rsid w:val="00150B7B"/>
    <w:rsid w:val="001550B4"/>
    <w:rsid w:val="001554A2"/>
    <w:rsid w:val="00157ECA"/>
    <w:rsid w:val="00157ED7"/>
    <w:rsid w:val="0016137F"/>
    <w:rsid w:val="001617B1"/>
    <w:rsid w:val="00163BE1"/>
    <w:rsid w:val="00175B36"/>
    <w:rsid w:val="00176A1F"/>
    <w:rsid w:val="00177CBB"/>
    <w:rsid w:val="00182C5D"/>
    <w:rsid w:val="00183D43"/>
    <w:rsid w:val="00184B86"/>
    <w:rsid w:val="001852D8"/>
    <w:rsid w:val="00186900"/>
    <w:rsid w:val="001907C7"/>
    <w:rsid w:val="0019161C"/>
    <w:rsid w:val="00193C9C"/>
    <w:rsid w:val="001949FA"/>
    <w:rsid w:val="00195835"/>
    <w:rsid w:val="0019636C"/>
    <w:rsid w:val="00196399"/>
    <w:rsid w:val="0019713A"/>
    <w:rsid w:val="001A1560"/>
    <w:rsid w:val="001A1D2A"/>
    <w:rsid w:val="001A5339"/>
    <w:rsid w:val="001A6316"/>
    <w:rsid w:val="001A69D9"/>
    <w:rsid w:val="001A74D8"/>
    <w:rsid w:val="001B09B2"/>
    <w:rsid w:val="001B0A01"/>
    <w:rsid w:val="001B22E2"/>
    <w:rsid w:val="001B5EC7"/>
    <w:rsid w:val="001C11BE"/>
    <w:rsid w:val="001C225C"/>
    <w:rsid w:val="001C3B91"/>
    <w:rsid w:val="001C581F"/>
    <w:rsid w:val="001C6F68"/>
    <w:rsid w:val="001C781B"/>
    <w:rsid w:val="001D19D2"/>
    <w:rsid w:val="001D1ABF"/>
    <w:rsid w:val="001D2B3E"/>
    <w:rsid w:val="001D2ED8"/>
    <w:rsid w:val="001D4C6B"/>
    <w:rsid w:val="001D526C"/>
    <w:rsid w:val="001D7BF3"/>
    <w:rsid w:val="001E2FBF"/>
    <w:rsid w:val="001E6AD4"/>
    <w:rsid w:val="001F0030"/>
    <w:rsid w:val="001F08ED"/>
    <w:rsid w:val="001F49B5"/>
    <w:rsid w:val="001F7018"/>
    <w:rsid w:val="00201719"/>
    <w:rsid w:val="00203F2B"/>
    <w:rsid w:val="0020527F"/>
    <w:rsid w:val="00205400"/>
    <w:rsid w:val="00215315"/>
    <w:rsid w:val="00216C87"/>
    <w:rsid w:val="002170EB"/>
    <w:rsid w:val="00220028"/>
    <w:rsid w:val="00220EBA"/>
    <w:rsid w:val="00221F4D"/>
    <w:rsid w:val="00225865"/>
    <w:rsid w:val="00227043"/>
    <w:rsid w:val="00227620"/>
    <w:rsid w:val="00230257"/>
    <w:rsid w:val="00230B93"/>
    <w:rsid w:val="00231D50"/>
    <w:rsid w:val="00232141"/>
    <w:rsid w:val="00233BEC"/>
    <w:rsid w:val="002341A8"/>
    <w:rsid w:val="00236ECC"/>
    <w:rsid w:val="0024018C"/>
    <w:rsid w:val="00242A19"/>
    <w:rsid w:val="00243F59"/>
    <w:rsid w:val="00244403"/>
    <w:rsid w:val="00246AB7"/>
    <w:rsid w:val="00250954"/>
    <w:rsid w:val="002534CA"/>
    <w:rsid w:val="0025484F"/>
    <w:rsid w:val="00256320"/>
    <w:rsid w:val="0025633D"/>
    <w:rsid w:val="00256BB9"/>
    <w:rsid w:val="00256DA5"/>
    <w:rsid w:val="00257720"/>
    <w:rsid w:val="002638AF"/>
    <w:rsid w:val="00264270"/>
    <w:rsid w:val="00265EA1"/>
    <w:rsid w:val="002668A6"/>
    <w:rsid w:val="002701DC"/>
    <w:rsid w:val="00273AC8"/>
    <w:rsid w:val="002748B7"/>
    <w:rsid w:val="00277BBE"/>
    <w:rsid w:val="002801E4"/>
    <w:rsid w:val="00280C86"/>
    <w:rsid w:val="00280D82"/>
    <w:rsid w:val="002852DD"/>
    <w:rsid w:val="00285917"/>
    <w:rsid w:val="00285928"/>
    <w:rsid w:val="00285ECE"/>
    <w:rsid w:val="00287114"/>
    <w:rsid w:val="00287CDF"/>
    <w:rsid w:val="0029122B"/>
    <w:rsid w:val="002917D4"/>
    <w:rsid w:val="0029294F"/>
    <w:rsid w:val="00292DD7"/>
    <w:rsid w:val="00297FDD"/>
    <w:rsid w:val="00297FF0"/>
    <w:rsid w:val="002A313C"/>
    <w:rsid w:val="002A50FC"/>
    <w:rsid w:val="002A56CD"/>
    <w:rsid w:val="002A6ABB"/>
    <w:rsid w:val="002B02D8"/>
    <w:rsid w:val="002B272A"/>
    <w:rsid w:val="002B2D5F"/>
    <w:rsid w:val="002B30F7"/>
    <w:rsid w:val="002B70C2"/>
    <w:rsid w:val="002B71BE"/>
    <w:rsid w:val="002B78C0"/>
    <w:rsid w:val="002B7C85"/>
    <w:rsid w:val="002C2EA9"/>
    <w:rsid w:val="002C3F54"/>
    <w:rsid w:val="002C45FA"/>
    <w:rsid w:val="002C52AC"/>
    <w:rsid w:val="002C6C8F"/>
    <w:rsid w:val="002C6FD0"/>
    <w:rsid w:val="002C7489"/>
    <w:rsid w:val="002D0789"/>
    <w:rsid w:val="002D1C69"/>
    <w:rsid w:val="002D58BB"/>
    <w:rsid w:val="002D5C7E"/>
    <w:rsid w:val="002D67F6"/>
    <w:rsid w:val="002D7BB7"/>
    <w:rsid w:val="002E0767"/>
    <w:rsid w:val="002E1128"/>
    <w:rsid w:val="002E143E"/>
    <w:rsid w:val="002E1F60"/>
    <w:rsid w:val="002E2598"/>
    <w:rsid w:val="002E3270"/>
    <w:rsid w:val="002E585B"/>
    <w:rsid w:val="002E5F71"/>
    <w:rsid w:val="002E6387"/>
    <w:rsid w:val="002E7BFD"/>
    <w:rsid w:val="002F1141"/>
    <w:rsid w:val="002F30C8"/>
    <w:rsid w:val="002F4CF5"/>
    <w:rsid w:val="002F6B48"/>
    <w:rsid w:val="002F7B1E"/>
    <w:rsid w:val="003001D6"/>
    <w:rsid w:val="003009F1"/>
    <w:rsid w:val="00300C6F"/>
    <w:rsid w:val="00302433"/>
    <w:rsid w:val="00302956"/>
    <w:rsid w:val="00304516"/>
    <w:rsid w:val="003045E8"/>
    <w:rsid w:val="003062A7"/>
    <w:rsid w:val="0030646B"/>
    <w:rsid w:val="003107F8"/>
    <w:rsid w:val="00312B45"/>
    <w:rsid w:val="00312DA8"/>
    <w:rsid w:val="003138D4"/>
    <w:rsid w:val="003138D7"/>
    <w:rsid w:val="00315051"/>
    <w:rsid w:val="0031568C"/>
    <w:rsid w:val="00315C55"/>
    <w:rsid w:val="00317F22"/>
    <w:rsid w:val="00320F63"/>
    <w:rsid w:val="00322A49"/>
    <w:rsid w:val="0032444A"/>
    <w:rsid w:val="00325EE0"/>
    <w:rsid w:val="00326162"/>
    <w:rsid w:val="00327E99"/>
    <w:rsid w:val="0033543C"/>
    <w:rsid w:val="00340182"/>
    <w:rsid w:val="00340CD2"/>
    <w:rsid w:val="00340E0E"/>
    <w:rsid w:val="00341AF2"/>
    <w:rsid w:val="00341B2D"/>
    <w:rsid w:val="00342226"/>
    <w:rsid w:val="00344330"/>
    <w:rsid w:val="00344486"/>
    <w:rsid w:val="00345950"/>
    <w:rsid w:val="00350312"/>
    <w:rsid w:val="0035144C"/>
    <w:rsid w:val="00353852"/>
    <w:rsid w:val="00357B92"/>
    <w:rsid w:val="0036112B"/>
    <w:rsid w:val="003652F8"/>
    <w:rsid w:val="00365607"/>
    <w:rsid w:val="00365D89"/>
    <w:rsid w:val="00370267"/>
    <w:rsid w:val="0037082D"/>
    <w:rsid w:val="0037142B"/>
    <w:rsid w:val="00373694"/>
    <w:rsid w:val="00374103"/>
    <w:rsid w:val="0037576B"/>
    <w:rsid w:val="003803DD"/>
    <w:rsid w:val="00380F6E"/>
    <w:rsid w:val="00382B89"/>
    <w:rsid w:val="003831B8"/>
    <w:rsid w:val="00384B21"/>
    <w:rsid w:val="00385085"/>
    <w:rsid w:val="00390EB6"/>
    <w:rsid w:val="00394311"/>
    <w:rsid w:val="00395215"/>
    <w:rsid w:val="0039584C"/>
    <w:rsid w:val="00395D1B"/>
    <w:rsid w:val="003A16B0"/>
    <w:rsid w:val="003A38E7"/>
    <w:rsid w:val="003A49B0"/>
    <w:rsid w:val="003A4D03"/>
    <w:rsid w:val="003A66A5"/>
    <w:rsid w:val="003A753A"/>
    <w:rsid w:val="003A78B7"/>
    <w:rsid w:val="003B1468"/>
    <w:rsid w:val="003B28A4"/>
    <w:rsid w:val="003C534B"/>
    <w:rsid w:val="003C7D0D"/>
    <w:rsid w:val="003D18E0"/>
    <w:rsid w:val="003D1F16"/>
    <w:rsid w:val="003D1FB3"/>
    <w:rsid w:val="003D2305"/>
    <w:rsid w:val="003D6C56"/>
    <w:rsid w:val="003E240E"/>
    <w:rsid w:val="003E4125"/>
    <w:rsid w:val="003E4A32"/>
    <w:rsid w:val="003E709F"/>
    <w:rsid w:val="003F18D6"/>
    <w:rsid w:val="003F5A18"/>
    <w:rsid w:val="003F5A32"/>
    <w:rsid w:val="003F5CB8"/>
    <w:rsid w:val="003F6BBB"/>
    <w:rsid w:val="003F74F2"/>
    <w:rsid w:val="004002D1"/>
    <w:rsid w:val="004004C8"/>
    <w:rsid w:val="004023F9"/>
    <w:rsid w:val="00403A97"/>
    <w:rsid w:val="00404DB7"/>
    <w:rsid w:val="004116DA"/>
    <w:rsid w:val="00412508"/>
    <w:rsid w:val="00412ECF"/>
    <w:rsid w:val="00413B4D"/>
    <w:rsid w:val="0041472E"/>
    <w:rsid w:val="00414D55"/>
    <w:rsid w:val="00417A53"/>
    <w:rsid w:val="00420A5A"/>
    <w:rsid w:val="00420E86"/>
    <w:rsid w:val="00421C97"/>
    <w:rsid w:val="00423CA1"/>
    <w:rsid w:val="00425198"/>
    <w:rsid w:val="0042567F"/>
    <w:rsid w:val="00426E9D"/>
    <w:rsid w:val="0043071A"/>
    <w:rsid w:val="004309ED"/>
    <w:rsid w:val="00433819"/>
    <w:rsid w:val="004341A1"/>
    <w:rsid w:val="00435785"/>
    <w:rsid w:val="00436589"/>
    <w:rsid w:val="0044156B"/>
    <w:rsid w:val="00443A59"/>
    <w:rsid w:val="004472C0"/>
    <w:rsid w:val="00447EA4"/>
    <w:rsid w:val="004509B6"/>
    <w:rsid w:val="00455369"/>
    <w:rsid w:val="00455D48"/>
    <w:rsid w:val="00457179"/>
    <w:rsid w:val="0045728A"/>
    <w:rsid w:val="004574F4"/>
    <w:rsid w:val="00457612"/>
    <w:rsid w:val="004579AF"/>
    <w:rsid w:val="00462172"/>
    <w:rsid w:val="004648C3"/>
    <w:rsid w:val="00466B97"/>
    <w:rsid w:val="00466FA2"/>
    <w:rsid w:val="00471475"/>
    <w:rsid w:val="00471661"/>
    <w:rsid w:val="004718FC"/>
    <w:rsid w:val="00472915"/>
    <w:rsid w:val="004743F7"/>
    <w:rsid w:val="00481199"/>
    <w:rsid w:val="00482484"/>
    <w:rsid w:val="00482748"/>
    <w:rsid w:val="004828C3"/>
    <w:rsid w:val="00485124"/>
    <w:rsid w:val="00485B71"/>
    <w:rsid w:val="00485C6B"/>
    <w:rsid w:val="00485D84"/>
    <w:rsid w:val="00486D97"/>
    <w:rsid w:val="00490AE5"/>
    <w:rsid w:val="00491EE0"/>
    <w:rsid w:val="0049738D"/>
    <w:rsid w:val="004A3B76"/>
    <w:rsid w:val="004A3EA8"/>
    <w:rsid w:val="004A51A3"/>
    <w:rsid w:val="004A58DC"/>
    <w:rsid w:val="004A5DF4"/>
    <w:rsid w:val="004A6DC7"/>
    <w:rsid w:val="004B1787"/>
    <w:rsid w:val="004B1FAE"/>
    <w:rsid w:val="004B2777"/>
    <w:rsid w:val="004B5EEF"/>
    <w:rsid w:val="004B71C6"/>
    <w:rsid w:val="004B721D"/>
    <w:rsid w:val="004C12F7"/>
    <w:rsid w:val="004C1D9F"/>
    <w:rsid w:val="004C23E6"/>
    <w:rsid w:val="004C42A9"/>
    <w:rsid w:val="004C46CC"/>
    <w:rsid w:val="004C4970"/>
    <w:rsid w:val="004C61B5"/>
    <w:rsid w:val="004C622E"/>
    <w:rsid w:val="004C7714"/>
    <w:rsid w:val="004D1374"/>
    <w:rsid w:val="004D3ACB"/>
    <w:rsid w:val="004D3C52"/>
    <w:rsid w:val="004D4C7D"/>
    <w:rsid w:val="004D776B"/>
    <w:rsid w:val="004E0491"/>
    <w:rsid w:val="004E06C8"/>
    <w:rsid w:val="004E1B55"/>
    <w:rsid w:val="004E1D70"/>
    <w:rsid w:val="004E5083"/>
    <w:rsid w:val="004E5AD0"/>
    <w:rsid w:val="004E5C01"/>
    <w:rsid w:val="004F05E8"/>
    <w:rsid w:val="004F2F1A"/>
    <w:rsid w:val="004F46A0"/>
    <w:rsid w:val="004F704B"/>
    <w:rsid w:val="00504608"/>
    <w:rsid w:val="00504A1A"/>
    <w:rsid w:val="005057FF"/>
    <w:rsid w:val="00505A2A"/>
    <w:rsid w:val="0050615D"/>
    <w:rsid w:val="0050655E"/>
    <w:rsid w:val="00506DD2"/>
    <w:rsid w:val="00507772"/>
    <w:rsid w:val="00511459"/>
    <w:rsid w:val="00511DDE"/>
    <w:rsid w:val="005121BE"/>
    <w:rsid w:val="00512366"/>
    <w:rsid w:val="0051625F"/>
    <w:rsid w:val="00521D5E"/>
    <w:rsid w:val="00521ED2"/>
    <w:rsid w:val="005223E2"/>
    <w:rsid w:val="0052370D"/>
    <w:rsid w:val="00526085"/>
    <w:rsid w:val="00527507"/>
    <w:rsid w:val="00527BA0"/>
    <w:rsid w:val="0053176F"/>
    <w:rsid w:val="00531B77"/>
    <w:rsid w:val="00531C82"/>
    <w:rsid w:val="005330E6"/>
    <w:rsid w:val="005339B4"/>
    <w:rsid w:val="00535660"/>
    <w:rsid w:val="005358FF"/>
    <w:rsid w:val="0053629C"/>
    <w:rsid w:val="00537661"/>
    <w:rsid w:val="00540552"/>
    <w:rsid w:val="005417E6"/>
    <w:rsid w:val="0054189E"/>
    <w:rsid w:val="005432BE"/>
    <w:rsid w:val="00545045"/>
    <w:rsid w:val="005455B9"/>
    <w:rsid w:val="0054688B"/>
    <w:rsid w:val="005539EB"/>
    <w:rsid w:val="00556771"/>
    <w:rsid w:val="00561C57"/>
    <w:rsid w:val="00562494"/>
    <w:rsid w:val="00562503"/>
    <w:rsid w:val="00564812"/>
    <w:rsid w:val="00564C4D"/>
    <w:rsid w:val="005660F8"/>
    <w:rsid w:val="00566EE3"/>
    <w:rsid w:val="0057452E"/>
    <w:rsid w:val="00574C11"/>
    <w:rsid w:val="00576538"/>
    <w:rsid w:val="0057701C"/>
    <w:rsid w:val="00577884"/>
    <w:rsid w:val="00583D92"/>
    <w:rsid w:val="00584288"/>
    <w:rsid w:val="0058699E"/>
    <w:rsid w:val="005915DC"/>
    <w:rsid w:val="0059185E"/>
    <w:rsid w:val="00592523"/>
    <w:rsid w:val="00595811"/>
    <w:rsid w:val="005A35B2"/>
    <w:rsid w:val="005A5C07"/>
    <w:rsid w:val="005A5F10"/>
    <w:rsid w:val="005A7934"/>
    <w:rsid w:val="005A7AB8"/>
    <w:rsid w:val="005B25A6"/>
    <w:rsid w:val="005B5440"/>
    <w:rsid w:val="005B79CA"/>
    <w:rsid w:val="005C20AE"/>
    <w:rsid w:val="005C57E5"/>
    <w:rsid w:val="005C6C62"/>
    <w:rsid w:val="005C6CDE"/>
    <w:rsid w:val="005C7FF1"/>
    <w:rsid w:val="005D04EF"/>
    <w:rsid w:val="005D489E"/>
    <w:rsid w:val="005D5C31"/>
    <w:rsid w:val="005D5E62"/>
    <w:rsid w:val="005D636A"/>
    <w:rsid w:val="005D7FEC"/>
    <w:rsid w:val="005E008A"/>
    <w:rsid w:val="005E2DD3"/>
    <w:rsid w:val="005E599D"/>
    <w:rsid w:val="005E69E0"/>
    <w:rsid w:val="005E6B9A"/>
    <w:rsid w:val="005E6ECC"/>
    <w:rsid w:val="005F08DB"/>
    <w:rsid w:val="005F4F55"/>
    <w:rsid w:val="005F6775"/>
    <w:rsid w:val="006016AE"/>
    <w:rsid w:val="00604234"/>
    <w:rsid w:val="00604646"/>
    <w:rsid w:val="0060506E"/>
    <w:rsid w:val="00606843"/>
    <w:rsid w:val="00606987"/>
    <w:rsid w:val="006077BB"/>
    <w:rsid w:val="00610986"/>
    <w:rsid w:val="00611102"/>
    <w:rsid w:val="006119B2"/>
    <w:rsid w:val="00612BFD"/>
    <w:rsid w:val="00617A3E"/>
    <w:rsid w:val="006205A5"/>
    <w:rsid w:val="00620D82"/>
    <w:rsid w:val="0062396E"/>
    <w:rsid w:val="00624239"/>
    <w:rsid w:val="006260DE"/>
    <w:rsid w:val="00627956"/>
    <w:rsid w:val="00633E1A"/>
    <w:rsid w:val="006353C4"/>
    <w:rsid w:val="00636DD3"/>
    <w:rsid w:val="006412D2"/>
    <w:rsid w:val="00643FB4"/>
    <w:rsid w:val="006466B5"/>
    <w:rsid w:val="00646CED"/>
    <w:rsid w:val="00647B80"/>
    <w:rsid w:val="00651661"/>
    <w:rsid w:val="00653B96"/>
    <w:rsid w:val="006553BC"/>
    <w:rsid w:val="0065754D"/>
    <w:rsid w:val="00657744"/>
    <w:rsid w:val="006606F5"/>
    <w:rsid w:val="006609D4"/>
    <w:rsid w:val="006633E2"/>
    <w:rsid w:val="00664842"/>
    <w:rsid w:val="00665490"/>
    <w:rsid w:val="006657B7"/>
    <w:rsid w:val="0066584F"/>
    <w:rsid w:val="00666485"/>
    <w:rsid w:val="00671711"/>
    <w:rsid w:val="0067188F"/>
    <w:rsid w:val="0067555C"/>
    <w:rsid w:val="006804E4"/>
    <w:rsid w:val="0068056A"/>
    <w:rsid w:val="006805BC"/>
    <w:rsid w:val="006818C4"/>
    <w:rsid w:val="00681CE6"/>
    <w:rsid w:val="00683263"/>
    <w:rsid w:val="006856ED"/>
    <w:rsid w:val="00690461"/>
    <w:rsid w:val="006939D4"/>
    <w:rsid w:val="00697006"/>
    <w:rsid w:val="006A026B"/>
    <w:rsid w:val="006A0A48"/>
    <w:rsid w:val="006A20CA"/>
    <w:rsid w:val="006A69E5"/>
    <w:rsid w:val="006B227C"/>
    <w:rsid w:val="006B3539"/>
    <w:rsid w:val="006B37AC"/>
    <w:rsid w:val="006B4703"/>
    <w:rsid w:val="006B4877"/>
    <w:rsid w:val="006B5136"/>
    <w:rsid w:val="006B6057"/>
    <w:rsid w:val="006B6A4F"/>
    <w:rsid w:val="006C2070"/>
    <w:rsid w:val="006C2FBB"/>
    <w:rsid w:val="006C3B39"/>
    <w:rsid w:val="006C4C9A"/>
    <w:rsid w:val="006C6211"/>
    <w:rsid w:val="006C6224"/>
    <w:rsid w:val="006D1C10"/>
    <w:rsid w:val="006D1E9A"/>
    <w:rsid w:val="006D3885"/>
    <w:rsid w:val="006D5E92"/>
    <w:rsid w:val="006E061A"/>
    <w:rsid w:val="006E3C60"/>
    <w:rsid w:val="006E6275"/>
    <w:rsid w:val="006E7313"/>
    <w:rsid w:val="006E7755"/>
    <w:rsid w:val="006F1B84"/>
    <w:rsid w:val="006F1C5A"/>
    <w:rsid w:val="006F289E"/>
    <w:rsid w:val="007014D6"/>
    <w:rsid w:val="00702661"/>
    <w:rsid w:val="007056C0"/>
    <w:rsid w:val="00706E1D"/>
    <w:rsid w:val="00706E5A"/>
    <w:rsid w:val="00706F5A"/>
    <w:rsid w:val="007070EC"/>
    <w:rsid w:val="00710078"/>
    <w:rsid w:val="007111A7"/>
    <w:rsid w:val="0071137C"/>
    <w:rsid w:val="007118E6"/>
    <w:rsid w:val="00713F5C"/>
    <w:rsid w:val="0071604E"/>
    <w:rsid w:val="00717806"/>
    <w:rsid w:val="00721572"/>
    <w:rsid w:val="00721B34"/>
    <w:rsid w:val="0072281D"/>
    <w:rsid w:val="007238BA"/>
    <w:rsid w:val="007238BF"/>
    <w:rsid w:val="00726AC6"/>
    <w:rsid w:val="007275B0"/>
    <w:rsid w:val="00727E1A"/>
    <w:rsid w:val="007309D2"/>
    <w:rsid w:val="00731A94"/>
    <w:rsid w:val="007321FC"/>
    <w:rsid w:val="00732750"/>
    <w:rsid w:val="00732A9D"/>
    <w:rsid w:val="0073455B"/>
    <w:rsid w:val="00734C6E"/>
    <w:rsid w:val="00734FB8"/>
    <w:rsid w:val="007372A6"/>
    <w:rsid w:val="00737928"/>
    <w:rsid w:val="007457D8"/>
    <w:rsid w:val="00745CF8"/>
    <w:rsid w:val="00746169"/>
    <w:rsid w:val="00747F89"/>
    <w:rsid w:val="007507FE"/>
    <w:rsid w:val="0075191C"/>
    <w:rsid w:val="00751B96"/>
    <w:rsid w:val="007525A4"/>
    <w:rsid w:val="00754524"/>
    <w:rsid w:val="00756B01"/>
    <w:rsid w:val="007574B6"/>
    <w:rsid w:val="007602E4"/>
    <w:rsid w:val="00760791"/>
    <w:rsid w:val="00761CCD"/>
    <w:rsid w:val="007625C8"/>
    <w:rsid w:val="00762C6E"/>
    <w:rsid w:val="00762DF5"/>
    <w:rsid w:val="0076353A"/>
    <w:rsid w:val="00770987"/>
    <w:rsid w:val="00770A2F"/>
    <w:rsid w:val="00774481"/>
    <w:rsid w:val="00774914"/>
    <w:rsid w:val="00774CF5"/>
    <w:rsid w:val="0077599F"/>
    <w:rsid w:val="00775DCD"/>
    <w:rsid w:val="00780D93"/>
    <w:rsid w:val="00780F89"/>
    <w:rsid w:val="007813BC"/>
    <w:rsid w:val="007823F6"/>
    <w:rsid w:val="00782FB2"/>
    <w:rsid w:val="0078590B"/>
    <w:rsid w:val="00785F8F"/>
    <w:rsid w:val="00787702"/>
    <w:rsid w:val="00787EB2"/>
    <w:rsid w:val="00792122"/>
    <w:rsid w:val="007929C6"/>
    <w:rsid w:val="00792BA3"/>
    <w:rsid w:val="00794105"/>
    <w:rsid w:val="00795844"/>
    <w:rsid w:val="00795A44"/>
    <w:rsid w:val="007A13CB"/>
    <w:rsid w:val="007A1D50"/>
    <w:rsid w:val="007A2BA2"/>
    <w:rsid w:val="007A3985"/>
    <w:rsid w:val="007A3A3D"/>
    <w:rsid w:val="007A4DB0"/>
    <w:rsid w:val="007A515F"/>
    <w:rsid w:val="007A5717"/>
    <w:rsid w:val="007A6ABE"/>
    <w:rsid w:val="007A6B10"/>
    <w:rsid w:val="007A70E8"/>
    <w:rsid w:val="007B0BC4"/>
    <w:rsid w:val="007B11DE"/>
    <w:rsid w:val="007B29D8"/>
    <w:rsid w:val="007B4869"/>
    <w:rsid w:val="007B5B7F"/>
    <w:rsid w:val="007B5E12"/>
    <w:rsid w:val="007B64F1"/>
    <w:rsid w:val="007C1275"/>
    <w:rsid w:val="007C407F"/>
    <w:rsid w:val="007C4473"/>
    <w:rsid w:val="007C55E7"/>
    <w:rsid w:val="007D0ED2"/>
    <w:rsid w:val="007D1175"/>
    <w:rsid w:val="007D134B"/>
    <w:rsid w:val="007D1404"/>
    <w:rsid w:val="007D2845"/>
    <w:rsid w:val="007D4A4A"/>
    <w:rsid w:val="007D5609"/>
    <w:rsid w:val="007D6BB8"/>
    <w:rsid w:val="007D7727"/>
    <w:rsid w:val="007D787F"/>
    <w:rsid w:val="007E1E83"/>
    <w:rsid w:val="007E2955"/>
    <w:rsid w:val="007E458B"/>
    <w:rsid w:val="007E79F0"/>
    <w:rsid w:val="007F036A"/>
    <w:rsid w:val="007F2484"/>
    <w:rsid w:val="007F2C92"/>
    <w:rsid w:val="007F5104"/>
    <w:rsid w:val="007F5B95"/>
    <w:rsid w:val="007F734B"/>
    <w:rsid w:val="007F773A"/>
    <w:rsid w:val="008007A2"/>
    <w:rsid w:val="0080149A"/>
    <w:rsid w:val="00801B13"/>
    <w:rsid w:val="008020CB"/>
    <w:rsid w:val="0080268D"/>
    <w:rsid w:val="00804728"/>
    <w:rsid w:val="008077A7"/>
    <w:rsid w:val="00811F4B"/>
    <w:rsid w:val="00814803"/>
    <w:rsid w:val="00814999"/>
    <w:rsid w:val="0081533A"/>
    <w:rsid w:val="00815E6A"/>
    <w:rsid w:val="00820B5E"/>
    <w:rsid w:val="00822F29"/>
    <w:rsid w:val="00823AA5"/>
    <w:rsid w:val="00823E11"/>
    <w:rsid w:val="008273F7"/>
    <w:rsid w:val="008310A3"/>
    <w:rsid w:val="00831E02"/>
    <w:rsid w:val="00832664"/>
    <w:rsid w:val="00832B72"/>
    <w:rsid w:val="00832C90"/>
    <w:rsid w:val="008337B8"/>
    <w:rsid w:val="00834058"/>
    <w:rsid w:val="00834188"/>
    <w:rsid w:val="00837678"/>
    <w:rsid w:val="00844429"/>
    <w:rsid w:val="008469F8"/>
    <w:rsid w:val="00850535"/>
    <w:rsid w:val="008527A6"/>
    <w:rsid w:val="00853B0C"/>
    <w:rsid w:val="00853F14"/>
    <w:rsid w:val="008562D7"/>
    <w:rsid w:val="0085771D"/>
    <w:rsid w:val="00860E1F"/>
    <w:rsid w:val="00863590"/>
    <w:rsid w:val="00863E02"/>
    <w:rsid w:val="008656A6"/>
    <w:rsid w:val="008671C1"/>
    <w:rsid w:val="008679D8"/>
    <w:rsid w:val="00870DD2"/>
    <w:rsid w:val="0087635A"/>
    <w:rsid w:val="00876F3A"/>
    <w:rsid w:val="0088148D"/>
    <w:rsid w:val="00881788"/>
    <w:rsid w:val="00883724"/>
    <w:rsid w:val="0088490C"/>
    <w:rsid w:val="008849FF"/>
    <w:rsid w:val="00885CCE"/>
    <w:rsid w:val="008930D2"/>
    <w:rsid w:val="00896D71"/>
    <w:rsid w:val="008A0316"/>
    <w:rsid w:val="008A1D08"/>
    <w:rsid w:val="008A3233"/>
    <w:rsid w:val="008A3ED8"/>
    <w:rsid w:val="008A5A9B"/>
    <w:rsid w:val="008B0FF3"/>
    <w:rsid w:val="008B24CA"/>
    <w:rsid w:val="008B36ED"/>
    <w:rsid w:val="008B5BDD"/>
    <w:rsid w:val="008B6D9D"/>
    <w:rsid w:val="008B7C80"/>
    <w:rsid w:val="008C3F57"/>
    <w:rsid w:val="008C65ED"/>
    <w:rsid w:val="008C740D"/>
    <w:rsid w:val="008C7DAE"/>
    <w:rsid w:val="008D127D"/>
    <w:rsid w:val="008D3761"/>
    <w:rsid w:val="008D4C81"/>
    <w:rsid w:val="008D58B1"/>
    <w:rsid w:val="008E2787"/>
    <w:rsid w:val="008E4970"/>
    <w:rsid w:val="008E65E6"/>
    <w:rsid w:val="008E7845"/>
    <w:rsid w:val="008F0E30"/>
    <w:rsid w:val="008F14F1"/>
    <w:rsid w:val="008F18A9"/>
    <w:rsid w:val="008F1CC0"/>
    <w:rsid w:val="008F1E53"/>
    <w:rsid w:val="008F32AE"/>
    <w:rsid w:val="008F45D7"/>
    <w:rsid w:val="008F740D"/>
    <w:rsid w:val="008F74AA"/>
    <w:rsid w:val="009000EB"/>
    <w:rsid w:val="00900C6D"/>
    <w:rsid w:val="00900E87"/>
    <w:rsid w:val="00903150"/>
    <w:rsid w:val="00903D87"/>
    <w:rsid w:val="00903F55"/>
    <w:rsid w:val="00904967"/>
    <w:rsid w:val="009051F9"/>
    <w:rsid w:val="00905AA2"/>
    <w:rsid w:val="0090650E"/>
    <w:rsid w:val="00907006"/>
    <w:rsid w:val="00907639"/>
    <w:rsid w:val="00910E52"/>
    <w:rsid w:val="00911ACB"/>
    <w:rsid w:val="00914300"/>
    <w:rsid w:val="0092196A"/>
    <w:rsid w:val="009251EA"/>
    <w:rsid w:val="009261FB"/>
    <w:rsid w:val="00932C7E"/>
    <w:rsid w:val="00936EDB"/>
    <w:rsid w:val="00944D8E"/>
    <w:rsid w:val="00945354"/>
    <w:rsid w:val="009502D9"/>
    <w:rsid w:val="009509FF"/>
    <w:rsid w:val="00953690"/>
    <w:rsid w:val="00953910"/>
    <w:rsid w:val="00953B6A"/>
    <w:rsid w:val="00954F06"/>
    <w:rsid w:val="009552DF"/>
    <w:rsid w:val="00955696"/>
    <w:rsid w:val="009569D9"/>
    <w:rsid w:val="00956B54"/>
    <w:rsid w:val="00961B88"/>
    <w:rsid w:val="009625FE"/>
    <w:rsid w:val="009631AE"/>
    <w:rsid w:val="00963FFC"/>
    <w:rsid w:val="00964332"/>
    <w:rsid w:val="00964E7D"/>
    <w:rsid w:val="009664E0"/>
    <w:rsid w:val="009670A5"/>
    <w:rsid w:val="00967EF2"/>
    <w:rsid w:val="0097335C"/>
    <w:rsid w:val="00973598"/>
    <w:rsid w:val="009752D3"/>
    <w:rsid w:val="0097543E"/>
    <w:rsid w:val="00977CF5"/>
    <w:rsid w:val="0098030D"/>
    <w:rsid w:val="0098075F"/>
    <w:rsid w:val="0098262E"/>
    <w:rsid w:val="00986291"/>
    <w:rsid w:val="00986B4D"/>
    <w:rsid w:val="00986FA1"/>
    <w:rsid w:val="00991FF7"/>
    <w:rsid w:val="00992DFF"/>
    <w:rsid w:val="009937CE"/>
    <w:rsid w:val="009A1CD4"/>
    <w:rsid w:val="009A1D86"/>
    <w:rsid w:val="009A223D"/>
    <w:rsid w:val="009A367E"/>
    <w:rsid w:val="009A52A9"/>
    <w:rsid w:val="009A54D1"/>
    <w:rsid w:val="009A6051"/>
    <w:rsid w:val="009A6D13"/>
    <w:rsid w:val="009B00B8"/>
    <w:rsid w:val="009B11BD"/>
    <w:rsid w:val="009B22DD"/>
    <w:rsid w:val="009B297D"/>
    <w:rsid w:val="009B2DC2"/>
    <w:rsid w:val="009B2E9A"/>
    <w:rsid w:val="009B71D0"/>
    <w:rsid w:val="009B770E"/>
    <w:rsid w:val="009C06C4"/>
    <w:rsid w:val="009C6A05"/>
    <w:rsid w:val="009D1873"/>
    <w:rsid w:val="009D199C"/>
    <w:rsid w:val="009D1DA2"/>
    <w:rsid w:val="009D5955"/>
    <w:rsid w:val="009D60CC"/>
    <w:rsid w:val="009E2023"/>
    <w:rsid w:val="009E25F2"/>
    <w:rsid w:val="009E6B1A"/>
    <w:rsid w:val="009E7802"/>
    <w:rsid w:val="009F1F94"/>
    <w:rsid w:val="009F34C7"/>
    <w:rsid w:val="009F54E0"/>
    <w:rsid w:val="009F6C72"/>
    <w:rsid w:val="00A00130"/>
    <w:rsid w:val="00A02092"/>
    <w:rsid w:val="00A028CE"/>
    <w:rsid w:val="00A04E6A"/>
    <w:rsid w:val="00A0502F"/>
    <w:rsid w:val="00A1076F"/>
    <w:rsid w:val="00A11C76"/>
    <w:rsid w:val="00A12177"/>
    <w:rsid w:val="00A1540F"/>
    <w:rsid w:val="00A21732"/>
    <w:rsid w:val="00A23F3E"/>
    <w:rsid w:val="00A24EC6"/>
    <w:rsid w:val="00A25111"/>
    <w:rsid w:val="00A2547C"/>
    <w:rsid w:val="00A353C5"/>
    <w:rsid w:val="00A35F86"/>
    <w:rsid w:val="00A3620A"/>
    <w:rsid w:val="00A40AC7"/>
    <w:rsid w:val="00A410E5"/>
    <w:rsid w:val="00A415F4"/>
    <w:rsid w:val="00A41F91"/>
    <w:rsid w:val="00A432A2"/>
    <w:rsid w:val="00A434EE"/>
    <w:rsid w:val="00A44EF1"/>
    <w:rsid w:val="00A50239"/>
    <w:rsid w:val="00A5239F"/>
    <w:rsid w:val="00A531FD"/>
    <w:rsid w:val="00A54D0C"/>
    <w:rsid w:val="00A62541"/>
    <w:rsid w:val="00A625EE"/>
    <w:rsid w:val="00A6270D"/>
    <w:rsid w:val="00A63192"/>
    <w:rsid w:val="00A66978"/>
    <w:rsid w:val="00A72B44"/>
    <w:rsid w:val="00A73125"/>
    <w:rsid w:val="00A75E46"/>
    <w:rsid w:val="00A77B0A"/>
    <w:rsid w:val="00A77BE1"/>
    <w:rsid w:val="00A82C36"/>
    <w:rsid w:val="00A83EB6"/>
    <w:rsid w:val="00A846B9"/>
    <w:rsid w:val="00A85C4E"/>
    <w:rsid w:val="00A85E80"/>
    <w:rsid w:val="00A860A8"/>
    <w:rsid w:val="00A91807"/>
    <w:rsid w:val="00A920C5"/>
    <w:rsid w:val="00A93D85"/>
    <w:rsid w:val="00A942E7"/>
    <w:rsid w:val="00A945FD"/>
    <w:rsid w:val="00A947A2"/>
    <w:rsid w:val="00A95503"/>
    <w:rsid w:val="00AA0C88"/>
    <w:rsid w:val="00AA0FEC"/>
    <w:rsid w:val="00AA59BD"/>
    <w:rsid w:val="00AB3C1E"/>
    <w:rsid w:val="00AB4207"/>
    <w:rsid w:val="00AB477E"/>
    <w:rsid w:val="00AB4BC2"/>
    <w:rsid w:val="00AB522C"/>
    <w:rsid w:val="00AB5493"/>
    <w:rsid w:val="00AB5A5C"/>
    <w:rsid w:val="00AB7F22"/>
    <w:rsid w:val="00AC0A29"/>
    <w:rsid w:val="00AC1AD3"/>
    <w:rsid w:val="00AC27FD"/>
    <w:rsid w:val="00AC2DD3"/>
    <w:rsid w:val="00AC3B31"/>
    <w:rsid w:val="00AC55E8"/>
    <w:rsid w:val="00AD1021"/>
    <w:rsid w:val="00AD1AD1"/>
    <w:rsid w:val="00AD25A1"/>
    <w:rsid w:val="00AD29DF"/>
    <w:rsid w:val="00AD2F5A"/>
    <w:rsid w:val="00AD38E4"/>
    <w:rsid w:val="00AD3F1D"/>
    <w:rsid w:val="00AD4833"/>
    <w:rsid w:val="00AE1DB9"/>
    <w:rsid w:val="00AE2684"/>
    <w:rsid w:val="00AE2B2F"/>
    <w:rsid w:val="00AE4611"/>
    <w:rsid w:val="00AE4CE6"/>
    <w:rsid w:val="00AE6F3D"/>
    <w:rsid w:val="00AE75F6"/>
    <w:rsid w:val="00AF0007"/>
    <w:rsid w:val="00AF100C"/>
    <w:rsid w:val="00AF7DCD"/>
    <w:rsid w:val="00B05CA5"/>
    <w:rsid w:val="00B05E6D"/>
    <w:rsid w:val="00B10FD4"/>
    <w:rsid w:val="00B11794"/>
    <w:rsid w:val="00B1312F"/>
    <w:rsid w:val="00B14494"/>
    <w:rsid w:val="00B1690E"/>
    <w:rsid w:val="00B16A1B"/>
    <w:rsid w:val="00B17034"/>
    <w:rsid w:val="00B20A5B"/>
    <w:rsid w:val="00B214F9"/>
    <w:rsid w:val="00B2161C"/>
    <w:rsid w:val="00B22CF1"/>
    <w:rsid w:val="00B24B59"/>
    <w:rsid w:val="00B268F0"/>
    <w:rsid w:val="00B2699A"/>
    <w:rsid w:val="00B26E48"/>
    <w:rsid w:val="00B3155D"/>
    <w:rsid w:val="00B31C6F"/>
    <w:rsid w:val="00B34ACB"/>
    <w:rsid w:val="00B36FC3"/>
    <w:rsid w:val="00B410C1"/>
    <w:rsid w:val="00B4141D"/>
    <w:rsid w:val="00B4169E"/>
    <w:rsid w:val="00B418A5"/>
    <w:rsid w:val="00B424F7"/>
    <w:rsid w:val="00B441D5"/>
    <w:rsid w:val="00B45EBD"/>
    <w:rsid w:val="00B46297"/>
    <w:rsid w:val="00B4638A"/>
    <w:rsid w:val="00B51351"/>
    <w:rsid w:val="00B5351B"/>
    <w:rsid w:val="00B556E1"/>
    <w:rsid w:val="00B56C07"/>
    <w:rsid w:val="00B57117"/>
    <w:rsid w:val="00B63697"/>
    <w:rsid w:val="00B638B7"/>
    <w:rsid w:val="00B65863"/>
    <w:rsid w:val="00B66132"/>
    <w:rsid w:val="00B663C6"/>
    <w:rsid w:val="00B66C0A"/>
    <w:rsid w:val="00B72C4A"/>
    <w:rsid w:val="00B72EE4"/>
    <w:rsid w:val="00B74546"/>
    <w:rsid w:val="00B759D0"/>
    <w:rsid w:val="00B768AE"/>
    <w:rsid w:val="00B77F7A"/>
    <w:rsid w:val="00B8047D"/>
    <w:rsid w:val="00B80933"/>
    <w:rsid w:val="00B81419"/>
    <w:rsid w:val="00B84F11"/>
    <w:rsid w:val="00B851BD"/>
    <w:rsid w:val="00B8629C"/>
    <w:rsid w:val="00B871AC"/>
    <w:rsid w:val="00B87DA7"/>
    <w:rsid w:val="00B92F80"/>
    <w:rsid w:val="00B93353"/>
    <w:rsid w:val="00B93392"/>
    <w:rsid w:val="00B944BF"/>
    <w:rsid w:val="00B94AE2"/>
    <w:rsid w:val="00B95462"/>
    <w:rsid w:val="00B966A7"/>
    <w:rsid w:val="00B97588"/>
    <w:rsid w:val="00BA0472"/>
    <w:rsid w:val="00BA0F19"/>
    <w:rsid w:val="00BA2B85"/>
    <w:rsid w:val="00BA2E8A"/>
    <w:rsid w:val="00BA5C56"/>
    <w:rsid w:val="00BA71CD"/>
    <w:rsid w:val="00BA77B5"/>
    <w:rsid w:val="00BB01BF"/>
    <w:rsid w:val="00BB17B7"/>
    <w:rsid w:val="00BB1AE5"/>
    <w:rsid w:val="00BB4E52"/>
    <w:rsid w:val="00BB6E7A"/>
    <w:rsid w:val="00BC174E"/>
    <w:rsid w:val="00BC24C0"/>
    <w:rsid w:val="00BC31D7"/>
    <w:rsid w:val="00BC6425"/>
    <w:rsid w:val="00BC6BA8"/>
    <w:rsid w:val="00BC6D9B"/>
    <w:rsid w:val="00BC74C3"/>
    <w:rsid w:val="00BC7E92"/>
    <w:rsid w:val="00BD144E"/>
    <w:rsid w:val="00BD1820"/>
    <w:rsid w:val="00BD65E6"/>
    <w:rsid w:val="00BD70B5"/>
    <w:rsid w:val="00BD715D"/>
    <w:rsid w:val="00BD77D8"/>
    <w:rsid w:val="00BE01C3"/>
    <w:rsid w:val="00BE1401"/>
    <w:rsid w:val="00BE38A3"/>
    <w:rsid w:val="00BE4627"/>
    <w:rsid w:val="00BE52E6"/>
    <w:rsid w:val="00BF582E"/>
    <w:rsid w:val="00BF5F86"/>
    <w:rsid w:val="00BF688A"/>
    <w:rsid w:val="00C018C0"/>
    <w:rsid w:val="00C01C4A"/>
    <w:rsid w:val="00C02839"/>
    <w:rsid w:val="00C02FF6"/>
    <w:rsid w:val="00C0380B"/>
    <w:rsid w:val="00C04CB1"/>
    <w:rsid w:val="00C10B45"/>
    <w:rsid w:val="00C1120D"/>
    <w:rsid w:val="00C1399E"/>
    <w:rsid w:val="00C14276"/>
    <w:rsid w:val="00C14CEE"/>
    <w:rsid w:val="00C17D2E"/>
    <w:rsid w:val="00C2175F"/>
    <w:rsid w:val="00C22576"/>
    <w:rsid w:val="00C22631"/>
    <w:rsid w:val="00C23332"/>
    <w:rsid w:val="00C24A0E"/>
    <w:rsid w:val="00C25D38"/>
    <w:rsid w:val="00C26E65"/>
    <w:rsid w:val="00C27511"/>
    <w:rsid w:val="00C308EA"/>
    <w:rsid w:val="00C310E9"/>
    <w:rsid w:val="00C318DF"/>
    <w:rsid w:val="00C31EED"/>
    <w:rsid w:val="00C32BDE"/>
    <w:rsid w:val="00C3359D"/>
    <w:rsid w:val="00C353D2"/>
    <w:rsid w:val="00C3556A"/>
    <w:rsid w:val="00C36E02"/>
    <w:rsid w:val="00C40F24"/>
    <w:rsid w:val="00C44322"/>
    <w:rsid w:val="00C448F8"/>
    <w:rsid w:val="00C46B92"/>
    <w:rsid w:val="00C47CD5"/>
    <w:rsid w:val="00C5120A"/>
    <w:rsid w:val="00C53D66"/>
    <w:rsid w:val="00C5416E"/>
    <w:rsid w:val="00C54E38"/>
    <w:rsid w:val="00C55BF7"/>
    <w:rsid w:val="00C57556"/>
    <w:rsid w:val="00C60283"/>
    <w:rsid w:val="00C625C0"/>
    <w:rsid w:val="00C62A0B"/>
    <w:rsid w:val="00C7074E"/>
    <w:rsid w:val="00C71682"/>
    <w:rsid w:val="00C722CD"/>
    <w:rsid w:val="00C73207"/>
    <w:rsid w:val="00C73A55"/>
    <w:rsid w:val="00C74664"/>
    <w:rsid w:val="00C761E3"/>
    <w:rsid w:val="00C76BA2"/>
    <w:rsid w:val="00C80DA8"/>
    <w:rsid w:val="00C83391"/>
    <w:rsid w:val="00C85B0F"/>
    <w:rsid w:val="00C85C4E"/>
    <w:rsid w:val="00C91F7B"/>
    <w:rsid w:val="00C94BEA"/>
    <w:rsid w:val="00C94FEF"/>
    <w:rsid w:val="00C9643D"/>
    <w:rsid w:val="00CA0BAE"/>
    <w:rsid w:val="00CA10D6"/>
    <w:rsid w:val="00CA2F7C"/>
    <w:rsid w:val="00CA33EF"/>
    <w:rsid w:val="00CA6CDD"/>
    <w:rsid w:val="00CA7A0E"/>
    <w:rsid w:val="00CB15C2"/>
    <w:rsid w:val="00CB2ACA"/>
    <w:rsid w:val="00CB4164"/>
    <w:rsid w:val="00CB68E6"/>
    <w:rsid w:val="00CC017F"/>
    <w:rsid w:val="00CC2CBA"/>
    <w:rsid w:val="00CC584E"/>
    <w:rsid w:val="00CC725E"/>
    <w:rsid w:val="00CD1777"/>
    <w:rsid w:val="00CD1A22"/>
    <w:rsid w:val="00CD1BE3"/>
    <w:rsid w:val="00CD4392"/>
    <w:rsid w:val="00CD56E2"/>
    <w:rsid w:val="00CD5A39"/>
    <w:rsid w:val="00CD747A"/>
    <w:rsid w:val="00CE1B9A"/>
    <w:rsid w:val="00CE5C06"/>
    <w:rsid w:val="00CF215F"/>
    <w:rsid w:val="00CF3004"/>
    <w:rsid w:val="00CF5168"/>
    <w:rsid w:val="00CF7016"/>
    <w:rsid w:val="00CF7D6A"/>
    <w:rsid w:val="00D011EE"/>
    <w:rsid w:val="00D0258E"/>
    <w:rsid w:val="00D02E94"/>
    <w:rsid w:val="00D06212"/>
    <w:rsid w:val="00D069BF"/>
    <w:rsid w:val="00D0764E"/>
    <w:rsid w:val="00D102B0"/>
    <w:rsid w:val="00D11E03"/>
    <w:rsid w:val="00D14BD8"/>
    <w:rsid w:val="00D15A2C"/>
    <w:rsid w:val="00D15FD4"/>
    <w:rsid w:val="00D16008"/>
    <w:rsid w:val="00D17B10"/>
    <w:rsid w:val="00D22304"/>
    <w:rsid w:val="00D23E2C"/>
    <w:rsid w:val="00D23FD1"/>
    <w:rsid w:val="00D24260"/>
    <w:rsid w:val="00D24E2F"/>
    <w:rsid w:val="00D2555C"/>
    <w:rsid w:val="00D26FCD"/>
    <w:rsid w:val="00D27756"/>
    <w:rsid w:val="00D31B37"/>
    <w:rsid w:val="00D320CE"/>
    <w:rsid w:val="00D324F8"/>
    <w:rsid w:val="00D32908"/>
    <w:rsid w:val="00D33213"/>
    <w:rsid w:val="00D34C90"/>
    <w:rsid w:val="00D34EBE"/>
    <w:rsid w:val="00D35182"/>
    <w:rsid w:val="00D3585D"/>
    <w:rsid w:val="00D37298"/>
    <w:rsid w:val="00D41009"/>
    <w:rsid w:val="00D42E1F"/>
    <w:rsid w:val="00D43345"/>
    <w:rsid w:val="00D442AF"/>
    <w:rsid w:val="00D44FBD"/>
    <w:rsid w:val="00D46142"/>
    <w:rsid w:val="00D467A3"/>
    <w:rsid w:val="00D50E4C"/>
    <w:rsid w:val="00D51C7E"/>
    <w:rsid w:val="00D53E04"/>
    <w:rsid w:val="00D56204"/>
    <w:rsid w:val="00D57895"/>
    <w:rsid w:val="00D57D78"/>
    <w:rsid w:val="00D616CE"/>
    <w:rsid w:val="00D61863"/>
    <w:rsid w:val="00D62195"/>
    <w:rsid w:val="00D6558D"/>
    <w:rsid w:val="00D6609A"/>
    <w:rsid w:val="00D6613A"/>
    <w:rsid w:val="00D66232"/>
    <w:rsid w:val="00D66A36"/>
    <w:rsid w:val="00D66ED1"/>
    <w:rsid w:val="00D70770"/>
    <w:rsid w:val="00D70AE5"/>
    <w:rsid w:val="00D73B2F"/>
    <w:rsid w:val="00D73E07"/>
    <w:rsid w:val="00D76998"/>
    <w:rsid w:val="00D803C1"/>
    <w:rsid w:val="00D80A48"/>
    <w:rsid w:val="00D82968"/>
    <w:rsid w:val="00D84E8C"/>
    <w:rsid w:val="00D85AB8"/>
    <w:rsid w:val="00D85B8C"/>
    <w:rsid w:val="00D87469"/>
    <w:rsid w:val="00D8748B"/>
    <w:rsid w:val="00D915F9"/>
    <w:rsid w:val="00D93C19"/>
    <w:rsid w:val="00D954F4"/>
    <w:rsid w:val="00D97438"/>
    <w:rsid w:val="00D975EA"/>
    <w:rsid w:val="00D97C66"/>
    <w:rsid w:val="00D97DCE"/>
    <w:rsid w:val="00DA3189"/>
    <w:rsid w:val="00DA4DDD"/>
    <w:rsid w:val="00DA6E96"/>
    <w:rsid w:val="00DA7D80"/>
    <w:rsid w:val="00DB01E2"/>
    <w:rsid w:val="00DB0FA3"/>
    <w:rsid w:val="00DB1EE0"/>
    <w:rsid w:val="00DB4803"/>
    <w:rsid w:val="00DC22F1"/>
    <w:rsid w:val="00DC30B4"/>
    <w:rsid w:val="00DC3AAE"/>
    <w:rsid w:val="00DC3ADE"/>
    <w:rsid w:val="00DC3E54"/>
    <w:rsid w:val="00DC4B91"/>
    <w:rsid w:val="00DC5E66"/>
    <w:rsid w:val="00DC62B5"/>
    <w:rsid w:val="00DC6AE5"/>
    <w:rsid w:val="00DC762C"/>
    <w:rsid w:val="00DC7973"/>
    <w:rsid w:val="00DC7D8C"/>
    <w:rsid w:val="00DD1657"/>
    <w:rsid w:val="00DD30ED"/>
    <w:rsid w:val="00DD5C7A"/>
    <w:rsid w:val="00DD6D99"/>
    <w:rsid w:val="00DE0B14"/>
    <w:rsid w:val="00DE10DB"/>
    <w:rsid w:val="00DE124C"/>
    <w:rsid w:val="00DE1B93"/>
    <w:rsid w:val="00DE4D6D"/>
    <w:rsid w:val="00DF1DE1"/>
    <w:rsid w:val="00DF2E7E"/>
    <w:rsid w:val="00DF5E56"/>
    <w:rsid w:val="00DF63B4"/>
    <w:rsid w:val="00DF74DE"/>
    <w:rsid w:val="00DF7A5A"/>
    <w:rsid w:val="00E003A4"/>
    <w:rsid w:val="00E01C69"/>
    <w:rsid w:val="00E03919"/>
    <w:rsid w:val="00E04174"/>
    <w:rsid w:val="00E04A96"/>
    <w:rsid w:val="00E078C3"/>
    <w:rsid w:val="00E1253F"/>
    <w:rsid w:val="00E13677"/>
    <w:rsid w:val="00E13995"/>
    <w:rsid w:val="00E13D7B"/>
    <w:rsid w:val="00E14153"/>
    <w:rsid w:val="00E14FFE"/>
    <w:rsid w:val="00E157E2"/>
    <w:rsid w:val="00E15B90"/>
    <w:rsid w:val="00E16460"/>
    <w:rsid w:val="00E16D8A"/>
    <w:rsid w:val="00E174F4"/>
    <w:rsid w:val="00E17E13"/>
    <w:rsid w:val="00E20BBE"/>
    <w:rsid w:val="00E22745"/>
    <w:rsid w:val="00E22F4F"/>
    <w:rsid w:val="00E24A20"/>
    <w:rsid w:val="00E25247"/>
    <w:rsid w:val="00E27FDA"/>
    <w:rsid w:val="00E30343"/>
    <w:rsid w:val="00E31BA4"/>
    <w:rsid w:val="00E3357A"/>
    <w:rsid w:val="00E33B65"/>
    <w:rsid w:val="00E33BCB"/>
    <w:rsid w:val="00E34594"/>
    <w:rsid w:val="00E34EAD"/>
    <w:rsid w:val="00E37BC1"/>
    <w:rsid w:val="00E42E13"/>
    <w:rsid w:val="00E45213"/>
    <w:rsid w:val="00E46457"/>
    <w:rsid w:val="00E51587"/>
    <w:rsid w:val="00E51E76"/>
    <w:rsid w:val="00E53CB5"/>
    <w:rsid w:val="00E553C9"/>
    <w:rsid w:val="00E559E1"/>
    <w:rsid w:val="00E57289"/>
    <w:rsid w:val="00E60582"/>
    <w:rsid w:val="00E606B4"/>
    <w:rsid w:val="00E6226A"/>
    <w:rsid w:val="00E62F44"/>
    <w:rsid w:val="00E63940"/>
    <w:rsid w:val="00E63942"/>
    <w:rsid w:val="00E706EF"/>
    <w:rsid w:val="00E72B85"/>
    <w:rsid w:val="00E75980"/>
    <w:rsid w:val="00E811AF"/>
    <w:rsid w:val="00E823F6"/>
    <w:rsid w:val="00E8327B"/>
    <w:rsid w:val="00E832BE"/>
    <w:rsid w:val="00E83593"/>
    <w:rsid w:val="00E8480F"/>
    <w:rsid w:val="00E85C04"/>
    <w:rsid w:val="00E8792A"/>
    <w:rsid w:val="00E901D5"/>
    <w:rsid w:val="00E90411"/>
    <w:rsid w:val="00E90891"/>
    <w:rsid w:val="00E9111E"/>
    <w:rsid w:val="00E916C6"/>
    <w:rsid w:val="00E93695"/>
    <w:rsid w:val="00E950C0"/>
    <w:rsid w:val="00E95A20"/>
    <w:rsid w:val="00E96208"/>
    <w:rsid w:val="00E96A66"/>
    <w:rsid w:val="00E97C8D"/>
    <w:rsid w:val="00EA07F9"/>
    <w:rsid w:val="00EA0ED4"/>
    <w:rsid w:val="00EA1845"/>
    <w:rsid w:val="00EA219A"/>
    <w:rsid w:val="00EA6301"/>
    <w:rsid w:val="00EB0DC3"/>
    <w:rsid w:val="00EB23F2"/>
    <w:rsid w:val="00EB25AD"/>
    <w:rsid w:val="00EB2E74"/>
    <w:rsid w:val="00EB3C5F"/>
    <w:rsid w:val="00EB4F80"/>
    <w:rsid w:val="00EB5D00"/>
    <w:rsid w:val="00EB6BE7"/>
    <w:rsid w:val="00EB7CC1"/>
    <w:rsid w:val="00EC14D7"/>
    <w:rsid w:val="00EC16C2"/>
    <w:rsid w:val="00EC198B"/>
    <w:rsid w:val="00EC38B4"/>
    <w:rsid w:val="00EC3E91"/>
    <w:rsid w:val="00EC4668"/>
    <w:rsid w:val="00EC796B"/>
    <w:rsid w:val="00ED24E9"/>
    <w:rsid w:val="00ED36CB"/>
    <w:rsid w:val="00ED43E2"/>
    <w:rsid w:val="00ED4A4D"/>
    <w:rsid w:val="00ED6B70"/>
    <w:rsid w:val="00ED7A5D"/>
    <w:rsid w:val="00ED7ECD"/>
    <w:rsid w:val="00EE08D9"/>
    <w:rsid w:val="00EE1AB1"/>
    <w:rsid w:val="00EF11F6"/>
    <w:rsid w:val="00EF1867"/>
    <w:rsid w:val="00EF2590"/>
    <w:rsid w:val="00EF679B"/>
    <w:rsid w:val="00EF7008"/>
    <w:rsid w:val="00F0277D"/>
    <w:rsid w:val="00F02B30"/>
    <w:rsid w:val="00F03938"/>
    <w:rsid w:val="00F043CC"/>
    <w:rsid w:val="00F05EE7"/>
    <w:rsid w:val="00F10DB4"/>
    <w:rsid w:val="00F114BB"/>
    <w:rsid w:val="00F13853"/>
    <w:rsid w:val="00F13A91"/>
    <w:rsid w:val="00F1497D"/>
    <w:rsid w:val="00F17371"/>
    <w:rsid w:val="00F1789A"/>
    <w:rsid w:val="00F17975"/>
    <w:rsid w:val="00F21B4B"/>
    <w:rsid w:val="00F2203A"/>
    <w:rsid w:val="00F2554B"/>
    <w:rsid w:val="00F30978"/>
    <w:rsid w:val="00F30AAB"/>
    <w:rsid w:val="00F30ECC"/>
    <w:rsid w:val="00F3105E"/>
    <w:rsid w:val="00F31264"/>
    <w:rsid w:val="00F34CD2"/>
    <w:rsid w:val="00F3610B"/>
    <w:rsid w:val="00F361D3"/>
    <w:rsid w:val="00F373F1"/>
    <w:rsid w:val="00F37A8F"/>
    <w:rsid w:val="00F42795"/>
    <w:rsid w:val="00F43626"/>
    <w:rsid w:val="00F45693"/>
    <w:rsid w:val="00F47682"/>
    <w:rsid w:val="00F5005A"/>
    <w:rsid w:val="00F51A54"/>
    <w:rsid w:val="00F56D5F"/>
    <w:rsid w:val="00F577C8"/>
    <w:rsid w:val="00F57F0B"/>
    <w:rsid w:val="00F60951"/>
    <w:rsid w:val="00F61014"/>
    <w:rsid w:val="00F61B20"/>
    <w:rsid w:val="00F6458A"/>
    <w:rsid w:val="00F646BF"/>
    <w:rsid w:val="00F65FC8"/>
    <w:rsid w:val="00F66914"/>
    <w:rsid w:val="00F678F0"/>
    <w:rsid w:val="00F70F17"/>
    <w:rsid w:val="00F7122B"/>
    <w:rsid w:val="00F71907"/>
    <w:rsid w:val="00F75900"/>
    <w:rsid w:val="00F76CE2"/>
    <w:rsid w:val="00F76F1F"/>
    <w:rsid w:val="00F77280"/>
    <w:rsid w:val="00F77CE0"/>
    <w:rsid w:val="00F80592"/>
    <w:rsid w:val="00F8131D"/>
    <w:rsid w:val="00F839B5"/>
    <w:rsid w:val="00F83B76"/>
    <w:rsid w:val="00F863C8"/>
    <w:rsid w:val="00F86A35"/>
    <w:rsid w:val="00F90701"/>
    <w:rsid w:val="00F937F9"/>
    <w:rsid w:val="00F94477"/>
    <w:rsid w:val="00F94E72"/>
    <w:rsid w:val="00F95FD7"/>
    <w:rsid w:val="00F97787"/>
    <w:rsid w:val="00F97A1A"/>
    <w:rsid w:val="00FA0063"/>
    <w:rsid w:val="00FA2CAF"/>
    <w:rsid w:val="00FA43BC"/>
    <w:rsid w:val="00FA6B82"/>
    <w:rsid w:val="00FA6FF9"/>
    <w:rsid w:val="00FA7D1D"/>
    <w:rsid w:val="00FB0EF1"/>
    <w:rsid w:val="00FB1D1C"/>
    <w:rsid w:val="00FB22D4"/>
    <w:rsid w:val="00FB2B4C"/>
    <w:rsid w:val="00FB2E87"/>
    <w:rsid w:val="00FB3C6C"/>
    <w:rsid w:val="00FB53FB"/>
    <w:rsid w:val="00FB63FF"/>
    <w:rsid w:val="00FB6B1F"/>
    <w:rsid w:val="00FB7268"/>
    <w:rsid w:val="00FC07BD"/>
    <w:rsid w:val="00FC49CC"/>
    <w:rsid w:val="00FC4E46"/>
    <w:rsid w:val="00FC7C93"/>
    <w:rsid w:val="00FD1958"/>
    <w:rsid w:val="00FD1CC1"/>
    <w:rsid w:val="00FD4523"/>
    <w:rsid w:val="00FD472F"/>
    <w:rsid w:val="00FD5EE1"/>
    <w:rsid w:val="00FD66DC"/>
    <w:rsid w:val="00FD6995"/>
    <w:rsid w:val="00FD7E12"/>
    <w:rsid w:val="00FE0FA1"/>
    <w:rsid w:val="00FF0C0E"/>
    <w:rsid w:val="00FF1026"/>
    <w:rsid w:val="00FF123D"/>
    <w:rsid w:val="00FF2A27"/>
    <w:rsid w:val="00FF54D5"/>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FF7F"/>
  <w15:docId w15:val="{FD2C8B3C-55B1-49F8-BE41-8745C4C3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8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03D87"/>
    <w:pPr>
      <w:keepNext/>
      <w:keepLines/>
      <w:numPr>
        <w:numId w:val="1"/>
      </w:numPr>
      <w:spacing w:before="48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B944BF"/>
    <w:pPr>
      <w:keepNext/>
      <w:keepLines/>
      <w:numPr>
        <w:ilvl w:val="1"/>
        <w:numId w:val="1"/>
      </w:numPr>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903D87"/>
    <w:pPr>
      <w:keepNext/>
      <w:keepLines/>
      <w:numPr>
        <w:ilvl w:val="2"/>
        <w:numId w:val="1"/>
      </w:numPr>
      <w:spacing w:before="40"/>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rsid w:val="00903D87"/>
    <w:pPr>
      <w:keepNext/>
      <w:keepLines/>
      <w:numPr>
        <w:ilvl w:val="3"/>
        <w:numId w:val="1"/>
      </w:numPr>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903D87"/>
    <w:pPr>
      <w:keepNext/>
      <w:keepLines/>
      <w:numPr>
        <w:ilvl w:val="4"/>
        <w:numId w:val="1"/>
      </w:numPr>
      <w:spacing w:before="40"/>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qFormat/>
    <w:rsid w:val="00903D8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03D8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03D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3D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D87"/>
    <w:rPr>
      <w:rFonts w:ascii="Times New Roman" w:eastAsiaTheme="majorEastAsia" w:hAnsi="Times New Roman" w:cstheme="majorBidi"/>
      <w:b/>
      <w:bCs/>
      <w:color w:val="000000" w:themeColor="text1"/>
      <w:sz w:val="24"/>
      <w:szCs w:val="28"/>
      <w:lang w:val="en-GB"/>
    </w:rPr>
  </w:style>
  <w:style w:type="character" w:customStyle="1" w:styleId="Heading2Char">
    <w:name w:val="Heading 2 Char"/>
    <w:basedOn w:val="DefaultParagraphFont"/>
    <w:link w:val="Heading2"/>
    <w:uiPriority w:val="9"/>
    <w:rsid w:val="00B944BF"/>
    <w:rPr>
      <w:rFonts w:ascii="Times New Roman" w:eastAsiaTheme="majorEastAsia" w:hAnsi="Times New Roman" w:cstheme="majorBidi"/>
      <w:b/>
      <w:color w:val="000000" w:themeColor="text1"/>
      <w:sz w:val="24"/>
      <w:szCs w:val="26"/>
      <w:lang w:val="en-GB"/>
    </w:rPr>
  </w:style>
  <w:style w:type="character" w:customStyle="1" w:styleId="Heading3Char">
    <w:name w:val="Heading 3 Char"/>
    <w:basedOn w:val="DefaultParagraphFont"/>
    <w:link w:val="Heading3"/>
    <w:uiPriority w:val="9"/>
    <w:rsid w:val="00903D87"/>
    <w:rPr>
      <w:rFonts w:ascii="Times New Roman" w:eastAsiaTheme="majorEastAsia" w:hAnsi="Times New Roman" w:cstheme="majorBidi"/>
      <w:b/>
      <w:color w:val="000000" w:themeColor="text1"/>
      <w:sz w:val="24"/>
      <w:szCs w:val="24"/>
      <w:lang w:val="en-GB"/>
    </w:rPr>
  </w:style>
  <w:style w:type="character" w:customStyle="1" w:styleId="Heading4Char">
    <w:name w:val="Heading 4 Char"/>
    <w:basedOn w:val="DefaultParagraphFont"/>
    <w:link w:val="Heading4"/>
    <w:uiPriority w:val="9"/>
    <w:rsid w:val="00903D87"/>
    <w:rPr>
      <w:rFonts w:ascii="Times New Roman" w:eastAsiaTheme="majorEastAsia" w:hAnsi="Times New Roman" w:cstheme="majorBidi"/>
      <w:b/>
      <w:iCs/>
      <w:color w:val="000000" w:themeColor="text1"/>
      <w:sz w:val="24"/>
      <w:szCs w:val="24"/>
      <w:lang w:val="en-GB"/>
    </w:rPr>
  </w:style>
  <w:style w:type="character" w:customStyle="1" w:styleId="Heading5Char">
    <w:name w:val="Heading 5 Char"/>
    <w:basedOn w:val="DefaultParagraphFont"/>
    <w:link w:val="Heading5"/>
    <w:uiPriority w:val="9"/>
    <w:rsid w:val="00903D87"/>
    <w:rPr>
      <w:rFonts w:ascii="Times New Roman" w:eastAsiaTheme="majorEastAsia" w:hAnsi="Times New Roman" w:cstheme="majorBidi"/>
      <w:b/>
      <w:color w:val="000000" w:themeColor="text1"/>
      <w:sz w:val="24"/>
      <w:szCs w:val="24"/>
      <w:lang w:val="en-GB"/>
    </w:rPr>
  </w:style>
  <w:style w:type="character" w:customStyle="1" w:styleId="Heading6Char">
    <w:name w:val="Heading 6 Char"/>
    <w:basedOn w:val="DefaultParagraphFont"/>
    <w:link w:val="Heading6"/>
    <w:uiPriority w:val="9"/>
    <w:semiHidden/>
    <w:rsid w:val="00903D87"/>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uiPriority w:val="9"/>
    <w:semiHidden/>
    <w:rsid w:val="00903D87"/>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link w:val="Heading8"/>
    <w:uiPriority w:val="9"/>
    <w:semiHidden/>
    <w:rsid w:val="00903D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03D87"/>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903D87"/>
    <w:pPr>
      <w:ind w:left="720"/>
      <w:contextualSpacing/>
    </w:pPr>
  </w:style>
  <w:style w:type="paragraph" w:styleId="Caption">
    <w:name w:val="caption"/>
    <w:basedOn w:val="Normal"/>
    <w:next w:val="Normal"/>
    <w:uiPriority w:val="35"/>
    <w:unhideWhenUsed/>
    <w:qFormat/>
    <w:rsid w:val="00903D87"/>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FA2CAF"/>
    <w:rPr>
      <w:sz w:val="16"/>
      <w:szCs w:val="16"/>
    </w:rPr>
  </w:style>
  <w:style w:type="paragraph" w:styleId="CommentText">
    <w:name w:val="annotation text"/>
    <w:basedOn w:val="Normal"/>
    <w:link w:val="CommentTextChar"/>
    <w:uiPriority w:val="99"/>
    <w:unhideWhenUsed/>
    <w:rsid w:val="00FA2CAF"/>
  </w:style>
  <w:style w:type="character" w:customStyle="1" w:styleId="CommentTextChar">
    <w:name w:val="Comment Text Char"/>
    <w:basedOn w:val="DefaultParagraphFont"/>
    <w:link w:val="CommentText"/>
    <w:uiPriority w:val="99"/>
    <w:rsid w:val="00FA2CAF"/>
    <w:rPr>
      <w:rFonts w:ascii="Times New Roman" w:eastAsia="Times New Roman" w:hAnsi="Times New Roman" w:cs="Times New Roman"/>
      <w:sz w:val="24"/>
      <w:szCs w:val="24"/>
      <w:lang w:val="en-GB"/>
    </w:rPr>
  </w:style>
  <w:style w:type="paragraph" w:customStyle="1" w:styleId="Default">
    <w:name w:val="Default"/>
    <w:rsid w:val="00FA2CAF"/>
    <w:pPr>
      <w:autoSpaceDE w:val="0"/>
      <w:autoSpaceDN w:val="0"/>
      <w:adjustRightInd w:val="0"/>
      <w:spacing w:after="0" w:line="240" w:lineRule="auto"/>
    </w:pPr>
    <w:rPr>
      <w:rFonts w:ascii="Charis SIL" w:hAnsi="Charis SIL" w:cs="Charis SIL"/>
      <w:color w:val="000000"/>
      <w:sz w:val="24"/>
      <w:szCs w:val="24"/>
    </w:rPr>
  </w:style>
  <w:style w:type="paragraph" w:styleId="Header">
    <w:name w:val="header"/>
    <w:basedOn w:val="Normal"/>
    <w:link w:val="HeaderChar"/>
    <w:uiPriority w:val="99"/>
    <w:unhideWhenUsed/>
    <w:rsid w:val="00BD70B5"/>
    <w:pPr>
      <w:tabs>
        <w:tab w:val="center" w:pos="4680"/>
        <w:tab w:val="right" w:pos="9360"/>
      </w:tabs>
    </w:pPr>
  </w:style>
  <w:style w:type="character" w:customStyle="1" w:styleId="HeaderChar">
    <w:name w:val="Header Char"/>
    <w:basedOn w:val="DefaultParagraphFont"/>
    <w:link w:val="Header"/>
    <w:uiPriority w:val="99"/>
    <w:rsid w:val="00BD70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D70B5"/>
    <w:pPr>
      <w:tabs>
        <w:tab w:val="center" w:pos="4680"/>
        <w:tab w:val="right" w:pos="9360"/>
      </w:tabs>
    </w:pPr>
  </w:style>
  <w:style w:type="character" w:customStyle="1" w:styleId="FooterChar">
    <w:name w:val="Footer Char"/>
    <w:basedOn w:val="DefaultParagraphFont"/>
    <w:link w:val="Footer"/>
    <w:uiPriority w:val="99"/>
    <w:rsid w:val="00BD70B5"/>
    <w:rPr>
      <w:rFonts w:ascii="Times New Roman" w:eastAsia="Times New Roman" w:hAnsi="Times New Roman" w:cs="Times New Roman"/>
      <w:sz w:val="24"/>
      <w:szCs w:val="24"/>
      <w:lang w:val="en-GB"/>
    </w:rPr>
  </w:style>
  <w:style w:type="table" w:customStyle="1" w:styleId="PlainTable51">
    <w:name w:val="Plain Table 51"/>
    <w:basedOn w:val="TableNormal"/>
    <w:uiPriority w:val="45"/>
    <w:rsid w:val="00CB15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D35182"/>
    <w:rPr>
      <w:i/>
      <w:iCs/>
    </w:rPr>
  </w:style>
  <w:style w:type="paragraph" w:styleId="NormalWeb">
    <w:name w:val="Normal (Web)"/>
    <w:basedOn w:val="Normal"/>
    <w:uiPriority w:val="99"/>
    <w:unhideWhenUsed/>
    <w:rsid w:val="002E5F71"/>
    <w:pPr>
      <w:spacing w:before="100" w:beforeAutospacing="1" w:after="100" w:afterAutospacing="1"/>
    </w:pPr>
  </w:style>
  <w:style w:type="character" w:styleId="Strong">
    <w:name w:val="Strong"/>
    <w:basedOn w:val="DefaultParagraphFont"/>
    <w:uiPriority w:val="22"/>
    <w:qFormat/>
    <w:rsid w:val="009625FE"/>
    <w:rPr>
      <w:b/>
      <w:bCs/>
    </w:rPr>
  </w:style>
  <w:style w:type="character" w:styleId="Hyperlink">
    <w:name w:val="Hyperlink"/>
    <w:basedOn w:val="DefaultParagraphFont"/>
    <w:uiPriority w:val="99"/>
    <w:unhideWhenUsed/>
    <w:rsid w:val="005C6CDE"/>
    <w:rPr>
      <w:color w:val="0563C1" w:themeColor="hyperlink"/>
      <w:u w:val="single"/>
    </w:rPr>
  </w:style>
  <w:style w:type="character" w:customStyle="1" w:styleId="UnresolvedMention1">
    <w:name w:val="Unresolved Mention1"/>
    <w:basedOn w:val="DefaultParagraphFont"/>
    <w:uiPriority w:val="99"/>
    <w:semiHidden/>
    <w:unhideWhenUsed/>
    <w:rsid w:val="005C6CDE"/>
    <w:rPr>
      <w:color w:val="605E5C"/>
      <w:shd w:val="clear" w:color="auto" w:fill="E1DFDD"/>
    </w:rPr>
  </w:style>
  <w:style w:type="character" w:customStyle="1" w:styleId="markedcontent">
    <w:name w:val="markedcontent"/>
    <w:basedOn w:val="DefaultParagraphFont"/>
    <w:rsid w:val="00787702"/>
  </w:style>
  <w:style w:type="character" w:customStyle="1" w:styleId="apple-converted-space">
    <w:name w:val="apple-converted-space"/>
    <w:basedOn w:val="DefaultParagraphFont"/>
    <w:rsid w:val="000D126F"/>
  </w:style>
  <w:style w:type="character" w:customStyle="1" w:styleId="nlmarticle-title">
    <w:name w:val="nlm_article-title"/>
    <w:basedOn w:val="DefaultParagraphFont"/>
    <w:rsid w:val="009F34C7"/>
  </w:style>
  <w:style w:type="character" w:customStyle="1" w:styleId="contribdegrees">
    <w:name w:val="contribdegrees"/>
    <w:basedOn w:val="DefaultParagraphFont"/>
    <w:rsid w:val="009F34C7"/>
  </w:style>
  <w:style w:type="character" w:customStyle="1" w:styleId="issue-heading">
    <w:name w:val="issue-heading"/>
    <w:basedOn w:val="DefaultParagraphFont"/>
    <w:rsid w:val="009F34C7"/>
  </w:style>
  <w:style w:type="paragraph" w:styleId="CommentSubject">
    <w:name w:val="annotation subject"/>
    <w:basedOn w:val="CommentText"/>
    <w:next w:val="CommentText"/>
    <w:link w:val="CommentSubjectChar"/>
    <w:uiPriority w:val="99"/>
    <w:semiHidden/>
    <w:unhideWhenUsed/>
    <w:rsid w:val="000B7B0D"/>
    <w:rPr>
      <w:b/>
      <w:bCs/>
      <w:sz w:val="20"/>
      <w:szCs w:val="20"/>
    </w:rPr>
  </w:style>
  <w:style w:type="character" w:customStyle="1" w:styleId="CommentSubjectChar">
    <w:name w:val="Comment Subject Char"/>
    <w:basedOn w:val="CommentTextChar"/>
    <w:link w:val="CommentSubject"/>
    <w:uiPriority w:val="99"/>
    <w:semiHidden/>
    <w:rsid w:val="000B7B0D"/>
    <w:rPr>
      <w:rFonts w:ascii="Times New Roman" w:eastAsia="Times New Roman" w:hAnsi="Times New Roman" w:cs="Times New Roman"/>
      <w:b/>
      <w:bCs/>
      <w:sz w:val="20"/>
      <w:szCs w:val="20"/>
      <w:lang w:val="en-GB"/>
    </w:rPr>
  </w:style>
  <w:style w:type="paragraph" w:styleId="Revision">
    <w:name w:val="Revision"/>
    <w:hidden/>
    <w:uiPriority w:val="99"/>
    <w:semiHidden/>
    <w:rsid w:val="00B441D5"/>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D7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5D"/>
    <w:rPr>
      <w:rFonts w:ascii="Segoe UI" w:eastAsia="Times New Roman" w:hAnsi="Segoe UI" w:cs="Segoe UI"/>
      <w:sz w:val="18"/>
      <w:szCs w:val="18"/>
      <w:lang w:val="en-GB"/>
    </w:rPr>
  </w:style>
  <w:style w:type="paragraph" w:customStyle="1" w:styleId="pf0">
    <w:name w:val="pf0"/>
    <w:basedOn w:val="Normal"/>
    <w:rsid w:val="001D19D2"/>
    <w:pPr>
      <w:spacing w:before="100" w:beforeAutospacing="1" w:after="100" w:afterAutospacing="1"/>
    </w:pPr>
    <w:rPr>
      <w:lang w:val="en-US"/>
    </w:rPr>
  </w:style>
  <w:style w:type="character" w:customStyle="1" w:styleId="cf01">
    <w:name w:val="cf01"/>
    <w:basedOn w:val="DefaultParagraphFont"/>
    <w:rsid w:val="001D19D2"/>
    <w:rPr>
      <w:rFonts w:ascii="Segoe UI" w:hAnsi="Segoe UI" w:cs="Segoe UI" w:hint="default"/>
      <w:sz w:val="18"/>
      <w:szCs w:val="18"/>
    </w:rPr>
  </w:style>
  <w:style w:type="table" w:styleId="TableGrid">
    <w:name w:val="Table Grid"/>
    <w:basedOn w:val="TableNormal"/>
    <w:uiPriority w:val="39"/>
    <w:rsid w:val="0059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73125"/>
    <w:rPr>
      <w:color w:val="605E5C"/>
      <w:shd w:val="clear" w:color="auto" w:fill="E1DFDD"/>
    </w:rPr>
  </w:style>
  <w:style w:type="character" w:customStyle="1" w:styleId="mf-jss1791">
    <w:name w:val="mf-jss1791"/>
    <w:basedOn w:val="DefaultParagraphFont"/>
    <w:rsid w:val="00B94AE2"/>
  </w:style>
  <w:style w:type="character" w:customStyle="1" w:styleId="UnresolvedMention3">
    <w:name w:val="Unresolved Mention3"/>
    <w:basedOn w:val="DefaultParagraphFont"/>
    <w:uiPriority w:val="99"/>
    <w:semiHidden/>
    <w:unhideWhenUsed/>
    <w:rsid w:val="00CF215F"/>
    <w:rPr>
      <w:color w:val="605E5C"/>
      <w:shd w:val="clear" w:color="auto" w:fill="E1DFDD"/>
    </w:rPr>
  </w:style>
  <w:style w:type="character" w:styleId="UnresolvedMention">
    <w:name w:val="Unresolved Mention"/>
    <w:basedOn w:val="DefaultParagraphFont"/>
    <w:uiPriority w:val="99"/>
    <w:semiHidden/>
    <w:unhideWhenUsed/>
    <w:rsid w:val="00F37A8F"/>
    <w:rPr>
      <w:color w:val="605E5C"/>
      <w:shd w:val="clear" w:color="auto" w:fill="E1DFDD"/>
    </w:rPr>
  </w:style>
  <w:style w:type="table" w:customStyle="1" w:styleId="a">
    <w:name w:val="a"/>
    <w:basedOn w:val="TableNormal"/>
    <w:rsid w:val="002E7BFD"/>
    <w:pPr>
      <w:spacing w:after="0" w:line="240" w:lineRule="auto"/>
    </w:pPr>
    <w:rPr>
      <w:rFonts w:ascii="Times New Roman" w:eastAsia="Times New Roman" w:hAnsi="Times New Roman" w:cs="Times New Roman"/>
      <w:sz w:val="24"/>
      <w:szCs w:val="24"/>
      <w:lang w:val="en-GB"/>
    </w:rPr>
    <w:tblPr>
      <w:tblStyleRowBandSize w:val="1"/>
      <w:tblStyleColBandSize w:val="1"/>
      <w:tblCellMar>
        <w:left w:w="115" w:type="dxa"/>
        <w:right w:w="115" w:type="dxa"/>
      </w:tblCellMar>
    </w:tblPr>
  </w:style>
  <w:style w:type="character" w:styleId="LineNumber">
    <w:name w:val="line number"/>
    <w:basedOn w:val="DefaultParagraphFont"/>
    <w:uiPriority w:val="99"/>
    <w:semiHidden/>
    <w:unhideWhenUsed/>
    <w:rsid w:val="0001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14615517.2020.1731202" TargetMode="External"/><Relationship Id="rId18" Type="http://schemas.openxmlformats.org/officeDocument/2006/relationships/hyperlink" Target="https://www.tandfonline.com/author/Xu%2C+Jianhua" TargetMode="External"/><Relationship Id="rId3" Type="http://schemas.openxmlformats.org/officeDocument/2006/relationships/customXml" Target="../customXml/item3.xml"/><Relationship Id="rId21" Type="http://schemas.openxmlformats.org/officeDocument/2006/relationships/hyperlink" Target="https://www.epa.gov/environmentaljustice/title-vi-and-environmental-justice.%20Accessed%2010%20June%202022"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tandfonline.com/author/Ruuska%2C+Inker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andfonline.com/author/Chi%2C+Cheryl+SF" TargetMode="External"/><Relationship Id="rId20" Type="http://schemas.openxmlformats.org/officeDocument/2006/relationships/hyperlink" Target="https://www.tandfonline.com/toc/cjep20/59/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nakwaya@unam.n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016/j.eiar.2013.05.006"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andfonline.com/journals/cjep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 TargetMode="External"/><Relationship Id="rId22" Type="http://schemas.openxmlformats.org/officeDocument/2006/relationships/hyperlink" Target="https://doi.org/10.1787/9789264252615-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mutenya.NCRST\Downloads\DN%20Results%20PhD%202019_workbook-202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'First chapter'!$G$96</c:f>
              <c:strCache>
                <c:ptCount val="1"/>
                <c:pt idx="0">
                  <c:v>Excellent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elete val="1"/>
          </c:dLbls>
          <c:cat>
            <c:strRef>
              <c:f>'First chapter'!$F$97:$F$108</c:f>
              <c:strCache>
                <c:ptCount val="12"/>
                <c:pt idx="0">
                  <c:v>Legal basis</c:v>
                </c:pt>
                <c:pt idx="1">
                  <c:v>EIA Scope </c:v>
                </c:pt>
                <c:pt idx="2">
                  <c:v>Compliance</c:v>
                </c:pt>
                <c:pt idx="3">
                  <c:v>Procedures</c:v>
                </c:pt>
                <c:pt idx="4">
                  <c:v>Guidelines </c:v>
                </c:pt>
                <c:pt idx="5">
                  <c:v>Participation</c:v>
                </c:pt>
                <c:pt idx="6">
                  <c:v>Administration</c:v>
                </c:pt>
                <c:pt idx="7">
                  <c:v>Decision </c:v>
                </c:pt>
                <c:pt idx="8">
                  <c:v>Alternatives</c:v>
                </c:pt>
                <c:pt idx="9">
                  <c:v>Cumulative </c:v>
                </c:pt>
                <c:pt idx="10">
                  <c:v>Sustainability</c:v>
                </c:pt>
                <c:pt idx="11">
                  <c:v>Follow-up</c:v>
                </c:pt>
              </c:strCache>
            </c:strRef>
          </c:cat>
          <c:val>
            <c:numRef>
              <c:f>'First chapter'!$G$97:$G$108</c:f>
              <c:numCache>
                <c:formatCode>0.00</c:formatCode>
                <c:ptCount val="12"/>
                <c:pt idx="0" formatCode="0">
                  <c:v>17</c:v>
                </c:pt>
                <c:pt idx="1">
                  <c:v>13</c:v>
                </c:pt>
                <c:pt idx="2">
                  <c:v>6</c:v>
                </c:pt>
                <c:pt idx="3">
                  <c:v>13</c:v>
                </c:pt>
                <c:pt idx="4">
                  <c:v>4</c:v>
                </c:pt>
                <c:pt idx="5">
                  <c:v>10</c:v>
                </c:pt>
                <c:pt idx="6">
                  <c:v>2</c:v>
                </c:pt>
                <c:pt idx="7">
                  <c:v>3</c:v>
                </c:pt>
                <c:pt idx="8">
                  <c:v>2</c:v>
                </c:pt>
                <c:pt idx="9">
                  <c:v>1</c:v>
                </c:pt>
                <c:pt idx="10">
                  <c:v>1</c:v>
                </c:pt>
                <c:pt idx="11">
                  <c:v>3</c:v>
                </c:pt>
              </c:numCache>
            </c:numRef>
          </c:val>
          <c:extLst>
            <c:ext xmlns:c16="http://schemas.microsoft.com/office/drawing/2014/chart" uri="{C3380CC4-5D6E-409C-BE32-E72D297353CC}">
              <c16:uniqueId val="{00000000-65EF-466F-9414-217F6D253963}"/>
            </c:ext>
          </c:extLst>
        </c:ser>
        <c:ser>
          <c:idx val="1"/>
          <c:order val="1"/>
          <c:tx>
            <c:strRef>
              <c:f>'First chapter'!$H$96</c:f>
              <c:strCache>
                <c:ptCount val="1"/>
                <c:pt idx="0">
                  <c:v>Good</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delete val="1"/>
          </c:dLbls>
          <c:cat>
            <c:strRef>
              <c:f>'First chapter'!$F$97:$F$108</c:f>
              <c:strCache>
                <c:ptCount val="12"/>
                <c:pt idx="0">
                  <c:v>Legal basis</c:v>
                </c:pt>
                <c:pt idx="1">
                  <c:v>EIA Scope </c:v>
                </c:pt>
                <c:pt idx="2">
                  <c:v>Compliance</c:v>
                </c:pt>
                <c:pt idx="3">
                  <c:v>Procedures</c:v>
                </c:pt>
                <c:pt idx="4">
                  <c:v>Guidelines </c:v>
                </c:pt>
                <c:pt idx="5">
                  <c:v>Participation</c:v>
                </c:pt>
                <c:pt idx="6">
                  <c:v>Administration</c:v>
                </c:pt>
                <c:pt idx="7">
                  <c:v>Decision </c:v>
                </c:pt>
                <c:pt idx="8">
                  <c:v>Alternatives</c:v>
                </c:pt>
                <c:pt idx="9">
                  <c:v>Cumulative </c:v>
                </c:pt>
                <c:pt idx="10">
                  <c:v>Sustainability</c:v>
                </c:pt>
                <c:pt idx="11">
                  <c:v>Follow-up</c:v>
                </c:pt>
              </c:strCache>
            </c:strRef>
          </c:cat>
          <c:val>
            <c:numRef>
              <c:f>'First chapter'!$H$97:$H$108</c:f>
              <c:numCache>
                <c:formatCode>0.00</c:formatCode>
                <c:ptCount val="12"/>
                <c:pt idx="0" formatCode="0">
                  <c:v>61</c:v>
                </c:pt>
                <c:pt idx="1">
                  <c:v>62</c:v>
                </c:pt>
                <c:pt idx="2">
                  <c:v>50</c:v>
                </c:pt>
                <c:pt idx="3">
                  <c:v>46</c:v>
                </c:pt>
                <c:pt idx="4">
                  <c:v>36</c:v>
                </c:pt>
                <c:pt idx="5">
                  <c:v>25</c:v>
                </c:pt>
                <c:pt idx="6">
                  <c:v>23</c:v>
                </c:pt>
                <c:pt idx="7">
                  <c:v>26</c:v>
                </c:pt>
                <c:pt idx="8">
                  <c:v>26</c:v>
                </c:pt>
                <c:pt idx="9">
                  <c:v>22</c:v>
                </c:pt>
                <c:pt idx="10">
                  <c:v>28.999999999999996</c:v>
                </c:pt>
                <c:pt idx="11">
                  <c:v>24</c:v>
                </c:pt>
              </c:numCache>
            </c:numRef>
          </c:val>
          <c:extLst>
            <c:ext xmlns:c16="http://schemas.microsoft.com/office/drawing/2014/chart" uri="{C3380CC4-5D6E-409C-BE32-E72D297353CC}">
              <c16:uniqueId val="{00000001-65EF-466F-9414-217F6D253963}"/>
            </c:ext>
          </c:extLst>
        </c:ser>
        <c:ser>
          <c:idx val="2"/>
          <c:order val="2"/>
          <c:tx>
            <c:strRef>
              <c:f>'First chapter'!$I$96</c:f>
              <c:strCache>
                <c:ptCount val="1"/>
                <c:pt idx="0">
                  <c:v>Limited</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elete val="1"/>
          </c:dLbls>
          <c:cat>
            <c:strRef>
              <c:f>'First chapter'!$F$97:$F$108</c:f>
              <c:strCache>
                <c:ptCount val="12"/>
                <c:pt idx="0">
                  <c:v>Legal basis</c:v>
                </c:pt>
                <c:pt idx="1">
                  <c:v>EIA Scope </c:v>
                </c:pt>
                <c:pt idx="2">
                  <c:v>Compliance</c:v>
                </c:pt>
                <c:pt idx="3">
                  <c:v>Procedures</c:v>
                </c:pt>
                <c:pt idx="4">
                  <c:v>Guidelines </c:v>
                </c:pt>
                <c:pt idx="5">
                  <c:v>Participation</c:v>
                </c:pt>
                <c:pt idx="6">
                  <c:v>Administration</c:v>
                </c:pt>
                <c:pt idx="7">
                  <c:v>Decision </c:v>
                </c:pt>
                <c:pt idx="8">
                  <c:v>Alternatives</c:v>
                </c:pt>
                <c:pt idx="9">
                  <c:v>Cumulative </c:v>
                </c:pt>
                <c:pt idx="10">
                  <c:v>Sustainability</c:v>
                </c:pt>
                <c:pt idx="11">
                  <c:v>Follow-up</c:v>
                </c:pt>
              </c:strCache>
            </c:strRef>
          </c:cat>
          <c:val>
            <c:numRef>
              <c:f>'First chapter'!$I$97:$I$108</c:f>
              <c:numCache>
                <c:formatCode>0.00</c:formatCode>
                <c:ptCount val="12"/>
                <c:pt idx="0" formatCode="0">
                  <c:v>17</c:v>
                </c:pt>
                <c:pt idx="1">
                  <c:v>15</c:v>
                </c:pt>
                <c:pt idx="2">
                  <c:v>34</c:v>
                </c:pt>
                <c:pt idx="3">
                  <c:v>33</c:v>
                </c:pt>
                <c:pt idx="4">
                  <c:v>40</c:v>
                </c:pt>
                <c:pt idx="5">
                  <c:v>39</c:v>
                </c:pt>
                <c:pt idx="6">
                  <c:v>45</c:v>
                </c:pt>
                <c:pt idx="7">
                  <c:v>43</c:v>
                </c:pt>
                <c:pt idx="8">
                  <c:v>41</c:v>
                </c:pt>
                <c:pt idx="9">
                  <c:v>40</c:v>
                </c:pt>
                <c:pt idx="10">
                  <c:v>49</c:v>
                </c:pt>
                <c:pt idx="11">
                  <c:v>31</c:v>
                </c:pt>
              </c:numCache>
            </c:numRef>
          </c:val>
          <c:extLst>
            <c:ext xmlns:c16="http://schemas.microsoft.com/office/drawing/2014/chart" uri="{C3380CC4-5D6E-409C-BE32-E72D297353CC}">
              <c16:uniqueId val="{00000002-65EF-466F-9414-217F6D253963}"/>
            </c:ext>
          </c:extLst>
        </c:ser>
        <c:ser>
          <c:idx val="3"/>
          <c:order val="3"/>
          <c:tx>
            <c:strRef>
              <c:f>'First chapter'!$J$96</c:f>
              <c:strCache>
                <c:ptCount val="1"/>
                <c:pt idx="0">
                  <c:v>Poor</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invertIfNegative val="0"/>
          <c:dLbls>
            <c:delete val="1"/>
          </c:dLbls>
          <c:cat>
            <c:strRef>
              <c:f>'First chapter'!$F$97:$F$108</c:f>
              <c:strCache>
                <c:ptCount val="12"/>
                <c:pt idx="0">
                  <c:v>Legal basis</c:v>
                </c:pt>
                <c:pt idx="1">
                  <c:v>EIA Scope </c:v>
                </c:pt>
                <c:pt idx="2">
                  <c:v>Compliance</c:v>
                </c:pt>
                <c:pt idx="3">
                  <c:v>Procedures</c:v>
                </c:pt>
                <c:pt idx="4">
                  <c:v>Guidelines </c:v>
                </c:pt>
                <c:pt idx="5">
                  <c:v>Participation</c:v>
                </c:pt>
                <c:pt idx="6">
                  <c:v>Administration</c:v>
                </c:pt>
                <c:pt idx="7">
                  <c:v>Decision </c:v>
                </c:pt>
                <c:pt idx="8">
                  <c:v>Alternatives</c:v>
                </c:pt>
                <c:pt idx="9">
                  <c:v>Cumulative </c:v>
                </c:pt>
                <c:pt idx="10">
                  <c:v>Sustainability</c:v>
                </c:pt>
                <c:pt idx="11">
                  <c:v>Follow-up</c:v>
                </c:pt>
              </c:strCache>
            </c:strRef>
          </c:cat>
          <c:val>
            <c:numRef>
              <c:f>'First chapter'!$J$97:$J$108</c:f>
              <c:numCache>
                <c:formatCode>0.00</c:formatCode>
                <c:ptCount val="12"/>
                <c:pt idx="0">
                  <c:v>4</c:v>
                </c:pt>
                <c:pt idx="1">
                  <c:v>9</c:v>
                </c:pt>
                <c:pt idx="2">
                  <c:v>10</c:v>
                </c:pt>
                <c:pt idx="3">
                  <c:v>6</c:v>
                </c:pt>
                <c:pt idx="4">
                  <c:v>18</c:v>
                </c:pt>
                <c:pt idx="5">
                  <c:v>25</c:v>
                </c:pt>
                <c:pt idx="6">
                  <c:v>24</c:v>
                </c:pt>
                <c:pt idx="7">
                  <c:v>22</c:v>
                </c:pt>
                <c:pt idx="8">
                  <c:v>23</c:v>
                </c:pt>
                <c:pt idx="9">
                  <c:v>30</c:v>
                </c:pt>
                <c:pt idx="10">
                  <c:v>17</c:v>
                </c:pt>
                <c:pt idx="11">
                  <c:v>37</c:v>
                </c:pt>
              </c:numCache>
            </c:numRef>
          </c:val>
          <c:extLst>
            <c:ext xmlns:c16="http://schemas.microsoft.com/office/drawing/2014/chart" uri="{C3380CC4-5D6E-409C-BE32-E72D297353CC}">
              <c16:uniqueId val="{00000003-65EF-466F-9414-217F6D253963}"/>
            </c:ext>
          </c:extLst>
        </c:ser>
        <c:dLbls>
          <c:dLblPos val="ctr"/>
          <c:showLegendKey val="0"/>
          <c:showVal val="1"/>
          <c:showCatName val="0"/>
          <c:showSerName val="0"/>
          <c:showPercent val="0"/>
          <c:showBubbleSize val="0"/>
        </c:dLbls>
        <c:gapWidth val="150"/>
        <c:overlap val="100"/>
        <c:axId val="131656064"/>
        <c:axId val="131656456"/>
        <c:extLst>
          <c:ext xmlns:c15="http://schemas.microsoft.com/office/drawing/2012/chart" uri="{02D57815-91ED-43cb-92C2-25804820EDAC}">
            <c15:filteredBarSeries>
              <c15:ser>
                <c:idx val="4"/>
                <c:order val="4"/>
                <c:tx>
                  <c:strRef>
                    <c:extLst>
                      <c:ext uri="{02D57815-91ED-43cb-92C2-25804820EDAC}">
                        <c15:formulaRef>
                          <c15:sqref>'First chapter'!$K$96</c15:sqref>
                        </c15:formulaRef>
                      </c:ext>
                    </c:extLst>
                    <c:strCache>
                      <c:ptCount val="1"/>
                      <c:pt idx="0">
                        <c:v>No opinion</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'First chapter'!$F$97:$F$108</c15:sqref>
                        </c15:formulaRef>
                      </c:ext>
                    </c:extLst>
                    <c:strCache>
                      <c:ptCount val="12"/>
                      <c:pt idx="0">
                        <c:v>Legal basis</c:v>
                      </c:pt>
                      <c:pt idx="1">
                        <c:v>EIA Scope </c:v>
                      </c:pt>
                      <c:pt idx="2">
                        <c:v>Compliance</c:v>
                      </c:pt>
                      <c:pt idx="3">
                        <c:v>Procedures</c:v>
                      </c:pt>
                      <c:pt idx="4">
                        <c:v>Guidelines </c:v>
                      </c:pt>
                      <c:pt idx="5">
                        <c:v>Participation</c:v>
                      </c:pt>
                      <c:pt idx="6">
                        <c:v>Administration</c:v>
                      </c:pt>
                      <c:pt idx="7">
                        <c:v>Decision </c:v>
                      </c:pt>
                      <c:pt idx="8">
                        <c:v>Alternatives</c:v>
                      </c:pt>
                      <c:pt idx="9">
                        <c:v>Cumulative </c:v>
                      </c:pt>
                      <c:pt idx="10">
                        <c:v>Sustainability</c:v>
                      </c:pt>
                      <c:pt idx="11">
                        <c:v>Follow-up</c:v>
                      </c:pt>
                    </c:strCache>
                  </c:strRef>
                </c:cat>
                <c:val>
                  <c:numRef>
                    <c:extLst>
                      <c:ext uri="{02D57815-91ED-43cb-92C2-25804820EDAC}">
                        <c15:formulaRef>
                          <c15:sqref>'First chapter'!$K$97:$K$108</c15:sqref>
                        </c15:formulaRef>
                      </c:ext>
                    </c:extLst>
                    <c:numCache>
                      <c:formatCode>0.00</c:formatCode>
                      <c:ptCount val="12"/>
                      <c:pt idx="0">
                        <c:v>1</c:v>
                      </c:pt>
                      <c:pt idx="1">
                        <c:v>1</c:v>
                      </c:pt>
                      <c:pt idx="2">
                        <c:v>1</c:v>
                      </c:pt>
                      <c:pt idx="3">
                        <c:v>2</c:v>
                      </c:pt>
                      <c:pt idx="4">
                        <c:v>2</c:v>
                      </c:pt>
                      <c:pt idx="5">
                        <c:v>1</c:v>
                      </c:pt>
                      <c:pt idx="6">
                        <c:v>6</c:v>
                      </c:pt>
                      <c:pt idx="7">
                        <c:v>6</c:v>
                      </c:pt>
                      <c:pt idx="8">
                        <c:v>8</c:v>
                      </c:pt>
                      <c:pt idx="9">
                        <c:v>6</c:v>
                      </c:pt>
                      <c:pt idx="10">
                        <c:v>4</c:v>
                      </c:pt>
                      <c:pt idx="11">
                        <c:v>5</c:v>
                      </c:pt>
                    </c:numCache>
                  </c:numRef>
                </c:val>
                <c:extLst>
                  <c:ext xmlns:c16="http://schemas.microsoft.com/office/drawing/2014/chart" uri="{C3380CC4-5D6E-409C-BE32-E72D297353CC}">
                    <c16:uniqueId val="{00000004-65EF-466F-9414-217F6D253963}"/>
                  </c:ext>
                </c:extLst>
              </c15:ser>
            </c15:filteredBarSeries>
          </c:ext>
        </c:extLst>
      </c:barChart>
      <c:catAx>
        <c:axId val="1316560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a:t>Components of the EIA process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656456"/>
        <c:crosses val="autoZero"/>
        <c:auto val="1"/>
        <c:lblAlgn val="ctr"/>
        <c:lblOffset val="100"/>
        <c:noMultiLvlLbl val="0"/>
      </c:catAx>
      <c:valAx>
        <c:axId val="131656456"/>
        <c:scaling>
          <c:orientation val="minMax"/>
          <c:max val="100"/>
          <c:min val="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000"/>
                  <a:t>Percentage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65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0.0916</cdr:x>
      <cdr:y>0.37768</cdr:y>
    </cdr:from>
    <cdr:to>
      <cdr:x>1</cdr:x>
      <cdr:y>0.38152</cdr:y>
    </cdr:to>
    <cdr:cxnSp macro="">
      <cdr:nvCxnSpPr>
        <cdr:cNvPr id="4" name="Straight Connector 3"/>
        <cdr:cNvCxnSpPr/>
      </cdr:nvCxnSpPr>
      <cdr:spPr>
        <a:xfrm xmlns:a="http://schemas.openxmlformats.org/drawingml/2006/main" flipH="1">
          <a:off x="544434" y="1788372"/>
          <a:ext cx="5399166" cy="18183"/>
        </a:xfrm>
        <a:prstGeom xmlns:a="http://schemas.openxmlformats.org/drawingml/2006/main" prst="line">
          <a:avLst/>
        </a:prstGeom>
        <a:ln xmlns:a="http://schemas.openxmlformats.org/drawingml/2006/main">
          <a:prstDash val="dashDot"/>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D1F8B91A9FDF4DB6D5FE6BD75B015C" ma:contentTypeVersion="14" ma:contentTypeDescription="Create a new document." ma:contentTypeScope="" ma:versionID="ecee733256b70fdcfa53252c1ddbf7d7">
  <xsd:schema xmlns:xsd="http://www.w3.org/2001/XMLSchema" xmlns:xs="http://www.w3.org/2001/XMLSchema" xmlns:p="http://schemas.microsoft.com/office/2006/metadata/properties" xmlns:ns3="ed2bc21f-e4f8-4c07-8a67-e027dac9d384" xmlns:ns4="1dea2a50-0233-4f2b-9f02-682352e80147" targetNamespace="http://schemas.microsoft.com/office/2006/metadata/properties" ma:root="true" ma:fieldsID="276fc63cf5c90854b9de684d31f919da" ns3:_="" ns4:_="">
    <xsd:import namespace="ed2bc21f-e4f8-4c07-8a67-e027dac9d384"/>
    <xsd:import namespace="1dea2a50-0233-4f2b-9f02-682352e801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bc21f-e4f8-4c07-8a67-e027dac9d3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a2a50-0233-4f2b-9f02-682352e801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F26E8-1396-4DFA-A7D9-971390D3CE36}">
  <ds:schemaRefs>
    <ds:schemaRef ds:uri="http://schemas.microsoft.com/sharepoint/v3/contenttype/forms"/>
  </ds:schemaRefs>
</ds:datastoreItem>
</file>

<file path=customXml/itemProps2.xml><?xml version="1.0" encoding="utf-8"?>
<ds:datastoreItem xmlns:ds="http://schemas.openxmlformats.org/officeDocument/2006/customXml" ds:itemID="{A4F64B86-C8DE-450F-B954-1C3899059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E3C1D6-AB65-48F7-8F3B-4089292D8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bc21f-e4f8-4c07-8a67-e027dac9d384"/>
    <ds:schemaRef ds:uri="1dea2a50-0233-4f2b-9f02-682352e80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5FEDF-8CAE-4350-8E39-A91AF8FDF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9129</Words>
  <Characters>52041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Jacobine Amutenya</dc:creator>
  <cp:lastModifiedBy>Nakwaya-Jacobus, Dietlinde</cp:lastModifiedBy>
  <cp:revision>2</cp:revision>
  <dcterms:created xsi:type="dcterms:W3CDTF">2023-12-01T10:01:00Z</dcterms:created>
  <dcterms:modified xsi:type="dcterms:W3CDTF">2023-12-01T10:01:00Z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0x0101009DD1F8B91A9FDF4DB6D5FE6BD75B015C</vt:lpwstr>
  </property>
  <property fmtid="{D5CDD505-2E9C-101B-9397-08002B2CF9AE}" pid="3" name="GrammarlyDocumentId">
    <vt:lpwstr>8f9e61f1b771b9f7cae20777e6fc9709c40bf0f89938e1be580c57a049b0ebb8</vt:lpwstr>
  </property>
</Properties>
</file>