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D159E6" w14:textId="77777777" w:rsidR="0005042F" w:rsidRDefault="007D1A26">
      <w:pPr>
        <w:spacing w:after="160"/>
        <w:jc w:val="center"/>
        <w:rPr>
          <w:b/>
          <w:sz w:val="32"/>
          <w:szCs w:val="32"/>
        </w:rPr>
      </w:pPr>
      <w:r>
        <w:rPr>
          <w:b/>
          <w:sz w:val="32"/>
          <w:szCs w:val="32"/>
        </w:rPr>
        <w:t>Measuring the overall performance of mental healthcare providers</w:t>
      </w:r>
    </w:p>
    <w:p w14:paraId="34728CEB" w14:textId="77777777" w:rsidR="0005042F" w:rsidRDefault="0005042F">
      <w:pPr>
        <w:spacing w:line="276" w:lineRule="auto"/>
      </w:pPr>
    </w:p>
    <w:p w14:paraId="2994EE57" w14:textId="77777777" w:rsidR="0005042F" w:rsidRDefault="007D1A26">
      <w:pPr>
        <w:spacing w:line="276" w:lineRule="auto"/>
        <w:rPr>
          <w:b/>
          <w:sz w:val="28"/>
          <w:szCs w:val="28"/>
        </w:rPr>
      </w:pPr>
      <w:r>
        <w:rPr>
          <w:b/>
          <w:sz w:val="28"/>
          <w:szCs w:val="28"/>
        </w:rPr>
        <w:t>Abstract</w:t>
      </w:r>
    </w:p>
    <w:p w14:paraId="5188375A" w14:textId="77777777" w:rsidR="0005042F" w:rsidRDefault="0005042F">
      <w:pPr>
        <w:spacing w:line="276" w:lineRule="auto"/>
      </w:pPr>
    </w:p>
    <w:p w14:paraId="71C056ED" w14:textId="15CADE7B" w:rsidR="0005042F" w:rsidRDefault="007D1A26">
      <w:pPr>
        <w:spacing w:line="276" w:lineRule="auto"/>
      </w:pPr>
      <w:r>
        <w:t>To date there have been no attempts to construct composite measures of healthcare provider performance which reflect preferences for health and non-health benefits, as well as costs. Health and non-health benefits matter to patients, healthcare providers a</w:t>
      </w:r>
      <w:r>
        <w:t xml:space="preserve">nd the </w:t>
      </w:r>
      <w:proofErr w:type="gramStart"/>
      <w:r>
        <w:t>general public</w:t>
      </w:r>
      <w:proofErr w:type="gramEnd"/>
      <w:r>
        <w:t xml:space="preserve">. We develop a </w:t>
      </w:r>
      <w:proofErr w:type="gramStart"/>
      <w:r w:rsidR="00053207">
        <w:t xml:space="preserve">novel </w:t>
      </w:r>
      <w:r>
        <w:t>provider performance measurement framework</w:t>
      </w:r>
      <w:proofErr w:type="gramEnd"/>
      <w:r>
        <w:t xml:space="preserve"> that combines health gain, non-health benefit, and cost and illustrate it with an application to </w:t>
      </w:r>
      <w:r w:rsidR="009B3563">
        <w:t xml:space="preserve">54 </w:t>
      </w:r>
      <w:r>
        <w:t>English mental health providers. We apply estimates from a discrete choice</w:t>
      </w:r>
      <w:r>
        <w:t xml:space="preserve"> experiment eliciting the UK general population’s valuation of non-health benefits relative to health gains, to administrative and patient survey data </w:t>
      </w:r>
      <w:r w:rsidR="009B3563">
        <w:t>for years 2013-2015</w:t>
      </w:r>
      <w:r w:rsidR="009B3563">
        <w:t xml:space="preserve"> </w:t>
      </w:r>
      <w:r>
        <w:t>to calculate equivalent health benefit (</w:t>
      </w:r>
      <w:proofErr w:type="spellStart"/>
      <w:r>
        <w:t>eHB</w:t>
      </w:r>
      <w:proofErr w:type="spellEnd"/>
      <w:r>
        <w:t>) for providers. We measure costs as forgone health and quanti</w:t>
      </w:r>
      <w:r>
        <w:t>fy the relative performance of providers in terms of equivalent net health benefit (</w:t>
      </w:r>
      <w:proofErr w:type="spellStart"/>
      <w:r>
        <w:t>eNHB</w:t>
      </w:r>
      <w:proofErr w:type="spellEnd"/>
      <w:r>
        <w:t xml:space="preserve">): the value of the health and non-health benefits minus the forgone benefit equivalent of cost. We compare rankings of providers by </w:t>
      </w:r>
      <w:proofErr w:type="spellStart"/>
      <w:r>
        <w:t>eHB</w:t>
      </w:r>
      <w:proofErr w:type="spellEnd"/>
      <w:r>
        <w:t xml:space="preserve">, </w:t>
      </w:r>
      <w:proofErr w:type="spellStart"/>
      <w:r>
        <w:t>eNHB</w:t>
      </w:r>
      <w:proofErr w:type="spellEnd"/>
      <w:r>
        <w:t>, and by the rankings prod</w:t>
      </w:r>
      <w:r>
        <w:t xml:space="preserve">uced by the hospital sector regulator. We find that taking account of the non-health benefits in the </w:t>
      </w:r>
      <w:proofErr w:type="spellStart"/>
      <w:r>
        <w:t>eNHB</w:t>
      </w:r>
      <w:proofErr w:type="spellEnd"/>
      <w:r>
        <w:t xml:space="preserve"> measure makes a substantial difference to the evaluation of provider performance. Our study demonstrates that the provider performance evaluation spac</w:t>
      </w:r>
      <w:r>
        <w:t>e can be extended beyond measures of health gain and cost, and that this matters for comparison of providers.</w:t>
      </w:r>
    </w:p>
    <w:p w14:paraId="7AD3BD20" w14:textId="709F4B5F" w:rsidR="0005042F" w:rsidRDefault="0005042F">
      <w:pPr>
        <w:spacing w:line="276" w:lineRule="auto"/>
      </w:pPr>
    </w:p>
    <w:p w14:paraId="280B7EB8" w14:textId="77777777" w:rsidR="0005042F" w:rsidRDefault="0005042F">
      <w:pPr>
        <w:spacing w:line="276" w:lineRule="auto"/>
      </w:pPr>
    </w:p>
    <w:p w14:paraId="5C0929B1" w14:textId="77777777" w:rsidR="0005042F" w:rsidRDefault="0005042F">
      <w:pPr>
        <w:spacing w:line="276" w:lineRule="auto"/>
      </w:pPr>
    </w:p>
    <w:p w14:paraId="669144C3" w14:textId="77777777" w:rsidR="0005042F" w:rsidRDefault="007D1A26">
      <w:pPr>
        <w:pStyle w:val="Heading1"/>
      </w:pPr>
      <w:r>
        <w:t xml:space="preserve">Key words  </w:t>
      </w:r>
    </w:p>
    <w:p w14:paraId="6E07E865" w14:textId="77777777" w:rsidR="0005042F" w:rsidRDefault="007D1A26">
      <w:pPr>
        <w:spacing w:line="240" w:lineRule="auto"/>
      </w:pPr>
      <w:r>
        <w:rPr>
          <w:highlight w:val="white"/>
        </w:rPr>
        <w:t>Health Benefits, Non-health Benefits, Costs, Performance Measurement, Mental Health Providers</w:t>
      </w:r>
    </w:p>
    <w:p w14:paraId="406B58B0" w14:textId="77777777" w:rsidR="0005042F" w:rsidRDefault="0005042F">
      <w:pPr>
        <w:spacing w:line="240" w:lineRule="auto"/>
      </w:pPr>
    </w:p>
    <w:p w14:paraId="71362449" w14:textId="77777777" w:rsidR="0005042F" w:rsidRDefault="0005042F">
      <w:pPr>
        <w:spacing w:line="240" w:lineRule="auto"/>
      </w:pPr>
    </w:p>
    <w:p w14:paraId="391818F3" w14:textId="3D4006C1" w:rsidR="0005042F" w:rsidRDefault="007D1A26">
      <w:pPr>
        <w:spacing w:line="240" w:lineRule="auto"/>
      </w:pPr>
      <w:r>
        <w:rPr>
          <w:highlight w:val="white"/>
        </w:rPr>
        <w:t xml:space="preserve"> </w:t>
      </w:r>
    </w:p>
    <w:p w14:paraId="6C8207BA" w14:textId="77777777" w:rsidR="0005042F" w:rsidRDefault="0005042F">
      <w:pPr>
        <w:spacing w:line="276" w:lineRule="auto"/>
      </w:pPr>
    </w:p>
    <w:p w14:paraId="536F6886" w14:textId="77777777" w:rsidR="0005042F" w:rsidRDefault="0005042F">
      <w:pPr>
        <w:spacing w:line="276" w:lineRule="auto"/>
      </w:pPr>
    </w:p>
    <w:p w14:paraId="7409C38E" w14:textId="77777777" w:rsidR="0005042F" w:rsidRDefault="007D1A26">
      <w:pPr>
        <w:spacing w:line="276" w:lineRule="auto"/>
        <w:rPr>
          <w:b/>
          <w:sz w:val="28"/>
          <w:szCs w:val="28"/>
        </w:rPr>
      </w:pPr>
      <w:r>
        <w:rPr>
          <w:b/>
          <w:sz w:val="28"/>
          <w:szCs w:val="28"/>
        </w:rPr>
        <w:t>Highlights</w:t>
      </w:r>
    </w:p>
    <w:p w14:paraId="35A0077D" w14:textId="77777777" w:rsidR="0005042F" w:rsidRDefault="0005042F">
      <w:pPr>
        <w:spacing w:line="276" w:lineRule="auto"/>
      </w:pPr>
    </w:p>
    <w:p w14:paraId="574C0546" w14:textId="77777777" w:rsidR="0005042F" w:rsidRDefault="007D1A26">
      <w:pPr>
        <w:numPr>
          <w:ilvl w:val="0"/>
          <w:numId w:val="2"/>
        </w:numPr>
        <w:pBdr>
          <w:top w:val="nil"/>
          <w:left w:val="nil"/>
          <w:bottom w:val="nil"/>
          <w:right w:val="nil"/>
          <w:between w:val="nil"/>
        </w:pBdr>
        <w:spacing w:line="276" w:lineRule="auto"/>
        <w:jc w:val="left"/>
        <w:rPr>
          <w:color w:val="000000"/>
        </w:rPr>
      </w:pPr>
      <w:r>
        <w:rPr>
          <w:color w:val="000000"/>
        </w:rPr>
        <w:t xml:space="preserve">We develop a novel method to measure overall provider performance </w:t>
      </w:r>
    </w:p>
    <w:p w14:paraId="1A73377B" w14:textId="77777777" w:rsidR="0005042F" w:rsidRDefault="007D1A26">
      <w:pPr>
        <w:numPr>
          <w:ilvl w:val="0"/>
          <w:numId w:val="2"/>
        </w:numPr>
        <w:pBdr>
          <w:top w:val="nil"/>
          <w:left w:val="nil"/>
          <w:bottom w:val="nil"/>
          <w:right w:val="nil"/>
          <w:between w:val="nil"/>
        </w:pBdr>
        <w:spacing w:line="276" w:lineRule="auto"/>
        <w:jc w:val="left"/>
        <w:rPr>
          <w:color w:val="000000"/>
        </w:rPr>
      </w:pPr>
      <w:r>
        <w:rPr>
          <w:color w:val="000000"/>
        </w:rPr>
        <w:t>Our method incorporates measures of health, non-health benefits and cost</w:t>
      </w:r>
    </w:p>
    <w:p w14:paraId="5124367C" w14:textId="77777777" w:rsidR="0005042F" w:rsidRDefault="007D1A26">
      <w:pPr>
        <w:numPr>
          <w:ilvl w:val="0"/>
          <w:numId w:val="2"/>
        </w:numPr>
        <w:pBdr>
          <w:top w:val="nil"/>
          <w:left w:val="nil"/>
          <w:bottom w:val="nil"/>
          <w:right w:val="nil"/>
          <w:between w:val="nil"/>
        </w:pBdr>
        <w:spacing w:line="276" w:lineRule="auto"/>
        <w:jc w:val="left"/>
        <w:rPr>
          <w:color w:val="000000"/>
        </w:rPr>
      </w:pPr>
      <w:r>
        <w:rPr>
          <w:color w:val="000000"/>
        </w:rPr>
        <w:t>We demonstrate our measure by examining mental healthcare provider performance</w:t>
      </w:r>
    </w:p>
    <w:p w14:paraId="754B13DA" w14:textId="77777777" w:rsidR="0005042F" w:rsidRDefault="007D1A26">
      <w:pPr>
        <w:numPr>
          <w:ilvl w:val="0"/>
          <w:numId w:val="2"/>
        </w:numPr>
        <w:pBdr>
          <w:top w:val="nil"/>
          <w:left w:val="nil"/>
          <w:bottom w:val="nil"/>
          <w:right w:val="nil"/>
          <w:between w:val="nil"/>
        </w:pBdr>
        <w:spacing w:after="160" w:line="276" w:lineRule="auto"/>
        <w:jc w:val="left"/>
        <w:rPr>
          <w:color w:val="000000"/>
        </w:rPr>
      </w:pPr>
      <w:r>
        <w:rPr>
          <w:color w:val="000000"/>
        </w:rPr>
        <w:t>Including non-health benefits such as person-centred care, matters for performance</w:t>
      </w:r>
    </w:p>
    <w:p w14:paraId="5C45861C" w14:textId="77777777" w:rsidR="0005042F" w:rsidRDefault="0005042F">
      <w:pPr>
        <w:spacing w:line="276" w:lineRule="auto"/>
      </w:pPr>
    </w:p>
    <w:p w14:paraId="7236BA02" w14:textId="77777777" w:rsidR="0005042F" w:rsidRDefault="007D1A26">
      <w:pPr>
        <w:spacing w:after="160"/>
        <w:jc w:val="left"/>
        <w:rPr>
          <w:b/>
          <w:sz w:val="28"/>
          <w:szCs w:val="28"/>
        </w:rPr>
      </w:pPr>
      <w:r>
        <w:br w:type="page"/>
      </w:r>
    </w:p>
    <w:p w14:paraId="388AD6C3" w14:textId="77777777" w:rsidR="0005042F" w:rsidRDefault="007D1A26">
      <w:pPr>
        <w:spacing w:line="276" w:lineRule="auto"/>
        <w:rPr>
          <w:b/>
          <w:sz w:val="28"/>
          <w:szCs w:val="28"/>
        </w:rPr>
      </w:pPr>
      <w:bookmarkStart w:id="0" w:name="_gjdgxs" w:colFirst="0" w:colLast="0"/>
      <w:bookmarkEnd w:id="0"/>
      <w:r>
        <w:rPr>
          <w:b/>
          <w:sz w:val="28"/>
          <w:szCs w:val="28"/>
        </w:rPr>
        <w:lastRenderedPageBreak/>
        <w:t>1. Introduction</w:t>
      </w:r>
    </w:p>
    <w:p w14:paraId="415DD061" w14:textId="77777777" w:rsidR="0005042F" w:rsidRDefault="0005042F">
      <w:pPr>
        <w:spacing w:line="276" w:lineRule="auto"/>
      </w:pPr>
    </w:p>
    <w:p w14:paraId="470FF566" w14:textId="1EB96BA9" w:rsidR="0005042F" w:rsidRDefault="007D1A26">
      <w:pPr>
        <w:spacing w:line="276" w:lineRule="auto"/>
        <w:rPr>
          <w:b/>
        </w:rPr>
      </w:pPr>
      <w:r>
        <w:t xml:space="preserve">Both regulators of healthcare providers and policymakers need to be able to distinguish good from poor performance. </w:t>
      </w:r>
      <w:bookmarkStart w:id="1" w:name="_Hlk152332636"/>
      <w:r w:rsidR="00102323">
        <w:t>Performance assessment and ranking of providers</w:t>
      </w:r>
      <w:r>
        <w:t xml:space="preserve"> helps to understand the reasons for variation, identify best practice, tackle poor performance and evaluate the impact of regulatory decisions. </w:t>
      </w:r>
      <w:bookmarkEnd w:id="1"/>
      <w:r w:rsidR="005D2B69">
        <w:t xml:space="preserve">A challenge for </w:t>
      </w:r>
      <w:r w:rsidR="00102323">
        <w:t>provider performance</w:t>
      </w:r>
      <w:r w:rsidR="005D2B69">
        <w:t xml:space="preserve"> assessment is to capture a broad array of performance dimensions that matter</w:t>
      </w:r>
      <w:r w:rsidR="00102323">
        <w:t>, a</w:t>
      </w:r>
      <w:r w:rsidR="005D2B69">
        <w:t>longside</w:t>
      </w:r>
      <w:r w:rsidR="00102323">
        <w:t xml:space="preserve"> costs.</w:t>
      </w:r>
    </w:p>
    <w:p w14:paraId="4A4633EE" w14:textId="77777777" w:rsidR="0005042F" w:rsidRDefault="0005042F">
      <w:pPr>
        <w:spacing w:line="276" w:lineRule="auto"/>
      </w:pPr>
    </w:p>
    <w:p w14:paraId="2920E278" w14:textId="49416C70" w:rsidR="0005042F" w:rsidRDefault="007D1A26">
      <w:pPr>
        <w:spacing w:line="276" w:lineRule="auto"/>
      </w:pPr>
      <w:r>
        <w:t>In the extra-welfarist perspective (Brouwer et al., 2008) the key outcome of healthcare provision is its effect on health. This focus is justified by assuming that the objective of public and private funders of healthcare is</w:t>
      </w:r>
      <w:r>
        <w:t xml:space="preserve"> to maximise health within a given budget. </w:t>
      </w:r>
      <w:r w:rsidR="0076716E">
        <w:t xml:space="preserve">However, patients may also value other aspects of healthcare. Specifically, they also care about non-health process attributes of healthcare, such as how long they wait for treatment, how easy it is to access care, and how they are treated whilst receiving care (Rowan et al., 2022; </w:t>
      </w:r>
      <w:proofErr w:type="spellStart"/>
      <w:r w:rsidR="0076716E">
        <w:t>Soekhai</w:t>
      </w:r>
      <w:proofErr w:type="spellEnd"/>
      <w:r w:rsidR="0076716E">
        <w:t xml:space="preserve"> et al, 2019, Entwistle et al., 2012).  Policymakers and funders also care about non-health benefits. For example, the World Health Organisation’s health system performance framework takes responsiveness (defined as including respect for persons, prompt attention, quality of basic amenities, and choice of provider) as a fundamental objective in addition to health (Murray and Frenk, 2000). The English National Health Service (NHS) recognises the importance of non-health benefits in its legislation and policy (Department of Health, 2010, Department of Health and Social Care, 2021, NHS, 2017), and even collects data to monitor its performance against these policy aims, such as the Friends and Family Test (</w:t>
      </w:r>
      <w:r w:rsidR="0076716E" w:rsidRPr="00B00085">
        <w:t>https://www.england.nhs.uk/fft/</w:t>
      </w:r>
      <w:r w:rsidR="0076716E">
        <w:t xml:space="preserve">) </w:t>
      </w:r>
      <w:r>
        <w:t xml:space="preserve">based on patient assessments of aspects of the care delivery process such as dignity and privacy. </w:t>
      </w:r>
    </w:p>
    <w:p w14:paraId="6D9CDF9F" w14:textId="77777777" w:rsidR="0005042F" w:rsidRDefault="0005042F">
      <w:pPr>
        <w:spacing w:line="276" w:lineRule="auto"/>
      </w:pPr>
    </w:p>
    <w:p w14:paraId="363BC249" w14:textId="58444000" w:rsidR="0005042F" w:rsidRDefault="0076716E">
      <w:pPr>
        <w:spacing w:line="276" w:lineRule="auto"/>
      </w:pPr>
      <w:bookmarkStart w:id="2" w:name="_Hlk152325649"/>
      <w:r>
        <w:t>The question is not whether we should measure non-health benefits</w:t>
      </w:r>
      <w:r w:rsidR="00102323">
        <w:t>,</w:t>
      </w:r>
      <w:r>
        <w:t xml:space="preserve"> but rather how to combine these with data on health and costs to derive an overall assessment of provider performance so that providers can be ranked. </w:t>
      </w:r>
      <w:bookmarkEnd w:id="2"/>
      <w:r>
        <w:t xml:space="preserve">In cost-effectiveness analysis, </w:t>
      </w:r>
      <w:r w:rsidR="00B00085">
        <w:t xml:space="preserve">there is support for extending </w:t>
      </w:r>
      <w:r>
        <w:t xml:space="preserve">the attributes taken into account in the evaluation of specific healthcare </w:t>
      </w:r>
      <w:r>
        <w:rPr>
          <w:i/>
        </w:rPr>
        <w:t>interventions</w:t>
      </w:r>
      <w:r>
        <w:t xml:space="preserve"> beyond the usual health effects and cost which are considered (Coast, 2004; Coast et al. 2008; Devlin and Sussex, 2011; Wildman et al., 2016; Wildman and Wildman, 2019). However, there is </w:t>
      </w:r>
      <w:r w:rsidR="00B00085">
        <w:t>no consensus</w:t>
      </w:r>
      <w:r>
        <w:t xml:space="preserve"> on </w:t>
      </w:r>
      <w:r w:rsidR="00B00085">
        <w:t>the best approach to achieve this</w:t>
      </w:r>
      <w:r>
        <w:t xml:space="preserve"> (Briggs, 2016; Frazão et al., 2018).  </w:t>
      </w:r>
    </w:p>
    <w:p w14:paraId="2D99372C" w14:textId="77777777" w:rsidR="0005042F" w:rsidRDefault="0005042F">
      <w:pPr>
        <w:spacing w:line="276" w:lineRule="auto"/>
      </w:pPr>
    </w:p>
    <w:p w14:paraId="69E665DA" w14:textId="6F82AA1A" w:rsidR="0005042F" w:rsidRDefault="007D1A26">
      <w:pPr>
        <w:spacing w:line="276" w:lineRule="auto"/>
      </w:pPr>
      <w:r>
        <w:t xml:space="preserve">A small number of studies have used estimates of patient health benefits and cost to compare healthcare </w:t>
      </w:r>
      <w:r>
        <w:rPr>
          <w:i/>
        </w:rPr>
        <w:t>providers</w:t>
      </w:r>
      <w:r>
        <w:t xml:space="preserve"> rather than healthcare interventions. Appleby et al. (2013) used gains in quality-adjusted life years</w:t>
      </w:r>
      <w:r>
        <w:t xml:space="preserve"> (QALYs) and costs for English hip replacement providers and </w:t>
      </w:r>
      <w:proofErr w:type="spellStart"/>
      <w:r>
        <w:t>Karnon</w:t>
      </w:r>
      <w:proofErr w:type="spellEnd"/>
      <w:r>
        <w:t xml:space="preserve"> et al. (2013) compared survival and costs for patients presenting with acute chest pain in four public hospitals in Australia. </w:t>
      </w:r>
      <w:proofErr w:type="spellStart"/>
      <w:r>
        <w:t>Timbie</w:t>
      </w:r>
      <w:proofErr w:type="spellEnd"/>
      <w:r>
        <w:t xml:space="preserve"> and Normand (2008) and </w:t>
      </w:r>
      <w:proofErr w:type="spellStart"/>
      <w:r>
        <w:t>Timbie</w:t>
      </w:r>
      <w:proofErr w:type="spellEnd"/>
      <w:r>
        <w:t xml:space="preserve"> et al. (2008) compared r</w:t>
      </w:r>
      <w:r>
        <w:t xml:space="preserve">isk-adjusted costs and survival for heart attack patients in Massachusetts hospitals. </w:t>
      </w:r>
    </w:p>
    <w:p w14:paraId="46DE585A" w14:textId="77777777" w:rsidR="0005042F" w:rsidRDefault="0005042F">
      <w:pPr>
        <w:spacing w:line="276" w:lineRule="auto"/>
      </w:pPr>
    </w:p>
    <w:p w14:paraId="3CD50D21" w14:textId="77777777" w:rsidR="00B00085" w:rsidRDefault="007D1A26">
      <w:pPr>
        <w:spacing w:line="276" w:lineRule="auto"/>
      </w:pPr>
      <w:r>
        <w:t xml:space="preserve">With only two dimensions of performance (health and cost) scatter plots can identify efficient and inefficient (undominated and dominated) providers. </w:t>
      </w:r>
      <w:proofErr w:type="spellStart"/>
      <w:r>
        <w:t>Timbie</w:t>
      </w:r>
      <w:proofErr w:type="spellEnd"/>
      <w:r>
        <w:t xml:space="preserve"> and Normand</w:t>
      </w:r>
      <w:r>
        <w:t xml:space="preserve"> (2008) and </w:t>
      </w:r>
      <w:proofErr w:type="spellStart"/>
      <w:r>
        <w:t>Timbie</w:t>
      </w:r>
      <w:proofErr w:type="spellEnd"/>
      <w:r>
        <w:t xml:space="preserve"> et al. (2008) extended their estimation of cost and survival by using an assumed monetary value per life saved to calculate incremental </w:t>
      </w:r>
      <w:r>
        <w:rPr>
          <w:i/>
        </w:rPr>
        <w:t>net</w:t>
      </w:r>
      <w:r>
        <w:t xml:space="preserve"> health benefits to measure provider </w:t>
      </w:r>
      <w:r>
        <w:lastRenderedPageBreak/>
        <w:t>performance. Data envelopment analysis and stochastic frontie</w:t>
      </w:r>
      <w:r>
        <w:t xml:space="preserve">r methods (Jacobs et al., 2006) can be used as the number of performance dimensions increase. But judgements about the relative marginal value of the different performance dimensions, </w:t>
      </w:r>
      <w:r w:rsidR="00B00085">
        <w:t>are essential</w:t>
      </w:r>
      <w:r>
        <w:t xml:space="preserve"> to create a single measure. </w:t>
      </w:r>
    </w:p>
    <w:p w14:paraId="54A2D653" w14:textId="77777777" w:rsidR="00B00085" w:rsidRDefault="00B00085">
      <w:pPr>
        <w:spacing w:line="276" w:lineRule="auto"/>
      </w:pPr>
    </w:p>
    <w:p w14:paraId="5AF04DB5" w14:textId="22BFE3FC" w:rsidR="0005042F" w:rsidRDefault="00B00085">
      <w:pPr>
        <w:spacing w:line="276" w:lineRule="auto"/>
      </w:pPr>
      <w:r>
        <w:t>Nonetheless, regulators and policymakers find it useful to rank providers by overall performance, which requires a single measure. There appear to have been no previous attempts to construct quantitative measures of overall healthcare provider performance which take account of preferences for non-health benefits</w:t>
      </w:r>
      <w:r w:rsidR="00102323">
        <w:t xml:space="preserve">, along with health </w:t>
      </w:r>
      <w:r w:rsidR="005D2B69">
        <w:t xml:space="preserve">benefits </w:t>
      </w:r>
      <w:r w:rsidR="00102323">
        <w:t xml:space="preserve">and </w:t>
      </w:r>
      <w:r>
        <w:t xml:space="preserve">cost (Ryan and Tompkins, 2014).  </w:t>
      </w:r>
    </w:p>
    <w:p w14:paraId="4FE210DD" w14:textId="77777777" w:rsidR="0005042F" w:rsidRPr="00E86299" w:rsidRDefault="0005042F">
      <w:pPr>
        <w:spacing w:line="276" w:lineRule="auto"/>
      </w:pPr>
    </w:p>
    <w:p w14:paraId="2EADCEA5" w14:textId="48083C1E" w:rsidR="0005042F" w:rsidRPr="00E86299" w:rsidRDefault="007D1A26">
      <w:pPr>
        <w:spacing w:line="276" w:lineRule="auto"/>
      </w:pPr>
      <w:r w:rsidRPr="00E86299">
        <w:rPr>
          <w:rFonts w:eastAsia="Gungsuh"/>
        </w:rPr>
        <w:t xml:space="preserve">In this paper we develop a </w:t>
      </w:r>
      <w:r w:rsidR="00B00085">
        <w:rPr>
          <w:rFonts w:eastAsia="Gungsuh"/>
        </w:rPr>
        <w:t xml:space="preserve">novel </w:t>
      </w:r>
      <w:r w:rsidRPr="00E86299">
        <w:rPr>
          <w:rFonts w:eastAsia="Gungsuh"/>
        </w:rPr>
        <w:t xml:space="preserve">method of incorporating non-health aspects of the healthcare process into quantitative assessments and rankings of healthcare </w:t>
      </w:r>
      <w:r w:rsidRPr="00E86299">
        <w:rPr>
          <w:rFonts w:eastAsia="Gungsuh"/>
        </w:rPr>
        <w:t xml:space="preserve">provider performance. We build on the principles within economic appraisals of weighing the costs and benefits of </w:t>
      </w:r>
      <w:r w:rsidRPr="00E86299">
        <w:rPr>
          <w:rFonts w:eastAsia="Gungsuh"/>
          <w:i/>
        </w:rPr>
        <w:t>interventions</w:t>
      </w:r>
      <w:r w:rsidRPr="00E86299">
        <w:rPr>
          <w:rFonts w:eastAsia="Gungsuh"/>
        </w:rPr>
        <w:t xml:space="preserve">, by applying these ideas to </w:t>
      </w:r>
      <w:r w:rsidR="00F30736">
        <w:rPr>
          <w:rFonts w:eastAsia="Gungsuh"/>
        </w:rPr>
        <w:t xml:space="preserve">assessing </w:t>
      </w:r>
      <w:r w:rsidR="00364DFD">
        <w:rPr>
          <w:rFonts w:eastAsia="Gungsuh"/>
        </w:rPr>
        <w:t xml:space="preserve">the </w:t>
      </w:r>
      <w:r w:rsidR="00F30736">
        <w:rPr>
          <w:rFonts w:eastAsia="Gungsuh"/>
        </w:rPr>
        <w:t>performance of</w:t>
      </w:r>
      <w:r w:rsidRPr="00E86299">
        <w:rPr>
          <w:rFonts w:eastAsia="Gungsuh"/>
        </w:rPr>
        <w:t xml:space="preserve"> healthcare </w:t>
      </w:r>
      <w:r w:rsidRPr="00E86299">
        <w:rPr>
          <w:rFonts w:eastAsia="Gungsuh"/>
          <w:i/>
        </w:rPr>
        <w:t>providers</w:t>
      </w:r>
      <w:r w:rsidRPr="00E86299">
        <w:rPr>
          <w:rFonts w:eastAsia="Gungsuh"/>
        </w:rPr>
        <w:t>. We extend the evaluation space to include aspects</w:t>
      </w:r>
      <w:r w:rsidRPr="00E86299">
        <w:rPr>
          <w:rFonts w:eastAsia="Gungsuh"/>
        </w:rPr>
        <w:t xml:space="preserve"> of provider responsiveness (such as continuity of care, clear communication, being treated as a person) and access, in addition to measures of health benefit and production costs. We show how stated preference estimates obtained from a </w:t>
      </w:r>
      <w:r w:rsidR="00B00085" w:rsidRPr="00E86299">
        <w:rPr>
          <w:rFonts w:eastAsia="Gungsuh"/>
        </w:rPr>
        <w:t>discrete choice experiment</w:t>
      </w:r>
      <w:r w:rsidR="00B00085">
        <w:rPr>
          <w:rFonts w:eastAsia="Gungsuh"/>
        </w:rPr>
        <w:t xml:space="preserve"> (</w:t>
      </w:r>
      <w:r w:rsidRPr="00E86299">
        <w:rPr>
          <w:rFonts w:eastAsia="Gungsuh"/>
        </w:rPr>
        <w:t>DCE</w:t>
      </w:r>
      <w:r w:rsidR="00B00085">
        <w:rPr>
          <w:rFonts w:eastAsia="Gungsuh"/>
        </w:rPr>
        <w:t>)</w:t>
      </w:r>
      <w:r w:rsidRPr="00E86299">
        <w:rPr>
          <w:rFonts w:eastAsia="Gungsuh"/>
        </w:rPr>
        <w:t xml:space="preserve"> with a sample of the UK general public can be used to measure health and non-health benefits on a common scale − </w:t>
      </w:r>
      <w:r w:rsidRPr="00E86299">
        <w:rPr>
          <w:i/>
        </w:rPr>
        <w:t>equivalent health benefit</w:t>
      </w:r>
      <w:r w:rsidRPr="00E86299">
        <w:rPr>
          <w:rFonts w:eastAsia="Gungsuh"/>
        </w:rPr>
        <w:t xml:space="preserve"> (</w:t>
      </w:r>
      <w:proofErr w:type="spellStart"/>
      <w:r w:rsidRPr="00E86299">
        <w:rPr>
          <w:rFonts w:eastAsia="Gungsuh"/>
        </w:rPr>
        <w:t>eHB</w:t>
      </w:r>
      <w:proofErr w:type="spellEnd"/>
      <w:r w:rsidRPr="00E86299">
        <w:rPr>
          <w:rFonts w:eastAsia="Gungsuh"/>
        </w:rPr>
        <w:t xml:space="preserve">) − which can then be combined with information on cost to calculate an </w:t>
      </w:r>
      <w:r w:rsidRPr="00E86299">
        <w:rPr>
          <w:i/>
        </w:rPr>
        <w:t>equivalent net health benef</w:t>
      </w:r>
      <w:r w:rsidRPr="00E86299">
        <w:rPr>
          <w:i/>
        </w:rPr>
        <w:t>it</w:t>
      </w:r>
      <w:r w:rsidRPr="00E86299">
        <w:t xml:space="preserve"> (</w:t>
      </w:r>
      <w:proofErr w:type="spellStart"/>
      <w:r w:rsidRPr="00E86299">
        <w:t>eNHB</w:t>
      </w:r>
      <w:proofErr w:type="spellEnd"/>
      <w:r w:rsidRPr="00E86299">
        <w:t xml:space="preserve">) performance indicator. This can then be used to rank providers. </w:t>
      </w:r>
    </w:p>
    <w:p w14:paraId="5CDD5A0B" w14:textId="77777777" w:rsidR="0005042F" w:rsidRPr="00E86299" w:rsidRDefault="0005042F">
      <w:pPr>
        <w:pBdr>
          <w:top w:val="nil"/>
          <w:left w:val="nil"/>
          <w:bottom w:val="nil"/>
          <w:right w:val="nil"/>
          <w:between w:val="nil"/>
        </w:pBdr>
        <w:spacing w:line="276" w:lineRule="auto"/>
        <w:rPr>
          <w:color w:val="000000"/>
          <w:sz w:val="22"/>
          <w:szCs w:val="22"/>
        </w:rPr>
      </w:pPr>
    </w:p>
    <w:p w14:paraId="32D44A7D" w14:textId="77D60CEF" w:rsidR="0005042F" w:rsidRDefault="007D1A26">
      <w:pPr>
        <w:pBdr>
          <w:top w:val="nil"/>
          <w:left w:val="nil"/>
          <w:bottom w:val="nil"/>
          <w:right w:val="nil"/>
          <w:between w:val="nil"/>
        </w:pBdr>
        <w:spacing w:line="276" w:lineRule="auto"/>
        <w:rPr>
          <w:rFonts w:ascii="Calibri" w:eastAsia="Calibri" w:hAnsi="Calibri" w:cs="Calibri"/>
          <w:color w:val="000000"/>
          <w:sz w:val="20"/>
          <w:szCs w:val="20"/>
        </w:rPr>
      </w:pPr>
      <w:r>
        <w:rPr>
          <w:color w:val="000000"/>
        </w:rPr>
        <w:t xml:space="preserve">We illustrate the </w:t>
      </w:r>
      <w:proofErr w:type="spellStart"/>
      <w:r>
        <w:rPr>
          <w:color w:val="000000"/>
        </w:rPr>
        <w:t>eNHB</w:t>
      </w:r>
      <w:proofErr w:type="spellEnd"/>
      <w:r>
        <w:rPr>
          <w:color w:val="000000"/>
        </w:rPr>
        <w:t xml:space="preserve"> approach by applying </w:t>
      </w:r>
      <w:r>
        <w:t xml:space="preserve">it to English NHS mental healthcare providers </w:t>
      </w:r>
      <w:r>
        <w:rPr>
          <w:color w:val="000000"/>
        </w:rPr>
        <w:t xml:space="preserve">to </w:t>
      </w:r>
      <w:r>
        <w:t>demonstrate</w:t>
      </w:r>
      <w:r>
        <w:rPr>
          <w:color w:val="000000"/>
        </w:rPr>
        <w:t xml:space="preserve"> the first quantitative comparison of their overall </w:t>
      </w:r>
      <w:r>
        <w:t>performance in</w:t>
      </w:r>
      <w:r>
        <w:rPr>
          <w:color w:val="000000"/>
        </w:rPr>
        <w:t xml:space="preserve"> terms of costs and (health and non-health) benefits. Aspects of care other than direct health gain are particularly important in mental health services given that many mental health conditions are enduring or recurring and healthcare contacts can be for p</w:t>
      </w:r>
      <w:r>
        <w:rPr>
          <w:color w:val="000000"/>
        </w:rPr>
        <w:t>rolonged periods of time. An evidence review highlighted the value placed by mental health service users on relationship building, continuity of care and involvement in care (Newman et al., 2015). Relationships form the core of service users’ experiences (</w:t>
      </w:r>
      <w:r>
        <w:rPr>
          <w:color w:val="000000"/>
        </w:rPr>
        <w:t>Gilburt et al., 2008) and higher patient satisfaction with mental health services is associated with care continuity and involvement (</w:t>
      </w:r>
      <w:proofErr w:type="spellStart"/>
      <w:r>
        <w:rPr>
          <w:color w:val="000000"/>
        </w:rPr>
        <w:t>Stamboglis</w:t>
      </w:r>
      <w:proofErr w:type="spellEnd"/>
      <w:r>
        <w:rPr>
          <w:color w:val="000000"/>
        </w:rPr>
        <w:t xml:space="preserve"> and Jacobs, 2020). Policies also stress the importance of patient centred care and the need to involve service </w:t>
      </w:r>
      <w:r>
        <w:rPr>
          <w:color w:val="000000"/>
        </w:rPr>
        <w:t xml:space="preserve">users in care decisions (Mental Health Taskforce, 2016; NHS England, 2016). However, </w:t>
      </w:r>
      <w:r w:rsidR="004A7B50">
        <w:rPr>
          <w:color w:val="000000"/>
        </w:rPr>
        <w:t xml:space="preserve">given the complexity of the nature of mental health care, </w:t>
      </w:r>
      <w:r>
        <w:rPr>
          <w:color w:val="000000"/>
        </w:rPr>
        <w:t xml:space="preserve">there has been mixed success in developing performance assessment frameworks for these providers (Jacobs and McDaid, 2010; </w:t>
      </w:r>
      <w:proofErr w:type="spellStart"/>
      <w:r>
        <w:rPr>
          <w:color w:val="000000"/>
        </w:rPr>
        <w:t>Urbanoski</w:t>
      </w:r>
      <w:proofErr w:type="spellEnd"/>
      <w:r>
        <w:rPr>
          <w:color w:val="000000"/>
        </w:rPr>
        <w:t xml:space="preserve"> and </w:t>
      </w:r>
      <w:proofErr w:type="spellStart"/>
      <w:r>
        <w:rPr>
          <w:color w:val="000000"/>
        </w:rPr>
        <w:t>Inglis</w:t>
      </w:r>
      <w:proofErr w:type="spellEnd"/>
      <w:r>
        <w:rPr>
          <w:color w:val="000000"/>
        </w:rPr>
        <w:t>, 2019).</w:t>
      </w:r>
    </w:p>
    <w:p w14:paraId="153A65DE" w14:textId="77777777" w:rsidR="0005042F" w:rsidRDefault="0005042F">
      <w:pPr>
        <w:pBdr>
          <w:top w:val="nil"/>
          <w:left w:val="nil"/>
          <w:bottom w:val="nil"/>
          <w:right w:val="nil"/>
          <w:between w:val="nil"/>
        </w:pBdr>
        <w:spacing w:line="276" w:lineRule="auto"/>
        <w:rPr>
          <w:color w:val="000000"/>
        </w:rPr>
      </w:pPr>
    </w:p>
    <w:p w14:paraId="7C62C1EC" w14:textId="77777777" w:rsidR="0005042F" w:rsidRDefault="007D1A26">
      <w:pPr>
        <w:pBdr>
          <w:top w:val="nil"/>
          <w:left w:val="nil"/>
          <w:bottom w:val="nil"/>
          <w:right w:val="nil"/>
          <w:between w:val="nil"/>
        </w:pBdr>
        <w:spacing w:line="276" w:lineRule="auto"/>
        <w:rPr>
          <w:color w:val="000000"/>
        </w:rPr>
      </w:pPr>
      <w:r>
        <w:rPr>
          <w:color w:val="000000"/>
        </w:rPr>
        <w:t>In the next section we outline the institutional background in NHS mental healthcare. Section 3 describ</w:t>
      </w:r>
      <w:r>
        <w:rPr>
          <w:color w:val="000000"/>
        </w:rPr>
        <w:t>es the methods we use to measure the overall performance of NHS mental health providers and Section 4 presents results. In section 5 we discuss the key steps and requirements for incorporating non-health benefits into a provider performance assessment fram</w:t>
      </w:r>
      <w:r>
        <w:rPr>
          <w:color w:val="000000"/>
        </w:rPr>
        <w:t>ework.</w:t>
      </w:r>
    </w:p>
    <w:p w14:paraId="73B6777D" w14:textId="77777777" w:rsidR="0005042F" w:rsidRDefault="0005042F">
      <w:pPr>
        <w:pBdr>
          <w:top w:val="nil"/>
          <w:left w:val="nil"/>
          <w:bottom w:val="nil"/>
          <w:right w:val="nil"/>
          <w:between w:val="nil"/>
        </w:pBdr>
        <w:spacing w:line="276" w:lineRule="auto"/>
        <w:rPr>
          <w:color w:val="000000"/>
        </w:rPr>
      </w:pPr>
    </w:p>
    <w:p w14:paraId="6C573368" w14:textId="77777777" w:rsidR="00053207" w:rsidRDefault="00053207">
      <w:pPr>
        <w:pBdr>
          <w:top w:val="nil"/>
          <w:left w:val="nil"/>
          <w:bottom w:val="nil"/>
          <w:right w:val="nil"/>
          <w:between w:val="nil"/>
        </w:pBdr>
        <w:spacing w:line="276" w:lineRule="auto"/>
        <w:rPr>
          <w:color w:val="000000"/>
        </w:rPr>
      </w:pPr>
    </w:p>
    <w:p w14:paraId="30C541D0" w14:textId="77777777" w:rsidR="00053207" w:rsidRDefault="00053207">
      <w:pPr>
        <w:pBdr>
          <w:top w:val="nil"/>
          <w:left w:val="nil"/>
          <w:bottom w:val="nil"/>
          <w:right w:val="nil"/>
          <w:between w:val="nil"/>
        </w:pBdr>
        <w:spacing w:line="276" w:lineRule="auto"/>
        <w:rPr>
          <w:color w:val="000000"/>
        </w:rPr>
      </w:pPr>
    </w:p>
    <w:p w14:paraId="6B67D599" w14:textId="77777777" w:rsidR="00053207" w:rsidRDefault="00053207">
      <w:pPr>
        <w:pBdr>
          <w:top w:val="nil"/>
          <w:left w:val="nil"/>
          <w:bottom w:val="nil"/>
          <w:right w:val="nil"/>
          <w:between w:val="nil"/>
        </w:pBdr>
        <w:spacing w:line="276" w:lineRule="auto"/>
        <w:rPr>
          <w:color w:val="000000"/>
        </w:rPr>
      </w:pPr>
    </w:p>
    <w:p w14:paraId="3A12E0E2" w14:textId="77777777" w:rsidR="0005042F" w:rsidRDefault="007D1A26">
      <w:pPr>
        <w:pBdr>
          <w:top w:val="nil"/>
          <w:left w:val="nil"/>
          <w:bottom w:val="nil"/>
          <w:right w:val="nil"/>
          <w:between w:val="nil"/>
        </w:pBdr>
        <w:spacing w:line="276" w:lineRule="auto"/>
        <w:rPr>
          <w:color w:val="000000"/>
        </w:rPr>
      </w:pPr>
      <w:r>
        <w:rPr>
          <w:b/>
          <w:color w:val="000000"/>
          <w:sz w:val="28"/>
          <w:szCs w:val="28"/>
        </w:rPr>
        <w:t>2. Institutional background</w:t>
      </w:r>
    </w:p>
    <w:p w14:paraId="014A1C4A" w14:textId="77777777" w:rsidR="0005042F" w:rsidRDefault="0005042F">
      <w:pPr>
        <w:pBdr>
          <w:top w:val="nil"/>
          <w:left w:val="nil"/>
          <w:bottom w:val="nil"/>
          <w:right w:val="nil"/>
          <w:between w:val="nil"/>
        </w:pBdr>
        <w:spacing w:line="276" w:lineRule="auto"/>
        <w:rPr>
          <w:rFonts w:ascii="Calibri" w:eastAsia="Calibri" w:hAnsi="Calibri" w:cs="Calibri"/>
          <w:color w:val="000000"/>
        </w:rPr>
      </w:pPr>
    </w:p>
    <w:p w14:paraId="132C02BA" w14:textId="5AB44994" w:rsidR="0005042F" w:rsidRDefault="007D1A26">
      <w:pPr>
        <w:spacing w:line="276" w:lineRule="auto"/>
      </w:pPr>
      <w:r>
        <w:t xml:space="preserve">In the English NHS, healthcare is funded almost entirely from general taxation. Mental health services differ from physical health services in both organisation and delivery. Although some mental health services are </w:t>
      </w:r>
      <w:r>
        <w:t>provided in primary care, patients with more serious mental health problems are typically managed by publicly owned mental health providers (known as Mental Health Trusts) which provide care, without charge, in both inpatient and community settings. Patien</w:t>
      </w:r>
      <w:r>
        <w:t xml:space="preserve">ts access the services of </w:t>
      </w:r>
      <w:r w:rsidR="00053207">
        <w:t xml:space="preserve">one of the 54 </w:t>
      </w:r>
      <w:r>
        <w:t>Trusts mainly by referral from their primary care doctor, although some are referred by the justice system, social services, and some self-refer. Most Trusts serve the local population in their catchment areas, altho</w:t>
      </w:r>
      <w:r>
        <w:t>ugh some receive national referrals for more specialist services. They often cover large geographic areas and usually have several community and inpatient sites. Trusts are largely funded by block contracts negotiated with local commissioners which hold bu</w:t>
      </w:r>
      <w:r>
        <w:t xml:space="preserve">dgets, for all types of care, derived from a national needs-related capitation formula. Trusts are expected to break even each year.  </w:t>
      </w:r>
    </w:p>
    <w:p w14:paraId="1A7143C2" w14:textId="77777777" w:rsidR="0005042F" w:rsidRDefault="0005042F">
      <w:pPr>
        <w:spacing w:line="276" w:lineRule="auto"/>
      </w:pPr>
    </w:p>
    <w:p w14:paraId="06413293" w14:textId="77777777" w:rsidR="0005042F" w:rsidRDefault="007D1A26">
      <w:pPr>
        <w:spacing w:line="276" w:lineRule="auto"/>
      </w:pPr>
      <w:r>
        <w:t>Mental health disorders account for 4% of hospital admissions in England (</w:t>
      </w:r>
      <w:proofErr w:type="spellStart"/>
      <w:r>
        <w:t>QualityWatch</w:t>
      </w:r>
      <w:proofErr w:type="spellEnd"/>
      <w:r>
        <w:t>, 2015) and mental health treatmen</w:t>
      </w:r>
      <w:r>
        <w:t>t costs account for 12% of the total NHS budget (McCrone et al., 2008). The average length of stay for those who are treated in hospital is around 35 days; much longer than the average of around 8 days for patients admitted for physical health conditions (</w:t>
      </w:r>
      <w:r>
        <w:t xml:space="preserve">Cavallaro et al, 2023; Bell, 2022). For over 90% of the 1.8 million people in contact with secondary mental health services each year, care is delivered outside hospital by community-based mental health teams run by the local Trust. </w:t>
      </w:r>
    </w:p>
    <w:p w14:paraId="0E3DD901" w14:textId="77777777" w:rsidR="0005042F" w:rsidRDefault="0005042F">
      <w:pPr>
        <w:spacing w:line="276" w:lineRule="auto"/>
      </w:pPr>
    </w:p>
    <w:p w14:paraId="75BAC1E8" w14:textId="77777777" w:rsidR="0005042F" w:rsidRDefault="007D1A26">
      <w:pPr>
        <w:rPr>
          <w:b/>
          <w:sz w:val="28"/>
          <w:szCs w:val="28"/>
        </w:rPr>
      </w:pPr>
      <w:r>
        <w:t xml:space="preserve">3. </w:t>
      </w:r>
      <w:r>
        <w:rPr>
          <w:b/>
          <w:sz w:val="28"/>
          <w:szCs w:val="28"/>
        </w:rPr>
        <w:t>Methods</w:t>
      </w:r>
    </w:p>
    <w:p w14:paraId="18ADCEDE" w14:textId="77777777" w:rsidR="0005042F" w:rsidRDefault="0005042F"/>
    <w:p w14:paraId="5EE5D3F8" w14:textId="3A92FD66" w:rsidR="0005042F" w:rsidRPr="003F3909" w:rsidRDefault="007D1A26" w:rsidP="008B2298">
      <w:pPr>
        <w:spacing w:line="276" w:lineRule="auto"/>
      </w:pPr>
      <w:r w:rsidRPr="008B2298">
        <w:t>In this s</w:t>
      </w:r>
      <w:r w:rsidRPr="008B2298">
        <w:t xml:space="preserve">ection we outline how we construct our proposed performance measure (equivalent net health benefit </w:t>
      </w:r>
      <w:r w:rsidRPr="008B2298">
        <w:rPr>
          <w:rFonts w:eastAsia="Noto Sans Symbols"/>
        </w:rPr>
        <w:t>−</w:t>
      </w:r>
      <w:r w:rsidRPr="008B2298">
        <w:t xml:space="preserve"> </w:t>
      </w:r>
      <w:proofErr w:type="spellStart"/>
      <w:r w:rsidRPr="008B2298">
        <w:t>eNHB</w:t>
      </w:r>
      <w:proofErr w:type="spellEnd"/>
      <w:r w:rsidRPr="008B2298">
        <w:t xml:space="preserve">). (A fuller description is in the Online </w:t>
      </w:r>
      <w:r w:rsidRPr="003F3909">
        <w:t>Appendix</w:t>
      </w:r>
      <w:r w:rsidRPr="003F3909">
        <w:t>.)</w:t>
      </w:r>
      <w:r w:rsidR="003F3909" w:rsidRPr="003F3909">
        <w:t xml:space="preserve"> </w:t>
      </w:r>
      <w:proofErr w:type="gramStart"/>
      <w:r w:rsidR="003F3909" w:rsidRPr="003F3909">
        <w:t>The study was approved by NHS North East Newcastle and North Tyneside Research Ethics Committee</w:t>
      </w:r>
      <w:proofErr w:type="gramEnd"/>
      <w:r w:rsidR="003F3909" w:rsidRPr="003F3909">
        <w:t xml:space="preserve">. The reference number for the study </w:t>
      </w:r>
      <w:proofErr w:type="gramStart"/>
      <w:r w:rsidR="003F3909" w:rsidRPr="003F3909">
        <w:t>is:</w:t>
      </w:r>
      <w:proofErr w:type="gramEnd"/>
      <w:r w:rsidR="003F3909" w:rsidRPr="003F3909">
        <w:t xml:space="preserve"> 240,427.</w:t>
      </w:r>
      <w:bookmarkStart w:id="3" w:name="_GoBack"/>
      <w:bookmarkEnd w:id="3"/>
    </w:p>
    <w:p w14:paraId="3201A936" w14:textId="77777777" w:rsidR="0005042F" w:rsidRDefault="0005042F">
      <w:bookmarkStart w:id="4" w:name="_30j0zll" w:colFirst="0" w:colLast="0"/>
      <w:bookmarkEnd w:id="4"/>
    </w:p>
    <w:p w14:paraId="04C54779" w14:textId="77777777" w:rsidR="0005042F" w:rsidRDefault="007D1A26">
      <w:r>
        <w:rPr>
          <w:b/>
        </w:rPr>
        <w:t xml:space="preserve">3.1 Equivalent net health benefit </w:t>
      </w:r>
    </w:p>
    <w:p w14:paraId="1F53B20B" w14:textId="77777777" w:rsidR="0005042F" w:rsidRDefault="0005042F">
      <w:pPr>
        <w:spacing w:line="276" w:lineRule="auto"/>
      </w:pPr>
    </w:p>
    <w:p w14:paraId="68E2159A" w14:textId="77777777" w:rsidR="0005042F" w:rsidRDefault="007D1A26">
      <w:pPr>
        <w:spacing w:line="276" w:lineRule="auto"/>
      </w:pPr>
      <w:bookmarkStart w:id="5" w:name="_1fob9te" w:colFirst="0" w:colLast="0"/>
      <w:bookmarkStart w:id="6" w:name="_Hlk152327251"/>
      <w:bookmarkEnd w:id="5"/>
      <w:r>
        <w:t>Creating a single measure from multiple dimensions of perform</w:t>
      </w:r>
      <w:r>
        <w:t xml:space="preserve">ance requires that all dimensions of performance are valued in the same units. </w:t>
      </w:r>
      <w:bookmarkEnd w:id="6"/>
      <w:r>
        <w:t>The net health benefit (NHB) framework is routinely used in the assessment of health technologies and interventions (Stinnett and Mullahy, 1998; Drummond et al., 2015) to measur</w:t>
      </w:r>
      <w:r>
        <w:t xml:space="preserve">e cost-effectiveness. We extend this framework to incorporate non-health aspects of healthcare provision and apply it to performance assessment. Our overall performance measure is the </w:t>
      </w:r>
      <w:r>
        <w:rPr>
          <w:i/>
        </w:rPr>
        <w:t>equivalent net health benefit</w:t>
      </w:r>
      <w:r>
        <w:t xml:space="preserve"> (</w:t>
      </w:r>
      <w:proofErr w:type="spellStart"/>
      <w:r>
        <w:t>eNHB</w:t>
      </w:r>
      <w:proofErr w:type="spellEnd"/>
      <w:r>
        <w:t xml:space="preserve">): </w:t>
      </w:r>
    </w:p>
    <w:p w14:paraId="4463AB55" w14:textId="77777777" w:rsidR="0005042F" w:rsidRDefault="0005042F">
      <w:pPr>
        <w:spacing w:line="276" w:lineRule="auto"/>
      </w:pPr>
    </w:p>
    <w:p w14:paraId="3EB0B56B" w14:textId="618E87A7" w:rsidR="0005042F" w:rsidRDefault="007D1A26">
      <w:pPr>
        <w:spacing w:line="276" w:lineRule="auto"/>
      </w:pPr>
      <w:r>
        <w:lastRenderedPageBreak/>
        <w:tab/>
      </w:r>
      <m:oMath>
        <m:r>
          <w:rPr>
            <w:rFonts w:ascii="Cambria Math" w:eastAsia="Cambria Math" w:hAnsi="Cambria Math" w:cs="Cambria Math"/>
          </w:rPr>
          <m:t>eNH</m:t>
        </m:r>
        <m:sSub>
          <m:sSubPr>
            <m:ctrlPr>
              <w:rPr>
                <w:rFonts w:ascii="Cambria Math" w:eastAsia="Cambria Math" w:hAnsi="Cambria Math" w:cs="Cambria Math"/>
              </w:rPr>
            </m:ctrlPr>
          </m:sSubPr>
          <m:e>
            <m:r>
              <w:rPr>
                <w:rFonts w:ascii="Cambria Math" w:eastAsia="Cambria Math" w:hAnsi="Cambria Math" w:cs="Cambria Math"/>
              </w:rPr>
              <m:t>B</m:t>
            </m:r>
          </m:e>
          <m:sub>
            <m:r>
              <w:rPr>
                <w:rFonts w:ascii="Cambria Math" w:eastAsia="Cambria Math" w:hAnsi="Cambria Math" w:cs="Cambria Math"/>
              </w:rPr>
              <m:t>j</m:t>
            </m:r>
          </m:sub>
        </m:sSub>
        <m:r>
          <w:rPr>
            <w:rFonts w:ascii="Cambria Math" w:eastAsia="Cambria Math" w:hAnsi="Cambria Math" w:cs="Cambria Math"/>
          </w:rPr>
          <m:t>=</m:t>
        </m:r>
        <m:r>
          <w:rPr>
            <w:rFonts w:ascii="Cambria Math" w:eastAsia="Cambria Math" w:hAnsi="Cambria Math" w:cs="Cambria Math"/>
          </w:rPr>
          <m:t>eH</m:t>
        </m:r>
        <m:sSub>
          <m:sSubPr>
            <m:ctrlPr>
              <w:rPr>
                <w:rFonts w:ascii="Cambria Math" w:eastAsia="Cambria Math" w:hAnsi="Cambria Math" w:cs="Cambria Math"/>
              </w:rPr>
            </m:ctrlPr>
          </m:sSubPr>
          <m:e>
            <m:r>
              <w:rPr>
                <w:rFonts w:ascii="Cambria Math" w:eastAsia="Cambria Math" w:hAnsi="Cambria Math" w:cs="Cambria Math"/>
              </w:rPr>
              <m:t>B</m:t>
            </m:r>
          </m:e>
          <m:sub>
            <m:r>
              <w:rPr>
                <w:rFonts w:ascii="Cambria Math" w:eastAsia="Cambria Math" w:hAnsi="Cambria Math" w:cs="Cambria Math"/>
              </w:rPr>
              <m:t>j</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w</m:t>
            </m:r>
          </m:e>
          <m:sub>
            <m:r>
              <w:rPr>
                <w:rFonts w:ascii="Cambria Math" w:eastAsia="Cambria Math" w:hAnsi="Cambria Math" w:cs="Cambria Math"/>
              </w:rPr>
              <m:t>c</m:t>
            </m:r>
          </m:sub>
        </m:sSub>
        <m:sSub>
          <m:sSubPr>
            <m:ctrlPr>
              <w:rPr>
                <w:rFonts w:ascii="Cambria Math" w:eastAsia="Cambria Math" w:hAnsi="Cambria Math" w:cs="Cambria Math"/>
              </w:rPr>
            </m:ctrlPr>
          </m:sSubPr>
          <m:e>
            <m:r>
              <w:rPr>
                <w:rFonts w:ascii="Cambria Math" w:eastAsia="Cambria Math" w:hAnsi="Cambria Math" w:cs="Cambria Math"/>
              </w:rPr>
              <m:t>c</m:t>
            </m:r>
          </m:e>
          <m:sub>
            <m:r>
              <w:rPr>
                <w:rFonts w:ascii="Cambria Math" w:eastAsia="Cambria Math" w:hAnsi="Cambria Math" w:cs="Cambria Math"/>
              </w:rPr>
              <m:t>j</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h</m:t>
            </m:r>
          </m:e>
          <m:sub>
            <m:r>
              <w:rPr>
                <w:rFonts w:ascii="Cambria Math" w:eastAsia="Cambria Math" w:hAnsi="Cambria Math" w:cs="Cambria Math"/>
              </w:rPr>
              <m:t>j</m:t>
            </m:r>
          </m:sub>
        </m:sSub>
        <m:r>
          <w:rPr>
            <w:rFonts w:ascii="Cambria Math" w:eastAsia="Cambria Math" w:hAnsi="Cambria Math" w:cs="Cambria Math"/>
          </w:rPr>
          <m:t>+</m:t>
        </m:r>
        <m:nary>
          <m:naryPr>
            <m:chr m:val="∑"/>
            <m:limLoc m:val="subSup"/>
            <m:ctrlPr>
              <w:rPr>
                <w:rFonts w:ascii="Cambria Math" w:eastAsia="Cambria Math" w:hAnsi="Cambria Math" w:cs="Cambria Math"/>
                <w:i/>
              </w:rPr>
            </m:ctrlPr>
          </m:naryPr>
          <m:sub>
            <m:r>
              <w:rPr>
                <w:rFonts w:ascii="Cambria Math" w:eastAsia="Cambria Math" w:hAnsi="Cambria Math" w:cs="Cambria Math"/>
              </w:rPr>
              <m:t>k</m:t>
            </m:r>
            <m:r>
              <w:rPr>
                <w:rFonts w:ascii="Cambria Math" w:eastAsia="Cambria Math" w:hAnsi="Cambria Math" w:cs="Cambria Math"/>
              </w:rPr>
              <m:t>=1</m:t>
            </m:r>
          </m:sub>
          <m:sup>
            <m:r>
              <w:rPr>
                <w:rFonts w:ascii="Cambria Math" w:eastAsia="Cambria Math" w:hAnsi="Cambria Math" w:cs="Cambria Math"/>
              </w:rPr>
              <m:t>K</m:t>
            </m:r>
          </m:sup>
          <m:e>
            <m:sSub>
              <m:sSubPr>
                <m:ctrlPr>
                  <w:rPr>
                    <w:rFonts w:ascii="Cambria Math" w:eastAsia="Cambria Math" w:hAnsi="Cambria Math" w:cs="Cambria Math"/>
                    <w:i/>
                  </w:rPr>
                </m:ctrlPr>
              </m:sSubPr>
              <m:e>
                <m:r>
                  <w:rPr>
                    <w:rFonts w:ascii="Cambria Math" w:eastAsia="Cambria Math" w:hAnsi="Cambria Math" w:cs="Cambria Math"/>
                  </w:rPr>
                  <m:t>w</m:t>
                </m:r>
              </m:e>
              <m:sub>
                <m:r>
                  <w:rPr>
                    <w:rFonts w:ascii="Cambria Math" w:eastAsia="Cambria Math" w:hAnsi="Cambria Math" w:cs="Cambria Math"/>
                  </w:rPr>
                  <m:t>k</m:t>
                </m:r>
              </m:sub>
            </m:sSub>
            <m:sSub>
              <m:sSubPr>
                <m:ctrlPr>
                  <w:rPr>
                    <w:rFonts w:ascii="Cambria Math" w:eastAsia="Cambria Math" w:hAnsi="Cambria Math" w:cs="Cambria Math"/>
                    <w:i/>
                  </w:rPr>
                </m:ctrlPr>
              </m:sSubPr>
              <m:e>
                <m:r>
                  <w:rPr>
                    <w:rFonts w:ascii="Cambria Math" w:eastAsia="Cambria Math" w:hAnsi="Cambria Math" w:cs="Cambria Math"/>
                  </w:rPr>
                  <m:t>q</m:t>
                </m:r>
              </m:e>
              <m:sub>
                <m:r>
                  <w:rPr>
                    <w:rFonts w:ascii="Cambria Math" w:eastAsia="Cambria Math" w:hAnsi="Cambria Math" w:cs="Cambria Math"/>
                  </w:rPr>
                  <m:t>jk</m:t>
                </m:r>
              </m:sub>
            </m:sSub>
          </m:e>
        </m:nary>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w</m:t>
            </m:r>
          </m:e>
          <m:sub>
            <m:r>
              <w:rPr>
                <w:rFonts w:ascii="Cambria Math" w:eastAsia="Cambria Math" w:hAnsi="Cambria Math" w:cs="Cambria Math"/>
              </w:rPr>
              <m:t>c</m:t>
            </m:r>
          </m:sub>
        </m:sSub>
        <m:sSub>
          <m:sSubPr>
            <m:ctrlPr>
              <w:rPr>
                <w:rFonts w:ascii="Cambria Math" w:eastAsia="Cambria Math" w:hAnsi="Cambria Math" w:cs="Cambria Math"/>
              </w:rPr>
            </m:ctrlPr>
          </m:sSubPr>
          <m:e>
            <m:r>
              <w:rPr>
                <w:rFonts w:ascii="Cambria Math" w:eastAsia="Cambria Math" w:hAnsi="Cambria Math" w:cs="Cambria Math"/>
              </w:rPr>
              <m:t>c</m:t>
            </m:r>
          </m:e>
          <m:sub>
            <m:r>
              <w:rPr>
                <w:rFonts w:ascii="Cambria Math" w:eastAsia="Cambria Math" w:hAnsi="Cambria Math" w:cs="Cambria Math"/>
              </w:rPr>
              <m:t>j</m:t>
            </m:r>
          </m:sub>
        </m:sSub>
      </m:oMath>
      <w:r>
        <w:t xml:space="preserve"> </w:t>
      </w:r>
      <w:r>
        <w:tab/>
      </w:r>
      <w:r>
        <w:tab/>
      </w:r>
      <w:r>
        <w:tab/>
      </w:r>
      <w:r>
        <w:tab/>
        <w:t>(1)</w:t>
      </w:r>
      <w:r>
        <w:tab/>
      </w:r>
      <w:r>
        <w:tab/>
      </w:r>
      <w:r>
        <w:tab/>
      </w:r>
    </w:p>
    <w:p w14:paraId="1C2CA609" w14:textId="77777777" w:rsidR="0005042F" w:rsidRDefault="007D1A26">
      <w:pPr>
        <w:spacing w:line="276" w:lineRule="auto"/>
      </w:pPr>
      <w:proofErr w:type="gramStart"/>
      <w:r>
        <w:t xml:space="preserve">where </w:t>
      </w:r>
      <w:proofErr w:type="spellStart"/>
      <w:r>
        <w:rPr>
          <w:i/>
        </w:rPr>
        <w:t>h</w:t>
      </w:r>
      <w:r>
        <w:rPr>
          <w:i/>
          <w:vertAlign w:val="subscript"/>
        </w:rPr>
        <w:t>j</w:t>
      </w:r>
      <w:proofErr w:type="spellEnd"/>
      <w:r>
        <w:t xml:space="preserve"> is the health benefit of treatment in provider </w:t>
      </w:r>
      <w:r>
        <w:rPr>
          <w:i/>
        </w:rPr>
        <w:t>j</w:t>
      </w:r>
      <w:r>
        <w:t xml:space="preserve">, </w:t>
      </w:r>
      <w:proofErr w:type="spellStart"/>
      <w:r>
        <w:rPr>
          <w:i/>
        </w:rPr>
        <w:t>q</w:t>
      </w:r>
      <w:r>
        <w:rPr>
          <w:i/>
          <w:vertAlign w:val="subscript"/>
        </w:rPr>
        <w:t>jk</w:t>
      </w:r>
      <w:proofErr w:type="spellEnd"/>
      <w:r>
        <w:rPr>
          <w:i/>
        </w:rPr>
        <w:t xml:space="preserve"> </w:t>
      </w:r>
      <w:r>
        <w:t xml:space="preserve">is the </w:t>
      </w:r>
      <w:r>
        <w:rPr>
          <w:i/>
        </w:rPr>
        <w:t>k</w:t>
      </w:r>
      <w:r>
        <w:t>-</w:t>
      </w:r>
      <w:proofErr w:type="spellStart"/>
      <w:r>
        <w:t>th</w:t>
      </w:r>
      <w:proofErr w:type="spellEnd"/>
      <w:r>
        <w:t xml:space="preserve"> non-health benefit, </w:t>
      </w:r>
      <w:proofErr w:type="spellStart"/>
      <w:r>
        <w:rPr>
          <w:i/>
        </w:rPr>
        <w:t>w</w:t>
      </w:r>
      <w:r>
        <w:rPr>
          <w:i/>
          <w:vertAlign w:val="subscript"/>
        </w:rPr>
        <w:t>k</w:t>
      </w:r>
      <w:proofErr w:type="spellEnd"/>
      <w:r>
        <w:rPr>
          <w:i/>
        </w:rPr>
        <w:t xml:space="preserve"> </w:t>
      </w:r>
      <w:r>
        <w:t xml:space="preserve">is the marginal valuation of this type of benefit in terms of health (i.e. the marginal rate of substitution between </w:t>
      </w:r>
      <w:r>
        <w:rPr>
          <w:i/>
        </w:rPr>
        <w:t>q</w:t>
      </w:r>
      <w:r>
        <w:rPr>
          <w:i/>
        </w:rPr>
        <w:t xml:space="preserve"> and h), </w:t>
      </w:r>
      <w:proofErr w:type="spellStart"/>
      <w:r>
        <w:rPr>
          <w:i/>
        </w:rPr>
        <w:t>c</w:t>
      </w:r>
      <w:r>
        <w:rPr>
          <w:i/>
          <w:vertAlign w:val="subscript"/>
        </w:rPr>
        <w:t>j</w:t>
      </w:r>
      <w:proofErr w:type="spellEnd"/>
      <w:r>
        <w:t xml:space="preserve"> is the cost of providing care, and </w:t>
      </w:r>
      <w:proofErr w:type="spellStart"/>
      <w:r>
        <w:rPr>
          <w:i/>
        </w:rPr>
        <w:t>w</w:t>
      </w:r>
      <w:r>
        <w:rPr>
          <w:i/>
          <w:vertAlign w:val="subscript"/>
        </w:rPr>
        <w:t>c</w:t>
      </w:r>
      <w:proofErr w:type="spellEnd"/>
      <w:r>
        <w:rPr>
          <w:i/>
        </w:rPr>
        <w:t xml:space="preserve"> </w:t>
      </w:r>
      <w:r>
        <w:t>is the opportunity cost of expenditure in terms of units of benefit forgone.</w:t>
      </w:r>
      <w:proofErr w:type="gramEnd"/>
      <w:r>
        <w:t xml:space="preserve"> </w:t>
      </w:r>
      <w:proofErr w:type="spellStart"/>
      <w:proofErr w:type="gramStart"/>
      <w:r>
        <w:t>eHB</w:t>
      </w:r>
      <w:proofErr w:type="spellEnd"/>
      <w:proofErr w:type="gramEnd"/>
      <w:r>
        <w:t xml:space="preserve"> is the equivalent health benefit, i.e. the sum of health and non-health benefits valued in units of heath. The way </w:t>
      </w:r>
      <w:proofErr w:type="spellStart"/>
      <w:r>
        <w:rPr>
          <w:i/>
        </w:rPr>
        <w:t>w</w:t>
      </w:r>
      <w:r>
        <w:rPr>
          <w:i/>
          <w:vertAlign w:val="subscript"/>
        </w:rPr>
        <w:t>k</w:t>
      </w:r>
      <w:proofErr w:type="spellEnd"/>
      <w:r>
        <w:rPr>
          <w:i/>
          <w:vertAlign w:val="subscript"/>
        </w:rPr>
        <w:t xml:space="preserve"> </w:t>
      </w:r>
      <w:r>
        <w:t xml:space="preserve">and </w:t>
      </w:r>
      <w:proofErr w:type="spellStart"/>
      <w:r>
        <w:rPr>
          <w:i/>
        </w:rPr>
        <w:t>w</w:t>
      </w:r>
      <w:r>
        <w:rPr>
          <w:i/>
          <w:vertAlign w:val="subscript"/>
        </w:rPr>
        <w:t>c</w:t>
      </w:r>
      <w:proofErr w:type="spellEnd"/>
      <w:r>
        <w:rPr>
          <w:i/>
        </w:rPr>
        <w:t xml:space="preserve"> </w:t>
      </w:r>
      <w:r>
        <w:t>are obtained is described in sections 3.3 and 3.4 respectively.</w:t>
      </w:r>
    </w:p>
    <w:p w14:paraId="77EA6AC7" w14:textId="77777777" w:rsidR="0005042F" w:rsidRDefault="0005042F">
      <w:pPr>
        <w:spacing w:line="276" w:lineRule="auto"/>
        <w:ind w:firstLine="720"/>
      </w:pPr>
    </w:p>
    <w:p w14:paraId="770F4761" w14:textId="77777777" w:rsidR="0005042F" w:rsidRDefault="007D1A26">
      <w:pPr>
        <w:spacing w:line="276" w:lineRule="auto"/>
        <w:rPr>
          <w:b/>
        </w:rPr>
      </w:pPr>
      <w:r>
        <w:rPr>
          <w:b/>
        </w:rPr>
        <w:t>3.2 Data to measure benefits and costs</w:t>
      </w:r>
    </w:p>
    <w:p w14:paraId="20325471" w14:textId="77777777" w:rsidR="0005042F" w:rsidRDefault="0005042F">
      <w:pPr>
        <w:spacing w:line="276" w:lineRule="auto"/>
      </w:pPr>
    </w:p>
    <w:p w14:paraId="45DE44CC" w14:textId="0B46E6F8" w:rsidR="0005042F" w:rsidRDefault="007D1A26">
      <w:pPr>
        <w:spacing w:line="276" w:lineRule="auto"/>
      </w:pPr>
      <w:r>
        <w:t xml:space="preserve">We use two key datasets to measure health and non-health benefits. First, the </w:t>
      </w:r>
      <w:r>
        <w:rPr>
          <w:highlight w:val="white"/>
        </w:rPr>
        <w:t>Mental Health Minimum Data Set (MHMDS) has data on all adults using secon</w:t>
      </w:r>
      <w:r>
        <w:rPr>
          <w:highlight w:val="white"/>
        </w:rPr>
        <w:t>dary mental health services funded by the English NHS. MHMDS has information on patients’ mental health, socio-demographic</w:t>
      </w:r>
      <w:r>
        <w:t xml:space="preserve"> characteristics, home address, waiting time from referral to start of treatment, and treatment. Patients are assessed by a healthcare</w:t>
      </w:r>
      <w:r>
        <w:t xml:space="preserve"> professional at the start of an episode of care and allocated to one of 20 needs-based categories, known as clusters.  Much of our data collection and analyses are at the level of the </w:t>
      </w:r>
      <w:r>
        <w:rPr>
          <w:i/>
        </w:rPr>
        <w:t>cluster-episode</w:t>
      </w:r>
      <w:r>
        <w:t xml:space="preserve">: the time a patient remains within the same cluster in </w:t>
      </w:r>
      <w:r>
        <w:t>the same provider. If patients change their cluster allocation or change provider, this triggers a new cluster-episode. We use MHMDS to measure health benefit, as well as three patient-level measures of non-health benefit using the methods described below.</w:t>
      </w:r>
      <w:r>
        <w:t xml:space="preserve"> Second, we use provider-level information on patients’ experience of Mental Health Trusts from the annual Community Mental Health Survey (CMHS) for six other measures of non-health benefit such as provider responsiveness.   </w:t>
      </w:r>
    </w:p>
    <w:p w14:paraId="7B022677" w14:textId="77777777" w:rsidR="0005042F" w:rsidRDefault="0005042F">
      <w:pPr>
        <w:spacing w:line="276" w:lineRule="auto"/>
      </w:pPr>
    </w:p>
    <w:p w14:paraId="1C8A93B3" w14:textId="77777777" w:rsidR="0005042F" w:rsidRDefault="007D1A26">
      <w:pPr>
        <w:spacing w:line="276" w:lineRule="auto"/>
      </w:pPr>
      <w:r>
        <w:t>To calculate the costs of clu</w:t>
      </w:r>
      <w:r>
        <w:t xml:space="preserve">ster-episodes, we cost the most common types of activity recorded in the MHMDS (see Ride et al. (2019) for details). For patients admitted to hospital, we use the cluster-specific unit costs per admitted patient day. For services provided in the community </w:t>
      </w:r>
      <w:r>
        <w:t xml:space="preserve">we use the Electronic Staff Record and estimates of unit costs for 2016 by the Personal Social Services Research Unit (Curtis and Burns, 2016). </w:t>
      </w:r>
    </w:p>
    <w:p w14:paraId="0B51063C" w14:textId="77777777" w:rsidR="0005042F" w:rsidRDefault="0005042F">
      <w:pPr>
        <w:spacing w:line="276" w:lineRule="auto"/>
      </w:pPr>
    </w:p>
    <w:p w14:paraId="3E68D4DC" w14:textId="77777777" w:rsidR="0005042F" w:rsidRDefault="007D1A26">
      <w:pPr>
        <w:spacing w:line="276" w:lineRule="auto"/>
      </w:pPr>
      <w:r>
        <w:t>After allowing for changes to CMHS and missing data in MHMDS, we measure the performance of all 54 mental heal</w:t>
      </w:r>
      <w:r>
        <w:t xml:space="preserve">th providers using data for years 2013-2015.  </w:t>
      </w:r>
    </w:p>
    <w:p w14:paraId="56BAC414" w14:textId="77777777" w:rsidR="0005042F" w:rsidRDefault="0005042F">
      <w:pPr>
        <w:rPr>
          <w:b/>
        </w:rPr>
      </w:pPr>
      <w:bookmarkStart w:id="7" w:name="_3znysh7" w:colFirst="0" w:colLast="0"/>
      <w:bookmarkEnd w:id="7"/>
    </w:p>
    <w:p w14:paraId="56010A08" w14:textId="77777777" w:rsidR="0005042F" w:rsidRDefault="007D1A26">
      <w:pPr>
        <w:rPr>
          <w:b/>
        </w:rPr>
      </w:pPr>
      <w:bookmarkStart w:id="8" w:name="_2et92p0" w:colFirst="0" w:colLast="0"/>
      <w:bookmarkEnd w:id="8"/>
      <w:r>
        <w:rPr>
          <w:b/>
        </w:rPr>
        <w:t>3.3 Definition and measurement of health and non-health benefits</w:t>
      </w:r>
    </w:p>
    <w:p w14:paraId="00EABBC9" w14:textId="77777777" w:rsidR="0005042F" w:rsidRDefault="0005042F">
      <w:pPr>
        <w:spacing w:line="276" w:lineRule="auto"/>
      </w:pPr>
    </w:p>
    <w:p w14:paraId="4832D08E" w14:textId="63644BF9" w:rsidR="0005042F" w:rsidRDefault="007D1A26">
      <w:pPr>
        <w:spacing w:line="276" w:lineRule="auto"/>
      </w:pPr>
      <w:bookmarkStart w:id="9" w:name="_tyjcwt" w:colFirst="0" w:colLast="0"/>
      <w:bookmarkEnd w:id="9"/>
      <w:r>
        <w:t xml:space="preserve">In order to identify important dimensions of health and non-health benefits for assessing mental health provider performance, we </w:t>
      </w:r>
      <w:r w:rsidR="00620F01">
        <w:t>apply the results of</w:t>
      </w:r>
      <w:r>
        <w:t xml:space="preserve"> a </w:t>
      </w:r>
      <w:r w:rsidR="00620F01">
        <w:t xml:space="preserve">previous </w:t>
      </w:r>
      <w:r>
        <w:t xml:space="preserve">study that used six focus groups (three of mental health service users and three of mental healthcare professionals) (Powell and Rowen, 2022). The dimensions they identified consist </w:t>
      </w:r>
      <w:proofErr w:type="gramStart"/>
      <w:r>
        <w:t>of:</w:t>
      </w:r>
      <w:proofErr w:type="gramEnd"/>
      <w:r>
        <w:t xml:space="preserve"> effectiveness of treatment (</w:t>
      </w:r>
      <w:proofErr w:type="spellStart"/>
      <w:r>
        <w:rPr>
          <w:i/>
        </w:rPr>
        <w:t>h</w:t>
      </w:r>
      <w:r>
        <w:rPr>
          <w:i/>
          <w:vertAlign w:val="subscript"/>
        </w:rPr>
        <w:t>j</w:t>
      </w:r>
      <w:proofErr w:type="spellEnd"/>
      <w:r>
        <w:t>)</w:t>
      </w:r>
      <w:r>
        <w:rPr>
          <w:i/>
        </w:rPr>
        <w:t xml:space="preserve"> </w:t>
      </w:r>
      <w:r>
        <w:t>and nine other non-</w:t>
      </w:r>
      <w:r>
        <w:t>health quality attributes (</w:t>
      </w:r>
      <w:proofErr w:type="spellStart"/>
      <w:r>
        <w:rPr>
          <w:i/>
        </w:rPr>
        <w:t>q</w:t>
      </w:r>
      <w:r>
        <w:rPr>
          <w:i/>
          <w:vertAlign w:val="subscript"/>
        </w:rPr>
        <w:t>jk</w:t>
      </w:r>
      <w:proofErr w:type="spellEnd"/>
      <w:r>
        <w:t>). The attributes they identified were described in such a way that we could measure them using data in MHMDS and CMHS. We measure four of the ten attributes using data from MHMDS patient level data aggregated to provider leve</w:t>
      </w:r>
      <w:r>
        <w:t xml:space="preserve">l: waiting times, ease of access, appropriate discharge, and effectiveness of treatment (health </w:t>
      </w:r>
      <w:r>
        <w:lastRenderedPageBreak/>
        <w:t xml:space="preserve">benefit). The other six dimensions are measured using provider level means of patient responses to questions in the CMHS (see </w:t>
      </w:r>
      <w:r>
        <w:rPr>
          <w:b/>
        </w:rPr>
        <w:t>Table 1</w:t>
      </w:r>
      <w:r>
        <w:t>). We provide a more detail</w:t>
      </w:r>
      <w:r>
        <w:t xml:space="preserve">ed description of the measurement of the attributes in the Online Appendix.   </w:t>
      </w:r>
    </w:p>
    <w:p w14:paraId="6077BCD0" w14:textId="77777777" w:rsidR="0005042F" w:rsidRDefault="0005042F">
      <w:pPr>
        <w:spacing w:line="276" w:lineRule="auto"/>
      </w:pPr>
    </w:p>
    <w:p w14:paraId="6C936C13" w14:textId="57D2AEF7" w:rsidR="0005042F" w:rsidRDefault="007D1A26">
      <w:pPr>
        <w:spacing w:line="276" w:lineRule="auto"/>
      </w:pPr>
      <w:bookmarkStart w:id="10" w:name="_3dy6vkm" w:colFirst="0" w:colLast="0"/>
      <w:bookmarkEnd w:id="10"/>
      <w:r>
        <w:t>The health benefit (attribute 10) is calculated using data on the change in the patient’s health between the start and end of the cluster-episode. Generic health-related qualit</w:t>
      </w:r>
      <w:r>
        <w:t xml:space="preserve">y of life measures, such as the EQ-5D instrument, do not perform well in mental health patient populations (Brazier et al., 2014). Instead, we use the </w:t>
      </w:r>
      <w:proofErr w:type="spellStart"/>
      <w:r>
        <w:t>ReQoL</w:t>
      </w:r>
      <w:proofErr w:type="spellEnd"/>
      <w:r>
        <w:t>-UI (Recovering Quality of Life Utility Index), a validated measure of the quality of life for peopl</w:t>
      </w:r>
      <w:r>
        <w:t>e with mental health problems (</w:t>
      </w:r>
      <w:proofErr w:type="spellStart"/>
      <w:r>
        <w:t>Keetharuth</w:t>
      </w:r>
      <w:proofErr w:type="spellEnd"/>
      <w:r>
        <w:t xml:space="preserve"> et al., 2020). MHMDS does not include the </w:t>
      </w:r>
      <w:proofErr w:type="spellStart"/>
      <w:r>
        <w:t>ReQoL</w:t>
      </w:r>
      <w:proofErr w:type="spellEnd"/>
      <w:r>
        <w:t xml:space="preserve"> instrument but does have information on the Health of the Nation Outcome Scale (</w:t>
      </w:r>
      <w:proofErr w:type="spellStart"/>
      <w:r>
        <w:t>HoNOS</w:t>
      </w:r>
      <w:proofErr w:type="spellEnd"/>
      <w:r>
        <w:t>) score at the beginning and end of cluster-episodes where we assume the differen</w:t>
      </w:r>
      <w:r>
        <w:t xml:space="preserve">ce in score represents the health gain from the episode of care. </w:t>
      </w:r>
      <w:proofErr w:type="spellStart"/>
      <w:r>
        <w:t>HoNOS</w:t>
      </w:r>
      <w:proofErr w:type="spellEnd"/>
      <w:r>
        <w:t xml:space="preserve"> is a widely used measure of symptoms and severity for mental health patients with 12 items rated on a 0-4 scale (Wing et al., 1998). Using results from regression analysis of matched </w:t>
      </w:r>
      <w:proofErr w:type="spellStart"/>
      <w:r>
        <w:t>Re</w:t>
      </w:r>
      <w:r>
        <w:t>QoL</w:t>
      </w:r>
      <w:proofErr w:type="spellEnd"/>
      <w:r>
        <w:t xml:space="preserve">-UI and </w:t>
      </w:r>
      <w:proofErr w:type="spellStart"/>
      <w:r>
        <w:t>HoNOS</w:t>
      </w:r>
      <w:proofErr w:type="spellEnd"/>
      <w:r>
        <w:t xml:space="preserve"> scores collected for 649 patients in 14 Mental Health Trusts (</w:t>
      </w:r>
      <w:proofErr w:type="spellStart"/>
      <w:r>
        <w:t>Keetharuth</w:t>
      </w:r>
      <w:proofErr w:type="spellEnd"/>
      <w:r>
        <w:t xml:space="preserve"> and Rowen, 2020), we estimate </w:t>
      </w:r>
      <w:proofErr w:type="spellStart"/>
      <w:r>
        <w:t>ReQoL</w:t>
      </w:r>
      <w:proofErr w:type="spellEnd"/>
      <w:r>
        <w:t xml:space="preserve">-UI as a linear function of the </w:t>
      </w:r>
      <w:proofErr w:type="spellStart"/>
      <w:r>
        <w:t>HoNOS</w:t>
      </w:r>
      <w:proofErr w:type="spellEnd"/>
      <w:r>
        <w:t xml:space="preserve"> </w:t>
      </w:r>
      <w:r w:rsidRPr="00745888">
        <w:rPr>
          <w:color w:val="000000" w:themeColor="text1"/>
        </w:rPr>
        <w:t xml:space="preserve">score. </w:t>
      </w:r>
      <w:r w:rsidR="00745888" w:rsidRPr="00745888">
        <w:rPr>
          <w:rFonts w:eastAsia="Arial"/>
          <w:color w:val="000000" w:themeColor="text1"/>
        </w:rPr>
        <w:t>Data limitations prevented us from estimating the duration of the health benefit, and in the absence of any available evidence, w</w:t>
      </w:r>
      <w:r w:rsidRPr="00745888">
        <w:rPr>
          <w:color w:val="000000" w:themeColor="text1"/>
        </w:rPr>
        <w:t xml:space="preserve">e assume that the benefit of treatment (the health gain) lasts one year </w:t>
      </w:r>
      <w:r>
        <w:t xml:space="preserve">after the end of the cluster episode, </w:t>
      </w:r>
      <w:r>
        <w:rPr>
          <w:highlight w:val="white"/>
        </w:rPr>
        <w:t>yielding a measure commensurate with the QALY</w:t>
      </w:r>
      <w:r>
        <w:t xml:space="preserve"> to which a </w:t>
      </w:r>
      <w:r>
        <w:rPr>
          <w:highlight w:val="white"/>
        </w:rPr>
        <w:t>cost-effectiveness threshold can be applied</w:t>
      </w:r>
      <w:r>
        <w:t xml:space="preserve"> (s</w:t>
      </w:r>
      <w:r>
        <w:t xml:space="preserve">ee section 3.4). </w:t>
      </w:r>
    </w:p>
    <w:p w14:paraId="6EA6000C" w14:textId="77777777" w:rsidR="0005042F" w:rsidRDefault="0005042F">
      <w:pPr>
        <w:spacing w:line="276" w:lineRule="auto"/>
      </w:pPr>
    </w:p>
    <w:p w14:paraId="715CC2F8" w14:textId="77777777" w:rsidR="0005042F" w:rsidRDefault="007D1A26">
      <w:pPr>
        <w:spacing w:line="276" w:lineRule="auto"/>
      </w:pPr>
      <w:r>
        <w:t>Comparison of provider quality measures and costs requires risk adjustment for patient-level factors outside the control of providers (</w:t>
      </w:r>
      <w:proofErr w:type="spellStart"/>
      <w:r>
        <w:t>Iezzoni</w:t>
      </w:r>
      <w:proofErr w:type="spellEnd"/>
      <w:r>
        <w:t>, 2012; Moran and Jacobs, 2018). The six trust-level quality measures (attributes 3 to 8) deriv</w:t>
      </w:r>
      <w:r>
        <w:t>ed from the CMHS are already adjusted for the age and gender mix of respondents for each question in each trust and no further adjustment is applied. We also interpret a failure of appropriate discharge (attribute 9) as a ‘never-event’ that should not occu</w:t>
      </w:r>
      <w:r>
        <w:t>r, irrespective of the characteristics of the patient. We therefore case-mix adjust three MHMDS based benefit attributes (waiting times, ease of access and effectiveness) and patient cost, using regression models with patient characteristics, including age</w:t>
      </w:r>
      <w:r>
        <w:t xml:space="preserve">, gender, ethnicity, marital status, Mental Health Act (detention) status, income deprivation, and whether a care co-ordinator is assigned (typically for those with enduring illness).  </w:t>
      </w:r>
    </w:p>
    <w:p w14:paraId="0EB0929E" w14:textId="77777777" w:rsidR="0005042F" w:rsidRDefault="0005042F">
      <w:pPr>
        <w:spacing w:line="276" w:lineRule="auto"/>
      </w:pPr>
    </w:p>
    <w:p w14:paraId="26F567E1" w14:textId="77777777" w:rsidR="0005042F" w:rsidRDefault="007D1A26">
      <w:pPr>
        <w:spacing w:line="276" w:lineRule="auto"/>
      </w:pPr>
      <w:r>
        <w:t>Estimates of the marginal rate of substitution, or the valuation of t</w:t>
      </w:r>
      <w:r>
        <w:t>he health (</w:t>
      </w:r>
      <w:proofErr w:type="spellStart"/>
      <w:r>
        <w:rPr>
          <w:i/>
        </w:rPr>
        <w:t>h</w:t>
      </w:r>
      <w:r>
        <w:rPr>
          <w:i/>
          <w:vertAlign w:val="subscript"/>
        </w:rPr>
        <w:t>j</w:t>
      </w:r>
      <w:proofErr w:type="spellEnd"/>
      <w:r>
        <w:t>)</w:t>
      </w:r>
      <w:r>
        <w:rPr>
          <w:i/>
        </w:rPr>
        <w:t xml:space="preserve"> </w:t>
      </w:r>
      <w:r>
        <w:t>and non-health attributes (</w:t>
      </w:r>
      <w:proofErr w:type="spellStart"/>
      <w:r>
        <w:rPr>
          <w:i/>
        </w:rPr>
        <w:t>q</w:t>
      </w:r>
      <w:r>
        <w:rPr>
          <w:i/>
          <w:vertAlign w:val="subscript"/>
        </w:rPr>
        <w:t>jk</w:t>
      </w:r>
      <w:proofErr w:type="spellEnd"/>
      <w:r>
        <w:t xml:space="preserve">) are taken from a published online discrete choice experiment (DCE) that was undertaken with 1,018 members of the UK general population (Rowen et al., 2022). Their sample was drawn from the UK </w:t>
      </w:r>
      <w:proofErr w:type="gramStart"/>
      <w:r>
        <w:t>general public</w:t>
      </w:r>
      <w:proofErr w:type="gramEnd"/>
      <w:r>
        <w:t xml:space="preserve"> to</w:t>
      </w:r>
      <w:r>
        <w:t xml:space="preserve"> elicit preferences as they are voters, tax payers (and, therefore, fund the NHS) and potential users of the NHS. The marginal values (</w:t>
      </w:r>
      <w:proofErr w:type="spellStart"/>
      <w:r>
        <w:rPr>
          <w:i/>
        </w:rPr>
        <w:t>w</w:t>
      </w:r>
      <w:r>
        <w:rPr>
          <w:i/>
          <w:vertAlign w:val="subscript"/>
        </w:rPr>
        <w:t>k</w:t>
      </w:r>
      <w:proofErr w:type="spellEnd"/>
      <w:r>
        <w:t>) of the nine non-health attributes in terms of health are the marginal rates of substitution between health (</w:t>
      </w:r>
      <w:proofErr w:type="spellStart"/>
      <w:r>
        <w:rPr>
          <w:i/>
        </w:rPr>
        <w:t>h</w:t>
      </w:r>
      <w:r>
        <w:rPr>
          <w:i/>
          <w:vertAlign w:val="subscript"/>
        </w:rPr>
        <w:t>j</w:t>
      </w:r>
      <w:proofErr w:type="spellEnd"/>
      <w:r>
        <w:t>) and n</w:t>
      </w:r>
      <w:r>
        <w:t>on-health attributes (</w:t>
      </w:r>
      <w:proofErr w:type="spellStart"/>
      <w:r>
        <w:rPr>
          <w:i/>
        </w:rPr>
        <w:t>q</w:t>
      </w:r>
      <w:r>
        <w:rPr>
          <w:i/>
          <w:vertAlign w:val="subscript"/>
        </w:rPr>
        <w:t>jk</w:t>
      </w:r>
      <w:proofErr w:type="spellEnd"/>
      <w:r>
        <w:t xml:space="preserve">) and are taken from the model estimates using the DCE data (for further details see Rowen et al., 2022). </w:t>
      </w:r>
    </w:p>
    <w:p w14:paraId="2F9EEA39" w14:textId="77777777" w:rsidR="0005042F" w:rsidRDefault="0005042F">
      <w:pPr>
        <w:spacing w:line="276" w:lineRule="auto"/>
      </w:pPr>
    </w:p>
    <w:p w14:paraId="7E8C4B1E" w14:textId="77777777" w:rsidR="0005042F" w:rsidRDefault="007D1A26">
      <w:pPr>
        <w:spacing w:line="276" w:lineRule="auto"/>
        <w:rPr>
          <w:b/>
        </w:rPr>
      </w:pPr>
      <w:r>
        <w:rPr>
          <w:b/>
        </w:rPr>
        <w:t>3.4 Combining costs and benefits as equivalent net health benefit (</w:t>
      </w:r>
      <w:proofErr w:type="spellStart"/>
      <w:r>
        <w:rPr>
          <w:b/>
        </w:rPr>
        <w:t>eNHB</w:t>
      </w:r>
      <w:proofErr w:type="spellEnd"/>
      <w:r>
        <w:rPr>
          <w:b/>
        </w:rPr>
        <w:t>)</w:t>
      </w:r>
    </w:p>
    <w:p w14:paraId="672AC9DD" w14:textId="77777777" w:rsidR="0005042F" w:rsidRDefault="0005042F">
      <w:pPr>
        <w:spacing w:line="276" w:lineRule="auto"/>
      </w:pPr>
    </w:p>
    <w:p w14:paraId="6F8F08CF" w14:textId="77777777" w:rsidR="0005042F" w:rsidRDefault="007D1A26">
      <w:pPr>
        <w:spacing w:line="276" w:lineRule="auto"/>
      </w:pPr>
      <w:r>
        <w:lastRenderedPageBreak/>
        <w:t xml:space="preserve">We use </w:t>
      </w:r>
      <w:proofErr w:type="spellStart"/>
      <w:r>
        <w:rPr>
          <w:i/>
        </w:rPr>
        <w:t>eNHBj</w:t>
      </w:r>
      <w:proofErr w:type="spellEnd"/>
      <w:r>
        <w:t xml:space="preserve"> to compare the relative performance </w:t>
      </w:r>
      <w:r>
        <w:t xml:space="preserve">of providers against each </w:t>
      </w:r>
      <w:proofErr w:type="gramStart"/>
      <w:r>
        <w:t>other,</w:t>
      </w:r>
      <w:proofErr w:type="gramEnd"/>
      <w:r>
        <w:t xml:space="preserve"> and not to make judgements about the absolute value of providers (e.g. whether their output has a greater value than their cost). All health expenditure has opportunity costs in the form of other benefits that could have be</w:t>
      </w:r>
      <w:r>
        <w:t>en generated with these resources. Estimates of these opportunity costs can be used to make the cost of mental health care provision commensurate with the measures of health (and non-health) benefits. The National Institute for Health and Care Excellence (</w:t>
      </w:r>
      <w:r>
        <w:t>NICE) generally recommends new technologies if additional health benefits are produced at less than £20,000-£30,000 per QALY (Devlin and Parkin, 2004; Appleby et al, 2007), but has used a weighting system equivalent to a threshold of £50,000 per QALY for d</w:t>
      </w:r>
      <w:r>
        <w:t>rugs providing relatively short extensions of life in patients defined as end of life (Paulden, 2017). Claxton et al. (2015) estimate the marginal cost to the NHS of producing an additional QALY at a much lower value of around £13,000. None of these valuat</w:t>
      </w:r>
      <w:r>
        <w:t xml:space="preserve">ions explicitly incorporates the likely non-health benefits gained </w:t>
      </w:r>
      <w:proofErr w:type="gramStart"/>
      <w:r>
        <w:t>as a result</w:t>
      </w:r>
      <w:proofErr w:type="gramEnd"/>
      <w:r>
        <w:t xml:space="preserve"> of expending NHS resources. In the absence of estimates of the opportunity costs of mental healthcare expenditure in terms of </w:t>
      </w:r>
      <w:proofErr w:type="spellStart"/>
      <w:r>
        <w:t>eHB</w:t>
      </w:r>
      <w:proofErr w:type="spellEnd"/>
      <w:r>
        <w:t xml:space="preserve"> forgone, we use </w:t>
      </w:r>
      <w:proofErr w:type="spellStart"/>
      <w:r>
        <w:rPr>
          <w:i/>
        </w:rPr>
        <w:t>w</w:t>
      </w:r>
      <w:r>
        <w:rPr>
          <w:i/>
          <w:vertAlign w:val="subscript"/>
        </w:rPr>
        <w:t>c</w:t>
      </w:r>
      <w:proofErr w:type="spellEnd"/>
      <w:r>
        <w:t xml:space="preserve"> =1/£30,000 in our base case.</w:t>
      </w:r>
      <w:r>
        <w:rPr>
          <w:vertAlign w:val="superscript"/>
        </w:rPr>
        <w:t xml:space="preserve"> </w:t>
      </w:r>
    </w:p>
    <w:p w14:paraId="5D51F21F" w14:textId="77777777" w:rsidR="0005042F" w:rsidRDefault="0005042F">
      <w:pPr>
        <w:spacing w:line="276" w:lineRule="auto"/>
      </w:pPr>
    </w:p>
    <w:p w14:paraId="2BC27218" w14:textId="77777777" w:rsidR="0005042F" w:rsidRDefault="007D1A26">
      <w:pPr>
        <w:spacing w:line="276" w:lineRule="auto"/>
        <w:rPr>
          <w:b/>
        </w:rPr>
      </w:pPr>
      <w:r>
        <w:rPr>
          <w:b/>
        </w:rPr>
        <w:t>3.5 Robustness checks and extensions</w:t>
      </w:r>
    </w:p>
    <w:p w14:paraId="5D9FCC99" w14:textId="77777777" w:rsidR="0005042F" w:rsidRDefault="0005042F">
      <w:pPr>
        <w:spacing w:line="276" w:lineRule="auto"/>
      </w:pPr>
    </w:p>
    <w:p w14:paraId="5678E72B" w14:textId="77777777" w:rsidR="0005042F" w:rsidRDefault="007D1A26">
      <w:pPr>
        <w:spacing w:line="276" w:lineRule="auto"/>
      </w:pPr>
      <w:r>
        <w:t>We examine the robustness of provider rankings in a number of ways. First, we conduct sensitivity analysis using a range of alternative cost weight values (</w:t>
      </w:r>
      <w:proofErr w:type="spellStart"/>
      <w:r>
        <w:rPr>
          <w:i/>
        </w:rPr>
        <w:t>w</w:t>
      </w:r>
      <w:r>
        <w:rPr>
          <w:i/>
          <w:vertAlign w:val="subscript"/>
        </w:rPr>
        <w:t>c</w:t>
      </w:r>
      <w:proofErr w:type="spellEnd"/>
      <w:r>
        <w:t>= 1/£10,000, 1/£20,000, 1/£50,000).</w:t>
      </w:r>
    </w:p>
    <w:p w14:paraId="77493170" w14:textId="77777777" w:rsidR="0005042F" w:rsidRDefault="0005042F">
      <w:pPr>
        <w:spacing w:line="276" w:lineRule="auto"/>
        <w:rPr>
          <w:highlight w:val="yellow"/>
        </w:rPr>
      </w:pPr>
    </w:p>
    <w:p w14:paraId="4DFA8734" w14:textId="77777777" w:rsidR="0005042F" w:rsidRDefault="007D1A26">
      <w:pPr>
        <w:spacing w:line="276" w:lineRule="auto"/>
        <w:rPr>
          <w:highlight w:val="yellow"/>
        </w:rPr>
      </w:pPr>
      <w:r>
        <w:t xml:space="preserve">Second, we conduct sensitivity analysis using a range of alternative attribute weights. Where our main analyses used preferences elicited from the </w:t>
      </w:r>
      <w:proofErr w:type="gramStart"/>
      <w:r>
        <w:t>general public</w:t>
      </w:r>
      <w:proofErr w:type="gramEnd"/>
      <w:r>
        <w:t xml:space="preserve"> to determine the relative weightings of the different attributes, we examine the use of publis</w:t>
      </w:r>
      <w:r>
        <w:t xml:space="preserve">hed weights derived from mental health service users and mental healthcare professionals (Rowen et al., 2022). Next, we set the non-health benefit attribute weights to zero so that only health gains and costs matter. </w:t>
      </w:r>
    </w:p>
    <w:p w14:paraId="1F21B6ED" w14:textId="77777777" w:rsidR="0005042F" w:rsidRDefault="0005042F">
      <w:pPr>
        <w:spacing w:line="276" w:lineRule="auto"/>
      </w:pPr>
    </w:p>
    <w:p w14:paraId="43F14B34" w14:textId="2E25019F" w:rsidR="0005042F" w:rsidRDefault="007D1A26" w:rsidP="008B2298">
      <w:pPr>
        <w:pBdr>
          <w:top w:val="nil"/>
          <w:left w:val="nil"/>
          <w:bottom w:val="nil"/>
          <w:right w:val="nil"/>
          <w:between w:val="nil"/>
        </w:pBdr>
        <w:spacing w:line="276" w:lineRule="auto"/>
        <w:rPr>
          <w:color w:val="000000"/>
        </w:rPr>
      </w:pPr>
      <w:r>
        <w:t xml:space="preserve">We also compare </w:t>
      </w:r>
      <w:r>
        <w:rPr>
          <w:color w:val="000000"/>
        </w:rPr>
        <w:t>provider rankings bas</w:t>
      </w:r>
      <w:r>
        <w:rPr>
          <w:color w:val="000000"/>
        </w:rPr>
        <w:t>ed on equivalent net health benefit with the published rankings of the sector regulator, the Care Quality Commission (CQC). The CQC produces a four-category (</w:t>
      </w:r>
      <w:r>
        <w:rPr>
          <w:i/>
          <w:color w:val="000000"/>
        </w:rPr>
        <w:t>Outstanding</w:t>
      </w:r>
      <w:r>
        <w:rPr>
          <w:color w:val="000000"/>
        </w:rPr>
        <w:t xml:space="preserve">, </w:t>
      </w:r>
      <w:r>
        <w:rPr>
          <w:i/>
          <w:color w:val="000000"/>
        </w:rPr>
        <w:t>Good</w:t>
      </w:r>
      <w:r>
        <w:rPr>
          <w:color w:val="000000"/>
        </w:rPr>
        <w:t xml:space="preserve">, </w:t>
      </w:r>
      <w:r>
        <w:rPr>
          <w:i/>
          <w:color w:val="000000"/>
        </w:rPr>
        <w:t>Requires Improvement</w:t>
      </w:r>
      <w:r>
        <w:rPr>
          <w:color w:val="000000"/>
        </w:rPr>
        <w:t xml:space="preserve"> and </w:t>
      </w:r>
      <w:r>
        <w:rPr>
          <w:i/>
          <w:color w:val="000000"/>
        </w:rPr>
        <w:t>Inadequate</w:t>
      </w:r>
      <w:r>
        <w:rPr>
          <w:color w:val="000000"/>
        </w:rPr>
        <w:t>) rating of English mental health providers.</w:t>
      </w:r>
      <w:r>
        <w:rPr>
          <w:color w:val="000000"/>
        </w:rPr>
        <w:t xml:space="preserve"> The rating is based on five criteria (safety, effectiveness, caring, responsiveness to people’s needs, leadership) assessed by a combination of routine quantitative data, qualitative investigations, and site visits (Care Quality</w:t>
      </w:r>
      <w:r w:rsidR="008B2298">
        <w:rPr>
          <w:color w:val="000000"/>
        </w:rPr>
        <w:t xml:space="preserve"> </w:t>
      </w:r>
      <w:r>
        <w:rPr>
          <w:color w:val="000000"/>
        </w:rPr>
        <w:t>Commission, 2017; Allen et</w:t>
      </w:r>
      <w:r>
        <w:rPr>
          <w:color w:val="000000"/>
        </w:rPr>
        <w:t xml:space="preserve"> al., 2020).</w:t>
      </w:r>
    </w:p>
    <w:p w14:paraId="3DC6496A" w14:textId="77777777" w:rsidR="00620F01" w:rsidRDefault="00620F01" w:rsidP="008B2298">
      <w:pPr>
        <w:pBdr>
          <w:top w:val="nil"/>
          <w:left w:val="nil"/>
          <w:bottom w:val="nil"/>
          <w:right w:val="nil"/>
          <w:between w:val="nil"/>
        </w:pBdr>
        <w:spacing w:line="276" w:lineRule="auto"/>
        <w:rPr>
          <w:color w:val="000000"/>
        </w:rPr>
      </w:pPr>
    </w:p>
    <w:p w14:paraId="1614CD57" w14:textId="371642D2" w:rsidR="00620F01" w:rsidRDefault="00620F01" w:rsidP="008B2298">
      <w:pPr>
        <w:pBdr>
          <w:top w:val="nil"/>
          <w:left w:val="nil"/>
          <w:bottom w:val="nil"/>
          <w:right w:val="nil"/>
          <w:between w:val="nil"/>
        </w:pBdr>
        <w:spacing w:line="276" w:lineRule="auto"/>
        <w:rPr>
          <w:color w:val="000000"/>
        </w:rPr>
      </w:pPr>
      <w:r>
        <w:t xml:space="preserve">The CQC criteria, though not formally defined, differ from those embodied in the </w:t>
      </w:r>
      <w:proofErr w:type="spellStart"/>
      <w:r>
        <w:t>eNHB</w:t>
      </w:r>
      <w:proofErr w:type="spellEnd"/>
      <w:r>
        <w:t xml:space="preserve"> measure and while the CQC measure appears to take account of both health and non-health benefits, it takes no account of cost in comparing providers. Whilst we would therefore not expect to find an equivalence in ratings, it is of interest to see how the results used by regulators which are available in the public domain differ from those using our measure.</w:t>
      </w:r>
    </w:p>
    <w:p w14:paraId="1ADED5CC" w14:textId="77777777" w:rsidR="0005042F" w:rsidRDefault="0005042F">
      <w:pPr>
        <w:spacing w:line="276" w:lineRule="auto"/>
      </w:pPr>
    </w:p>
    <w:p w14:paraId="71BCA6A8" w14:textId="77777777" w:rsidR="0005042F" w:rsidRPr="009B3563" w:rsidRDefault="007D1A26">
      <w:pPr>
        <w:spacing w:line="276" w:lineRule="auto"/>
        <w:rPr>
          <w:b/>
          <w:sz w:val="28"/>
          <w:szCs w:val="28"/>
        </w:rPr>
      </w:pPr>
      <w:r w:rsidRPr="009B3563">
        <w:rPr>
          <w:b/>
          <w:sz w:val="28"/>
          <w:szCs w:val="28"/>
        </w:rPr>
        <w:t>4. Results</w:t>
      </w:r>
    </w:p>
    <w:p w14:paraId="6D527A08" w14:textId="77777777" w:rsidR="0005042F" w:rsidRDefault="0005042F">
      <w:pPr>
        <w:spacing w:line="276" w:lineRule="auto"/>
        <w:rPr>
          <w:b/>
        </w:rPr>
      </w:pPr>
    </w:p>
    <w:p w14:paraId="1020809E" w14:textId="77777777" w:rsidR="0005042F" w:rsidRDefault="007D1A26">
      <w:pPr>
        <w:spacing w:line="276" w:lineRule="auto"/>
      </w:pPr>
      <w:bookmarkStart w:id="11" w:name="_1t3h5sf" w:colFirst="0" w:colLast="0"/>
      <w:bookmarkEnd w:id="11"/>
      <w:r>
        <w:t>Provider level summary statistics are s</w:t>
      </w:r>
      <w:r>
        <w:t>hown in</w:t>
      </w:r>
      <w:r>
        <w:rPr>
          <w:b/>
        </w:rPr>
        <w:t xml:space="preserve"> Table 2</w:t>
      </w:r>
      <w:r>
        <w:t xml:space="preserve"> which presents the descriptive statistics for the case-mix adjusted provider level effects </w:t>
      </w:r>
      <w:r>
        <w:rPr>
          <w:i/>
        </w:rPr>
        <w:t>plus</w:t>
      </w:r>
      <w:r>
        <w:t xml:space="preserve"> the overall mean for the quality attributes and costs. The health gain, nine non-health attributes and cost shown in Table 2 are the main inputs</w:t>
      </w:r>
      <w:r>
        <w:t xml:space="preserve"> to our provider performance analysis. On average, Trusts appear to perform reasonably well on ease of access with over two-thirds of them able to treat all locally resident patients. There are some outliers, with the worst performing Trust treating less t</w:t>
      </w:r>
      <w:r>
        <w:t xml:space="preserve">han 10% of locally resident patients and the best performing Trust treating almost all of its locally resident patients. Performance on appropriate discharge appears to be good with Trusts discharging only 5% of patients inappropriately, on average.   </w:t>
      </w:r>
    </w:p>
    <w:p w14:paraId="49F2DCAE" w14:textId="77777777" w:rsidR="0005042F" w:rsidRDefault="0005042F">
      <w:pPr>
        <w:spacing w:line="276" w:lineRule="auto"/>
      </w:pPr>
    </w:p>
    <w:p w14:paraId="0508CA4B" w14:textId="77777777" w:rsidR="0005042F" w:rsidRDefault="007D1A26">
      <w:pPr>
        <w:spacing w:line="276" w:lineRule="auto"/>
      </w:pPr>
      <w:r>
        <w:t>Ov</w:t>
      </w:r>
      <w:r>
        <w:t>erall mean Trust performance on patient reported attributes from CMHS varies considerably across the attributes, with 75% of patients reporting that they are satisfied with being treated as a person but only 44% reporting they were involved as much as they</w:t>
      </w:r>
      <w:r>
        <w:t xml:space="preserve"> wanted in the care they received. However, for any given CMHS attribute the variation in mean scores across Trusts is relatively small: the coefficients of variation range from 0.03 (treated as a person) to 0.09 (person centred care). </w:t>
      </w:r>
    </w:p>
    <w:p w14:paraId="3D4552DF" w14:textId="77777777" w:rsidR="0005042F" w:rsidRDefault="0005042F">
      <w:pPr>
        <w:spacing w:line="276" w:lineRule="auto"/>
      </w:pPr>
    </w:p>
    <w:p w14:paraId="2789149F" w14:textId="77777777" w:rsidR="0005042F" w:rsidRDefault="007D1A26">
      <w:pPr>
        <w:spacing w:line="276" w:lineRule="auto"/>
      </w:pPr>
      <w:r>
        <w:t xml:space="preserve">The average Trust </w:t>
      </w:r>
      <w:r>
        <w:t>level health effect (</w:t>
      </w:r>
      <w:proofErr w:type="spellStart"/>
      <w:r>
        <w:t>ReQoL</w:t>
      </w:r>
      <w:proofErr w:type="spellEnd"/>
      <w:r>
        <w:t xml:space="preserve"> gain) varies across Trusts, ranging from 0.101 to 0.114. (Mean values for provider level quality attributes when taking account of the marginal valuations of each benefit are shown in Appendix Table A.2). </w:t>
      </w:r>
    </w:p>
    <w:p w14:paraId="50E8E8E9" w14:textId="77777777" w:rsidR="0005042F" w:rsidRDefault="0005042F">
      <w:pPr>
        <w:rPr>
          <w:sz w:val="20"/>
          <w:szCs w:val="20"/>
        </w:rPr>
      </w:pPr>
    </w:p>
    <w:p w14:paraId="123C019F" w14:textId="77777777" w:rsidR="0005042F" w:rsidRDefault="007D1A26">
      <w:pPr>
        <w:spacing w:line="276" w:lineRule="auto"/>
      </w:pPr>
      <w:bookmarkStart w:id="12" w:name="_4d34og8" w:colFirst="0" w:colLast="0"/>
      <w:bookmarkEnd w:id="12"/>
      <w:r>
        <w:t>We adjust only for com</w:t>
      </w:r>
      <w:r>
        <w:t xml:space="preserve">mon year trends for the provider effects for the CMHS attributes (3-8) because we use provider level survey data, and for appropriate discharge (attribute 9) because we regard it as a "never event". </w:t>
      </w:r>
      <w:proofErr w:type="gramStart"/>
      <w:r>
        <w:t>Consequently</w:t>
      </w:r>
      <w:proofErr w:type="gramEnd"/>
      <w:r>
        <w:t xml:space="preserve"> these provider effects are highly correlated</w:t>
      </w:r>
      <w:r>
        <w:t xml:space="preserve"> with the raw provider means (see Appendix Table A.3). Correlations of risk adjusted and raw measures are much lower for ease of access (0.35), effectiveness (0.55), and cost (0.63) which </w:t>
      </w:r>
      <w:proofErr w:type="gramStart"/>
      <w:r>
        <w:t>are derived</w:t>
      </w:r>
      <w:proofErr w:type="gramEnd"/>
      <w:r>
        <w:t xml:space="preserve"> from patient-level data in MHMDS suggesting that risk ad</w:t>
      </w:r>
      <w:r>
        <w:t xml:space="preserve">justment materially affects these patient-level measures. Risk adjustment makes relatively little difference for the waiting time attribute where the correlation of risk adjusted and raw provider scores is 0.96.   </w:t>
      </w:r>
    </w:p>
    <w:p w14:paraId="2316F579" w14:textId="77777777" w:rsidR="0005042F" w:rsidRDefault="0005042F">
      <w:pPr>
        <w:spacing w:line="276" w:lineRule="auto"/>
        <w:rPr>
          <w:b/>
        </w:rPr>
      </w:pPr>
    </w:p>
    <w:p w14:paraId="42D3EC16" w14:textId="77777777" w:rsidR="0005042F" w:rsidRDefault="007D1A26">
      <w:pPr>
        <w:spacing w:line="276" w:lineRule="auto"/>
      </w:pPr>
      <w:bookmarkStart w:id="13" w:name="_2s8eyo1" w:colFirst="0" w:colLast="0"/>
      <w:bookmarkEnd w:id="13"/>
      <w:r>
        <w:rPr>
          <w:b/>
        </w:rPr>
        <w:t>Table 3</w:t>
      </w:r>
      <w:r>
        <w:t xml:space="preserve"> reports the correlations amongst</w:t>
      </w:r>
      <w:r>
        <w:t xml:space="preserve"> risk adjusted provider level health, non-health attributes, and cost. The benefit attributes 3 to 8, measured using CMHS data, show strong positive correlations: all but 2 of the 15 correlation coefficients are statistically significant at the 5% level. S</w:t>
      </w:r>
      <w:r>
        <w:t>ome of these attributes may therefore be picking up related aspects of quality. None of the four benefit measures derived from the patient cluster-episode level MHMDS data are statistically significantly correlated with any of the other benefit measures. C</w:t>
      </w:r>
      <w:r>
        <w:t xml:space="preserve">ost per cluster-episode is not significantly associated with any of the benefit attributes.    </w:t>
      </w:r>
    </w:p>
    <w:p w14:paraId="5714EC9F" w14:textId="77777777" w:rsidR="0005042F" w:rsidRDefault="0005042F">
      <w:pPr>
        <w:rPr>
          <w:b/>
        </w:rPr>
      </w:pPr>
      <w:bookmarkStart w:id="14" w:name="_17dp8vu" w:colFirst="0" w:colLast="0"/>
      <w:bookmarkEnd w:id="14"/>
    </w:p>
    <w:p w14:paraId="58C6676D" w14:textId="77777777" w:rsidR="0005042F" w:rsidRDefault="007D1A26">
      <w:r>
        <w:rPr>
          <w:b/>
        </w:rPr>
        <w:t>Figure 1</w:t>
      </w:r>
      <w:r>
        <w:t xml:space="preserve"> compares the rank of providers when performance is measured by </w:t>
      </w:r>
      <w:proofErr w:type="spellStart"/>
      <w:r>
        <w:t>eNHB</w:t>
      </w:r>
      <w:proofErr w:type="spellEnd"/>
      <w:r>
        <w:t xml:space="preserve"> which takes account of health, cost and non-health attributes, and the rank of pro</w:t>
      </w:r>
      <w:r>
        <w:t>viders when performance is measured by net health benefit (NHB) in which only cost and health benefits matter (i.e. taking no account of non-health benefits). The Spearman correlation between the two rankings is 0.57 and the average absolute change in rank</w:t>
      </w:r>
      <w:r>
        <w:t xml:space="preserve"> is 10.6 suggesting that including non-health </w:t>
      </w:r>
      <w:r>
        <w:lastRenderedPageBreak/>
        <w:t>benefits makes a difference to provider rankings. There is less change in ranking at the extremes than in the middle of the rankings.</w:t>
      </w:r>
    </w:p>
    <w:p w14:paraId="4E7AAE5E" w14:textId="77777777" w:rsidR="0005042F" w:rsidRDefault="0005042F">
      <w:pPr>
        <w:rPr>
          <w:b/>
        </w:rPr>
      </w:pPr>
    </w:p>
    <w:p w14:paraId="538029F5" w14:textId="77777777" w:rsidR="0005042F" w:rsidRDefault="007D1A26">
      <w:pPr>
        <w:pBdr>
          <w:top w:val="nil"/>
          <w:left w:val="nil"/>
          <w:bottom w:val="nil"/>
          <w:right w:val="nil"/>
          <w:between w:val="nil"/>
        </w:pBdr>
        <w:spacing w:line="276" w:lineRule="auto"/>
        <w:rPr>
          <w:color w:val="000000"/>
        </w:rPr>
      </w:pPr>
      <w:r>
        <w:rPr>
          <w:b/>
          <w:color w:val="000000"/>
        </w:rPr>
        <w:t>Table 4</w:t>
      </w:r>
      <w:r>
        <w:rPr>
          <w:color w:val="000000"/>
        </w:rPr>
        <w:t xml:space="preserve"> further examines the sensitivity of performance rankings to the weights on health attributes and cost. Varying the weight on cost has a smaller effect on the numerical </w:t>
      </w:r>
      <w:r>
        <w:rPr>
          <w:i/>
          <w:color w:val="000000"/>
        </w:rPr>
        <w:t xml:space="preserve">magnitude </w:t>
      </w:r>
      <w:r>
        <w:rPr>
          <w:color w:val="000000"/>
        </w:rPr>
        <w:t xml:space="preserve">of the </w:t>
      </w:r>
      <w:proofErr w:type="spellStart"/>
      <w:r>
        <w:rPr>
          <w:color w:val="000000"/>
        </w:rPr>
        <w:t>eNHB</w:t>
      </w:r>
      <w:proofErr w:type="spellEnd"/>
      <w:r>
        <w:rPr>
          <w:color w:val="000000"/>
        </w:rPr>
        <w:t xml:space="preserve"> performance measure (column (1)) than on the rankings by </w:t>
      </w:r>
      <w:proofErr w:type="spellStart"/>
      <w:r>
        <w:rPr>
          <w:color w:val="000000"/>
        </w:rPr>
        <w:t>eNHB</w:t>
      </w:r>
      <w:proofErr w:type="spellEnd"/>
      <w:r>
        <w:rPr>
          <w:color w:val="000000"/>
        </w:rPr>
        <w:t xml:space="preserve"> (co</w:t>
      </w:r>
      <w:r>
        <w:rPr>
          <w:color w:val="000000"/>
        </w:rPr>
        <w:t xml:space="preserve">lumn (2)). Even after increasing the cost weight three-fold (£1/30,000 to £1/10,000), the </w:t>
      </w:r>
      <w:proofErr w:type="spellStart"/>
      <w:r>
        <w:rPr>
          <w:color w:val="000000"/>
        </w:rPr>
        <w:t>eNHB</w:t>
      </w:r>
      <w:proofErr w:type="spellEnd"/>
      <w:r>
        <w:rPr>
          <w:color w:val="000000"/>
        </w:rPr>
        <w:t xml:space="preserve"> scores are still strongly correlated (0.93). The effect on the correlation of the </w:t>
      </w:r>
      <w:r>
        <w:rPr>
          <w:i/>
          <w:color w:val="000000"/>
        </w:rPr>
        <w:t>ranking</w:t>
      </w:r>
      <w:r>
        <w:rPr>
          <w:color w:val="000000"/>
        </w:rPr>
        <w:t xml:space="preserve"> of providers is somewhat greater with an average absolute change in ran</w:t>
      </w:r>
      <w:r>
        <w:rPr>
          <w:color w:val="000000"/>
        </w:rPr>
        <w:t xml:space="preserve">king of 6.5. However, there is little movement in the top and bottom quartiles of the rankings.  </w:t>
      </w:r>
    </w:p>
    <w:p w14:paraId="76D685BA" w14:textId="77777777" w:rsidR="0005042F" w:rsidRDefault="0005042F">
      <w:pPr>
        <w:pBdr>
          <w:top w:val="nil"/>
          <w:left w:val="nil"/>
          <w:bottom w:val="nil"/>
          <w:right w:val="nil"/>
          <w:between w:val="nil"/>
        </w:pBdr>
        <w:spacing w:line="276" w:lineRule="auto"/>
        <w:rPr>
          <w:color w:val="000000"/>
        </w:rPr>
      </w:pPr>
    </w:p>
    <w:p w14:paraId="1ED515BA" w14:textId="77777777" w:rsidR="0005042F" w:rsidRDefault="007D1A26">
      <w:pPr>
        <w:pBdr>
          <w:top w:val="nil"/>
          <w:left w:val="nil"/>
          <w:bottom w:val="nil"/>
          <w:right w:val="nil"/>
          <w:between w:val="nil"/>
        </w:pBdr>
        <w:spacing w:line="276" w:lineRule="auto"/>
        <w:rPr>
          <w:color w:val="000000"/>
        </w:rPr>
      </w:pPr>
      <w:r>
        <w:rPr>
          <w:color w:val="000000"/>
        </w:rPr>
        <w:t xml:space="preserve">Where the main analyses used preferences elicited from the </w:t>
      </w:r>
      <w:proofErr w:type="gramStart"/>
      <w:r>
        <w:rPr>
          <w:color w:val="000000"/>
        </w:rPr>
        <w:t>general public</w:t>
      </w:r>
      <w:proofErr w:type="gramEnd"/>
      <w:r>
        <w:rPr>
          <w:color w:val="000000"/>
        </w:rPr>
        <w:t xml:space="preserve"> to determine the relative weightings of the different attributes, we found that usi</w:t>
      </w:r>
      <w:r>
        <w:rPr>
          <w:color w:val="000000"/>
        </w:rPr>
        <w:t xml:space="preserve">ng DCE weights derived from mental health service users or mental healthcare professionals have very little effect on the magnitudes of </w:t>
      </w:r>
      <w:proofErr w:type="spellStart"/>
      <w:r>
        <w:rPr>
          <w:color w:val="000000"/>
        </w:rPr>
        <w:t>eNHB</w:t>
      </w:r>
      <w:proofErr w:type="spellEnd"/>
      <w:r>
        <w:rPr>
          <w:color w:val="000000"/>
        </w:rPr>
        <w:t xml:space="preserve"> or on the rankings.  </w:t>
      </w:r>
    </w:p>
    <w:p w14:paraId="6FAF3C6F" w14:textId="77777777" w:rsidR="0005042F" w:rsidRDefault="0005042F">
      <w:pPr>
        <w:pBdr>
          <w:top w:val="nil"/>
          <w:left w:val="nil"/>
          <w:bottom w:val="nil"/>
          <w:right w:val="nil"/>
          <w:between w:val="nil"/>
        </w:pBdr>
        <w:spacing w:line="276" w:lineRule="auto"/>
        <w:rPr>
          <w:color w:val="000000"/>
        </w:rPr>
      </w:pPr>
    </w:p>
    <w:p w14:paraId="30AE738C" w14:textId="77777777" w:rsidR="0005042F" w:rsidRDefault="007D1A26">
      <w:pPr>
        <w:pBdr>
          <w:top w:val="nil"/>
          <w:left w:val="nil"/>
          <w:bottom w:val="nil"/>
          <w:right w:val="nil"/>
          <w:between w:val="nil"/>
        </w:pBdr>
        <w:spacing w:line="276" w:lineRule="auto"/>
        <w:rPr>
          <w:color w:val="000000"/>
        </w:rPr>
      </w:pPr>
      <w:r>
        <w:rPr>
          <w:color w:val="000000"/>
        </w:rPr>
        <w:t xml:space="preserve">When we set the weights of the non-health attributes (1 to 9) to zero so that providers are </w:t>
      </w:r>
      <w:r>
        <w:rPr>
          <w:color w:val="000000"/>
        </w:rPr>
        <w:t>evaluated by NHB (</w:t>
      </w:r>
      <w:r>
        <w:rPr>
          <w:i/>
          <w:color w:val="000000"/>
        </w:rPr>
        <w:t xml:space="preserve">h – </w:t>
      </w:r>
      <w:proofErr w:type="spellStart"/>
      <w:proofErr w:type="gramStart"/>
      <w:r>
        <w:rPr>
          <w:i/>
          <w:color w:val="000000"/>
        </w:rPr>
        <w:t>w</w:t>
      </w:r>
      <w:r>
        <w:rPr>
          <w:i/>
          <w:color w:val="000000"/>
          <w:vertAlign w:val="subscript"/>
        </w:rPr>
        <w:t>c</w:t>
      </w:r>
      <w:r>
        <w:rPr>
          <w:i/>
          <w:color w:val="000000"/>
        </w:rPr>
        <w:t>c</w:t>
      </w:r>
      <w:proofErr w:type="spellEnd"/>
      <w:r>
        <w:rPr>
          <w:color w:val="000000"/>
        </w:rPr>
        <w:t xml:space="preserve"> )</w:t>
      </w:r>
      <w:proofErr w:type="gramEnd"/>
      <w:r>
        <w:rPr>
          <w:color w:val="000000"/>
        </w:rPr>
        <w:t xml:space="preserve">, the average absolute change in ranking is 10.6 and five of the 13 providers in the top quartile are moved into lower quartiles. This marked impact suggests the potential importance of incorporating non-health benefit attributes in the measurement of the </w:t>
      </w:r>
      <w:r>
        <w:rPr>
          <w:color w:val="000000"/>
        </w:rPr>
        <w:t xml:space="preserve">performance of mental health service providers.  </w:t>
      </w:r>
    </w:p>
    <w:p w14:paraId="2F939A33" w14:textId="77777777" w:rsidR="0005042F" w:rsidRDefault="0005042F">
      <w:pPr>
        <w:rPr>
          <w:b/>
        </w:rPr>
      </w:pPr>
    </w:p>
    <w:p w14:paraId="4C8F7649" w14:textId="77777777" w:rsidR="0005042F" w:rsidRDefault="007D1A26">
      <w:pPr>
        <w:pBdr>
          <w:top w:val="nil"/>
          <w:left w:val="nil"/>
          <w:bottom w:val="nil"/>
          <w:right w:val="nil"/>
          <w:between w:val="nil"/>
        </w:pBdr>
        <w:spacing w:line="276" w:lineRule="auto"/>
        <w:rPr>
          <w:color w:val="000000"/>
        </w:rPr>
      </w:pPr>
      <w:r>
        <w:rPr>
          <w:b/>
        </w:rPr>
        <w:t xml:space="preserve">Figure 2 </w:t>
      </w:r>
      <w:r>
        <w:rPr>
          <w:color w:val="000000"/>
        </w:rPr>
        <w:t xml:space="preserve">compares the CQC four-fold categorisation of providers during the period 2014-2015 with the quartiles of the </w:t>
      </w:r>
      <w:proofErr w:type="spellStart"/>
      <w:r>
        <w:rPr>
          <w:color w:val="000000"/>
        </w:rPr>
        <w:t>eNHB</w:t>
      </w:r>
      <w:proofErr w:type="spellEnd"/>
      <w:r>
        <w:rPr>
          <w:color w:val="000000"/>
        </w:rPr>
        <w:t xml:space="preserve"> performance metric. The CQC rates only two providers as </w:t>
      </w:r>
      <w:r>
        <w:rPr>
          <w:i/>
          <w:color w:val="000000"/>
        </w:rPr>
        <w:t>Outstanding</w:t>
      </w:r>
      <w:r>
        <w:rPr>
          <w:color w:val="000000"/>
        </w:rPr>
        <w:t xml:space="preserve"> and these are </w:t>
      </w:r>
      <w:r>
        <w:rPr>
          <w:color w:val="000000"/>
        </w:rPr>
        <w:t xml:space="preserve">in the second and third quartiles of the </w:t>
      </w:r>
      <w:proofErr w:type="spellStart"/>
      <w:r>
        <w:rPr>
          <w:color w:val="000000"/>
        </w:rPr>
        <w:t>eNHB</w:t>
      </w:r>
      <w:proofErr w:type="spellEnd"/>
      <w:r>
        <w:rPr>
          <w:color w:val="000000"/>
        </w:rPr>
        <w:t xml:space="preserve"> distribution. The single provider rated as </w:t>
      </w:r>
      <w:r>
        <w:rPr>
          <w:i/>
          <w:color w:val="000000"/>
        </w:rPr>
        <w:t>Inadequate</w:t>
      </w:r>
      <w:r>
        <w:rPr>
          <w:color w:val="000000"/>
        </w:rPr>
        <w:t xml:space="preserve"> is in the second </w:t>
      </w:r>
      <w:proofErr w:type="spellStart"/>
      <w:r>
        <w:rPr>
          <w:color w:val="000000"/>
        </w:rPr>
        <w:t>eNHB</w:t>
      </w:r>
      <w:proofErr w:type="spellEnd"/>
      <w:r>
        <w:rPr>
          <w:color w:val="000000"/>
        </w:rPr>
        <w:t xml:space="preserve"> quartile. There is slightly better correspondence between the CQC and </w:t>
      </w:r>
      <w:proofErr w:type="spellStart"/>
      <w:r>
        <w:rPr>
          <w:color w:val="000000"/>
        </w:rPr>
        <w:t>eNHB</w:t>
      </w:r>
      <w:proofErr w:type="spellEnd"/>
      <w:r>
        <w:rPr>
          <w:color w:val="000000"/>
        </w:rPr>
        <w:t xml:space="preserve"> rankings for the providers rated </w:t>
      </w:r>
      <w:r>
        <w:rPr>
          <w:i/>
          <w:color w:val="000000"/>
        </w:rPr>
        <w:t>Good</w:t>
      </w:r>
      <w:r>
        <w:rPr>
          <w:color w:val="000000"/>
        </w:rPr>
        <w:t xml:space="preserve"> and </w:t>
      </w:r>
      <w:r>
        <w:rPr>
          <w:i/>
          <w:color w:val="000000"/>
        </w:rPr>
        <w:t>Requires Improvem</w:t>
      </w:r>
      <w:r>
        <w:rPr>
          <w:i/>
          <w:color w:val="000000"/>
        </w:rPr>
        <w:t>ent</w:t>
      </w:r>
      <w:r>
        <w:rPr>
          <w:color w:val="000000"/>
        </w:rPr>
        <w:t xml:space="preserve"> by the CQC. Thirteen of the 15 providers rated as </w:t>
      </w:r>
      <w:r>
        <w:rPr>
          <w:i/>
          <w:color w:val="000000"/>
        </w:rPr>
        <w:t>Good</w:t>
      </w:r>
      <w:r>
        <w:rPr>
          <w:color w:val="000000"/>
        </w:rPr>
        <w:t xml:space="preserve"> are in the top two </w:t>
      </w:r>
      <w:proofErr w:type="spellStart"/>
      <w:r>
        <w:rPr>
          <w:color w:val="000000"/>
        </w:rPr>
        <w:t>eNHB</w:t>
      </w:r>
      <w:proofErr w:type="spellEnd"/>
      <w:r>
        <w:rPr>
          <w:color w:val="000000"/>
        </w:rPr>
        <w:t xml:space="preserve"> quartiles and 22 of the 36 rated as </w:t>
      </w:r>
      <w:r>
        <w:rPr>
          <w:i/>
          <w:color w:val="000000"/>
        </w:rPr>
        <w:t>Requires Improvement</w:t>
      </w:r>
      <w:r>
        <w:rPr>
          <w:color w:val="000000"/>
        </w:rPr>
        <w:t xml:space="preserve"> are in the bottom two quartiles. Comparison of the CQC categorisation with our NHB measure, rather than with </w:t>
      </w:r>
      <w:proofErr w:type="spellStart"/>
      <w:r>
        <w:rPr>
          <w:color w:val="000000"/>
        </w:rPr>
        <w:t>eNHB</w:t>
      </w:r>
      <w:proofErr w:type="spellEnd"/>
      <w:r>
        <w:rPr>
          <w:color w:val="000000"/>
        </w:rPr>
        <w:t>, p</w:t>
      </w:r>
      <w:r>
        <w:rPr>
          <w:color w:val="000000"/>
        </w:rPr>
        <w:t>roduces a very similar pattern (see Appendix Table A.4)).</w:t>
      </w:r>
    </w:p>
    <w:p w14:paraId="36B9AD9B" w14:textId="77777777" w:rsidR="0005042F" w:rsidRDefault="0005042F"/>
    <w:p w14:paraId="0C45DA0B" w14:textId="775C2A66" w:rsidR="0005042F" w:rsidRDefault="007D1A26">
      <w:pPr>
        <w:spacing w:line="276" w:lineRule="auto"/>
      </w:pPr>
      <w:bookmarkStart w:id="15" w:name="_3rdcrjn" w:colFirst="0" w:colLast="0"/>
      <w:bookmarkEnd w:id="15"/>
      <w:r>
        <w:t xml:space="preserve">In Appendix Table </w:t>
      </w:r>
      <w:proofErr w:type="gramStart"/>
      <w:r>
        <w:t>A.5</w:t>
      </w:r>
      <w:proofErr w:type="gramEnd"/>
      <w:r>
        <w:t xml:space="preserve"> we report results from a comparison of the CQC categories and </w:t>
      </w:r>
      <w:proofErr w:type="spellStart"/>
      <w:r>
        <w:t>eNHB</w:t>
      </w:r>
      <w:proofErr w:type="spellEnd"/>
      <w:r>
        <w:t xml:space="preserve"> using three ordered logistic regressions of the CQC categories on NHB, on </w:t>
      </w:r>
      <w:proofErr w:type="spellStart"/>
      <w:r>
        <w:t>eNHB</w:t>
      </w:r>
      <w:proofErr w:type="spellEnd"/>
      <w:r>
        <w:t>, and on the 11 components (he</w:t>
      </w:r>
      <w:r>
        <w:t xml:space="preserve">alth gain, non-health attributes, cost) of </w:t>
      </w:r>
      <w:proofErr w:type="spellStart"/>
      <w:r>
        <w:t>eNHB</w:t>
      </w:r>
      <w:proofErr w:type="spellEnd"/>
      <w:r>
        <w:t xml:space="preserve">.  The CQC ranking is weakly (p &lt; 0.1) positively associated with </w:t>
      </w:r>
      <w:proofErr w:type="spellStart"/>
      <w:r>
        <w:t>eNHB</w:t>
      </w:r>
      <w:proofErr w:type="spellEnd"/>
      <w:r>
        <w:t xml:space="preserve"> but not with NHB. In the model with all 11 separate components of </w:t>
      </w:r>
      <w:proofErr w:type="spellStart"/>
      <w:r>
        <w:t>eNHB</w:t>
      </w:r>
      <w:proofErr w:type="spellEnd"/>
      <w:r>
        <w:t xml:space="preserve"> there are no statistically significant coefficients and five (inclu</w:t>
      </w:r>
      <w:r>
        <w:t xml:space="preserve">ding the health gain) are negative. </w:t>
      </w:r>
    </w:p>
    <w:p w14:paraId="6ECA9D74" w14:textId="77777777" w:rsidR="0005042F" w:rsidRDefault="0005042F">
      <w:pPr>
        <w:spacing w:line="276" w:lineRule="auto"/>
      </w:pPr>
    </w:p>
    <w:p w14:paraId="6E075397" w14:textId="77777777" w:rsidR="0005042F" w:rsidRDefault="007D1A26">
      <w:pPr>
        <w:spacing w:line="276" w:lineRule="auto"/>
      </w:pPr>
      <w:r>
        <w:t xml:space="preserve">The differences between the sector regulator rankings and our proposed </w:t>
      </w:r>
      <w:proofErr w:type="spellStart"/>
      <w:r>
        <w:t>eNHB</w:t>
      </w:r>
      <w:proofErr w:type="spellEnd"/>
      <w:r>
        <w:t xml:space="preserve"> performance measure suggests that they are capturing different aspects of performance. Allen et al. (2020) found similarly poor agreement betw</w:t>
      </w:r>
      <w:r>
        <w:t xml:space="preserve">een CQC ratings of acute hospitals and those predicted from a large set of indicators. </w:t>
      </w:r>
    </w:p>
    <w:p w14:paraId="2A1EA9CA" w14:textId="77777777" w:rsidR="0005042F" w:rsidRDefault="0005042F"/>
    <w:p w14:paraId="75646D71" w14:textId="04645485" w:rsidR="0005042F" w:rsidRDefault="007D1A26">
      <w:bookmarkStart w:id="16" w:name="_26in1rg" w:colFirst="0" w:colLast="0"/>
      <w:bookmarkEnd w:id="16"/>
      <w:r>
        <w:lastRenderedPageBreak/>
        <w:t xml:space="preserve">Overall, the robustness checks to the </w:t>
      </w:r>
      <w:proofErr w:type="spellStart"/>
      <w:r>
        <w:t>eNHB</w:t>
      </w:r>
      <w:proofErr w:type="spellEnd"/>
      <w:r>
        <w:t xml:space="preserve"> measure suggest that the performance rankings are relatively stable to changes in varying the preferences used for the relat</w:t>
      </w:r>
      <w:r>
        <w:t xml:space="preserve">ive weightings and in applying different weights to the costs. The results also show that including non-health attributes matters for provider rankings. There was however lower agreement between the </w:t>
      </w:r>
      <w:proofErr w:type="spellStart"/>
      <w:r>
        <w:t>eNHB</w:t>
      </w:r>
      <w:proofErr w:type="spellEnd"/>
      <w:r>
        <w:t xml:space="preserve"> and a comparison with CQC ratings but these performa</w:t>
      </w:r>
      <w:r>
        <w:t xml:space="preserve">nce measures likely focus on different aspects of performance.  </w:t>
      </w:r>
    </w:p>
    <w:p w14:paraId="28C777B2" w14:textId="77777777" w:rsidR="0005042F" w:rsidRDefault="0005042F"/>
    <w:p w14:paraId="0747B405" w14:textId="77777777" w:rsidR="0005042F" w:rsidRDefault="0005042F"/>
    <w:p w14:paraId="64D1DAD0" w14:textId="77777777" w:rsidR="0005042F" w:rsidRDefault="007D1A26">
      <w:pPr>
        <w:spacing w:line="276" w:lineRule="auto"/>
        <w:rPr>
          <w:b/>
          <w:sz w:val="28"/>
          <w:szCs w:val="28"/>
        </w:rPr>
      </w:pPr>
      <w:bookmarkStart w:id="17" w:name="_lnxbz9" w:colFirst="0" w:colLast="0"/>
      <w:bookmarkEnd w:id="17"/>
      <w:r>
        <w:rPr>
          <w:b/>
          <w:sz w:val="28"/>
          <w:szCs w:val="28"/>
        </w:rPr>
        <w:t>5. Discussion</w:t>
      </w:r>
    </w:p>
    <w:p w14:paraId="61C443D6" w14:textId="77777777" w:rsidR="0005042F" w:rsidRDefault="0005042F">
      <w:pPr>
        <w:spacing w:line="276" w:lineRule="auto"/>
      </w:pPr>
    </w:p>
    <w:p w14:paraId="416B669F" w14:textId="6AE49CF6" w:rsidR="0005042F" w:rsidRDefault="007D1A26">
      <w:pPr>
        <w:spacing w:line="276" w:lineRule="auto"/>
      </w:pPr>
      <w:r>
        <w:t>In this paper we demonstrate that it is possible to take account of preferences for health and non-health attributes alongside cost, in measuring the overall performance of h</w:t>
      </w:r>
      <w:r>
        <w:t>ealthcare providers. This requires:</w:t>
      </w:r>
    </w:p>
    <w:p w14:paraId="504CC198" w14:textId="769F727F" w:rsidR="0005042F" w:rsidRDefault="007D1A26">
      <w:pPr>
        <w:numPr>
          <w:ilvl w:val="0"/>
          <w:numId w:val="1"/>
        </w:numPr>
        <w:pBdr>
          <w:top w:val="nil"/>
          <w:left w:val="nil"/>
          <w:bottom w:val="nil"/>
          <w:right w:val="nil"/>
          <w:between w:val="nil"/>
        </w:pBdr>
        <w:spacing w:line="276" w:lineRule="auto"/>
        <w:rPr>
          <w:color w:val="000000"/>
        </w:rPr>
      </w:pPr>
      <w:r>
        <w:t>C</w:t>
      </w:r>
      <w:r>
        <w:rPr>
          <w:color w:val="000000"/>
        </w:rPr>
        <w:t>hoice of health and non-health attributes. We assume that the relevant dimensions of healthcare are those that matter to mental healthcare service users and mental healthcare professionals, and</w:t>
      </w:r>
      <w:r>
        <w:rPr>
          <w:color w:val="000000"/>
        </w:rPr>
        <w:t xml:space="preserve"> use ten existing attributes of mental healthcare quality (health gain and nine non-health attributes) identified in previous studies using focus groups (Powell and Rowen, 2022; </w:t>
      </w:r>
      <w:r>
        <w:t>Rowen et al. 2022</w:t>
      </w:r>
      <w:r>
        <w:rPr>
          <w:color w:val="000000"/>
        </w:rPr>
        <w:t>).</w:t>
      </w:r>
    </w:p>
    <w:p w14:paraId="2BABCA46" w14:textId="30D2B904" w:rsidR="0005042F" w:rsidRDefault="007D1A26">
      <w:pPr>
        <w:numPr>
          <w:ilvl w:val="0"/>
          <w:numId w:val="1"/>
        </w:numPr>
        <w:pBdr>
          <w:top w:val="nil"/>
          <w:left w:val="nil"/>
          <w:bottom w:val="nil"/>
          <w:right w:val="nil"/>
          <w:between w:val="nil"/>
        </w:pBdr>
        <w:spacing w:line="276" w:lineRule="auto"/>
        <w:rPr>
          <w:color w:val="000000"/>
        </w:rPr>
      </w:pPr>
      <w:r>
        <w:rPr>
          <w:color w:val="000000"/>
        </w:rPr>
        <w:t>Measurement. Administrative data cover</w:t>
      </w:r>
      <w:r w:rsidR="006C1A20">
        <w:rPr>
          <w:color w:val="000000"/>
        </w:rPr>
        <w:t>s</w:t>
      </w:r>
      <w:r>
        <w:rPr>
          <w:color w:val="000000"/>
        </w:rPr>
        <w:t xml:space="preserve"> some of these perf</w:t>
      </w:r>
      <w:r>
        <w:rPr>
          <w:color w:val="000000"/>
        </w:rPr>
        <w:t>ormance dimensions (waiting time, being treated close to home). The English NHS also routinely collects information on the mental health of patients at the start and end of episodes of care. Other dimensions of non-health benefit that matter to service use</w:t>
      </w:r>
      <w:r>
        <w:rPr>
          <w:color w:val="000000"/>
        </w:rPr>
        <w:t xml:space="preserve">rs and mental healthcare professionals, such as being treated as a person and continuity of care, are not routinely captured in the administrative data we use and were drawn instead from patient surveys.  </w:t>
      </w:r>
    </w:p>
    <w:p w14:paraId="787BA20A" w14:textId="1182FE68" w:rsidR="0005042F" w:rsidRDefault="007D1A26">
      <w:pPr>
        <w:numPr>
          <w:ilvl w:val="0"/>
          <w:numId w:val="1"/>
        </w:numPr>
        <w:pBdr>
          <w:top w:val="nil"/>
          <w:left w:val="nil"/>
          <w:bottom w:val="nil"/>
          <w:right w:val="nil"/>
          <w:between w:val="nil"/>
        </w:pBdr>
        <w:spacing w:after="160" w:line="276" w:lineRule="auto"/>
        <w:rPr>
          <w:color w:val="000000"/>
        </w:rPr>
      </w:pPr>
      <w:r>
        <w:rPr>
          <w:color w:val="000000"/>
        </w:rPr>
        <w:t>Valuation of the relevant attributes on a common s</w:t>
      </w:r>
      <w:r>
        <w:rPr>
          <w:color w:val="000000"/>
        </w:rPr>
        <w:t>cale. We appl</w:t>
      </w:r>
      <w:r w:rsidR="006C1A20">
        <w:rPr>
          <w:color w:val="000000"/>
        </w:rPr>
        <w:t>y</w:t>
      </w:r>
      <w:r>
        <w:rPr>
          <w:color w:val="000000"/>
        </w:rPr>
        <w:t xml:space="preserve"> results from an existing DCE estimating the general public’s willingness to trade off non-health benefit dimensions against a measure of health-related quality of life for mental health (Rowen et al. 2022). To express cost in terms of health</w:t>
      </w:r>
      <w:r>
        <w:rPr>
          <w:color w:val="000000"/>
        </w:rPr>
        <w:t xml:space="preserve"> and non-health benefits forgone (i.e. the opportunity cost of NHS expenditure) we use existing estimates of the cost-effectiveness threshold in the English NHS </w:t>
      </w:r>
      <w:r>
        <w:t xml:space="preserve">(Devlin and Parkin, 2004; Appleby et al, 2007) </w:t>
      </w:r>
      <w:r>
        <w:rPr>
          <w:color w:val="000000"/>
        </w:rPr>
        <w:t>and conduct sensitivity analyses around this val</w:t>
      </w:r>
      <w:r>
        <w:rPr>
          <w:color w:val="000000"/>
        </w:rPr>
        <w:t xml:space="preserve">ue.  </w:t>
      </w:r>
    </w:p>
    <w:p w14:paraId="3A0445D4" w14:textId="323742A0" w:rsidR="0005042F" w:rsidRDefault="007D1A26">
      <w:pPr>
        <w:spacing w:line="276" w:lineRule="auto"/>
      </w:pPr>
      <w:r>
        <w:t>We f</w:t>
      </w:r>
      <w:r w:rsidR="006C1A20">
        <w:t>in</w:t>
      </w:r>
      <w:r>
        <w:t xml:space="preserve">d considerable variation across providers in health and non-health attributes and in cost. Most of the non-health attributes </w:t>
      </w:r>
      <w:r w:rsidR="006C1A20">
        <w:t>a</w:t>
      </w:r>
      <w:r>
        <w:t xml:space="preserve">re positively correlated, though the correlations </w:t>
      </w:r>
      <w:r w:rsidR="006C1A20">
        <w:t>a</w:t>
      </w:r>
      <w:r>
        <w:t>re statistically significant only for those collected via the patie</w:t>
      </w:r>
      <w:r>
        <w:t xml:space="preserve">nt survey. Six of the non-health attributes </w:t>
      </w:r>
      <w:r w:rsidR="006C1A20">
        <w:t>a</w:t>
      </w:r>
      <w:r>
        <w:t>re negatively correlated with the change in health-related quality of life. This implies that better performance on non-health attributes is not necessarily linked to improvements in health. Providers that produ</w:t>
      </w:r>
      <w:r>
        <w:t xml:space="preserve">ced larger health benefits also had higher costs, but for six of the nine non-health dimensions, costs </w:t>
      </w:r>
      <w:r w:rsidR="006C1A20">
        <w:t>a</w:t>
      </w:r>
      <w:r>
        <w:t>re lower for providers with better health benefit scores.</w:t>
      </w:r>
    </w:p>
    <w:p w14:paraId="50F7BAF1" w14:textId="77777777" w:rsidR="0005042F" w:rsidRDefault="0005042F">
      <w:pPr>
        <w:spacing w:line="276" w:lineRule="auto"/>
      </w:pPr>
    </w:p>
    <w:p w14:paraId="4ACBA317" w14:textId="7541F753" w:rsidR="0005042F" w:rsidRDefault="007D1A26">
      <w:pPr>
        <w:spacing w:line="276" w:lineRule="auto"/>
      </w:pPr>
      <w:r>
        <w:t>Taking account of nine non-health benefits made a substantial difference to the evaluation of</w:t>
      </w:r>
      <w:r>
        <w:t xml:space="preserve"> provider performance. The Spearman correlation coefficient of the ranking of providers by </w:t>
      </w:r>
      <w:proofErr w:type="spellStart"/>
      <w:r>
        <w:t>eNHB</w:t>
      </w:r>
      <w:proofErr w:type="spellEnd"/>
      <w:r>
        <w:t>, which allow</w:t>
      </w:r>
      <w:r w:rsidR="006C1A20">
        <w:t>s</w:t>
      </w:r>
      <w:r>
        <w:t xml:space="preserve"> for health, non-health benefits and cost, with the ranking based only on </w:t>
      </w:r>
      <w:r>
        <w:lastRenderedPageBreak/>
        <w:t>NHB, which allow</w:t>
      </w:r>
      <w:r w:rsidR="006C1A20">
        <w:t>s</w:t>
      </w:r>
      <w:r>
        <w:t xml:space="preserve"> only for health and cost, was relatively low at 0.57. P</w:t>
      </w:r>
      <w:r>
        <w:t xml:space="preserve">rovider performance rankings </w:t>
      </w:r>
      <w:r w:rsidR="006C1A20">
        <w:t>a</w:t>
      </w:r>
      <w:r>
        <w:t>re much less sensitive to assumptions about the health equivalent weight on cost. For example, after a three-fold increase in the cost weight compared with that based on the NICE threshold, the Spearman correlation coefficient</w:t>
      </w:r>
      <w:r>
        <w:t xml:space="preserve"> of the provider rankings was 0.82.   </w:t>
      </w:r>
    </w:p>
    <w:p w14:paraId="013C86A5" w14:textId="77777777" w:rsidR="0005042F" w:rsidRDefault="0005042F">
      <w:pPr>
        <w:spacing w:line="276" w:lineRule="auto"/>
      </w:pPr>
    </w:p>
    <w:p w14:paraId="0A0620E4" w14:textId="45C52353" w:rsidR="0005042F" w:rsidRDefault="007D1A26">
      <w:pPr>
        <w:spacing w:line="276" w:lineRule="auto"/>
      </w:pPr>
      <w:r>
        <w:t>The sector regulator – the Care Quality Commission – produces an ordered four category rating of provider performance based on its assessment of safety, effectiveness, caring, responsiveness to people’s needs, and le</w:t>
      </w:r>
      <w:r>
        <w:t>adership. Some of these attributes are based on the same patient survey that we used, though the way in which different performance attributes are combined to produce the CQC rating is not published. We f</w:t>
      </w:r>
      <w:r w:rsidR="006C1A20">
        <w:t>i</w:t>
      </w:r>
      <w:r>
        <w:t xml:space="preserve">nd only weak positive correlation between our </w:t>
      </w:r>
      <w:proofErr w:type="spellStart"/>
      <w:r>
        <w:t>eNHB</w:t>
      </w:r>
      <w:proofErr w:type="spellEnd"/>
      <w:r>
        <w:t xml:space="preserve"> </w:t>
      </w:r>
      <w:r>
        <w:t>measure and the CQC rating, suggesting that the CQC criteria, or weightings placed on them by the CQC, differ considerably from those we derived from discrete choice experiments undertaken with members of the general population (Rowen et al. 2022)). The lo</w:t>
      </w:r>
      <w:r>
        <w:t xml:space="preserve">w correspondence between </w:t>
      </w:r>
      <w:proofErr w:type="spellStart"/>
      <w:r>
        <w:t>eNHB</w:t>
      </w:r>
      <w:proofErr w:type="spellEnd"/>
      <w:r>
        <w:t xml:space="preserve"> and CQC ratings may not be surprising, given the differences in their focus. The choice of performance assessment measures may depend on both the purpose of the assessments and the needs of the audience for whom the approach i</w:t>
      </w:r>
      <w:r>
        <w:t xml:space="preserve">s designed. For example, the CQC ratings </w:t>
      </w:r>
      <w:proofErr w:type="gramStart"/>
      <w:r>
        <w:t>are designed</w:t>
      </w:r>
      <w:proofErr w:type="gramEnd"/>
      <w:r>
        <w:t xml:space="preserve"> for regulators where system leadership may explicitly be highly valued because the CQC can hold to account those they deem responsible for poor performance in terms of leadership of the organisations th</w:t>
      </w:r>
      <w:r>
        <w:t>ey assess and they therefore gather specific qualitative evidence from leaders as part of their assessment. Our approach has a patient-centred focus, taking account of attributes that matter to patients where non-health benefits may be more highly valued.</w:t>
      </w:r>
    </w:p>
    <w:p w14:paraId="2828801B" w14:textId="77777777" w:rsidR="0005042F" w:rsidRDefault="0005042F">
      <w:pPr>
        <w:spacing w:line="276" w:lineRule="auto"/>
      </w:pPr>
    </w:p>
    <w:p w14:paraId="34C75068" w14:textId="5C7628F4" w:rsidR="0005042F" w:rsidRDefault="007D1A26">
      <w:pPr>
        <w:spacing w:line="276" w:lineRule="auto"/>
      </w:pPr>
      <w:r>
        <w:t xml:space="preserve">Our exploratory </w:t>
      </w:r>
      <w:r w:rsidRPr="00620F01">
        <w:t xml:space="preserve">analyses have some limitations. </w:t>
      </w:r>
      <w:r w:rsidR="00620F01" w:rsidRPr="00620F01">
        <w:rPr>
          <w:rStyle w:val="cf01"/>
          <w:rFonts w:ascii="Times New Roman" w:hAnsi="Times New Roman" w:cs="Times New Roman"/>
          <w:sz w:val="24"/>
          <w:szCs w:val="24"/>
        </w:rPr>
        <w:t>First, we assume that the duration of the health gain is the same for all clusters and providers (one year). However, if there is variation in the duration of health effects, then provider rankings would be affected.</w:t>
      </w:r>
      <w:r w:rsidR="00620F01" w:rsidRPr="00620F01">
        <w:t xml:space="preserve"> </w:t>
      </w:r>
      <w:r w:rsidRPr="00620F01">
        <w:t>Second</w:t>
      </w:r>
      <w:r>
        <w:t xml:space="preserve">, some of the routine administrative </w:t>
      </w:r>
      <w:r w:rsidR="00620F01">
        <w:t xml:space="preserve">and costing </w:t>
      </w:r>
      <w:r>
        <w:t xml:space="preserve">data we used </w:t>
      </w:r>
      <w:r w:rsidR="00DE653D">
        <w:t>a</w:t>
      </w:r>
      <w:r>
        <w:t>re of poor quality, with many missing items</w:t>
      </w:r>
      <w:r w:rsidR="00620F01">
        <w:t xml:space="preserve"> and inconsistencies</w:t>
      </w:r>
      <w:r>
        <w:t xml:space="preserve">, particularly for the </w:t>
      </w:r>
      <w:r w:rsidRPr="00620F01">
        <w:t>measurement of cost and health gain. Survey data may also suffer from response bias. Third,</w:t>
      </w:r>
      <w:r w:rsidRPr="00620F01">
        <w:t xml:space="preserve"> t</w:t>
      </w:r>
      <w:r w:rsidR="00620F01" w:rsidRPr="00620F01">
        <w:rPr>
          <w:rStyle w:val="cf01"/>
          <w:rFonts w:ascii="Times New Roman" w:hAnsi="Times New Roman" w:cs="Times New Roman"/>
          <w:sz w:val="24"/>
          <w:szCs w:val="24"/>
        </w:rPr>
        <w:t xml:space="preserve">hough the wording used in the </w:t>
      </w:r>
      <w:r w:rsidR="00620F01">
        <w:t>DCE</w:t>
      </w:r>
      <w:r w:rsidR="00620F01" w:rsidRPr="00620F01">
        <w:rPr>
          <w:rStyle w:val="cf01"/>
          <w:rFonts w:ascii="Times New Roman" w:hAnsi="Times New Roman" w:cs="Times New Roman"/>
          <w:sz w:val="24"/>
          <w:szCs w:val="24"/>
        </w:rPr>
        <w:t xml:space="preserve"> was selected to represent the patient survey data, t</w:t>
      </w:r>
      <w:r w:rsidRPr="00620F01">
        <w:t xml:space="preserve">here may have been a weak correspondence between some of the attributes identified as important in focus groups, those valued in the </w:t>
      </w:r>
      <w:r w:rsidR="00620F01">
        <w:t>DCE</w:t>
      </w:r>
      <w:r w:rsidRPr="00620F01">
        <w:t>, and the patient survey questio</w:t>
      </w:r>
      <w:r w:rsidRPr="00620F01">
        <w:t xml:space="preserve">ns used to measure these attributes. Fourth, we </w:t>
      </w:r>
      <w:r w:rsidR="00620F01" w:rsidRPr="00620F01">
        <w:t>did not</w:t>
      </w:r>
      <w:r w:rsidRPr="00620F01">
        <w:t xml:space="preserve"> explore the estimation of uncertainty around</w:t>
      </w:r>
      <w:r>
        <w:t xml:space="preserve"> the performance measures derived from the </w:t>
      </w:r>
      <w:proofErr w:type="spellStart"/>
      <w:r>
        <w:t>eNHB</w:t>
      </w:r>
      <w:proofErr w:type="spellEnd"/>
      <w:r>
        <w:t xml:space="preserve"> approach because we want to be as transparent as possible in the development of the method and not introduce</w:t>
      </w:r>
      <w:r>
        <w:t xml:space="preserve"> additional complexity since both the weighting on different elements and the performance level of different elements </w:t>
      </w:r>
      <w:r w:rsidR="00DE653D">
        <w:t>a</w:t>
      </w:r>
      <w:r>
        <w:t xml:space="preserve">re estimated and are subject to uncertainty. Future applications of the </w:t>
      </w:r>
      <w:proofErr w:type="spellStart"/>
      <w:r>
        <w:t>eNHB</w:t>
      </w:r>
      <w:proofErr w:type="spellEnd"/>
      <w:r>
        <w:t xml:space="preserve"> approach may wish to use more sophisticated methods. Fifth, </w:t>
      </w:r>
      <w:r>
        <w:t xml:space="preserve">performance is a function of a range of aspects of provider behaviour which need to be combined in some functional form. Whilst a more complicated aggregation is possible, we </w:t>
      </w:r>
      <w:r w:rsidR="00620F01">
        <w:t>chose a</w:t>
      </w:r>
      <w:r>
        <w:t xml:space="preserve"> simple linear model for our DCE weights which is explicit. An alternative</w:t>
      </w:r>
      <w:r>
        <w:t xml:space="preserve"> to an additive model would make it more difficult to estimate and then apply the weights to. Sixth, there are limitations to the </w:t>
      </w:r>
      <w:proofErr w:type="spellStart"/>
      <w:r>
        <w:t>HoNOS</w:t>
      </w:r>
      <w:proofErr w:type="spellEnd"/>
      <w:r>
        <w:t xml:space="preserve"> mental health outcome measure (</w:t>
      </w:r>
      <w:proofErr w:type="spellStart"/>
      <w:r>
        <w:t>Delaffon</w:t>
      </w:r>
      <w:proofErr w:type="spellEnd"/>
      <w:r>
        <w:t xml:space="preserve"> et al. 2012) and the sample size used to convert </w:t>
      </w:r>
      <w:proofErr w:type="spellStart"/>
      <w:r>
        <w:t>HoNOS</w:t>
      </w:r>
      <w:proofErr w:type="spellEnd"/>
      <w:r>
        <w:t xml:space="preserve"> to </w:t>
      </w:r>
      <w:proofErr w:type="spellStart"/>
      <w:r>
        <w:t>ReQoL</w:t>
      </w:r>
      <w:proofErr w:type="spellEnd"/>
      <w:r>
        <w:t>-UI may be too sm</w:t>
      </w:r>
      <w:r>
        <w:t xml:space="preserve">all to capture potential heterogeneity in mental health needs. Finally, estimates of the opportunity costs of NHS expenditure take </w:t>
      </w:r>
      <w:r>
        <w:lastRenderedPageBreak/>
        <w:t>account only of displaced health. They may be higher or lower than the opportunity cost in terms of health and non-health ben</w:t>
      </w:r>
      <w:r>
        <w:t>efit (</w:t>
      </w:r>
      <w:proofErr w:type="spellStart"/>
      <w:r>
        <w:t>eHB</w:t>
      </w:r>
      <w:proofErr w:type="spellEnd"/>
      <w:r>
        <w:t xml:space="preserve">) depending on whether health and non-health benefits are substitutes or complements in the production of health services. We therefore had to make strong assumptions to value cost in terms of </w:t>
      </w:r>
      <w:proofErr w:type="spellStart"/>
      <w:r>
        <w:t>eHB</w:t>
      </w:r>
      <w:proofErr w:type="spellEnd"/>
      <w:r>
        <w:t>, though sensitivity checks suggested that the effe</w:t>
      </w:r>
      <w:r>
        <w:t xml:space="preserve">ct on provider rankings was relatively minor. </w:t>
      </w:r>
    </w:p>
    <w:p w14:paraId="5D6477A4" w14:textId="77777777" w:rsidR="0005042F" w:rsidRDefault="0005042F">
      <w:pPr>
        <w:spacing w:line="276" w:lineRule="auto"/>
      </w:pPr>
    </w:p>
    <w:p w14:paraId="724EA634" w14:textId="49D856DA" w:rsidR="0005042F" w:rsidRDefault="007D1A26">
      <w:pPr>
        <w:spacing w:line="276" w:lineRule="auto"/>
      </w:pPr>
      <w:bookmarkStart w:id="18" w:name="_Hlk152331175"/>
      <w:r>
        <w:t xml:space="preserve">Our exploratory analysis suggests some pointers for future research on measuring the performance of healthcare providers. </w:t>
      </w:r>
      <w:bookmarkEnd w:id="18"/>
      <w:r>
        <w:t xml:space="preserve">The first requirement </w:t>
      </w:r>
      <w:r w:rsidR="008B2298">
        <w:t xml:space="preserve">for future analyses is </w:t>
      </w:r>
      <w:r>
        <w:t>the routine collection of the health effe</w:t>
      </w:r>
      <w:r>
        <w:t>ct of treatment using measures of patient health pre- and post-treatment, rather than crude post-treatment measures (such as mortality, emergency readmissions and surgical revisions). Some non-health attributes of healthcare, such as waiting time or distan</w:t>
      </w:r>
      <w:r>
        <w:t>ce travelled to access care, can be captured in routine administrative data. But some other important dimensions of care, such as continuity of care or the quality of interactions with health service staff, are likely to require surveys of service users an</w:t>
      </w:r>
      <w:r>
        <w:t xml:space="preserve">d carers. This is feasible: for example, the NHS now has patient surveys for primary care, maternity services, children services, inpatients, outpatients, accident and emergency, cancer services as well as the CMHS for mental health services. </w:t>
      </w:r>
    </w:p>
    <w:p w14:paraId="4E4B1652" w14:textId="77777777" w:rsidR="0005042F" w:rsidRDefault="0005042F">
      <w:pPr>
        <w:spacing w:line="276" w:lineRule="auto"/>
      </w:pPr>
    </w:p>
    <w:p w14:paraId="31A42454" w14:textId="7F9A7927" w:rsidR="0005042F" w:rsidRDefault="007D1A26">
      <w:pPr>
        <w:spacing w:line="276" w:lineRule="auto"/>
      </w:pPr>
      <w:r>
        <w:t>Second, whe</w:t>
      </w:r>
      <w:r>
        <w:t xml:space="preserve">re incorporating non-health attributes, it is possible to obtain valuations by </w:t>
      </w:r>
      <w:r w:rsidR="00364DFD">
        <w:t>patients in</w:t>
      </w:r>
      <w:r>
        <w:t xml:space="preserve"> units of the health measure, using </w:t>
      </w:r>
      <w:r w:rsidR="00364DFD">
        <w:t>DCEs</w:t>
      </w:r>
      <w:r>
        <w:t xml:space="preserve">. Alternatively, when patients have a choice amongst different providers of a given type of healthcare, it may be possible to </w:t>
      </w:r>
      <w:r>
        <w:t>estimate models of patient choice to obtain revealed, rather than stated preference valuations of non-health attributes in terms of health. The final and most difficult step in constructing a summary measure of overall provider performance, is to value hea</w:t>
      </w:r>
      <w:r>
        <w:t xml:space="preserve">lth on the same scale as provider costs. We convert provider costs into health units using estimates of the NHS cost-effectiveness threshold. </w:t>
      </w:r>
      <w:proofErr w:type="gramStart"/>
      <w:r>
        <w:t>An alternative approach would be to use DCEs to estimate willingness to pay for health and non-health attributes (</w:t>
      </w:r>
      <w:r>
        <w:t>de Becker-Grob, Ryan, and Gerard, 2012) although there may be challenges to do this in a health system where care is traditionally free at the point of access, and attempts to explore this have yielded a wide range of estimated values (Donaldson et al., 20</w:t>
      </w:r>
      <w:r>
        <w:t>11).</w:t>
      </w:r>
      <w:proofErr w:type="gramEnd"/>
      <w:r>
        <w:t xml:space="preserve"> </w:t>
      </w:r>
    </w:p>
    <w:p w14:paraId="01126A82" w14:textId="77777777" w:rsidR="0005042F" w:rsidRDefault="0005042F">
      <w:pPr>
        <w:spacing w:line="276" w:lineRule="auto"/>
      </w:pPr>
    </w:p>
    <w:p w14:paraId="3A8CB559" w14:textId="3DE9BB1F" w:rsidR="0005042F" w:rsidRDefault="007D1A26">
      <w:pPr>
        <w:spacing w:line="276" w:lineRule="auto"/>
      </w:pPr>
      <w:bookmarkStart w:id="19" w:name="_35nkun2" w:colFirst="0" w:colLast="0"/>
      <w:bookmarkEnd w:id="19"/>
      <w:r>
        <w:t xml:space="preserve">Future work may also wish to include estimates of uncertainty to assess whether differences in relative performance rankings cannot be explained by chance variation alone. It </w:t>
      </w:r>
      <w:r w:rsidR="00DE653D">
        <w:t>may also</w:t>
      </w:r>
      <w:r>
        <w:t xml:space="preserve"> be important to explore different ways to aggregate the underlyin</w:t>
      </w:r>
      <w:r>
        <w:t xml:space="preserve">g health and non-health benefits, including nonlinear approaches. Future research may also wish to replicate our approach using high quality data from a different context to mental health.   </w:t>
      </w:r>
    </w:p>
    <w:p w14:paraId="4315F30C" w14:textId="77777777" w:rsidR="0005042F" w:rsidRDefault="0005042F">
      <w:pPr>
        <w:spacing w:line="276" w:lineRule="auto"/>
      </w:pPr>
    </w:p>
    <w:p w14:paraId="184350AD" w14:textId="690F6F33" w:rsidR="00364DFD" w:rsidRDefault="007D1A26" w:rsidP="00364DFD">
      <w:pPr>
        <w:spacing w:line="276" w:lineRule="auto"/>
        <w:rPr>
          <w:b/>
        </w:rPr>
      </w:pPr>
      <w:r>
        <w:t>Our study demonstrates a novel method of extending the provider performance evaluation space beyond a measure of health gain and cost and we show that this matters for the comparison of providers. Whilst health gain and cost are important, they are not the</w:t>
      </w:r>
      <w:r>
        <w:t xml:space="preserve"> only relevant dimensions when judging the overall performance of healthcare providers. </w:t>
      </w:r>
      <w:r w:rsidR="00364DFD">
        <w:t>This new approach can help regulators and policymakers to identify good and poor performance on dimensions that matter</w:t>
      </w:r>
      <w:r w:rsidR="00102323">
        <w:t xml:space="preserve"> to patients, healthcare providers and the </w:t>
      </w:r>
      <w:proofErr w:type="gramStart"/>
      <w:r w:rsidR="00102323">
        <w:t>general public</w:t>
      </w:r>
      <w:proofErr w:type="gramEnd"/>
      <w:r w:rsidR="00364DFD">
        <w:t xml:space="preserve">. </w:t>
      </w:r>
    </w:p>
    <w:p w14:paraId="3C19DEE3" w14:textId="697AC8BF" w:rsidR="0005042F" w:rsidRDefault="0005042F">
      <w:pPr>
        <w:spacing w:line="276" w:lineRule="auto"/>
      </w:pPr>
    </w:p>
    <w:p w14:paraId="478887E6" w14:textId="77777777" w:rsidR="0005042F" w:rsidRDefault="0005042F"/>
    <w:p w14:paraId="5BD26FCC" w14:textId="77777777" w:rsidR="0005042F" w:rsidRDefault="007D1A26">
      <w:pPr>
        <w:rPr>
          <w:b/>
        </w:rPr>
      </w:pPr>
      <w:r>
        <w:br w:type="page"/>
      </w:r>
    </w:p>
    <w:p w14:paraId="3317DEDE" w14:textId="77777777" w:rsidR="0005042F" w:rsidRDefault="007D1A26">
      <w:pPr>
        <w:rPr>
          <w:b/>
        </w:rPr>
      </w:pPr>
      <w:r>
        <w:rPr>
          <w:b/>
        </w:rPr>
        <w:lastRenderedPageBreak/>
        <w:t>References</w:t>
      </w:r>
    </w:p>
    <w:p w14:paraId="35CDCADB" w14:textId="77777777" w:rsidR="0005042F" w:rsidRDefault="0005042F"/>
    <w:p w14:paraId="32EC1617" w14:textId="77777777" w:rsidR="0005042F" w:rsidRDefault="007D1A26">
      <w:pPr>
        <w:ind w:left="720" w:hanging="720"/>
      </w:pPr>
      <w:bookmarkStart w:id="20" w:name="_1ksv4uv" w:colFirst="0" w:colLast="0"/>
      <w:bookmarkEnd w:id="20"/>
      <w:r>
        <w:t xml:space="preserve">Allen, T., Walshe, K., </w:t>
      </w:r>
      <w:proofErr w:type="spellStart"/>
      <w:r>
        <w:t>Proudlove</w:t>
      </w:r>
      <w:proofErr w:type="spellEnd"/>
      <w:r>
        <w:t xml:space="preserve">, N., Sutton, M. (2020). Using quality indicators to predict inspection ratings: cross-sectional study of general practices in England. Br J Gen </w:t>
      </w:r>
      <w:proofErr w:type="spellStart"/>
      <w:r>
        <w:t>Prac</w:t>
      </w:r>
      <w:proofErr w:type="spellEnd"/>
      <w:r>
        <w:t xml:space="preserve">. 70(690) e55-e63. </w:t>
      </w:r>
      <w:proofErr w:type="spellStart"/>
      <w:r>
        <w:t>doi</w:t>
      </w:r>
      <w:proofErr w:type="spellEnd"/>
      <w:r>
        <w:t>: 10.3399/bjgp19X707141</w:t>
      </w:r>
    </w:p>
    <w:p w14:paraId="261844BA" w14:textId="77777777" w:rsidR="0005042F" w:rsidRDefault="007D1A26">
      <w:pPr>
        <w:shd w:val="clear" w:color="auto" w:fill="FFFFFF"/>
        <w:ind w:left="720" w:hanging="720"/>
        <w:jc w:val="left"/>
        <w:rPr>
          <w:color w:val="212121"/>
        </w:rPr>
      </w:pPr>
      <w:r>
        <w:t>App</w:t>
      </w:r>
      <w:r>
        <w:t xml:space="preserve">leby, J., Davlin, N., Parkin, D. (2007) NICE’s cost effectiveness threshold. BMJ </w:t>
      </w:r>
      <w:r>
        <w:rPr>
          <w:color w:val="212121"/>
        </w:rPr>
        <w:t>335(7616): 358–359.</w:t>
      </w:r>
    </w:p>
    <w:p w14:paraId="0C115B48" w14:textId="77777777" w:rsidR="0005042F" w:rsidRDefault="007D1A26">
      <w:pPr>
        <w:ind w:left="720" w:hanging="720"/>
      </w:pPr>
      <w:r>
        <w:t xml:space="preserve">Appleby, J., </w:t>
      </w:r>
      <w:proofErr w:type="spellStart"/>
      <w:r>
        <w:t>Poteliakhoff</w:t>
      </w:r>
      <w:proofErr w:type="spellEnd"/>
      <w:r>
        <w:t>, E., Shah, K., Devlin, N. (2013). Using patient-reported outcome measures to estimate cost-effectiveness of hip replacements in E</w:t>
      </w:r>
      <w:r>
        <w:t>nglish hospitals. Journal of the Royal Society of Medicine 106, 323-331.</w:t>
      </w:r>
    </w:p>
    <w:p w14:paraId="10E7861E" w14:textId="77777777" w:rsidR="0005042F" w:rsidRDefault="007D1A26">
      <w:pPr>
        <w:ind w:left="720" w:hanging="720"/>
      </w:pPr>
      <w:r>
        <w:t xml:space="preserve">Baker R, Bateman I, Donaldson C, et al. (2010). Weighting and valuing quality-adjusted life-years using stated preference methods: preliminary results from the social value of a QALY </w:t>
      </w:r>
      <w:r>
        <w:t xml:space="preserve">project. Health </w:t>
      </w:r>
      <w:proofErr w:type="spellStart"/>
      <w:r>
        <w:t>Technol</w:t>
      </w:r>
      <w:proofErr w:type="spellEnd"/>
      <w:r>
        <w:t xml:space="preserve"> Assess. 14(27):1–162.</w:t>
      </w:r>
    </w:p>
    <w:p w14:paraId="1D10DFC7" w14:textId="77777777" w:rsidR="0005042F" w:rsidRDefault="007D1A26">
      <w:pPr>
        <w:ind w:left="720" w:hanging="720"/>
      </w:pPr>
      <w:r>
        <w:t>Bell, A. (2022) Mental health services in the UK in 2022: What the latest adult mental health care benchmarking network data can tell us, Centre for Mental Health. https://www.centreformentalhealth.org.uk/blogs</w:t>
      </w:r>
      <w:r>
        <w:t>/mental-health-services-uk-2022-what-latest-adult-mental-health-care-benchmarking-network-data-can-tell-us</w:t>
      </w:r>
    </w:p>
    <w:p w14:paraId="2B659595" w14:textId="77777777" w:rsidR="0005042F" w:rsidRDefault="007D1A26">
      <w:pPr>
        <w:ind w:left="720" w:hanging="720"/>
      </w:pPr>
      <w:r>
        <w:t>de Bekker-Grob E, Ryan M, Gerard K. (2012). Discrete choice experiments in health economics: a review of the literature. Health Economics 21(2): 145–</w:t>
      </w:r>
      <w:r>
        <w:t>172.</w:t>
      </w:r>
    </w:p>
    <w:p w14:paraId="7328491F" w14:textId="77777777" w:rsidR="0005042F" w:rsidRDefault="007D1A26">
      <w:pPr>
        <w:ind w:left="720" w:hanging="720"/>
      </w:pPr>
      <w:r>
        <w:t xml:space="preserve">Brazier, J., Connell, J., Papaioannou, D., </w:t>
      </w:r>
      <w:proofErr w:type="spellStart"/>
      <w:r>
        <w:t>Mukuria</w:t>
      </w:r>
      <w:proofErr w:type="spellEnd"/>
      <w:r>
        <w:t xml:space="preserve">, C., Mulhern, B., </w:t>
      </w:r>
      <w:proofErr w:type="spellStart"/>
      <w:r>
        <w:t>Peasgood</w:t>
      </w:r>
      <w:proofErr w:type="spellEnd"/>
      <w:r>
        <w:t xml:space="preserve">, T., Lloyd Jones, M., Paisley, S., </w:t>
      </w:r>
      <w:proofErr w:type="spellStart"/>
      <w:r>
        <w:t>O'Cathain</w:t>
      </w:r>
      <w:proofErr w:type="spellEnd"/>
      <w:r>
        <w:t xml:space="preserve">, A., </w:t>
      </w:r>
      <w:proofErr w:type="spellStart"/>
      <w:r>
        <w:t>Barkham</w:t>
      </w:r>
      <w:proofErr w:type="spellEnd"/>
      <w:r>
        <w:t>, M., Knapp, M., Byford, S., Gilbody, S., Parry, G. (2014). A systematic review, psychometric analysis and qualitati</w:t>
      </w:r>
      <w:r>
        <w:t xml:space="preserve">ve assessment of generic preference-based measures of health in mental health populations and the estimation of mapping functions from widely used specific measures. Health </w:t>
      </w:r>
      <w:proofErr w:type="spellStart"/>
      <w:r>
        <w:t>Technol</w:t>
      </w:r>
      <w:proofErr w:type="spellEnd"/>
      <w:r>
        <w:t xml:space="preserve"> Assess 18. </w:t>
      </w:r>
    </w:p>
    <w:p w14:paraId="6B8A1BDA" w14:textId="77777777" w:rsidR="0005042F" w:rsidRDefault="007D1A26">
      <w:pPr>
        <w:ind w:left="720" w:hanging="720"/>
      </w:pPr>
      <w:r>
        <w:t>Briggs, A. (2016). A view from the bridge: health economic eval</w:t>
      </w:r>
      <w:r>
        <w:t>uation—a value-based framework? Health Econ. 25(12): 1499–1502.</w:t>
      </w:r>
    </w:p>
    <w:p w14:paraId="2C5B621F" w14:textId="77777777" w:rsidR="0005042F" w:rsidRDefault="007D1A26">
      <w:pPr>
        <w:ind w:left="720" w:hanging="720"/>
      </w:pPr>
      <w:r>
        <w:t xml:space="preserve">Brouwer, W. B. F., </w:t>
      </w:r>
      <w:proofErr w:type="spellStart"/>
      <w:r>
        <w:t>Culyer</w:t>
      </w:r>
      <w:proofErr w:type="spellEnd"/>
      <w:r>
        <w:t xml:space="preserve">, A. J., van </w:t>
      </w:r>
      <w:proofErr w:type="spellStart"/>
      <w:r>
        <w:t>Exel</w:t>
      </w:r>
      <w:proofErr w:type="spellEnd"/>
      <w:r>
        <w:t>, N. J. A., Rutten, F. F. H. (2008). Welfarism vs. extra-welfarism. Journal of Health Economics 27, 325-338.</w:t>
      </w:r>
    </w:p>
    <w:p w14:paraId="48D016B4" w14:textId="77777777" w:rsidR="0005042F" w:rsidRDefault="007D1A26">
      <w:pPr>
        <w:ind w:left="720" w:hanging="720"/>
      </w:pPr>
      <w:r>
        <w:t xml:space="preserve">Care Quality Commission (2017) About us: </w:t>
      </w:r>
      <w:r>
        <w:t>What we do and how we do it. https://www.cqc.org.uk/sites/default/files/20170504_CQC_About-us.pdf</w:t>
      </w:r>
    </w:p>
    <w:p w14:paraId="7203D041" w14:textId="77777777" w:rsidR="0005042F" w:rsidRDefault="007D1A26">
      <w:pPr>
        <w:ind w:left="720" w:hanging="720"/>
      </w:pPr>
      <w:r>
        <w:t xml:space="preserve">Cavallaro, F., Ewbank, L., Marszalek, K., Grimm, F., </w:t>
      </w:r>
      <w:proofErr w:type="spellStart"/>
      <w:r>
        <w:t>Tallack</w:t>
      </w:r>
      <w:proofErr w:type="spellEnd"/>
      <w:r>
        <w:t xml:space="preserve">, C. (2023) Longer hospital stays and fewer admissions: How NHS hospital care changed in England </w:t>
      </w:r>
      <w:r>
        <w:t>between 2019 and 2022. https://www.health.org.uk/publications/long-reads/longer-hospital-stays-and-fewer-admissions</w:t>
      </w:r>
    </w:p>
    <w:p w14:paraId="175937CA" w14:textId="77777777" w:rsidR="0005042F" w:rsidRDefault="007D1A26">
      <w:pPr>
        <w:ind w:left="720" w:hanging="720"/>
      </w:pPr>
      <w:r>
        <w:t xml:space="preserve">Claxton, K., Martin, S., Soares, M., Rice, N., Spackman, E., Hinde, S., Devlin, N., Smith, P., </w:t>
      </w:r>
      <w:proofErr w:type="spellStart"/>
      <w:r>
        <w:t>Sculpher</w:t>
      </w:r>
      <w:proofErr w:type="spellEnd"/>
      <w:r>
        <w:t>, M. (2015). Methods for the Estimati</w:t>
      </w:r>
      <w:r>
        <w:t>on of the NICE Cost Effectiveness Threshold. Health Technology Assessment 19.</w:t>
      </w:r>
    </w:p>
    <w:p w14:paraId="54BE02B2" w14:textId="77777777" w:rsidR="0005042F" w:rsidRDefault="007D1A26">
      <w:pPr>
        <w:ind w:left="720" w:hanging="720"/>
      </w:pPr>
      <w:r>
        <w:t>Coast, J. (2004). Is economic evaluation in touch with society’s health values? British Medical Journal, 329, 1233–1236.</w:t>
      </w:r>
    </w:p>
    <w:p w14:paraId="187A36FD" w14:textId="77777777" w:rsidR="0005042F" w:rsidRDefault="007D1A26">
      <w:pPr>
        <w:ind w:left="720" w:hanging="720"/>
      </w:pPr>
      <w:r>
        <w:t xml:space="preserve">Coast, J., Smith, R., </w:t>
      </w:r>
      <w:proofErr w:type="spellStart"/>
      <w:r>
        <w:t>Lorgelly</w:t>
      </w:r>
      <w:proofErr w:type="spellEnd"/>
      <w:r>
        <w:t>, P. (2008). Welfarism, ext</w:t>
      </w:r>
      <w:r>
        <w:t>ra-welfarism and capability: The spread of ideas in health economics.  Social Science and Medicine 67, 1190-1198.</w:t>
      </w:r>
    </w:p>
    <w:p w14:paraId="239C56F6" w14:textId="77777777" w:rsidR="0005042F" w:rsidRDefault="007D1A26">
      <w:pPr>
        <w:ind w:left="720" w:hanging="720"/>
      </w:pPr>
      <w:r>
        <w:t>Curtis, L., Burns, A. (2016). Unit Costs of Health and Social Care 2016. In Personal Social Services Research Unit. University of Kent, Canter</w:t>
      </w:r>
      <w:r>
        <w:t>bury.</w:t>
      </w:r>
    </w:p>
    <w:p w14:paraId="3FC0E70C" w14:textId="77777777" w:rsidR="0005042F" w:rsidRDefault="007D1A26">
      <w:pPr>
        <w:ind w:left="720" w:hanging="720"/>
      </w:pPr>
      <w:proofErr w:type="spellStart"/>
      <w:r>
        <w:t>Delaffon</w:t>
      </w:r>
      <w:proofErr w:type="spellEnd"/>
      <w:r>
        <w:t xml:space="preserve">, V., Anwar, Z., </w:t>
      </w:r>
      <w:proofErr w:type="spellStart"/>
      <w:r>
        <w:t>Noushad</w:t>
      </w:r>
      <w:proofErr w:type="spellEnd"/>
      <w:r>
        <w:t xml:space="preserve">, F., Ahmed, A.S., </w:t>
      </w:r>
      <w:proofErr w:type="spellStart"/>
      <w:r>
        <w:t>Brugha</w:t>
      </w:r>
      <w:proofErr w:type="spellEnd"/>
      <w:r>
        <w:t>, T.S. (2012). Use of Health of the Nation Outcome Scales in psychiatry. Advances in Psychiatric Treatment 18, 173-179.</w:t>
      </w:r>
    </w:p>
    <w:p w14:paraId="666C7C5E" w14:textId="77777777" w:rsidR="0005042F" w:rsidRDefault="007D1A26">
      <w:pPr>
        <w:ind w:left="720" w:hanging="720"/>
      </w:pPr>
      <w:r>
        <w:lastRenderedPageBreak/>
        <w:t xml:space="preserve">Department of Health (2010). Healthy Lives, Healthy People: Our strategy </w:t>
      </w:r>
      <w:r>
        <w:t xml:space="preserve">for public health in England. CM 7985. </w:t>
      </w:r>
      <w:hyperlink r:id="rId7">
        <w:r>
          <w:rPr>
            <w:color w:val="0563C1"/>
            <w:u w:val="single"/>
          </w:rPr>
          <w:t>https://www.gov.uk/government/publications/healthy-lives-healthy-people-our-strategy</w:t>
        </w:r>
        <w:r>
          <w:rPr>
            <w:color w:val="0563C1"/>
            <w:u w:val="single"/>
          </w:rPr>
          <w:t>-for-public-health-in-england</w:t>
        </w:r>
      </w:hyperlink>
      <w:r>
        <w:t xml:space="preserve"> [accessed 28 June 2023]</w:t>
      </w:r>
    </w:p>
    <w:p w14:paraId="6AEC0726" w14:textId="77777777" w:rsidR="0005042F" w:rsidRDefault="007D1A26">
      <w:pPr>
        <w:ind w:left="720" w:hanging="720"/>
      </w:pPr>
      <w:r>
        <w:t xml:space="preserve">Department of Health and Social Care (2021). The NHS Constitution for England. </w:t>
      </w:r>
      <w:hyperlink r:id="rId8">
        <w:r>
          <w:rPr>
            <w:color w:val="0563C1"/>
            <w:u w:val="single"/>
          </w:rPr>
          <w:t>https://www.gov.uk/government/publications/the-nhs-constitution-for-england/the-nhs-constitution-for-england</w:t>
        </w:r>
      </w:hyperlink>
      <w:r>
        <w:t xml:space="preserve"> [accessed 28 June 202</w:t>
      </w:r>
      <w:r>
        <w:t>3]</w:t>
      </w:r>
    </w:p>
    <w:p w14:paraId="7BDB374F" w14:textId="77777777" w:rsidR="0005042F" w:rsidRDefault="007D1A26">
      <w:pPr>
        <w:ind w:left="720" w:hanging="720"/>
      </w:pPr>
      <w:r>
        <w:t>Devlin, N., Parkin, M. Does NICE have cost-effectiveness threshold and what other factors influence its decisions? A binary choice analysis. Health Econ. 13, 437-452. DOI:10.1002/hec.864</w:t>
      </w:r>
    </w:p>
    <w:p w14:paraId="23E5D14E" w14:textId="77777777" w:rsidR="0005042F" w:rsidRDefault="007D1A26">
      <w:pPr>
        <w:ind w:left="720" w:hanging="720"/>
      </w:pPr>
      <w:r>
        <w:t xml:space="preserve">Devlin, N., Sussex, J. (2011). Incorporating Multiple Criteria in </w:t>
      </w:r>
      <w:r>
        <w:t xml:space="preserve">HTA. Methods and Processes. Office of Health Economics, London. </w:t>
      </w:r>
      <w:hyperlink r:id="rId9">
        <w:r>
          <w:rPr>
            <w:color w:val="0563C1"/>
            <w:u w:val="single"/>
          </w:rPr>
          <w:t>https://www.ohe.org/wp-content/uploads/2014/07/350-IncorporatingMutlipleCriteria.pdf</w:t>
        </w:r>
      </w:hyperlink>
    </w:p>
    <w:p w14:paraId="429B5DB3" w14:textId="77777777" w:rsidR="0005042F" w:rsidRDefault="007D1A26">
      <w:pPr>
        <w:ind w:left="720" w:hanging="720"/>
      </w:pPr>
      <w:r>
        <w:t>Don</w:t>
      </w:r>
      <w:r>
        <w:t>aldson, C., Baker, R., Mason, A., Jones-Lee, M., Lascar, E. et al. (2011). The social value of a QALY: raising the bar or barring the raise? BMC Health Services Research, 11:8.</w:t>
      </w:r>
    </w:p>
    <w:p w14:paraId="5D6676FD" w14:textId="77777777" w:rsidR="0005042F" w:rsidRDefault="007D1A26">
      <w:pPr>
        <w:ind w:left="720" w:hanging="720"/>
      </w:pPr>
      <w:r>
        <w:t xml:space="preserve">Drummond, M. F., </w:t>
      </w:r>
      <w:proofErr w:type="spellStart"/>
      <w:r>
        <w:t>Sculpher</w:t>
      </w:r>
      <w:proofErr w:type="spellEnd"/>
      <w:r>
        <w:t>, M. J., Claxton, K., Stoddart, G. L., Torrance, G. W.</w:t>
      </w:r>
      <w:r>
        <w:t xml:space="preserve"> (2015). Methods for the Economic Evaluation of Health Care Programmes. Oxford: Oxford University Press.</w:t>
      </w:r>
    </w:p>
    <w:p w14:paraId="3EEFB561" w14:textId="77777777" w:rsidR="0005042F" w:rsidRDefault="007D1A26">
      <w:pPr>
        <w:ind w:left="720" w:hanging="720"/>
      </w:pPr>
      <w:r>
        <w:t xml:space="preserve">Entwistle, V., </w:t>
      </w:r>
      <w:proofErr w:type="spellStart"/>
      <w:r>
        <w:t>Firnigl</w:t>
      </w:r>
      <w:proofErr w:type="spellEnd"/>
      <w:r>
        <w:t>, D., Ryan, M., Francis, J., Kinghorn, P. (2012). Which Experiences of Health Care Delivery Matter to Service Users and Why? A Cr</w:t>
      </w:r>
      <w:r>
        <w:t>itical Interpretive Synthesis and Conceptual Map. Journal of Health Services Research &amp; Policy 17, 70-78.</w:t>
      </w:r>
    </w:p>
    <w:p w14:paraId="0D0E328B" w14:textId="77777777" w:rsidR="0005042F" w:rsidRDefault="007D1A26">
      <w:pPr>
        <w:ind w:left="720" w:hanging="720"/>
      </w:pPr>
      <w:r>
        <w:t>Frazão, T., Camilo, D., Cabral, E., Souza, R. (2018). Multicriteria decision analysis (MCDA) in health care: a systematic review of the main character</w:t>
      </w:r>
      <w:r>
        <w:t>istics and methodological steps. BMC Medical Informatics and Decision Making. 18:90. https://doi.org/10.1186/s12911-018-0663-1</w:t>
      </w:r>
    </w:p>
    <w:p w14:paraId="74B5ABFA" w14:textId="77777777" w:rsidR="0005042F" w:rsidRDefault="007D1A26">
      <w:pPr>
        <w:ind w:left="720" w:hanging="720"/>
      </w:pPr>
      <w:r>
        <w:t>Gilburt, H., Rose, D., Slade, M. (2008). The importance of relationships in mental health care: A qualitative study of service us</w:t>
      </w:r>
      <w:r>
        <w:t>ers' experiences of psychiatric hospital admission in the UK. BMC Health Services Research 8, 92.</w:t>
      </w:r>
    </w:p>
    <w:p w14:paraId="4CA80746" w14:textId="77777777" w:rsidR="0005042F" w:rsidRDefault="007D1A26">
      <w:pPr>
        <w:ind w:left="720" w:hanging="720"/>
      </w:pPr>
      <w:proofErr w:type="spellStart"/>
      <w:r>
        <w:t>Iezzoni</w:t>
      </w:r>
      <w:proofErr w:type="spellEnd"/>
      <w:r>
        <w:t>, L. I. (2012). Risk Adjustment for Measuring Health Care Outcomes.</w:t>
      </w:r>
    </w:p>
    <w:p w14:paraId="652BED0E" w14:textId="77777777" w:rsidR="0005042F" w:rsidRDefault="007D1A26">
      <w:pPr>
        <w:ind w:left="720" w:hanging="720"/>
      </w:pPr>
      <w:r>
        <w:t>Jacobs, R., McDaid, D. (2010). Performance measurement in mental health services. I</w:t>
      </w:r>
      <w:r>
        <w:t xml:space="preserve">n Performance measurement for health system improvement: experiences, challenges and </w:t>
      </w:r>
      <w:proofErr w:type="gramStart"/>
      <w:r>
        <w:t>prospects(</w:t>
      </w:r>
      <w:proofErr w:type="gramEnd"/>
      <w:r>
        <w:t xml:space="preserve">Eds, Smith, P. C., </w:t>
      </w:r>
      <w:proofErr w:type="spellStart"/>
      <w:r>
        <w:t>Mossialos</w:t>
      </w:r>
      <w:proofErr w:type="spellEnd"/>
      <w:r>
        <w:t xml:space="preserve">, E., </w:t>
      </w:r>
      <w:proofErr w:type="spellStart"/>
      <w:r>
        <w:t>Papanicolas</w:t>
      </w:r>
      <w:proofErr w:type="spellEnd"/>
      <w:r>
        <w:t>, I., Leatherman, S.). 426 - 471.</w:t>
      </w:r>
    </w:p>
    <w:p w14:paraId="6132301D" w14:textId="77777777" w:rsidR="0005042F" w:rsidRDefault="007D1A26">
      <w:pPr>
        <w:ind w:left="720" w:hanging="720"/>
      </w:pPr>
      <w:r>
        <w:t xml:space="preserve">Jacobs, R., Smith, P. C., Street, A. (2006). Measuring Efficiency in Health Care: </w:t>
      </w:r>
      <w:r>
        <w:t>Analytic Techniques and Health Policy. Cambridge: Cambridge University Press.</w:t>
      </w:r>
    </w:p>
    <w:p w14:paraId="5D6CB64E" w14:textId="77777777" w:rsidR="0005042F" w:rsidRDefault="007D1A26">
      <w:pPr>
        <w:ind w:left="720" w:hanging="720"/>
        <w:jc w:val="left"/>
      </w:pPr>
      <w:r>
        <w:t>Health and Social Care Act (2012) UK Public General Acts, Available at: https://www.legislation.gov.uk/ukpga/2012/7/contents/enacted</w:t>
      </w:r>
    </w:p>
    <w:p w14:paraId="2E9AAC26" w14:textId="77777777" w:rsidR="0005042F" w:rsidRDefault="007D1A26">
      <w:proofErr w:type="spellStart"/>
      <w:r>
        <w:t>Karnon</w:t>
      </w:r>
      <w:proofErr w:type="spellEnd"/>
      <w:r>
        <w:t>, J., Caffrey, O., Pham, C., Grieve, R.</w:t>
      </w:r>
      <w:r>
        <w:t>, Ben-</w:t>
      </w:r>
      <w:proofErr w:type="spellStart"/>
      <w:r>
        <w:t>Tovim</w:t>
      </w:r>
      <w:proofErr w:type="spellEnd"/>
      <w:r>
        <w:t xml:space="preserve">, D., </w:t>
      </w:r>
      <w:proofErr w:type="spellStart"/>
      <w:r>
        <w:t>Hakendorf</w:t>
      </w:r>
      <w:proofErr w:type="spellEnd"/>
      <w:r>
        <w:t>, P., Crotty, M. (2013). Applying Risk Adjusted Cost‐Effectiveness (RAC‐E) Analysis to Hospitals: Estimating the Costs and Consequences of Variation in Clinical Practice. Health Economics 22, 631-642.</w:t>
      </w:r>
    </w:p>
    <w:p w14:paraId="7ECAF129" w14:textId="77777777" w:rsidR="0005042F" w:rsidRDefault="007D1A26">
      <w:pPr>
        <w:ind w:left="720" w:hanging="720"/>
      </w:pPr>
      <w:proofErr w:type="spellStart"/>
      <w:r>
        <w:t>Keetharuth</w:t>
      </w:r>
      <w:proofErr w:type="spellEnd"/>
      <w:r>
        <w:t>, A., Rowen, D. (20</w:t>
      </w:r>
      <w:r>
        <w:t>20). Mapping the Health of Nation Outcomes Scale (</w:t>
      </w:r>
      <w:proofErr w:type="spellStart"/>
      <w:r>
        <w:t>HoNOS</w:t>
      </w:r>
      <w:proofErr w:type="spellEnd"/>
      <w:r>
        <w:t>) onto the Recovering Quality of Life Utility Index (</w:t>
      </w:r>
      <w:proofErr w:type="spellStart"/>
      <w:r>
        <w:t>ReQoL</w:t>
      </w:r>
      <w:proofErr w:type="spellEnd"/>
      <w:r>
        <w:t>-UI). In ScHARR HEDS Discussion Papers. University of Sheffield.</w:t>
      </w:r>
    </w:p>
    <w:p w14:paraId="4A92BD69" w14:textId="77777777" w:rsidR="0005042F" w:rsidRDefault="007D1A26">
      <w:pPr>
        <w:ind w:left="720" w:hanging="720"/>
      </w:pPr>
      <w:proofErr w:type="spellStart"/>
      <w:r>
        <w:t>Keetharuth</w:t>
      </w:r>
      <w:proofErr w:type="spellEnd"/>
      <w:r>
        <w:t>, A., Rowen, D., Björner, J. B., Brazier, J. (2020). Estimating a pr</w:t>
      </w:r>
      <w:r>
        <w:t>eference-based index for mental health from the Recovering Quality of Life (</w:t>
      </w:r>
      <w:proofErr w:type="spellStart"/>
      <w:r>
        <w:t>ReQoL</w:t>
      </w:r>
      <w:proofErr w:type="spellEnd"/>
      <w:r>
        <w:t xml:space="preserve">) measure: valuation of </w:t>
      </w:r>
      <w:proofErr w:type="spellStart"/>
      <w:r>
        <w:t>ReQoL</w:t>
      </w:r>
      <w:proofErr w:type="spellEnd"/>
      <w:r>
        <w:t>-UI. In ScHARR HEDS Discussion Papers. University of Sheffield.</w:t>
      </w:r>
    </w:p>
    <w:p w14:paraId="7A79475F" w14:textId="77777777" w:rsidR="0005042F" w:rsidRDefault="007D1A26">
      <w:pPr>
        <w:ind w:left="720" w:hanging="720"/>
      </w:pPr>
      <w:r>
        <w:lastRenderedPageBreak/>
        <w:t xml:space="preserve">McCrone, P., </w:t>
      </w:r>
      <w:proofErr w:type="spellStart"/>
      <w:r>
        <w:t>Dhanasiri</w:t>
      </w:r>
      <w:proofErr w:type="spellEnd"/>
      <w:r>
        <w:t xml:space="preserve">, S., Patel, A., Knapp, M., Lawton-Smith, S. (2008). Paying </w:t>
      </w:r>
      <w:r>
        <w:t>the Price: The cost of mental health care in England to 2026. The King's Fund.</w:t>
      </w:r>
    </w:p>
    <w:p w14:paraId="19B40CBD" w14:textId="77777777" w:rsidR="0005042F" w:rsidRDefault="007D1A26">
      <w:pPr>
        <w:ind w:left="720" w:hanging="720"/>
      </w:pPr>
      <w:r>
        <w:t xml:space="preserve">Mental Health Taskforce (2016). The </w:t>
      </w:r>
      <w:proofErr w:type="gramStart"/>
      <w:r>
        <w:t>Five Year</w:t>
      </w:r>
      <w:proofErr w:type="gramEnd"/>
      <w:r>
        <w:t xml:space="preserve"> Forward View For Mental Health.</w:t>
      </w:r>
    </w:p>
    <w:p w14:paraId="2B5960A4" w14:textId="77777777" w:rsidR="0005042F" w:rsidRDefault="007D1A26">
      <w:pPr>
        <w:ind w:left="720" w:hanging="720"/>
      </w:pPr>
      <w:r>
        <w:t>Moran, V., Jacobs, R. (2018). Investigating the relationship between costs and outcomes for English</w:t>
      </w:r>
      <w:r>
        <w:t xml:space="preserve"> mental health providers: a bi-variate multi-level regression analysis. The European Journal of Health Economics 19, 709-718.</w:t>
      </w:r>
    </w:p>
    <w:p w14:paraId="1EDD2CFA" w14:textId="77777777" w:rsidR="0005042F" w:rsidRDefault="007D1A26">
      <w:pPr>
        <w:ind w:left="720" w:hanging="720"/>
      </w:pPr>
      <w:r>
        <w:t>Murray, C. J. L., Frenk, J. (2000). A framework for assessing the performance of health systems. Bulletin of the World Health Orga</w:t>
      </w:r>
      <w:r>
        <w:t>nization 78(6), 717-731.</w:t>
      </w:r>
    </w:p>
    <w:p w14:paraId="26132B8B" w14:textId="77777777" w:rsidR="0005042F" w:rsidRDefault="007D1A26">
      <w:pPr>
        <w:ind w:left="720" w:hanging="720"/>
      </w:pPr>
      <w:r>
        <w:t>Newman, D., O'Reilly, P., Lee, S. H., Kennedy, C. (2015). Mental health service users' experiences of mental health care: an integrative literature review. Journal of Psychiatric and Mental Health Nursing 22, 171-182.</w:t>
      </w:r>
    </w:p>
    <w:p w14:paraId="487A3A3A" w14:textId="77777777" w:rsidR="0005042F" w:rsidRDefault="007D1A26">
      <w:pPr>
        <w:ind w:left="720" w:hanging="720"/>
      </w:pPr>
      <w:r>
        <w:t>NHS (2017). N</w:t>
      </w:r>
      <w:r>
        <w:t xml:space="preserve">ext steps on the NHS Five Year Forward View. </w:t>
      </w:r>
      <w:hyperlink r:id="rId10">
        <w:r>
          <w:rPr>
            <w:color w:val="0563C1"/>
            <w:u w:val="single"/>
          </w:rPr>
          <w:t>https://www.england.nhs.uk/wp-content/uploads/2017/03/NEXT-STEPS-ON-THE-NHS-FIVE-YEAR-FOR</w:t>
        </w:r>
        <w:r>
          <w:rPr>
            <w:color w:val="0563C1"/>
            <w:u w:val="single"/>
          </w:rPr>
          <w:t>WARD-VIEW.pdf</w:t>
        </w:r>
      </w:hyperlink>
      <w:r>
        <w:t xml:space="preserve"> [accessed 28 June 2023]</w:t>
      </w:r>
    </w:p>
    <w:p w14:paraId="1418AEE5" w14:textId="77777777" w:rsidR="0005042F" w:rsidRDefault="007D1A26">
      <w:pPr>
        <w:ind w:left="720" w:hanging="720"/>
      </w:pPr>
      <w:r>
        <w:t>NHS Digital (2009). Adult Psychiatric Morbidity in England - 2007, Results of a household survey.</w:t>
      </w:r>
    </w:p>
    <w:p w14:paraId="11FA4948" w14:textId="77777777" w:rsidR="0005042F" w:rsidRDefault="007D1A26">
      <w:pPr>
        <w:ind w:left="720" w:hanging="720"/>
      </w:pPr>
      <w:r>
        <w:t>NHS Digital (2016). Adult Psychiatric Morbidity Survey: Survey of Mental Health and Wellbeing, England, 2014.</w:t>
      </w:r>
    </w:p>
    <w:p w14:paraId="49DA0A93" w14:textId="77777777" w:rsidR="0005042F" w:rsidRDefault="007D1A26">
      <w:pPr>
        <w:ind w:left="720" w:hanging="720"/>
      </w:pPr>
      <w:r>
        <w:t>NHS Englan</w:t>
      </w:r>
      <w:r>
        <w:t xml:space="preserve">d (2016). Implementing the Five Year Forward View for Mental Health. </w:t>
      </w:r>
      <w:hyperlink r:id="rId11">
        <w:r>
          <w:rPr>
            <w:color w:val="0563C1"/>
            <w:u w:val="single"/>
          </w:rPr>
          <w:t>https://www.england.nhs.uk/wp-content/uploads/2016/07/fyfv-mh.pdf</w:t>
        </w:r>
      </w:hyperlink>
      <w:r>
        <w:t xml:space="preserve"> [accessed 28 June 2023]</w:t>
      </w:r>
    </w:p>
    <w:p w14:paraId="4CD484D0" w14:textId="77777777" w:rsidR="0005042F" w:rsidRDefault="007D1A26">
      <w:pPr>
        <w:ind w:left="720" w:hanging="720"/>
      </w:pPr>
      <w:r>
        <w:t xml:space="preserve">Paulden, M. </w:t>
      </w:r>
      <w:r>
        <w:t>(2017). Recent amendments to NICE’s value-based assessment of health technologies: implicitly inequitable? Expert Review of Pharmacoeconomics &amp; Outcomes Research 17, 239-242.</w:t>
      </w:r>
    </w:p>
    <w:p w14:paraId="0FF8107C" w14:textId="1469578B" w:rsidR="0005042F" w:rsidRDefault="007D1A26">
      <w:pPr>
        <w:ind w:left="720" w:hanging="720"/>
      </w:pPr>
      <w:r>
        <w:t>Powell, P.A., Rowen, D. (2022). What Matters for Evaluating the Quality of Mental</w:t>
      </w:r>
      <w:r>
        <w:t xml:space="preserve"> Healthcare? Identifying Important Aspects in Qualitative Focus Groups with Service Users and Frontline Mental Health Professionals. The Patient: Patient-</w:t>
      </w:r>
      <w:proofErr w:type="spellStart"/>
      <w:r>
        <w:t>Centered</w:t>
      </w:r>
      <w:proofErr w:type="spellEnd"/>
      <w:r>
        <w:t xml:space="preserve"> Outcomes Research 15, 669-678.</w:t>
      </w:r>
    </w:p>
    <w:p w14:paraId="3A9D0E42" w14:textId="77777777" w:rsidR="0005042F" w:rsidRDefault="007D1A26">
      <w:pPr>
        <w:ind w:left="720" w:hanging="720"/>
      </w:pPr>
      <w:proofErr w:type="spellStart"/>
      <w:r>
        <w:t>QualityWatch</w:t>
      </w:r>
      <w:proofErr w:type="spellEnd"/>
      <w:r>
        <w:t xml:space="preserve"> (2015). Focus on: People with mental ill health and hospital use. Nuffield Trust and The Health Foundation.</w:t>
      </w:r>
    </w:p>
    <w:p w14:paraId="3638D012" w14:textId="77777777" w:rsidR="0005042F" w:rsidRDefault="007D1A26">
      <w:pPr>
        <w:ind w:left="720" w:hanging="720"/>
      </w:pPr>
      <w:r>
        <w:t xml:space="preserve">Ride, J., </w:t>
      </w:r>
      <w:proofErr w:type="spellStart"/>
      <w:r>
        <w:t>Kasteridis</w:t>
      </w:r>
      <w:proofErr w:type="spellEnd"/>
      <w:r>
        <w:t xml:space="preserve">, P., </w:t>
      </w:r>
      <w:proofErr w:type="spellStart"/>
      <w:r>
        <w:t>Gutacker</w:t>
      </w:r>
      <w:proofErr w:type="spellEnd"/>
      <w:r>
        <w:t xml:space="preserve">, N., Aragon </w:t>
      </w:r>
      <w:proofErr w:type="spellStart"/>
      <w:r>
        <w:t>Aragon</w:t>
      </w:r>
      <w:proofErr w:type="spellEnd"/>
      <w:r>
        <w:t>, M. J., Jacobs, R. (2019). Healthcare Costs for People with Serious Mental Illness in England</w:t>
      </w:r>
      <w:r>
        <w:t>: An Analysis of Costs Across Primary Care, Hospital Care, and Specialist Mental Healthcare. Applied Health Economics and Health Policy.</w:t>
      </w:r>
    </w:p>
    <w:p w14:paraId="3C931110" w14:textId="77777777" w:rsidR="0005042F" w:rsidRDefault="007D1A26">
      <w:pPr>
        <w:ind w:left="720" w:hanging="720"/>
      </w:pPr>
      <w:r>
        <w:t>Rowen, D., Powell, P. A., Hole, A. R., Aragón, M. J., Castelli, A., Jacobs, R. (2022). Valuing quality in mental health</w:t>
      </w:r>
      <w:r>
        <w:t>care: A discrete choice experiment eliciting preferences from mental healthcare service users, mental healthcare professionals and the general population. Social Science and Medicine, https://doi.org/10.1016/j.socscimed.2022.114885.</w:t>
      </w:r>
    </w:p>
    <w:p w14:paraId="71027A70" w14:textId="77777777" w:rsidR="0005042F" w:rsidRDefault="007D1A26">
      <w:pPr>
        <w:ind w:left="720" w:hanging="720"/>
      </w:pPr>
      <w:r>
        <w:t xml:space="preserve">Ryan, A.M., Tompkins, </w:t>
      </w:r>
      <w:r>
        <w:t>C.P. (2014) Efficiency and Value in Healthcare: Linking Cost and Quality Measures: A paper commissioned by the National Quality Forum. https://www.qualityforum.org/Publications/2014/11/Efficiency_and_Value_in_Healthcare__Linking_Cost_and_Quality_Measures_P</w:t>
      </w:r>
      <w:r>
        <w:t>aper.aspx</w:t>
      </w:r>
    </w:p>
    <w:p w14:paraId="071FFC8C" w14:textId="77777777" w:rsidR="0005042F" w:rsidRDefault="007D1A26">
      <w:pPr>
        <w:ind w:left="720" w:hanging="720"/>
      </w:pPr>
      <w:r>
        <w:t>Self, R., Rigby, A., Leggett, C., Paxton, R. (2008). Clinical Decision Support Tool: A rational needs-based approach to making clinical decisions. Journal of Mental Health 17, 33-48.</w:t>
      </w:r>
    </w:p>
    <w:p w14:paraId="71284306" w14:textId="77777777" w:rsidR="0005042F" w:rsidRDefault="007D1A26">
      <w:pPr>
        <w:pBdr>
          <w:top w:val="nil"/>
          <w:left w:val="nil"/>
          <w:bottom w:val="nil"/>
          <w:right w:val="nil"/>
          <w:between w:val="nil"/>
        </w:pBdr>
        <w:ind w:left="720" w:hanging="720"/>
        <w:jc w:val="left"/>
        <w:rPr>
          <w:color w:val="000000"/>
        </w:rPr>
      </w:pPr>
      <w:proofErr w:type="spellStart"/>
      <w:r>
        <w:rPr>
          <w:color w:val="000000"/>
        </w:rPr>
        <w:lastRenderedPageBreak/>
        <w:t>Soekhai</w:t>
      </w:r>
      <w:proofErr w:type="spellEnd"/>
      <w:r>
        <w:rPr>
          <w:color w:val="000000"/>
        </w:rPr>
        <w:t>, V., de Bekker-Grob, E.W., Ellis, A.R., Vass, C.M. (201</w:t>
      </w:r>
      <w:r>
        <w:rPr>
          <w:color w:val="000000"/>
        </w:rPr>
        <w:t>9) Discrete Choice Experiments in Health Economics: Past, Present and Future. Pharmacoeconomics 37(2): 201-226.</w:t>
      </w:r>
    </w:p>
    <w:p w14:paraId="30A037EA" w14:textId="77777777" w:rsidR="0005042F" w:rsidRDefault="007D1A26">
      <w:pPr>
        <w:ind w:left="720" w:hanging="720"/>
      </w:pPr>
      <w:proofErr w:type="spellStart"/>
      <w:r>
        <w:t>Stamboglis</w:t>
      </w:r>
      <w:proofErr w:type="spellEnd"/>
      <w:r>
        <w:t>, N., Jacobs, R. (2020). Factors Associated with Patient Satisfaction of Community Mental Health Services: A Multilevel Approach. Comm</w:t>
      </w:r>
      <w:r>
        <w:t>unity Mental Health Journal 56, 50-64.</w:t>
      </w:r>
    </w:p>
    <w:p w14:paraId="0D8DD3DE" w14:textId="77777777" w:rsidR="0005042F" w:rsidRDefault="007D1A26">
      <w:pPr>
        <w:ind w:left="720" w:hanging="720"/>
      </w:pPr>
      <w:r>
        <w:t>Stinnett, A. A., Mullahy, J. (1998). Net health benefits: a new framework for the analysis of uncertainty in cost-effectiveness analysis. Medical Decision Making 18, S68-80.</w:t>
      </w:r>
    </w:p>
    <w:p w14:paraId="1505A68C" w14:textId="77777777" w:rsidR="0005042F" w:rsidRDefault="007D1A26">
      <w:pPr>
        <w:ind w:left="720" w:hanging="720"/>
      </w:pPr>
      <w:proofErr w:type="spellStart"/>
      <w:r>
        <w:t>Timbie</w:t>
      </w:r>
      <w:proofErr w:type="spellEnd"/>
      <w:r>
        <w:t xml:space="preserve">, J. W., Newhouse, J. P., Rosenthal, </w:t>
      </w:r>
      <w:r>
        <w:t>M. B., Normand, S.-L. T. (2008). A Cost-Effectiveness Framework for Profiling the Value of Hospital Care. Medical Decision Making 28, 419-434.</w:t>
      </w:r>
    </w:p>
    <w:p w14:paraId="14D2F37F" w14:textId="77777777" w:rsidR="0005042F" w:rsidRDefault="007D1A26">
      <w:pPr>
        <w:ind w:left="720" w:hanging="720"/>
      </w:pPr>
      <w:proofErr w:type="spellStart"/>
      <w:r>
        <w:t>Timbie</w:t>
      </w:r>
      <w:proofErr w:type="spellEnd"/>
      <w:r>
        <w:t>, J. W., Normand, S.-L. T. (2008). A comparison of methods for combining quality and efficiency performance</w:t>
      </w:r>
      <w:r>
        <w:t xml:space="preserve"> measures: Profiling the value of hospital care following acute myocardial infarction. Statistics in Medicine 27, 1351-1370.</w:t>
      </w:r>
    </w:p>
    <w:p w14:paraId="7BD4102C" w14:textId="77777777" w:rsidR="0005042F" w:rsidRDefault="007D1A26">
      <w:pPr>
        <w:ind w:left="720" w:hanging="720"/>
      </w:pPr>
      <w:proofErr w:type="spellStart"/>
      <w:r>
        <w:t>Urbanoski</w:t>
      </w:r>
      <w:proofErr w:type="spellEnd"/>
      <w:r>
        <w:t>, K., Inglis, D. (2019). Performance Measurement in Mental Health and Addictions Systems: A Scoping Review. Journal of Stu</w:t>
      </w:r>
      <w:r>
        <w:t>dies on Alcohol and Drugs, Supplement, 114-130.</w:t>
      </w:r>
    </w:p>
    <w:p w14:paraId="117D5B4D" w14:textId="77777777" w:rsidR="0005042F" w:rsidRDefault="007D1A26">
      <w:pPr>
        <w:ind w:left="720" w:hanging="720"/>
      </w:pPr>
      <w:r>
        <w:t xml:space="preserve">Wildman, J. McMeekin, P., Grieve, E., Briggs, A. (2016). Economic evaluation of integrated new technologies for health and social care: Suggestions for policy makers, users and evaluators. Social Science and </w:t>
      </w:r>
      <w:r>
        <w:t>Medicine, 169, 141-148. .doi.org/10.1016/j.socscimed.2016.09.033</w:t>
      </w:r>
    </w:p>
    <w:p w14:paraId="1124616E" w14:textId="77777777" w:rsidR="0005042F" w:rsidRDefault="007D1A26">
      <w:pPr>
        <w:ind w:left="720" w:hanging="720"/>
      </w:pPr>
      <w:r>
        <w:t>Wildman, J., Wildman, J.M. (2019). Combining health and outcomes beyond health in complex evaluations of complex interventions: suggestions for economic evaluation. Value in Health 22(5), 511</w:t>
      </w:r>
      <w:r>
        <w:t xml:space="preserve">-517.  //doi.org/10.1016/j.jval.2019.01.002 </w:t>
      </w:r>
    </w:p>
    <w:p w14:paraId="3BBA853D" w14:textId="77777777" w:rsidR="0005042F" w:rsidRDefault="007D1A26">
      <w:pPr>
        <w:ind w:left="720" w:hanging="720"/>
      </w:pPr>
      <w:r>
        <w:t xml:space="preserve">Wing, J. K., </w:t>
      </w:r>
      <w:proofErr w:type="spellStart"/>
      <w:r>
        <w:t>Beevor</w:t>
      </w:r>
      <w:proofErr w:type="spellEnd"/>
      <w:r>
        <w:t>, A. S., Curtis, R. H., Park, S. G. B., Hadden, J., Burns, A. (1998). Health of the Nation Outcome Scales (</w:t>
      </w:r>
      <w:proofErr w:type="spellStart"/>
      <w:r>
        <w:t>HoNOS</w:t>
      </w:r>
      <w:proofErr w:type="spellEnd"/>
      <w:r>
        <w:t>): Research and development. British Journal of Psychiatry 172, 11-18.</w:t>
      </w:r>
    </w:p>
    <w:p w14:paraId="7D964B8D" w14:textId="77777777" w:rsidR="0005042F" w:rsidRDefault="0005042F"/>
    <w:p w14:paraId="09DD4AA0" w14:textId="77777777" w:rsidR="0005042F" w:rsidRDefault="0005042F"/>
    <w:p w14:paraId="09848CE8" w14:textId="77777777" w:rsidR="0005042F" w:rsidRDefault="0005042F"/>
    <w:p w14:paraId="3D1E5D46" w14:textId="77777777" w:rsidR="0005042F" w:rsidRDefault="007D1A26">
      <w:pPr>
        <w:spacing w:after="160"/>
        <w:jc w:val="left"/>
      </w:pPr>
      <w:r>
        <w:br w:type="page"/>
      </w:r>
    </w:p>
    <w:p w14:paraId="50ED1AB9" w14:textId="77777777" w:rsidR="0005042F" w:rsidRDefault="007D1A26">
      <w:pPr>
        <w:keepNext/>
        <w:spacing w:line="240" w:lineRule="auto"/>
        <w:rPr>
          <w:rFonts w:ascii="Calibri" w:eastAsia="Calibri" w:hAnsi="Calibri" w:cs="Calibri"/>
          <w:b/>
          <w:color w:val="000000"/>
          <w:sz w:val="18"/>
          <w:szCs w:val="18"/>
        </w:rPr>
      </w:pPr>
      <w:r>
        <w:rPr>
          <w:rFonts w:ascii="Calibri" w:eastAsia="Calibri" w:hAnsi="Calibri" w:cs="Calibri"/>
          <w:b/>
          <w:color w:val="000000"/>
          <w:sz w:val="22"/>
          <w:szCs w:val="22"/>
        </w:rPr>
        <w:lastRenderedPageBreak/>
        <w:t>Tabl</w:t>
      </w:r>
      <w:r>
        <w:rPr>
          <w:rFonts w:ascii="Calibri" w:eastAsia="Calibri" w:hAnsi="Calibri" w:cs="Calibri"/>
          <w:b/>
          <w:color w:val="000000"/>
          <w:sz w:val="22"/>
          <w:szCs w:val="22"/>
        </w:rPr>
        <w:t>e 1.</w:t>
      </w:r>
      <w:r>
        <w:rPr>
          <w:rFonts w:ascii="Calibri" w:eastAsia="Calibri" w:hAnsi="Calibri" w:cs="Calibri"/>
          <w:color w:val="000000"/>
          <w:sz w:val="22"/>
          <w:szCs w:val="22"/>
        </w:rPr>
        <w:t xml:space="preserve"> </w:t>
      </w:r>
      <w:r>
        <w:rPr>
          <w:rFonts w:ascii="Calibri" w:eastAsia="Calibri" w:hAnsi="Calibri" w:cs="Calibri"/>
          <w:b/>
          <w:color w:val="000000"/>
          <w:sz w:val="22"/>
          <w:szCs w:val="22"/>
        </w:rPr>
        <w:t>Benefit attributes for mental healthcare</w:t>
      </w:r>
      <w:r>
        <w:rPr>
          <w:rFonts w:ascii="Calibri" w:eastAsia="Calibri" w:hAnsi="Calibri" w:cs="Calibri"/>
          <w:color w:val="000000"/>
          <w:sz w:val="22"/>
          <w:szCs w:val="22"/>
        </w:rPr>
        <w:t xml:space="preserve"> </w:t>
      </w:r>
    </w:p>
    <w:tbl>
      <w:tblPr>
        <w:tblStyle w:val="a"/>
        <w:tblW w:w="9083" w:type="dxa"/>
        <w:tblLayout w:type="fixed"/>
        <w:tblLook w:val="0400" w:firstRow="0" w:lastRow="0" w:firstColumn="0" w:lastColumn="0" w:noHBand="0" w:noVBand="1"/>
      </w:tblPr>
      <w:tblGrid>
        <w:gridCol w:w="1508"/>
        <w:gridCol w:w="76"/>
        <w:gridCol w:w="903"/>
        <w:gridCol w:w="3544"/>
        <w:gridCol w:w="3052"/>
      </w:tblGrid>
      <w:tr w:rsidR="0005042F" w14:paraId="45998756" w14:textId="77777777">
        <w:tc>
          <w:tcPr>
            <w:tcW w:w="1508" w:type="dxa"/>
            <w:tcBorders>
              <w:top w:val="single" w:sz="8" w:space="0" w:color="000000"/>
              <w:left w:val="nil"/>
              <w:bottom w:val="single" w:sz="8" w:space="0" w:color="000000"/>
              <w:right w:val="nil"/>
            </w:tcBorders>
            <w:tcMar>
              <w:top w:w="12" w:type="dxa"/>
              <w:left w:w="57" w:type="dxa"/>
              <w:bottom w:w="0" w:type="dxa"/>
              <w:right w:w="57" w:type="dxa"/>
            </w:tcMar>
            <w:vAlign w:val="center"/>
          </w:tcPr>
          <w:p w14:paraId="3327124F" w14:textId="77777777" w:rsidR="0005042F" w:rsidRDefault="007D1A26">
            <w:pPr>
              <w:jc w:val="center"/>
              <w:rPr>
                <w:sz w:val="18"/>
                <w:szCs w:val="18"/>
              </w:rPr>
            </w:pPr>
            <w:r>
              <w:rPr>
                <w:b/>
                <w:sz w:val="18"/>
                <w:szCs w:val="18"/>
              </w:rPr>
              <w:t>Attributes</w:t>
            </w:r>
          </w:p>
        </w:tc>
        <w:tc>
          <w:tcPr>
            <w:tcW w:w="76" w:type="dxa"/>
            <w:tcBorders>
              <w:top w:val="single" w:sz="8" w:space="0" w:color="000000"/>
              <w:left w:val="nil"/>
              <w:bottom w:val="single" w:sz="8" w:space="0" w:color="000000"/>
              <w:right w:val="nil"/>
            </w:tcBorders>
          </w:tcPr>
          <w:p w14:paraId="7CF63823" w14:textId="77777777" w:rsidR="0005042F" w:rsidRDefault="0005042F">
            <w:pPr>
              <w:jc w:val="center"/>
              <w:rPr>
                <w:b/>
                <w:sz w:val="18"/>
                <w:szCs w:val="18"/>
              </w:rPr>
            </w:pPr>
          </w:p>
        </w:tc>
        <w:tc>
          <w:tcPr>
            <w:tcW w:w="903" w:type="dxa"/>
            <w:tcBorders>
              <w:top w:val="single" w:sz="8" w:space="0" w:color="000000"/>
              <w:left w:val="nil"/>
              <w:bottom w:val="single" w:sz="8" w:space="0" w:color="000000"/>
              <w:right w:val="nil"/>
            </w:tcBorders>
            <w:tcMar>
              <w:top w:w="12" w:type="dxa"/>
              <w:left w:w="57" w:type="dxa"/>
              <w:bottom w:w="0" w:type="dxa"/>
              <w:right w:w="57" w:type="dxa"/>
            </w:tcMar>
          </w:tcPr>
          <w:p w14:paraId="0CD495F2" w14:textId="77777777" w:rsidR="0005042F" w:rsidRDefault="007D1A26">
            <w:pPr>
              <w:jc w:val="center"/>
              <w:rPr>
                <w:sz w:val="18"/>
                <w:szCs w:val="18"/>
              </w:rPr>
            </w:pPr>
            <w:r>
              <w:rPr>
                <w:b/>
                <w:sz w:val="18"/>
                <w:szCs w:val="18"/>
              </w:rPr>
              <w:t>Dataset</w:t>
            </w:r>
          </w:p>
        </w:tc>
        <w:tc>
          <w:tcPr>
            <w:tcW w:w="3544" w:type="dxa"/>
            <w:tcBorders>
              <w:top w:val="single" w:sz="8" w:space="0" w:color="000000"/>
              <w:left w:val="nil"/>
              <w:bottom w:val="single" w:sz="8" w:space="0" w:color="000000"/>
              <w:right w:val="nil"/>
            </w:tcBorders>
          </w:tcPr>
          <w:p w14:paraId="528928E0" w14:textId="77777777" w:rsidR="0005042F" w:rsidRDefault="007D1A26">
            <w:pPr>
              <w:jc w:val="center"/>
              <w:rPr>
                <w:b/>
                <w:sz w:val="18"/>
                <w:szCs w:val="18"/>
              </w:rPr>
            </w:pPr>
            <w:r>
              <w:rPr>
                <w:b/>
                <w:sz w:val="18"/>
                <w:szCs w:val="18"/>
              </w:rPr>
              <w:t>Definition</w:t>
            </w:r>
          </w:p>
        </w:tc>
        <w:tc>
          <w:tcPr>
            <w:tcW w:w="3052" w:type="dxa"/>
            <w:tcBorders>
              <w:top w:val="single" w:sz="8" w:space="0" w:color="000000"/>
              <w:left w:val="nil"/>
              <w:bottom w:val="single" w:sz="8" w:space="0" w:color="000000"/>
              <w:right w:val="nil"/>
            </w:tcBorders>
            <w:vAlign w:val="center"/>
          </w:tcPr>
          <w:p w14:paraId="72F1E98C" w14:textId="77777777" w:rsidR="0005042F" w:rsidRDefault="007D1A26">
            <w:pPr>
              <w:jc w:val="center"/>
              <w:rPr>
                <w:b/>
                <w:sz w:val="18"/>
                <w:szCs w:val="18"/>
              </w:rPr>
            </w:pPr>
            <w:r>
              <w:rPr>
                <w:b/>
                <w:sz w:val="18"/>
                <w:szCs w:val="18"/>
              </w:rPr>
              <w:t>DCE description</w:t>
            </w:r>
          </w:p>
        </w:tc>
      </w:tr>
      <w:tr w:rsidR="0005042F" w14:paraId="401DA3A2" w14:textId="77777777">
        <w:tc>
          <w:tcPr>
            <w:tcW w:w="1508" w:type="dxa"/>
            <w:tcBorders>
              <w:top w:val="single" w:sz="8" w:space="0" w:color="000000"/>
              <w:left w:val="nil"/>
              <w:bottom w:val="single" w:sz="8" w:space="0" w:color="000000"/>
              <w:right w:val="nil"/>
            </w:tcBorders>
            <w:tcMar>
              <w:top w:w="12" w:type="dxa"/>
              <w:left w:w="57" w:type="dxa"/>
              <w:bottom w:w="0" w:type="dxa"/>
              <w:right w:w="57" w:type="dxa"/>
            </w:tcMar>
          </w:tcPr>
          <w:p w14:paraId="2DE9C23D" w14:textId="77777777" w:rsidR="0005042F" w:rsidRDefault="007D1A26">
            <w:pPr>
              <w:jc w:val="left"/>
              <w:rPr>
                <w:sz w:val="18"/>
                <w:szCs w:val="18"/>
              </w:rPr>
            </w:pPr>
            <w:r>
              <w:rPr>
                <w:sz w:val="18"/>
                <w:szCs w:val="18"/>
              </w:rPr>
              <w:t>1. Waiting times</w:t>
            </w:r>
          </w:p>
        </w:tc>
        <w:tc>
          <w:tcPr>
            <w:tcW w:w="76" w:type="dxa"/>
            <w:tcBorders>
              <w:top w:val="single" w:sz="8" w:space="0" w:color="000000"/>
              <w:left w:val="nil"/>
              <w:bottom w:val="single" w:sz="8" w:space="0" w:color="000000"/>
              <w:right w:val="nil"/>
            </w:tcBorders>
          </w:tcPr>
          <w:p w14:paraId="7BCD6963" w14:textId="77777777" w:rsidR="0005042F" w:rsidRDefault="0005042F">
            <w:pPr>
              <w:jc w:val="left"/>
              <w:rPr>
                <w:sz w:val="18"/>
                <w:szCs w:val="18"/>
              </w:rPr>
            </w:pPr>
          </w:p>
        </w:tc>
        <w:tc>
          <w:tcPr>
            <w:tcW w:w="903" w:type="dxa"/>
            <w:tcBorders>
              <w:top w:val="single" w:sz="8" w:space="0" w:color="000000"/>
              <w:left w:val="nil"/>
              <w:bottom w:val="single" w:sz="8" w:space="0" w:color="000000"/>
              <w:right w:val="nil"/>
            </w:tcBorders>
            <w:tcMar>
              <w:top w:w="12" w:type="dxa"/>
              <w:left w:w="57" w:type="dxa"/>
              <w:bottom w:w="0" w:type="dxa"/>
              <w:right w:w="57" w:type="dxa"/>
            </w:tcMar>
          </w:tcPr>
          <w:p w14:paraId="1250E2E5" w14:textId="77777777" w:rsidR="0005042F" w:rsidRDefault="007D1A26">
            <w:pPr>
              <w:jc w:val="center"/>
              <w:rPr>
                <w:sz w:val="18"/>
                <w:szCs w:val="18"/>
              </w:rPr>
            </w:pPr>
            <w:r>
              <w:rPr>
                <w:sz w:val="18"/>
                <w:szCs w:val="18"/>
              </w:rPr>
              <w:t>MHMDS</w:t>
            </w:r>
          </w:p>
        </w:tc>
        <w:tc>
          <w:tcPr>
            <w:tcW w:w="3544" w:type="dxa"/>
            <w:tcBorders>
              <w:top w:val="single" w:sz="8" w:space="0" w:color="000000"/>
              <w:left w:val="nil"/>
              <w:bottom w:val="single" w:sz="8" w:space="0" w:color="000000"/>
              <w:right w:val="nil"/>
            </w:tcBorders>
          </w:tcPr>
          <w:p w14:paraId="441D1C45" w14:textId="77777777" w:rsidR="0005042F" w:rsidRDefault="007D1A26">
            <w:pPr>
              <w:jc w:val="left"/>
              <w:rPr>
                <w:sz w:val="18"/>
                <w:szCs w:val="18"/>
              </w:rPr>
            </w:pPr>
            <w:r>
              <w:rPr>
                <w:sz w:val="18"/>
                <w:szCs w:val="18"/>
              </w:rPr>
              <w:t>Days from referral date to cluster-episode start date (only calculated for the first cluster-episode)</w:t>
            </w:r>
          </w:p>
        </w:tc>
        <w:tc>
          <w:tcPr>
            <w:tcW w:w="3052" w:type="dxa"/>
            <w:tcBorders>
              <w:top w:val="single" w:sz="8" w:space="0" w:color="000000"/>
              <w:left w:val="nil"/>
              <w:bottom w:val="single" w:sz="8" w:space="0" w:color="000000"/>
              <w:right w:val="nil"/>
            </w:tcBorders>
          </w:tcPr>
          <w:p w14:paraId="2BD25BEF" w14:textId="77777777" w:rsidR="0005042F" w:rsidRDefault="007D1A26">
            <w:pPr>
              <w:jc w:val="left"/>
              <w:rPr>
                <w:sz w:val="18"/>
                <w:szCs w:val="18"/>
              </w:rPr>
            </w:pPr>
            <w:r>
              <w:rPr>
                <w:sz w:val="18"/>
                <w:szCs w:val="18"/>
              </w:rPr>
              <w:t xml:space="preserve">The time you wait to receive </w:t>
            </w:r>
            <w:r>
              <w:rPr>
                <w:sz w:val="18"/>
                <w:szCs w:val="18"/>
              </w:rPr>
              <w:t>healthcare is appropriate for your needs</w:t>
            </w:r>
          </w:p>
        </w:tc>
      </w:tr>
      <w:tr w:rsidR="0005042F" w14:paraId="29119C70" w14:textId="77777777">
        <w:tc>
          <w:tcPr>
            <w:tcW w:w="1508" w:type="dxa"/>
            <w:tcBorders>
              <w:top w:val="single" w:sz="8" w:space="0" w:color="000000"/>
              <w:left w:val="nil"/>
              <w:bottom w:val="single" w:sz="8" w:space="0" w:color="000000"/>
              <w:right w:val="nil"/>
            </w:tcBorders>
            <w:tcMar>
              <w:top w:w="12" w:type="dxa"/>
              <w:left w:w="57" w:type="dxa"/>
              <w:bottom w:w="0" w:type="dxa"/>
              <w:right w:w="57" w:type="dxa"/>
            </w:tcMar>
          </w:tcPr>
          <w:p w14:paraId="4C1B6673" w14:textId="77777777" w:rsidR="0005042F" w:rsidRDefault="007D1A26">
            <w:pPr>
              <w:jc w:val="left"/>
              <w:rPr>
                <w:sz w:val="18"/>
                <w:szCs w:val="18"/>
              </w:rPr>
            </w:pPr>
            <w:r>
              <w:rPr>
                <w:sz w:val="18"/>
                <w:szCs w:val="18"/>
              </w:rPr>
              <w:t>2. Ease of access</w:t>
            </w:r>
          </w:p>
        </w:tc>
        <w:tc>
          <w:tcPr>
            <w:tcW w:w="76" w:type="dxa"/>
            <w:tcBorders>
              <w:top w:val="single" w:sz="8" w:space="0" w:color="000000"/>
              <w:left w:val="nil"/>
              <w:bottom w:val="single" w:sz="8" w:space="0" w:color="000000"/>
              <w:right w:val="nil"/>
            </w:tcBorders>
          </w:tcPr>
          <w:p w14:paraId="5236397F" w14:textId="77777777" w:rsidR="0005042F" w:rsidRDefault="0005042F">
            <w:pPr>
              <w:jc w:val="left"/>
              <w:rPr>
                <w:sz w:val="18"/>
                <w:szCs w:val="18"/>
              </w:rPr>
            </w:pPr>
          </w:p>
        </w:tc>
        <w:tc>
          <w:tcPr>
            <w:tcW w:w="903" w:type="dxa"/>
            <w:tcBorders>
              <w:top w:val="single" w:sz="8" w:space="0" w:color="000000"/>
              <w:left w:val="nil"/>
              <w:bottom w:val="single" w:sz="8" w:space="0" w:color="000000"/>
              <w:right w:val="nil"/>
            </w:tcBorders>
            <w:tcMar>
              <w:top w:w="12" w:type="dxa"/>
              <w:left w:w="57" w:type="dxa"/>
              <w:bottom w:w="0" w:type="dxa"/>
              <w:right w:w="57" w:type="dxa"/>
            </w:tcMar>
          </w:tcPr>
          <w:p w14:paraId="05489050" w14:textId="77777777" w:rsidR="0005042F" w:rsidRDefault="007D1A26">
            <w:pPr>
              <w:jc w:val="center"/>
              <w:rPr>
                <w:sz w:val="18"/>
                <w:szCs w:val="18"/>
              </w:rPr>
            </w:pPr>
            <w:r>
              <w:rPr>
                <w:sz w:val="18"/>
                <w:szCs w:val="18"/>
              </w:rPr>
              <w:t>MHMDS</w:t>
            </w:r>
          </w:p>
        </w:tc>
        <w:tc>
          <w:tcPr>
            <w:tcW w:w="3544" w:type="dxa"/>
            <w:tcBorders>
              <w:top w:val="single" w:sz="8" w:space="0" w:color="000000"/>
              <w:left w:val="nil"/>
              <w:bottom w:val="single" w:sz="8" w:space="0" w:color="000000"/>
              <w:right w:val="nil"/>
            </w:tcBorders>
          </w:tcPr>
          <w:p w14:paraId="4BD4F200" w14:textId="77777777" w:rsidR="0005042F" w:rsidRDefault="007D1A26">
            <w:pPr>
              <w:jc w:val="left"/>
              <w:rPr>
                <w:sz w:val="18"/>
                <w:szCs w:val="18"/>
              </w:rPr>
            </w:pPr>
            <w:r>
              <w:rPr>
                <w:sz w:val="18"/>
                <w:szCs w:val="18"/>
              </w:rPr>
              <w:t xml:space="preserve">Treated in nearest site </w:t>
            </w:r>
          </w:p>
        </w:tc>
        <w:tc>
          <w:tcPr>
            <w:tcW w:w="3052" w:type="dxa"/>
            <w:tcBorders>
              <w:top w:val="single" w:sz="8" w:space="0" w:color="000000"/>
              <w:left w:val="nil"/>
              <w:bottom w:val="single" w:sz="8" w:space="0" w:color="000000"/>
              <w:right w:val="nil"/>
            </w:tcBorders>
          </w:tcPr>
          <w:p w14:paraId="4354D8E5" w14:textId="77777777" w:rsidR="0005042F" w:rsidRDefault="007D1A26">
            <w:pPr>
              <w:jc w:val="left"/>
              <w:rPr>
                <w:sz w:val="18"/>
                <w:szCs w:val="18"/>
              </w:rPr>
            </w:pPr>
            <w:r>
              <w:rPr>
                <w:sz w:val="18"/>
                <w:szCs w:val="18"/>
              </w:rPr>
              <w:t>The healthcare you receive is provided in your local area</w:t>
            </w:r>
          </w:p>
        </w:tc>
      </w:tr>
      <w:tr w:rsidR="0005042F" w14:paraId="4708666F" w14:textId="77777777">
        <w:tc>
          <w:tcPr>
            <w:tcW w:w="1508" w:type="dxa"/>
            <w:tcBorders>
              <w:top w:val="single" w:sz="8" w:space="0" w:color="000000"/>
              <w:left w:val="nil"/>
              <w:bottom w:val="single" w:sz="8" w:space="0" w:color="000000"/>
              <w:right w:val="nil"/>
            </w:tcBorders>
            <w:tcMar>
              <w:top w:w="12" w:type="dxa"/>
              <w:left w:w="57" w:type="dxa"/>
              <w:bottom w:w="0" w:type="dxa"/>
              <w:right w:w="57" w:type="dxa"/>
            </w:tcMar>
          </w:tcPr>
          <w:p w14:paraId="23AB46F6" w14:textId="77777777" w:rsidR="0005042F" w:rsidRDefault="007D1A26">
            <w:pPr>
              <w:jc w:val="left"/>
              <w:rPr>
                <w:sz w:val="18"/>
                <w:szCs w:val="18"/>
              </w:rPr>
            </w:pPr>
            <w:r>
              <w:rPr>
                <w:sz w:val="18"/>
                <w:szCs w:val="18"/>
              </w:rPr>
              <w:t>3. Person-centred care</w:t>
            </w:r>
          </w:p>
        </w:tc>
        <w:tc>
          <w:tcPr>
            <w:tcW w:w="76" w:type="dxa"/>
            <w:tcBorders>
              <w:top w:val="single" w:sz="8" w:space="0" w:color="000000"/>
              <w:left w:val="nil"/>
              <w:bottom w:val="single" w:sz="8" w:space="0" w:color="000000"/>
              <w:right w:val="nil"/>
            </w:tcBorders>
          </w:tcPr>
          <w:p w14:paraId="7CCE0FC6" w14:textId="77777777" w:rsidR="0005042F" w:rsidRDefault="0005042F">
            <w:pPr>
              <w:jc w:val="left"/>
              <w:rPr>
                <w:sz w:val="18"/>
                <w:szCs w:val="18"/>
              </w:rPr>
            </w:pPr>
          </w:p>
        </w:tc>
        <w:tc>
          <w:tcPr>
            <w:tcW w:w="903" w:type="dxa"/>
            <w:tcBorders>
              <w:top w:val="single" w:sz="8" w:space="0" w:color="000000"/>
              <w:left w:val="nil"/>
              <w:bottom w:val="single" w:sz="8" w:space="0" w:color="000000"/>
              <w:right w:val="nil"/>
            </w:tcBorders>
            <w:tcMar>
              <w:top w:w="12" w:type="dxa"/>
              <w:left w:w="57" w:type="dxa"/>
              <w:bottom w:w="0" w:type="dxa"/>
              <w:right w:w="57" w:type="dxa"/>
            </w:tcMar>
          </w:tcPr>
          <w:p w14:paraId="084018EB" w14:textId="77777777" w:rsidR="0005042F" w:rsidRDefault="007D1A26">
            <w:pPr>
              <w:jc w:val="center"/>
              <w:rPr>
                <w:sz w:val="18"/>
                <w:szCs w:val="18"/>
              </w:rPr>
            </w:pPr>
            <w:r>
              <w:rPr>
                <w:sz w:val="18"/>
                <w:szCs w:val="18"/>
              </w:rPr>
              <w:t>CMHS</w:t>
            </w:r>
          </w:p>
        </w:tc>
        <w:tc>
          <w:tcPr>
            <w:tcW w:w="3544" w:type="dxa"/>
            <w:tcBorders>
              <w:top w:val="single" w:sz="8" w:space="0" w:color="000000"/>
              <w:left w:val="nil"/>
              <w:bottom w:val="single" w:sz="8" w:space="0" w:color="000000"/>
              <w:right w:val="nil"/>
            </w:tcBorders>
          </w:tcPr>
          <w:p w14:paraId="1E0897C3" w14:textId="77777777" w:rsidR="0005042F" w:rsidRDefault="007D1A26">
            <w:pPr>
              <w:jc w:val="left"/>
              <w:rPr>
                <w:sz w:val="18"/>
                <w:szCs w:val="18"/>
              </w:rPr>
            </w:pPr>
            <w:r>
              <w:rPr>
                <w:sz w:val="18"/>
                <w:szCs w:val="18"/>
              </w:rPr>
              <w:t xml:space="preserve">% most positive response to ‘Were you involved as much as you wanted to be </w:t>
            </w:r>
            <w:r>
              <w:rPr>
                <w:sz w:val="18"/>
                <w:szCs w:val="18"/>
              </w:rPr>
              <w:t>in agreeing what care you will receive?’ (Q12)</w:t>
            </w:r>
          </w:p>
        </w:tc>
        <w:tc>
          <w:tcPr>
            <w:tcW w:w="3052" w:type="dxa"/>
            <w:tcBorders>
              <w:top w:val="single" w:sz="8" w:space="0" w:color="000000"/>
              <w:left w:val="nil"/>
              <w:bottom w:val="single" w:sz="8" w:space="0" w:color="000000"/>
              <w:right w:val="nil"/>
            </w:tcBorders>
          </w:tcPr>
          <w:p w14:paraId="4AB2C3A5" w14:textId="77777777" w:rsidR="0005042F" w:rsidRDefault="007D1A26">
            <w:pPr>
              <w:jc w:val="left"/>
              <w:rPr>
                <w:sz w:val="18"/>
                <w:szCs w:val="18"/>
              </w:rPr>
            </w:pPr>
            <w:r>
              <w:rPr>
                <w:sz w:val="18"/>
                <w:szCs w:val="18"/>
              </w:rPr>
              <w:t>You are involved as much as you want to be in agreeing what care you receive</w:t>
            </w:r>
          </w:p>
        </w:tc>
      </w:tr>
      <w:tr w:rsidR="0005042F" w14:paraId="699F4CC3" w14:textId="77777777">
        <w:tc>
          <w:tcPr>
            <w:tcW w:w="1508" w:type="dxa"/>
            <w:tcBorders>
              <w:top w:val="single" w:sz="8" w:space="0" w:color="000000"/>
              <w:left w:val="nil"/>
              <w:bottom w:val="single" w:sz="8" w:space="0" w:color="000000"/>
              <w:right w:val="nil"/>
            </w:tcBorders>
            <w:tcMar>
              <w:top w:w="12" w:type="dxa"/>
              <w:left w:w="57" w:type="dxa"/>
              <w:bottom w:w="0" w:type="dxa"/>
              <w:right w:w="57" w:type="dxa"/>
            </w:tcMar>
          </w:tcPr>
          <w:p w14:paraId="284E93D5" w14:textId="77777777" w:rsidR="0005042F" w:rsidRDefault="007D1A26">
            <w:pPr>
              <w:jc w:val="left"/>
              <w:rPr>
                <w:sz w:val="18"/>
                <w:szCs w:val="18"/>
              </w:rPr>
            </w:pPr>
            <w:r>
              <w:rPr>
                <w:sz w:val="18"/>
                <w:szCs w:val="18"/>
              </w:rPr>
              <w:t>4. Co-ordinated approach</w:t>
            </w:r>
          </w:p>
        </w:tc>
        <w:tc>
          <w:tcPr>
            <w:tcW w:w="76" w:type="dxa"/>
            <w:tcBorders>
              <w:top w:val="single" w:sz="8" w:space="0" w:color="000000"/>
              <w:left w:val="nil"/>
              <w:bottom w:val="single" w:sz="8" w:space="0" w:color="000000"/>
              <w:right w:val="nil"/>
            </w:tcBorders>
          </w:tcPr>
          <w:p w14:paraId="698A0E3F" w14:textId="77777777" w:rsidR="0005042F" w:rsidRDefault="0005042F">
            <w:pPr>
              <w:jc w:val="left"/>
              <w:rPr>
                <w:sz w:val="18"/>
                <w:szCs w:val="18"/>
              </w:rPr>
            </w:pPr>
          </w:p>
        </w:tc>
        <w:tc>
          <w:tcPr>
            <w:tcW w:w="903" w:type="dxa"/>
            <w:tcBorders>
              <w:top w:val="single" w:sz="8" w:space="0" w:color="000000"/>
              <w:left w:val="nil"/>
              <w:bottom w:val="single" w:sz="8" w:space="0" w:color="000000"/>
              <w:right w:val="nil"/>
            </w:tcBorders>
            <w:tcMar>
              <w:top w:w="12" w:type="dxa"/>
              <w:left w:w="57" w:type="dxa"/>
              <w:bottom w:w="0" w:type="dxa"/>
              <w:right w:w="57" w:type="dxa"/>
            </w:tcMar>
          </w:tcPr>
          <w:p w14:paraId="705165BE" w14:textId="77777777" w:rsidR="0005042F" w:rsidRDefault="007D1A26">
            <w:pPr>
              <w:jc w:val="center"/>
              <w:rPr>
                <w:sz w:val="18"/>
                <w:szCs w:val="18"/>
              </w:rPr>
            </w:pPr>
            <w:r>
              <w:rPr>
                <w:sz w:val="18"/>
                <w:szCs w:val="18"/>
              </w:rPr>
              <w:t>CMHS</w:t>
            </w:r>
          </w:p>
        </w:tc>
        <w:tc>
          <w:tcPr>
            <w:tcW w:w="3544" w:type="dxa"/>
            <w:tcBorders>
              <w:top w:val="single" w:sz="8" w:space="0" w:color="000000"/>
              <w:left w:val="nil"/>
              <w:bottom w:val="single" w:sz="8" w:space="0" w:color="000000"/>
              <w:right w:val="nil"/>
            </w:tcBorders>
          </w:tcPr>
          <w:p w14:paraId="7DB92893" w14:textId="77777777" w:rsidR="0005042F" w:rsidRDefault="007D1A26">
            <w:pPr>
              <w:jc w:val="left"/>
              <w:rPr>
                <w:sz w:val="18"/>
                <w:szCs w:val="18"/>
              </w:rPr>
            </w:pPr>
            <w:r>
              <w:rPr>
                <w:sz w:val="18"/>
                <w:szCs w:val="18"/>
              </w:rPr>
              <w:t xml:space="preserve">% most positive response to ‘How well does this person organise the care and services you need?’ </w:t>
            </w:r>
            <w:r>
              <w:rPr>
                <w:sz w:val="18"/>
                <w:szCs w:val="18"/>
              </w:rPr>
              <w:t>(Q10)</w:t>
            </w:r>
          </w:p>
        </w:tc>
        <w:tc>
          <w:tcPr>
            <w:tcW w:w="3052" w:type="dxa"/>
            <w:tcBorders>
              <w:top w:val="single" w:sz="8" w:space="0" w:color="000000"/>
              <w:left w:val="nil"/>
              <w:bottom w:val="single" w:sz="8" w:space="0" w:color="000000"/>
              <w:right w:val="nil"/>
            </w:tcBorders>
          </w:tcPr>
          <w:p w14:paraId="435687AA" w14:textId="77777777" w:rsidR="0005042F" w:rsidRDefault="007D1A26">
            <w:pPr>
              <w:jc w:val="left"/>
              <w:rPr>
                <w:sz w:val="18"/>
                <w:szCs w:val="18"/>
              </w:rPr>
            </w:pPr>
            <w:r>
              <w:rPr>
                <w:sz w:val="18"/>
                <w:szCs w:val="18"/>
              </w:rPr>
              <w:t>The person or people you see organise the care and services you need well</w:t>
            </w:r>
          </w:p>
        </w:tc>
      </w:tr>
      <w:tr w:rsidR="0005042F" w14:paraId="7A01A413" w14:textId="77777777">
        <w:tc>
          <w:tcPr>
            <w:tcW w:w="1508" w:type="dxa"/>
            <w:tcBorders>
              <w:top w:val="single" w:sz="8" w:space="0" w:color="000000"/>
              <w:left w:val="nil"/>
              <w:bottom w:val="single" w:sz="8" w:space="0" w:color="000000"/>
              <w:right w:val="nil"/>
            </w:tcBorders>
            <w:tcMar>
              <w:top w:w="12" w:type="dxa"/>
              <w:left w:w="57" w:type="dxa"/>
              <w:bottom w:w="0" w:type="dxa"/>
              <w:right w:w="57" w:type="dxa"/>
            </w:tcMar>
          </w:tcPr>
          <w:p w14:paraId="1F50C409" w14:textId="77777777" w:rsidR="0005042F" w:rsidRDefault="007D1A26">
            <w:pPr>
              <w:jc w:val="left"/>
              <w:rPr>
                <w:sz w:val="18"/>
                <w:szCs w:val="18"/>
              </w:rPr>
            </w:pPr>
            <w:r>
              <w:rPr>
                <w:sz w:val="18"/>
                <w:szCs w:val="18"/>
              </w:rPr>
              <w:t>5. Continuity</w:t>
            </w:r>
          </w:p>
        </w:tc>
        <w:tc>
          <w:tcPr>
            <w:tcW w:w="76" w:type="dxa"/>
            <w:tcBorders>
              <w:top w:val="single" w:sz="8" w:space="0" w:color="000000"/>
              <w:left w:val="nil"/>
              <w:bottom w:val="single" w:sz="8" w:space="0" w:color="000000"/>
              <w:right w:val="nil"/>
            </w:tcBorders>
          </w:tcPr>
          <w:p w14:paraId="787D5606" w14:textId="77777777" w:rsidR="0005042F" w:rsidRDefault="0005042F">
            <w:pPr>
              <w:jc w:val="left"/>
              <w:rPr>
                <w:sz w:val="18"/>
                <w:szCs w:val="18"/>
              </w:rPr>
            </w:pPr>
          </w:p>
        </w:tc>
        <w:tc>
          <w:tcPr>
            <w:tcW w:w="903" w:type="dxa"/>
            <w:tcBorders>
              <w:top w:val="single" w:sz="8" w:space="0" w:color="000000"/>
              <w:left w:val="nil"/>
              <w:bottom w:val="single" w:sz="8" w:space="0" w:color="000000"/>
              <w:right w:val="nil"/>
            </w:tcBorders>
            <w:tcMar>
              <w:top w:w="12" w:type="dxa"/>
              <w:left w:w="57" w:type="dxa"/>
              <w:bottom w:w="0" w:type="dxa"/>
              <w:right w:w="57" w:type="dxa"/>
            </w:tcMar>
          </w:tcPr>
          <w:p w14:paraId="7B5A0C54" w14:textId="77777777" w:rsidR="0005042F" w:rsidRDefault="007D1A26">
            <w:pPr>
              <w:jc w:val="center"/>
              <w:rPr>
                <w:sz w:val="18"/>
                <w:szCs w:val="18"/>
              </w:rPr>
            </w:pPr>
            <w:r>
              <w:rPr>
                <w:sz w:val="18"/>
                <w:szCs w:val="18"/>
              </w:rPr>
              <w:t>CMHS</w:t>
            </w:r>
          </w:p>
        </w:tc>
        <w:tc>
          <w:tcPr>
            <w:tcW w:w="3544" w:type="dxa"/>
            <w:tcBorders>
              <w:top w:val="single" w:sz="8" w:space="0" w:color="000000"/>
              <w:left w:val="nil"/>
              <w:bottom w:val="single" w:sz="8" w:space="0" w:color="000000"/>
              <w:right w:val="nil"/>
            </w:tcBorders>
          </w:tcPr>
          <w:p w14:paraId="4897DEF0" w14:textId="77777777" w:rsidR="0005042F" w:rsidRDefault="007D1A26">
            <w:pPr>
              <w:jc w:val="left"/>
              <w:rPr>
                <w:sz w:val="18"/>
                <w:szCs w:val="18"/>
              </w:rPr>
            </w:pPr>
            <w:r>
              <w:rPr>
                <w:sz w:val="18"/>
                <w:szCs w:val="18"/>
              </w:rPr>
              <w:t>% most positive response to ‘In the last 12 months, have the people you see for your care or services changed?’ (Q17)</w:t>
            </w:r>
          </w:p>
        </w:tc>
        <w:tc>
          <w:tcPr>
            <w:tcW w:w="3052" w:type="dxa"/>
            <w:tcBorders>
              <w:top w:val="single" w:sz="8" w:space="0" w:color="000000"/>
              <w:left w:val="nil"/>
              <w:bottom w:val="single" w:sz="8" w:space="0" w:color="000000"/>
              <w:right w:val="nil"/>
            </w:tcBorders>
          </w:tcPr>
          <w:p w14:paraId="055070BD" w14:textId="77777777" w:rsidR="0005042F" w:rsidRDefault="007D1A26">
            <w:pPr>
              <w:jc w:val="left"/>
              <w:rPr>
                <w:sz w:val="18"/>
                <w:szCs w:val="18"/>
              </w:rPr>
            </w:pPr>
            <w:r>
              <w:rPr>
                <w:sz w:val="18"/>
                <w:szCs w:val="18"/>
              </w:rPr>
              <w:t>You are able to see the same person o</w:t>
            </w:r>
            <w:r>
              <w:rPr>
                <w:sz w:val="18"/>
                <w:szCs w:val="18"/>
              </w:rPr>
              <w:t>r people throughout your healthcare</w:t>
            </w:r>
          </w:p>
        </w:tc>
      </w:tr>
      <w:tr w:rsidR="0005042F" w14:paraId="264133CF" w14:textId="77777777">
        <w:tc>
          <w:tcPr>
            <w:tcW w:w="1508" w:type="dxa"/>
            <w:tcBorders>
              <w:top w:val="single" w:sz="8" w:space="0" w:color="000000"/>
              <w:left w:val="nil"/>
              <w:bottom w:val="single" w:sz="8" w:space="0" w:color="000000"/>
              <w:right w:val="nil"/>
            </w:tcBorders>
            <w:tcMar>
              <w:top w:w="12" w:type="dxa"/>
              <w:left w:w="57" w:type="dxa"/>
              <w:bottom w:w="0" w:type="dxa"/>
              <w:right w:w="57" w:type="dxa"/>
            </w:tcMar>
          </w:tcPr>
          <w:p w14:paraId="2C006D8E" w14:textId="77777777" w:rsidR="0005042F" w:rsidRDefault="007D1A26">
            <w:pPr>
              <w:jc w:val="left"/>
              <w:rPr>
                <w:sz w:val="18"/>
                <w:szCs w:val="18"/>
              </w:rPr>
            </w:pPr>
            <w:r>
              <w:rPr>
                <w:sz w:val="18"/>
                <w:szCs w:val="18"/>
              </w:rPr>
              <w:t>6. Communication, capacity and resources</w:t>
            </w:r>
          </w:p>
        </w:tc>
        <w:tc>
          <w:tcPr>
            <w:tcW w:w="76" w:type="dxa"/>
            <w:tcBorders>
              <w:top w:val="single" w:sz="8" w:space="0" w:color="000000"/>
              <w:left w:val="nil"/>
              <w:bottom w:val="single" w:sz="8" w:space="0" w:color="000000"/>
              <w:right w:val="nil"/>
            </w:tcBorders>
          </w:tcPr>
          <w:p w14:paraId="2777B5C8" w14:textId="77777777" w:rsidR="0005042F" w:rsidRDefault="0005042F">
            <w:pPr>
              <w:jc w:val="left"/>
              <w:rPr>
                <w:sz w:val="18"/>
                <w:szCs w:val="18"/>
              </w:rPr>
            </w:pPr>
          </w:p>
        </w:tc>
        <w:tc>
          <w:tcPr>
            <w:tcW w:w="903" w:type="dxa"/>
            <w:tcBorders>
              <w:top w:val="single" w:sz="8" w:space="0" w:color="000000"/>
              <w:left w:val="nil"/>
              <w:bottom w:val="single" w:sz="8" w:space="0" w:color="000000"/>
              <w:right w:val="nil"/>
            </w:tcBorders>
            <w:tcMar>
              <w:top w:w="12" w:type="dxa"/>
              <w:left w:w="57" w:type="dxa"/>
              <w:bottom w:w="0" w:type="dxa"/>
              <w:right w:w="57" w:type="dxa"/>
            </w:tcMar>
          </w:tcPr>
          <w:p w14:paraId="3685814A" w14:textId="77777777" w:rsidR="0005042F" w:rsidRDefault="007D1A26">
            <w:pPr>
              <w:jc w:val="center"/>
              <w:rPr>
                <w:sz w:val="18"/>
                <w:szCs w:val="18"/>
              </w:rPr>
            </w:pPr>
            <w:r>
              <w:rPr>
                <w:sz w:val="18"/>
                <w:szCs w:val="18"/>
              </w:rPr>
              <w:t>CMHS</w:t>
            </w:r>
          </w:p>
        </w:tc>
        <w:tc>
          <w:tcPr>
            <w:tcW w:w="3544" w:type="dxa"/>
            <w:tcBorders>
              <w:top w:val="single" w:sz="8" w:space="0" w:color="000000"/>
              <w:left w:val="nil"/>
              <w:bottom w:val="single" w:sz="8" w:space="0" w:color="000000"/>
              <w:right w:val="nil"/>
            </w:tcBorders>
          </w:tcPr>
          <w:p w14:paraId="3ABDC03C" w14:textId="77777777" w:rsidR="0005042F" w:rsidRDefault="007D1A26">
            <w:pPr>
              <w:jc w:val="left"/>
              <w:rPr>
                <w:sz w:val="18"/>
                <w:szCs w:val="18"/>
              </w:rPr>
            </w:pPr>
            <w:r>
              <w:rPr>
                <w:sz w:val="18"/>
                <w:szCs w:val="18"/>
              </w:rPr>
              <w:t xml:space="preserve">Average of % most positive response to ‘Did the person or people you saw listen carefully to you?' (Q.4) and 'Were you given enough time to discuss your needs and </w:t>
            </w:r>
            <w:r>
              <w:rPr>
                <w:sz w:val="18"/>
                <w:szCs w:val="18"/>
              </w:rPr>
              <w:t>treatment?’ (Q5)</w:t>
            </w:r>
          </w:p>
        </w:tc>
        <w:tc>
          <w:tcPr>
            <w:tcW w:w="3052" w:type="dxa"/>
            <w:tcBorders>
              <w:top w:val="single" w:sz="8" w:space="0" w:color="000000"/>
              <w:left w:val="nil"/>
              <w:bottom w:val="single" w:sz="8" w:space="0" w:color="000000"/>
              <w:right w:val="nil"/>
            </w:tcBorders>
          </w:tcPr>
          <w:p w14:paraId="1C849B29" w14:textId="77777777" w:rsidR="0005042F" w:rsidRDefault="007D1A26">
            <w:pPr>
              <w:jc w:val="left"/>
              <w:rPr>
                <w:sz w:val="18"/>
                <w:szCs w:val="18"/>
              </w:rPr>
            </w:pPr>
            <w:r>
              <w:rPr>
                <w:sz w:val="18"/>
                <w:szCs w:val="18"/>
              </w:rPr>
              <w:t>The person or people you see listen carefully to you and give you enough time to discuss your needs and treatment</w:t>
            </w:r>
          </w:p>
        </w:tc>
      </w:tr>
      <w:tr w:rsidR="0005042F" w14:paraId="4FFCAA2A" w14:textId="77777777">
        <w:tc>
          <w:tcPr>
            <w:tcW w:w="1508" w:type="dxa"/>
            <w:tcBorders>
              <w:top w:val="single" w:sz="8" w:space="0" w:color="000000"/>
              <w:left w:val="nil"/>
              <w:bottom w:val="single" w:sz="8" w:space="0" w:color="000000"/>
              <w:right w:val="nil"/>
            </w:tcBorders>
            <w:tcMar>
              <w:top w:w="12" w:type="dxa"/>
              <w:left w:w="57" w:type="dxa"/>
              <w:bottom w:w="0" w:type="dxa"/>
              <w:right w:w="57" w:type="dxa"/>
            </w:tcMar>
          </w:tcPr>
          <w:p w14:paraId="2E6D63B8" w14:textId="77777777" w:rsidR="0005042F" w:rsidRDefault="007D1A26">
            <w:pPr>
              <w:jc w:val="left"/>
              <w:rPr>
                <w:sz w:val="18"/>
                <w:szCs w:val="18"/>
              </w:rPr>
            </w:pPr>
            <w:r>
              <w:rPr>
                <w:sz w:val="18"/>
                <w:szCs w:val="18"/>
              </w:rPr>
              <w:t>7. Treated as a person</w:t>
            </w:r>
          </w:p>
        </w:tc>
        <w:tc>
          <w:tcPr>
            <w:tcW w:w="76" w:type="dxa"/>
            <w:tcBorders>
              <w:top w:val="single" w:sz="8" w:space="0" w:color="000000"/>
              <w:left w:val="nil"/>
              <w:bottom w:val="single" w:sz="8" w:space="0" w:color="000000"/>
              <w:right w:val="nil"/>
            </w:tcBorders>
          </w:tcPr>
          <w:p w14:paraId="35974351" w14:textId="77777777" w:rsidR="0005042F" w:rsidRDefault="0005042F">
            <w:pPr>
              <w:jc w:val="left"/>
              <w:rPr>
                <w:sz w:val="18"/>
                <w:szCs w:val="18"/>
              </w:rPr>
            </w:pPr>
          </w:p>
        </w:tc>
        <w:tc>
          <w:tcPr>
            <w:tcW w:w="903" w:type="dxa"/>
            <w:tcBorders>
              <w:top w:val="single" w:sz="8" w:space="0" w:color="000000"/>
              <w:left w:val="nil"/>
              <w:bottom w:val="single" w:sz="8" w:space="0" w:color="000000"/>
              <w:right w:val="nil"/>
            </w:tcBorders>
            <w:tcMar>
              <w:top w:w="12" w:type="dxa"/>
              <w:left w:w="57" w:type="dxa"/>
              <w:bottom w:w="0" w:type="dxa"/>
              <w:right w:w="57" w:type="dxa"/>
            </w:tcMar>
          </w:tcPr>
          <w:p w14:paraId="06FE3A1E" w14:textId="77777777" w:rsidR="0005042F" w:rsidRDefault="007D1A26">
            <w:pPr>
              <w:jc w:val="center"/>
              <w:rPr>
                <w:sz w:val="18"/>
                <w:szCs w:val="18"/>
              </w:rPr>
            </w:pPr>
            <w:r>
              <w:rPr>
                <w:sz w:val="18"/>
                <w:szCs w:val="18"/>
              </w:rPr>
              <w:t>CMHS</w:t>
            </w:r>
          </w:p>
        </w:tc>
        <w:tc>
          <w:tcPr>
            <w:tcW w:w="3544" w:type="dxa"/>
            <w:tcBorders>
              <w:top w:val="single" w:sz="8" w:space="0" w:color="000000"/>
              <w:left w:val="nil"/>
              <w:bottom w:val="single" w:sz="8" w:space="0" w:color="000000"/>
              <w:right w:val="nil"/>
            </w:tcBorders>
          </w:tcPr>
          <w:p w14:paraId="62085382" w14:textId="77777777" w:rsidR="0005042F" w:rsidRDefault="007D1A26">
            <w:pPr>
              <w:jc w:val="left"/>
              <w:rPr>
                <w:sz w:val="18"/>
                <w:szCs w:val="18"/>
              </w:rPr>
            </w:pPr>
            <w:r>
              <w:rPr>
                <w:sz w:val="18"/>
                <w:szCs w:val="18"/>
              </w:rPr>
              <w:t xml:space="preserve">% most positive response to ‘Overall in the last 12 months, did you feel that you were treated </w:t>
            </w:r>
            <w:r>
              <w:rPr>
                <w:sz w:val="18"/>
                <w:szCs w:val="18"/>
              </w:rPr>
              <w:t>with respect and dignity by NHS mental health services?’ (Q42)</w:t>
            </w:r>
          </w:p>
        </w:tc>
        <w:tc>
          <w:tcPr>
            <w:tcW w:w="3052" w:type="dxa"/>
            <w:tcBorders>
              <w:top w:val="single" w:sz="8" w:space="0" w:color="000000"/>
              <w:left w:val="nil"/>
              <w:bottom w:val="single" w:sz="8" w:space="0" w:color="000000"/>
              <w:right w:val="nil"/>
            </w:tcBorders>
          </w:tcPr>
          <w:p w14:paraId="74788E6C" w14:textId="77777777" w:rsidR="0005042F" w:rsidRDefault="007D1A26">
            <w:pPr>
              <w:jc w:val="left"/>
              <w:rPr>
                <w:sz w:val="18"/>
                <w:szCs w:val="18"/>
              </w:rPr>
            </w:pPr>
            <w:r>
              <w:rPr>
                <w:sz w:val="18"/>
                <w:szCs w:val="18"/>
              </w:rPr>
              <w:t>You are treated with dignity and respect</w:t>
            </w:r>
          </w:p>
        </w:tc>
      </w:tr>
      <w:tr w:rsidR="0005042F" w14:paraId="6448C4C2" w14:textId="77777777">
        <w:tc>
          <w:tcPr>
            <w:tcW w:w="1508" w:type="dxa"/>
            <w:tcBorders>
              <w:top w:val="single" w:sz="8" w:space="0" w:color="000000"/>
              <w:left w:val="nil"/>
              <w:bottom w:val="single" w:sz="8" w:space="0" w:color="000000"/>
              <w:right w:val="nil"/>
            </w:tcBorders>
            <w:tcMar>
              <w:top w:w="12" w:type="dxa"/>
              <w:left w:w="57" w:type="dxa"/>
              <w:bottom w:w="0" w:type="dxa"/>
              <w:right w:w="57" w:type="dxa"/>
            </w:tcMar>
          </w:tcPr>
          <w:p w14:paraId="2B18DA83" w14:textId="77777777" w:rsidR="0005042F" w:rsidRDefault="007D1A26">
            <w:pPr>
              <w:jc w:val="left"/>
              <w:rPr>
                <w:sz w:val="18"/>
                <w:szCs w:val="18"/>
              </w:rPr>
            </w:pPr>
            <w:r>
              <w:rPr>
                <w:sz w:val="18"/>
                <w:szCs w:val="18"/>
              </w:rPr>
              <w:t>8. Recovery focus</w:t>
            </w:r>
          </w:p>
        </w:tc>
        <w:tc>
          <w:tcPr>
            <w:tcW w:w="76" w:type="dxa"/>
            <w:tcBorders>
              <w:top w:val="single" w:sz="8" w:space="0" w:color="000000"/>
              <w:left w:val="nil"/>
              <w:bottom w:val="single" w:sz="8" w:space="0" w:color="000000"/>
              <w:right w:val="nil"/>
            </w:tcBorders>
          </w:tcPr>
          <w:p w14:paraId="7383917A" w14:textId="77777777" w:rsidR="0005042F" w:rsidRDefault="0005042F">
            <w:pPr>
              <w:jc w:val="left"/>
              <w:rPr>
                <w:sz w:val="18"/>
                <w:szCs w:val="18"/>
              </w:rPr>
            </w:pPr>
          </w:p>
        </w:tc>
        <w:tc>
          <w:tcPr>
            <w:tcW w:w="903" w:type="dxa"/>
            <w:tcBorders>
              <w:top w:val="single" w:sz="8" w:space="0" w:color="000000"/>
              <w:left w:val="nil"/>
              <w:bottom w:val="single" w:sz="8" w:space="0" w:color="000000"/>
              <w:right w:val="nil"/>
            </w:tcBorders>
            <w:tcMar>
              <w:top w:w="12" w:type="dxa"/>
              <w:left w:w="57" w:type="dxa"/>
              <w:bottom w:w="0" w:type="dxa"/>
              <w:right w:w="57" w:type="dxa"/>
            </w:tcMar>
          </w:tcPr>
          <w:p w14:paraId="1970F6E0" w14:textId="77777777" w:rsidR="0005042F" w:rsidRDefault="007D1A26">
            <w:pPr>
              <w:jc w:val="center"/>
              <w:rPr>
                <w:sz w:val="18"/>
                <w:szCs w:val="18"/>
              </w:rPr>
            </w:pPr>
            <w:r>
              <w:rPr>
                <w:sz w:val="18"/>
                <w:szCs w:val="18"/>
              </w:rPr>
              <w:t>CMHS</w:t>
            </w:r>
          </w:p>
        </w:tc>
        <w:tc>
          <w:tcPr>
            <w:tcW w:w="3544" w:type="dxa"/>
            <w:tcBorders>
              <w:top w:val="single" w:sz="8" w:space="0" w:color="000000"/>
              <w:left w:val="nil"/>
              <w:bottom w:val="single" w:sz="8" w:space="0" w:color="000000"/>
              <w:right w:val="nil"/>
            </w:tcBorders>
          </w:tcPr>
          <w:p w14:paraId="1DBBA51A" w14:textId="77777777" w:rsidR="0005042F" w:rsidRDefault="007D1A26">
            <w:pPr>
              <w:jc w:val="left"/>
              <w:rPr>
                <w:sz w:val="18"/>
                <w:szCs w:val="18"/>
              </w:rPr>
            </w:pPr>
            <w:r>
              <w:rPr>
                <w:sz w:val="18"/>
                <w:szCs w:val="18"/>
              </w:rPr>
              <w:t xml:space="preserve">% most positive response to ‘Do the people you see through NHS mental health services help you with what is important to you?’ </w:t>
            </w:r>
            <w:r>
              <w:rPr>
                <w:sz w:val="18"/>
                <w:szCs w:val="18"/>
              </w:rPr>
              <w:t xml:space="preserve">(Q39) </w:t>
            </w:r>
          </w:p>
        </w:tc>
        <w:tc>
          <w:tcPr>
            <w:tcW w:w="3052" w:type="dxa"/>
            <w:tcBorders>
              <w:top w:val="single" w:sz="8" w:space="0" w:color="000000"/>
              <w:left w:val="nil"/>
              <w:bottom w:val="single" w:sz="8" w:space="0" w:color="000000"/>
              <w:right w:val="nil"/>
            </w:tcBorders>
          </w:tcPr>
          <w:p w14:paraId="42B992FD" w14:textId="77777777" w:rsidR="0005042F" w:rsidRDefault="007D1A26">
            <w:pPr>
              <w:jc w:val="left"/>
              <w:rPr>
                <w:sz w:val="18"/>
                <w:szCs w:val="18"/>
              </w:rPr>
            </w:pPr>
            <w:r>
              <w:rPr>
                <w:sz w:val="18"/>
                <w:szCs w:val="18"/>
              </w:rPr>
              <w:t>You are supported to do the things in your life that you want to do</w:t>
            </w:r>
          </w:p>
        </w:tc>
      </w:tr>
      <w:tr w:rsidR="0005042F" w14:paraId="51210D76" w14:textId="77777777">
        <w:tc>
          <w:tcPr>
            <w:tcW w:w="1508" w:type="dxa"/>
            <w:tcBorders>
              <w:top w:val="single" w:sz="8" w:space="0" w:color="000000"/>
              <w:left w:val="nil"/>
              <w:bottom w:val="single" w:sz="8" w:space="0" w:color="000000"/>
              <w:right w:val="nil"/>
            </w:tcBorders>
            <w:tcMar>
              <w:top w:w="12" w:type="dxa"/>
              <w:left w:w="57" w:type="dxa"/>
              <w:bottom w:w="0" w:type="dxa"/>
              <w:right w:w="57" w:type="dxa"/>
            </w:tcMar>
          </w:tcPr>
          <w:p w14:paraId="56B11FF1" w14:textId="77777777" w:rsidR="0005042F" w:rsidRDefault="007D1A26">
            <w:pPr>
              <w:jc w:val="left"/>
              <w:rPr>
                <w:sz w:val="18"/>
                <w:szCs w:val="18"/>
              </w:rPr>
            </w:pPr>
            <w:r>
              <w:rPr>
                <w:sz w:val="18"/>
                <w:szCs w:val="18"/>
              </w:rPr>
              <w:t>9. Appropriate discharge</w:t>
            </w:r>
          </w:p>
        </w:tc>
        <w:tc>
          <w:tcPr>
            <w:tcW w:w="76" w:type="dxa"/>
            <w:tcBorders>
              <w:top w:val="single" w:sz="8" w:space="0" w:color="000000"/>
              <w:left w:val="nil"/>
              <w:bottom w:val="single" w:sz="8" w:space="0" w:color="000000"/>
              <w:right w:val="nil"/>
            </w:tcBorders>
          </w:tcPr>
          <w:p w14:paraId="642335BE" w14:textId="77777777" w:rsidR="0005042F" w:rsidRDefault="0005042F">
            <w:pPr>
              <w:jc w:val="left"/>
              <w:rPr>
                <w:sz w:val="18"/>
                <w:szCs w:val="18"/>
              </w:rPr>
            </w:pPr>
          </w:p>
        </w:tc>
        <w:tc>
          <w:tcPr>
            <w:tcW w:w="903" w:type="dxa"/>
            <w:tcBorders>
              <w:top w:val="single" w:sz="8" w:space="0" w:color="000000"/>
              <w:left w:val="nil"/>
              <w:bottom w:val="single" w:sz="8" w:space="0" w:color="000000"/>
              <w:right w:val="nil"/>
            </w:tcBorders>
            <w:tcMar>
              <w:top w:w="12" w:type="dxa"/>
              <w:left w:w="57" w:type="dxa"/>
              <w:bottom w:w="0" w:type="dxa"/>
              <w:right w:w="57" w:type="dxa"/>
            </w:tcMar>
          </w:tcPr>
          <w:p w14:paraId="35D1A805" w14:textId="77777777" w:rsidR="0005042F" w:rsidRDefault="007D1A26">
            <w:pPr>
              <w:jc w:val="center"/>
              <w:rPr>
                <w:sz w:val="18"/>
                <w:szCs w:val="18"/>
              </w:rPr>
            </w:pPr>
            <w:r>
              <w:rPr>
                <w:sz w:val="18"/>
                <w:szCs w:val="18"/>
              </w:rPr>
              <w:t>MHMDS</w:t>
            </w:r>
          </w:p>
        </w:tc>
        <w:tc>
          <w:tcPr>
            <w:tcW w:w="3544" w:type="dxa"/>
            <w:tcBorders>
              <w:top w:val="single" w:sz="8" w:space="0" w:color="000000"/>
              <w:left w:val="nil"/>
              <w:bottom w:val="single" w:sz="8" w:space="0" w:color="000000"/>
              <w:right w:val="nil"/>
            </w:tcBorders>
          </w:tcPr>
          <w:p w14:paraId="4727942B" w14:textId="77777777" w:rsidR="0005042F" w:rsidRDefault="007D1A26">
            <w:pPr>
              <w:jc w:val="left"/>
              <w:rPr>
                <w:sz w:val="18"/>
                <w:szCs w:val="18"/>
              </w:rPr>
            </w:pPr>
            <w:r>
              <w:rPr>
                <w:sz w:val="18"/>
                <w:szCs w:val="18"/>
              </w:rPr>
              <w:t>Indicator equal to one if there is no new spell starting between seven and 30 days of the end of the previous spell.</w:t>
            </w:r>
          </w:p>
        </w:tc>
        <w:tc>
          <w:tcPr>
            <w:tcW w:w="3052" w:type="dxa"/>
            <w:tcBorders>
              <w:top w:val="single" w:sz="8" w:space="0" w:color="000000"/>
              <w:left w:val="nil"/>
              <w:bottom w:val="single" w:sz="8" w:space="0" w:color="000000"/>
              <w:right w:val="nil"/>
            </w:tcBorders>
          </w:tcPr>
          <w:p w14:paraId="546C12FB" w14:textId="77777777" w:rsidR="0005042F" w:rsidRDefault="007D1A26">
            <w:pPr>
              <w:jc w:val="left"/>
              <w:rPr>
                <w:sz w:val="18"/>
                <w:szCs w:val="18"/>
              </w:rPr>
            </w:pPr>
            <w:r>
              <w:rPr>
                <w:sz w:val="18"/>
                <w:szCs w:val="18"/>
              </w:rPr>
              <w:t xml:space="preserve">You are not discharged before </w:t>
            </w:r>
            <w:r>
              <w:rPr>
                <w:sz w:val="18"/>
                <w:szCs w:val="18"/>
              </w:rPr>
              <w:t>you are ready</w:t>
            </w:r>
          </w:p>
        </w:tc>
      </w:tr>
      <w:tr w:rsidR="0005042F" w14:paraId="0BC5AB6B" w14:textId="77777777">
        <w:tc>
          <w:tcPr>
            <w:tcW w:w="1508" w:type="dxa"/>
            <w:tcBorders>
              <w:top w:val="single" w:sz="8" w:space="0" w:color="000000"/>
              <w:left w:val="nil"/>
              <w:bottom w:val="single" w:sz="8" w:space="0" w:color="000000"/>
              <w:right w:val="nil"/>
            </w:tcBorders>
            <w:tcMar>
              <w:top w:w="12" w:type="dxa"/>
              <w:left w:w="57" w:type="dxa"/>
              <w:bottom w:w="0" w:type="dxa"/>
              <w:right w:w="57" w:type="dxa"/>
            </w:tcMar>
          </w:tcPr>
          <w:p w14:paraId="7C0E3F61" w14:textId="77777777" w:rsidR="0005042F" w:rsidRDefault="007D1A26">
            <w:pPr>
              <w:jc w:val="left"/>
              <w:rPr>
                <w:sz w:val="18"/>
                <w:szCs w:val="18"/>
              </w:rPr>
            </w:pPr>
            <w:r>
              <w:rPr>
                <w:sz w:val="18"/>
                <w:szCs w:val="18"/>
              </w:rPr>
              <w:t>10. Effectiveness of treatment (health benefit)</w:t>
            </w:r>
          </w:p>
        </w:tc>
        <w:tc>
          <w:tcPr>
            <w:tcW w:w="76" w:type="dxa"/>
            <w:tcBorders>
              <w:top w:val="single" w:sz="8" w:space="0" w:color="000000"/>
              <w:left w:val="nil"/>
              <w:bottom w:val="single" w:sz="8" w:space="0" w:color="000000"/>
              <w:right w:val="nil"/>
            </w:tcBorders>
          </w:tcPr>
          <w:p w14:paraId="49A2726F" w14:textId="77777777" w:rsidR="0005042F" w:rsidRDefault="0005042F">
            <w:pPr>
              <w:jc w:val="left"/>
              <w:rPr>
                <w:sz w:val="18"/>
                <w:szCs w:val="18"/>
              </w:rPr>
            </w:pPr>
          </w:p>
        </w:tc>
        <w:tc>
          <w:tcPr>
            <w:tcW w:w="903" w:type="dxa"/>
            <w:tcBorders>
              <w:top w:val="single" w:sz="8" w:space="0" w:color="000000"/>
              <w:left w:val="nil"/>
              <w:bottom w:val="single" w:sz="8" w:space="0" w:color="000000"/>
              <w:right w:val="nil"/>
            </w:tcBorders>
            <w:tcMar>
              <w:top w:w="12" w:type="dxa"/>
              <w:left w:w="57" w:type="dxa"/>
              <w:bottom w:w="0" w:type="dxa"/>
              <w:right w:w="57" w:type="dxa"/>
            </w:tcMar>
          </w:tcPr>
          <w:p w14:paraId="780CF273" w14:textId="77777777" w:rsidR="0005042F" w:rsidRDefault="007D1A26">
            <w:pPr>
              <w:jc w:val="center"/>
              <w:rPr>
                <w:sz w:val="18"/>
                <w:szCs w:val="18"/>
              </w:rPr>
            </w:pPr>
            <w:r>
              <w:rPr>
                <w:sz w:val="18"/>
                <w:szCs w:val="18"/>
              </w:rPr>
              <w:t>MHMDS</w:t>
            </w:r>
          </w:p>
        </w:tc>
        <w:tc>
          <w:tcPr>
            <w:tcW w:w="3544" w:type="dxa"/>
            <w:tcBorders>
              <w:top w:val="single" w:sz="8" w:space="0" w:color="000000"/>
              <w:left w:val="nil"/>
              <w:bottom w:val="single" w:sz="8" w:space="0" w:color="000000"/>
              <w:right w:val="nil"/>
            </w:tcBorders>
          </w:tcPr>
          <w:p w14:paraId="23BE15B9" w14:textId="77777777" w:rsidR="0005042F" w:rsidRDefault="007D1A26">
            <w:pPr>
              <w:jc w:val="left"/>
              <w:rPr>
                <w:sz w:val="18"/>
                <w:szCs w:val="18"/>
              </w:rPr>
            </w:pPr>
            <w:r>
              <w:rPr>
                <w:sz w:val="18"/>
                <w:szCs w:val="18"/>
              </w:rPr>
              <w:t xml:space="preserve">Change in </w:t>
            </w:r>
            <w:proofErr w:type="spellStart"/>
            <w:r>
              <w:rPr>
                <w:sz w:val="18"/>
                <w:szCs w:val="18"/>
              </w:rPr>
              <w:t>HoNOS</w:t>
            </w:r>
            <w:proofErr w:type="spellEnd"/>
            <w:r>
              <w:rPr>
                <w:sz w:val="18"/>
                <w:szCs w:val="18"/>
              </w:rPr>
              <w:t xml:space="preserve"> score between start and end of cluster-episode converted to change in </w:t>
            </w:r>
            <w:proofErr w:type="spellStart"/>
            <w:r>
              <w:rPr>
                <w:sz w:val="18"/>
                <w:szCs w:val="18"/>
              </w:rPr>
              <w:t>ReQoL</w:t>
            </w:r>
            <w:proofErr w:type="spellEnd"/>
            <w:r>
              <w:rPr>
                <w:sz w:val="18"/>
                <w:szCs w:val="18"/>
              </w:rPr>
              <w:t>-UI</w:t>
            </w:r>
          </w:p>
        </w:tc>
        <w:tc>
          <w:tcPr>
            <w:tcW w:w="3052" w:type="dxa"/>
            <w:tcBorders>
              <w:top w:val="single" w:sz="8" w:space="0" w:color="000000"/>
              <w:left w:val="nil"/>
              <w:bottom w:val="single" w:sz="8" w:space="0" w:color="000000"/>
              <w:right w:val="nil"/>
            </w:tcBorders>
          </w:tcPr>
          <w:p w14:paraId="4E541C12" w14:textId="77777777" w:rsidR="0005042F" w:rsidRDefault="007D1A26">
            <w:pPr>
              <w:jc w:val="left"/>
              <w:rPr>
                <w:sz w:val="18"/>
                <w:szCs w:val="18"/>
                <w:highlight w:val="yellow"/>
              </w:rPr>
            </w:pPr>
            <w:r>
              <w:rPr>
                <w:sz w:val="18"/>
                <w:szCs w:val="18"/>
              </w:rPr>
              <w:t>For your next year of life you will have 20%, 50%, 80% quality of life</w:t>
            </w:r>
          </w:p>
        </w:tc>
      </w:tr>
    </w:tbl>
    <w:p w14:paraId="394DE949" w14:textId="77777777" w:rsidR="0005042F" w:rsidRDefault="007D1A26">
      <w:pPr>
        <w:spacing w:after="160" w:line="256" w:lineRule="auto"/>
        <w:rPr>
          <w:rFonts w:ascii="Calibri" w:eastAsia="Calibri" w:hAnsi="Calibri" w:cs="Calibri"/>
          <w:sz w:val="18"/>
          <w:szCs w:val="18"/>
        </w:rPr>
      </w:pPr>
      <w:r>
        <w:rPr>
          <w:rFonts w:ascii="Calibri" w:eastAsia="Calibri" w:hAnsi="Calibri" w:cs="Calibri"/>
          <w:sz w:val="18"/>
          <w:szCs w:val="18"/>
        </w:rPr>
        <w:t>Note.  DCE: discret</w:t>
      </w:r>
      <w:r>
        <w:rPr>
          <w:rFonts w:ascii="Calibri" w:eastAsia="Calibri" w:hAnsi="Calibri" w:cs="Calibri"/>
          <w:sz w:val="18"/>
          <w:szCs w:val="18"/>
        </w:rPr>
        <w:t xml:space="preserve">e choice experiment. CMHS: Community Mental Health Survey – outcomes reflect rates, i.e. provider-level mean values of binary variables. MHMDS: mental health minimum data set (patient-level).  </w:t>
      </w:r>
      <w:proofErr w:type="spellStart"/>
      <w:r>
        <w:rPr>
          <w:rFonts w:ascii="Calibri" w:eastAsia="Calibri" w:hAnsi="Calibri" w:cs="Calibri"/>
          <w:sz w:val="18"/>
          <w:szCs w:val="18"/>
        </w:rPr>
        <w:t>HoNOS</w:t>
      </w:r>
      <w:proofErr w:type="spellEnd"/>
      <w:r>
        <w:rPr>
          <w:rFonts w:ascii="Calibri" w:eastAsia="Calibri" w:hAnsi="Calibri" w:cs="Calibri"/>
          <w:sz w:val="18"/>
          <w:szCs w:val="18"/>
        </w:rPr>
        <w:t xml:space="preserve">: Health of the Nation Outcome Scale.  </w:t>
      </w:r>
      <w:proofErr w:type="spellStart"/>
      <w:r>
        <w:rPr>
          <w:rFonts w:ascii="Calibri" w:eastAsia="Calibri" w:hAnsi="Calibri" w:cs="Calibri"/>
          <w:sz w:val="18"/>
          <w:szCs w:val="18"/>
        </w:rPr>
        <w:t>ReQoL</w:t>
      </w:r>
      <w:proofErr w:type="spellEnd"/>
      <w:r>
        <w:rPr>
          <w:rFonts w:ascii="Calibri" w:eastAsia="Calibri" w:hAnsi="Calibri" w:cs="Calibri"/>
          <w:sz w:val="18"/>
          <w:szCs w:val="18"/>
        </w:rPr>
        <w:t xml:space="preserve"> UI: Recoverin</w:t>
      </w:r>
      <w:r>
        <w:rPr>
          <w:rFonts w:ascii="Calibri" w:eastAsia="Calibri" w:hAnsi="Calibri" w:cs="Calibri"/>
          <w:sz w:val="18"/>
          <w:szCs w:val="18"/>
        </w:rPr>
        <w:t>g quality of life utility index. CMHS question numbers are from the 2015 and 2016 questionnaires (</w:t>
      </w:r>
      <w:hyperlink r:id="rId12">
        <w:r>
          <w:rPr>
            <w:rFonts w:ascii="Calibri" w:eastAsia="Calibri" w:hAnsi="Calibri" w:cs="Calibri"/>
            <w:color w:val="0000FF"/>
            <w:sz w:val="18"/>
            <w:szCs w:val="18"/>
            <w:u w:val="single"/>
          </w:rPr>
          <w:t>https://nhssurveys.org/surveys/</w:t>
        </w:r>
      </w:hyperlink>
      <w:r>
        <w:rPr>
          <w:rFonts w:ascii="Calibri" w:eastAsia="Calibri" w:hAnsi="Calibri" w:cs="Calibri"/>
          <w:sz w:val="18"/>
          <w:szCs w:val="18"/>
        </w:rPr>
        <w:t>).</w:t>
      </w:r>
    </w:p>
    <w:p w14:paraId="7CFB5EF2" w14:textId="77777777" w:rsidR="0005042F" w:rsidRDefault="007D1A26">
      <w:pPr>
        <w:spacing w:after="160"/>
        <w:jc w:val="left"/>
      </w:pPr>
      <w:r>
        <w:br w:type="page"/>
      </w:r>
    </w:p>
    <w:p w14:paraId="52766A6A" w14:textId="77777777" w:rsidR="0005042F" w:rsidRDefault="007D1A26">
      <w:pPr>
        <w:spacing w:line="240" w:lineRule="auto"/>
        <w:jc w:val="left"/>
        <w:rPr>
          <w:rFonts w:ascii="Calibri" w:eastAsia="Calibri" w:hAnsi="Calibri" w:cs="Calibri"/>
          <w:i/>
          <w:color w:val="44546A"/>
          <w:sz w:val="18"/>
          <w:szCs w:val="18"/>
        </w:rPr>
      </w:pPr>
      <w:bookmarkStart w:id="21" w:name="_44sinio" w:colFirst="0" w:colLast="0"/>
      <w:bookmarkEnd w:id="21"/>
      <w:r>
        <w:rPr>
          <w:rFonts w:ascii="Calibri" w:eastAsia="Calibri" w:hAnsi="Calibri" w:cs="Calibri"/>
          <w:b/>
          <w:color w:val="000000"/>
          <w:sz w:val="22"/>
          <w:szCs w:val="22"/>
        </w:rPr>
        <w:lastRenderedPageBreak/>
        <w:t>Table 2.</w:t>
      </w:r>
      <w:r>
        <w:rPr>
          <w:rFonts w:ascii="Calibri" w:eastAsia="Calibri" w:hAnsi="Calibri" w:cs="Calibri"/>
          <w:color w:val="000000"/>
          <w:sz w:val="22"/>
          <w:szCs w:val="22"/>
        </w:rPr>
        <w:t xml:space="preserve"> </w:t>
      </w:r>
      <w:r>
        <w:rPr>
          <w:rFonts w:ascii="Calibri" w:eastAsia="Calibri" w:hAnsi="Calibri" w:cs="Calibri"/>
          <w:b/>
          <w:color w:val="000000"/>
          <w:sz w:val="22"/>
          <w:szCs w:val="22"/>
        </w:rPr>
        <w:t xml:space="preserve">Descriptive statistics for provider level effects </w:t>
      </w:r>
    </w:p>
    <w:tbl>
      <w:tblPr>
        <w:tblStyle w:val="a0"/>
        <w:tblW w:w="8931" w:type="dxa"/>
        <w:tblLayout w:type="fixed"/>
        <w:tblLook w:val="0400" w:firstRow="0" w:lastRow="0" w:firstColumn="0" w:lastColumn="0" w:noHBand="0" w:noVBand="1"/>
      </w:tblPr>
      <w:tblGrid>
        <w:gridCol w:w="3176"/>
        <w:gridCol w:w="1417"/>
        <w:gridCol w:w="1271"/>
        <w:gridCol w:w="1022"/>
        <w:gridCol w:w="1022"/>
        <w:gridCol w:w="1023"/>
      </w:tblGrid>
      <w:tr w:rsidR="0005042F" w14:paraId="5842B0F1" w14:textId="77777777">
        <w:trPr>
          <w:trHeight w:val="283"/>
        </w:trPr>
        <w:tc>
          <w:tcPr>
            <w:tcW w:w="3176" w:type="dxa"/>
            <w:tcBorders>
              <w:top w:val="single" w:sz="8" w:space="0" w:color="000000"/>
              <w:left w:val="nil"/>
              <w:bottom w:val="single" w:sz="8" w:space="0" w:color="000000"/>
              <w:right w:val="nil"/>
            </w:tcBorders>
            <w:tcMar>
              <w:top w:w="12" w:type="dxa"/>
              <w:left w:w="57" w:type="dxa"/>
              <w:bottom w:w="0" w:type="dxa"/>
              <w:right w:w="57" w:type="dxa"/>
            </w:tcMar>
            <w:vAlign w:val="center"/>
          </w:tcPr>
          <w:p w14:paraId="23DD5221" w14:textId="77777777" w:rsidR="0005042F" w:rsidRDefault="0005042F">
            <w:pPr>
              <w:jc w:val="center"/>
              <w:rPr>
                <w:b/>
                <w:sz w:val="20"/>
                <w:szCs w:val="20"/>
              </w:rPr>
            </w:pPr>
          </w:p>
        </w:tc>
        <w:tc>
          <w:tcPr>
            <w:tcW w:w="1417" w:type="dxa"/>
            <w:tcBorders>
              <w:top w:val="single" w:sz="8" w:space="0" w:color="000000"/>
              <w:left w:val="nil"/>
              <w:bottom w:val="single" w:sz="8" w:space="0" w:color="000000"/>
              <w:right w:val="nil"/>
            </w:tcBorders>
            <w:tcMar>
              <w:top w:w="12" w:type="dxa"/>
              <w:left w:w="57" w:type="dxa"/>
              <w:bottom w:w="0" w:type="dxa"/>
              <w:right w:w="57" w:type="dxa"/>
            </w:tcMar>
            <w:vAlign w:val="center"/>
          </w:tcPr>
          <w:p w14:paraId="7CA48BDC" w14:textId="77777777" w:rsidR="0005042F" w:rsidRDefault="007D1A26">
            <w:pPr>
              <w:jc w:val="center"/>
              <w:rPr>
                <w:b/>
                <w:sz w:val="20"/>
                <w:szCs w:val="20"/>
              </w:rPr>
            </w:pPr>
            <w:r>
              <w:rPr>
                <w:b/>
                <w:sz w:val="20"/>
                <w:szCs w:val="20"/>
              </w:rPr>
              <w:t xml:space="preserve">Weight relative to </w:t>
            </w:r>
            <w:proofErr w:type="spellStart"/>
            <w:r>
              <w:rPr>
                <w:b/>
                <w:sz w:val="20"/>
                <w:szCs w:val="20"/>
              </w:rPr>
              <w:t>ReQoL</w:t>
            </w:r>
            <w:proofErr w:type="spellEnd"/>
          </w:p>
        </w:tc>
        <w:tc>
          <w:tcPr>
            <w:tcW w:w="4338" w:type="dxa"/>
            <w:gridSpan w:val="4"/>
            <w:tcBorders>
              <w:top w:val="single" w:sz="8" w:space="0" w:color="000000"/>
              <w:left w:val="nil"/>
              <w:bottom w:val="single" w:sz="8" w:space="0" w:color="000000"/>
              <w:right w:val="nil"/>
            </w:tcBorders>
            <w:tcMar>
              <w:top w:w="12" w:type="dxa"/>
              <w:left w:w="57" w:type="dxa"/>
              <w:bottom w:w="0" w:type="dxa"/>
              <w:right w:w="57" w:type="dxa"/>
            </w:tcMar>
            <w:vAlign w:val="center"/>
          </w:tcPr>
          <w:p w14:paraId="4F9668E3" w14:textId="77777777" w:rsidR="0005042F" w:rsidRDefault="007D1A26">
            <w:pPr>
              <w:jc w:val="center"/>
              <w:rPr>
                <w:b/>
                <w:sz w:val="20"/>
                <w:szCs w:val="20"/>
              </w:rPr>
            </w:pPr>
            <w:r>
              <w:rPr>
                <w:b/>
                <w:sz w:val="20"/>
                <w:szCs w:val="20"/>
              </w:rPr>
              <w:t>Provider level summary statistics</w:t>
            </w:r>
          </w:p>
        </w:tc>
      </w:tr>
      <w:tr w:rsidR="0005042F" w14:paraId="706BCEE2" w14:textId="77777777">
        <w:trPr>
          <w:trHeight w:val="142"/>
        </w:trPr>
        <w:tc>
          <w:tcPr>
            <w:tcW w:w="3176" w:type="dxa"/>
            <w:tcBorders>
              <w:top w:val="single" w:sz="8" w:space="0" w:color="000000"/>
              <w:left w:val="nil"/>
              <w:bottom w:val="single" w:sz="8" w:space="0" w:color="000000"/>
              <w:right w:val="nil"/>
            </w:tcBorders>
            <w:tcMar>
              <w:top w:w="12" w:type="dxa"/>
              <w:left w:w="57" w:type="dxa"/>
              <w:bottom w:w="0" w:type="dxa"/>
              <w:right w:w="57" w:type="dxa"/>
            </w:tcMar>
            <w:vAlign w:val="center"/>
          </w:tcPr>
          <w:p w14:paraId="118AFDA6" w14:textId="77777777" w:rsidR="0005042F" w:rsidRDefault="007D1A26">
            <w:pPr>
              <w:jc w:val="center"/>
              <w:rPr>
                <w:i/>
                <w:sz w:val="20"/>
                <w:szCs w:val="20"/>
              </w:rPr>
            </w:pPr>
            <w:r>
              <w:rPr>
                <w:i/>
                <w:sz w:val="20"/>
                <w:szCs w:val="20"/>
              </w:rPr>
              <w:t>Benefit attribute</w:t>
            </w:r>
          </w:p>
        </w:tc>
        <w:tc>
          <w:tcPr>
            <w:tcW w:w="1417" w:type="dxa"/>
            <w:tcBorders>
              <w:top w:val="single" w:sz="8" w:space="0" w:color="000000"/>
              <w:left w:val="nil"/>
              <w:bottom w:val="single" w:sz="8" w:space="0" w:color="000000"/>
              <w:right w:val="nil"/>
            </w:tcBorders>
            <w:tcMar>
              <w:top w:w="12" w:type="dxa"/>
              <w:left w:w="57" w:type="dxa"/>
              <w:bottom w:w="0" w:type="dxa"/>
              <w:right w:w="57" w:type="dxa"/>
            </w:tcMar>
            <w:vAlign w:val="center"/>
          </w:tcPr>
          <w:p w14:paraId="1C317298" w14:textId="77777777" w:rsidR="0005042F" w:rsidRDefault="0005042F">
            <w:pPr>
              <w:jc w:val="center"/>
              <w:rPr>
                <w:sz w:val="20"/>
                <w:szCs w:val="20"/>
              </w:rPr>
            </w:pPr>
          </w:p>
        </w:tc>
        <w:tc>
          <w:tcPr>
            <w:tcW w:w="1271" w:type="dxa"/>
            <w:tcBorders>
              <w:top w:val="single" w:sz="8" w:space="0" w:color="000000"/>
              <w:left w:val="nil"/>
              <w:bottom w:val="single" w:sz="8" w:space="0" w:color="000000"/>
              <w:right w:val="nil"/>
            </w:tcBorders>
            <w:tcMar>
              <w:top w:w="12" w:type="dxa"/>
              <w:left w:w="57" w:type="dxa"/>
              <w:bottom w:w="0" w:type="dxa"/>
              <w:right w:w="57" w:type="dxa"/>
            </w:tcMar>
            <w:vAlign w:val="center"/>
          </w:tcPr>
          <w:p w14:paraId="3005E7EB" w14:textId="77777777" w:rsidR="0005042F" w:rsidRDefault="007D1A26">
            <w:pPr>
              <w:jc w:val="center"/>
              <w:rPr>
                <w:b/>
                <w:sz w:val="20"/>
                <w:szCs w:val="20"/>
              </w:rPr>
            </w:pPr>
            <w:r>
              <w:rPr>
                <w:b/>
                <w:sz w:val="20"/>
                <w:szCs w:val="20"/>
              </w:rPr>
              <w:t>Mean</w:t>
            </w:r>
          </w:p>
        </w:tc>
        <w:tc>
          <w:tcPr>
            <w:tcW w:w="1022" w:type="dxa"/>
            <w:tcBorders>
              <w:top w:val="single" w:sz="8" w:space="0" w:color="000000"/>
              <w:left w:val="nil"/>
              <w:bottom w:val="single" w:sz="8" w:space="0" w:color="000000"/>
              <w:right w:val="nil"/>
            </w:tcBorders>
            <w:vAlign w:val="center"/>
          </w:tcPr>
          <w:p w14:paraId="6D9EECC6" w14:textId="77777777" w:rsidR="0005042F" w:rsidRDefault="007D1A26">
            <w:pPr>
              <w:jc w:val="center"/>
              <w:rPr>
                <w:b/>
                <w:sz w:val="20"/>
                <w:szCs w:val="20"/>
              </w:rPr>
            </w:pPr>
            <w:r>
              <w:rPr>
                <w:b/>
                <w:sz w:val="20"/>
                <w:szCs w:val="20"/>
              </w:rPr>
              <w:t>SD</w:t>
            </w:r>
          </w:p>
        </w:tc>
        <w:tc>
          <w:tcPr>
            <w:tcW w:w="1022" w:type="dxa"/>
            <w:tcBorders>
              <w:top w:val="single" w:sz="8" w:space="0" w:color="000000"/>
              <w:left w:val="nil"/>
              <w:bottom w:val="single" w:sz="8" w:space="0" w:color="000000"/>
              <w:right w:val="nil"/>
            </w:tcBorders>
            <w:vAlign w:val="center"/>
          </w:tcPr>
          <w:p w14:paraId="04EE4FEF" w14:textId="77777777" w:rsidR="0005042F" w:rsidRDefault="007D1A26">
            <w:pPr>
              <w:jc w:val="center"/>
              <w:rPr>
                <w:b/>
                <w:sz w:val="20"/>
                <w:szCs w:val="20"/>
              </w:rPr>
            </w:pPr>
            <w:r>
              <w:rPr>
                <w:b/>
                <w:sz w:val="20"/>
                <w:szCs w:val="20"/>
              </w:rPr>
              <w:t>Min</w:t>
            </w:r>
          </w:p>
        </w:tc>
        <w:tc>
          <w:tcPr>
            <w:tcW w:w="1023" w:type="dxa"/>
            <w:tcBorders>
              <w:top w:val="single" w:sz="8" w:space="0" w:color="000000"/>
              <w:left w:val="nil"/>
              <w:bottom w:val="single" w:sz="8" w:space="0" w:color="000000"/>
              <w:right w:val="nil"/>
            </w:tcBorders>
            <w:vAlign w:val="center"/>
          </w:tcPr>
          <w:p w14:paraId="457D3BCC" w14:textId="77777777" w:rsidR="0005042F" w:rsidRDefault="007D1A26">
            <w:pPr>
              <w:jc w:val="center"/>
              <w:rPr>
                <w:b/>
                <w:sz w:val="20"/>
                <w:szCs w:val="20"/>
              </w:rPr>
            </w:pPr>
            <w:r>
              <w:rPr>
                <w:b/>
                <w:sz w:val="20"/>
                <w:szCs w:val="20"/>
              </w:rPr>
              <w:t>Max</w:t>
            </w:r>
          </w:p>
        </w:tc>
      </w:tr>
      <w:tr w:rsidR="0005042F" w14:paraId="5D51CA32" w14:textId="77777777">
        <w:trPr>
          <w:trHeight w:val="283"/>
        </w:trPr>
        <w:tc>
          <w:tcPr>
            <w:tcW w:w="3176" w:type="dxa"/>
            <w:tcBorders>
              <w:top w:val="single" w:sz="8" w:space="0" w:color="000000"/>
              <w:left w:val="nil"/>
              <w:bottom w:val="single" w:sz="8" w:space="0" w:color="000000"/>
              <w:right w:val="nil"/>
            </w:tcBorders>
            <w:tcMar>
              <w:top w:w="12" w:type="dxa"/>
              <w:left w:w="57" w:type="dxa"/>
              <w:bottom w:w="0" w:type="dxa"/>
              <w:right w:w="57" w:type="dxa"/>
            </w:tcMar>
            <w:vAlign w:val="center"/>
          </w:tcPr>
          <w:p w14:paraId="72ECA2C5" w14:textId="77777777" w:rsidR="0005042F" w:rsidRDefault="007D1A26">
            <w:pPr>
              <w:jc w:val="left"/>
              <w:rPr>
                <w:sz w:val="20"/>
                <w:szCs w:val="20"/>
              </w:rPr>
            </w:pPr>
            <w:r>
              <w:rPr>
                <w:rFonts w:ascii="Gungsuh" w:eastAsia="Gungsuh" w:hAnsi="Gungsuh" w:cs="Gungsuh"/>
                <w:sz w:val="20"/>
                <w:szCs w:val="20"/>
              </w:rPr>
              <w:t>1. Waiting time:  wait ≤ 75</w:t>
            </w:r>
            <w:r>
              <w:rPr>
                <w:sz w:val="20"/>
                <w:szCs w:val="20"/>
                <w:vertAlign w:val="superscript"/>
              </w:rPr>
              <w:t>th</w:t>
            </w:r>
            <w:r>
              <w:rPr>
                <w:sz w:val="20"/>
                <w:szCs w:val="20"/>
              </w:rPr>
              <w:t xml:space="preserve"> centile (62 days)</w:t>
            </w:r>
          </w:p>
        </w:tc>
        <w:tc>
          <w:tcPr>
            <w:tcW w:w="1417" w:type="dxa"/>
            <w:tcBorders>
              <w:top w:val="single" w:sz="8" w:space="0" w:color="000000"/>
              <w:left w:val="nil"/>
              <w:bottom w:val="single" w:sz="8" w:space="0" w:color="000000"/>
              <w:right w:val="nil"/>
            </w:tcBorders>
            <w:tcMar>
              <w:top w:w="12" w:type="dxa"/>
              <w:left w:w="57" w:type="dxa"/>
              <w:bottom w:w="0" w:type="dxa"/>
              <w:right w:w="57" w:type="dxa"/>
            </w:tcMar>
            <w:vAlign w:val="center"/>
          </w:tcPr>
          <w:p w14:paraId="7B2D4457" w14:textId="77777777" w:rsidR="0005042F" w:rsidRDefault="007D1A26">
            <w:pPr>
              <w:spacing w:line="256" w:lineRule="auto"/>
              <w:jc w:val="center"/>
              <w:rPr>
                <w:sz w:val="20"/>
                <w:szCs w:val="20"/>
              </w:rPr>
            </w:pPr>
            <w:r>
              <w:rPr>
                <w:color w:val="000000"/>
                <w:sz w:val="20"/>
                <w:szCs w:val="20"/>
              </w:rPr>
              <w:t>w</w:t>
            </w:r>
            <w:r>
              <w:rPr>
                <w:color w:val="000000"/>
                <w:sz w:val="20"/>
                <w:szCs w:val="20"/>
                <w:vertAlign w:val="subscript"/>
              </w:rPr>
              <w:t>1</w:t>
            </w:r>
            <w:r>
              <w:rPr>
                <w:color w:val="000000"/>
                <w:sz w:val="20"/>
                <w:szCs w:val="20"/>
              </w:rPr>
              <w:t xml:space="preserve"> = 0.062</w:t>
            </w:r>
          </w:p>
        </w:tc>
        <w:tc>
          <w:tcPr>
            <w:tcW w:w="1271" w:type="dxa"/>
            <w:tcBorders>
              <w:top w:val="single" w:sz="8" w:space="0" w:color="000000"/>
              <w:left w:val="nil"/>
              <w:bottom w:val="single" w:sz="8" w:space="0" w:color="000000"/>
              <w:right w:val="nil"/>
            </w:tcBorders>
            <w:tcMar>
              <w:top w:w="12" w:type="dxa"/>
              <w:left w:w="57" w:type="dxa"/>
              <w:bottom w:w="0" w:type="dxa"/>
              <w:right w:w="57" w:type="dxa"/>
            </w:tcMar>
            <w:vAlign w:val="center"/>
          </w:tcPr>
          <w:p w14:paraId="12A3C9A6" w14:textId="77777777" w:rsidR="0005042F" w:rsidRDefault="007D1A26">
            <w:pPr>
              <w:spacing w:line="256" w:lineRule="auto"/>
              <w:jc w:val="center"/>
              <w:rPr>
                <w:color w:val="000000"/>
                <w:sz w:val="20"/>
                <w:szCs w:val="20"/>
              </w:rPr>
            </w:pPr>
            <w:r>
              <w:rPr>
                <w:color w:val="000000"/>
                <w:sz w:val="20"/>
                <w:szCs w:val="20"/>
              </w:rPr>
              <w:t>1.055</w:t>
            </w:r>
          </w:p>
        </w:tc>
        <w:tc>
          <w:tcPr>
            <w:tcW w:w="1022" w:type="dxa"/>
            <w:tcBorders>
              <w:top w:val="single" w:sz="8" w:space="0" w:color="000000"/>
              <w:left w:val="nil"/>
              <w:bottom w:val="single" w:sz="8" w:space="0" w:color="000000"/>
              <w:right w:val="nil"/>
            </w:tcBorders>
            <w:vAlign w:val="center"/>
          </w:tcPr>
          <w:p w14:paraId="307BAB84" w14:textId="77777777" w:rsidR="0005042F" w:rsidRDefault="007D1A26">
            <w:pPr>
              <w:spacing w:line="256" w:lineRule="auto"/>
              <w:jc w:val="center"/>
              <w:rPr>
                <w:color w:val="000000"/>
                <w:sz w:val="20"/>
                <w:szCs w:val="20"/>
              </w:rPr>
            </w:pPr>
            <w:r>
              <w:rPr>
                <w:color w:val="000000"/>
                <w:sz w:val="20"/>
                <w:szCs w:val="20"/>
              </w:rPr>
              <w:t>0.110</w:t>
            </w:r>
          </w:p>
        </w:tc>
        <w:tc>
          <w:tcPr>
            <w:tcW w:w="1022" w:type="dxa"/>
            <w:tcBorders>
              <w:top w:val="single" w:sz="8" w:space="0" w:color="000000"/>
              <w:left w:val="nil"/>
              <w:bottom w:val="single" w:sz="8" w:space="0" w:color="000000"/>
              <w:right w:val="nil"/>
            </w:tcBorders>
            <w:vAlign w:val="center"/>
          </w:tcPr>
          <w:p w14:paraId="136FA200" w14:textId="77777777" w:rsidR="0005042F" w:rsidRDefault="007D1A26">
            <w:pPr>
              <w:spacing w:line="256" w:lineRule="auto"/>
              <w:jc w:val="center"/>
              <w:rPr>
                <w:color w:val="000000"/>
                <w:sz w:val="20"/>
                <w:szCs w:val="20"/>
              </w:rPr>
            </w:pPr>
            <w:r>
              <w:rPr>
                <w:color w:val="000000"/>
                <w:sz w:val="20"/>
                <w:szCs w:val="20"/>
              </w:rPr>
              <w:t>0.750</w:t>
            </w:r>
          </w:p>
        </w:tc>
        <w:tc>
          <w:tcPr>
            <w:tcW w:w="1023" w:type="dxa"/>
            <w:tcBorders>
              <w:top w:val="single" w:sz="8" w:space="0" w:color="000000"/>
              <w:left w:val="nil"/>
              <w:bottom w:val="single" w:sz="8" w:space="0" w:color="000000"/>
              <w:right w:val="nil"/>
            </w:tcBorders>
            <w:vAlign w:val="center"/>
          </w:tcPr>
          <w:p w14:paraId="3CA69292" w14:textId="77777777" w:rsidR="0005042F" w:rsidRDefault="007D1A26">
            <w:pPr>
              <w:spacing w:line="256" w:lineRule="auto"/>
              <w:jc w:val="center"/>
              <w:rPr>
                <w:color w:val="000000"/>
                <w:sz w:val="20"/>
                <w:szCs w:val="20"/>
              </w:rPr>
            </w:pPr>
            <w:r>
              <w:rPr>
                <w:color w:val="000000"/>
                <w:sz w:val="20"/>
                <w:szCs w:val="20"/>
              </w:rPr>
              <w:t>1.306</w:t>
            </w:r>
          </w:p>
        </w:tc>
      </w:tr>
      <w:tr w:rsidR="0005042F" w14:paraId="083FB868" w14:textId="77777777">
        <w:trPr>
          <w:trHeight w:val="283"/>
        </w:trPr>
        <w:tc>
          <w:tcPr>
            <w:tcW w:w="3176" w:type="dxa"/>
            <w:tcBorders>
              <w:top w:val="single" w:sz="8" w:space="0" w:color="000000"/>
              <w:left w:val="nil"/>
              <w:bottom w:val="single" w:sz="8" w:space="0" w:color="000000"/>
              <w:right w:val="nil"/>
            </w:tcBorders>
            <w:tcMar>
              <w:top w:w="12" w:type="dxa"/>
              <w:left w:w="57" w:type="dxa"/>
              <w:bottom w:w="0" w:type="dxa"/>
              <w:right w:w="57" w:type="dxa"/>
            </w:tcMar>
            <w:vAlign w:val="center"/>
          </w:tcPr>
          <w:p w14:paraId="25C6D43B" w14:textId="77777777" w:rsidR="0005042F" w:rsidRDefault="007D1A26">
            <w:pPr>
              <w:jc w:val="left"/>
              <w:rPr>
                <w:sz w:val="20"/>
                <w:szCs w:val="20"/>
              </w:rPr>
            </w:pPr>
            <w:r>
              <w:rPr>
                <w:sz w:val="20"/>
                <w:szCs w:val="20"/>
              </w:rPr>
              <w:t>2. Ease of access</w:t>
            </w:r>
          </w:p>
        </w:tc>
        <w:tc>
          <w:tcPr>
            <w:tcW w:w="1417" w:type="dxa"/>
            <w:tcBorders>
              <w:top w:val="single" w:sz="8" w:space="0" w:color="000000"/>
              <w:left w:val="nil"/>
              <w:bottom w:val="single" w:sz="8" w:space="0" w:color="000000"/>
              <w:right w:val="nil"/>
            </w:tcBorders>
            <w:tcMar>
              <w:top w:w="12" w:type="dxa"/>
              <w:left w:w="57" w:type="dxa"/>
              <w:bottom w:w="0" w:type="dxa"/>
              <w:right w:w="57" w:type="dxa"/>
            </w:tcMar>
            <w:vAlign w:val="center"/>
          </w:tcPr>
          <w:p w14:paraId="57C89CC5" w14:textId="77777777" w:rsidR="0005042F" w:rsidRDefault="007D1A26">
            <w:pPr>
              <w:spacing w:line="256" w:lineRule="auto"/>
              <w:jc w:val="center"/>
              <w:rPr>
                <w:sz w:val="20"/>
                <w:szCs w:val="20"/>
              </w:rPr>
            </w:pPr>
            <w:r>
              <w:rPr>
                <w:color w:val="000000"/>
                <w:sz w:val="20"/>
                <w:szCs w:val="20"/>
              </w:rPr>
              <w:t>w</w:t>
            </w:r>
            <w:r>
              <w:rPr>
                <w:color w:val="000000"/>
                <w:sz w:val="20"/>
                <w:szCs w:val="20"/>
                <w:vertAlign w:val="subscript"/>
              </w:rPr>
              <w:t>2</w:t>
            </w:r>
            <w:r>
              <w:rPr>
                <w:color w:val="000000"/>
                <w:sz w:val="20"/>
                <w:szCs w:val="20"/>
              </w:rPr>
              <w:t xml:space="preserve"> = 0.179</w:t>
            </w:r>
          </w:p>
        </w:tc>
        <w:tc>
          <w:tcPr>
            <w:tcW w:w="1271" w:type="dxa"/>
            <w:tcBorders>
              <w:top w:val="single" w:sz="8" w:space="0" w:color="000000"/>
              <w:left w:val="nil"/>
              <w:bottom w:val="single" w:sz="8" w:space="0" w:color="000000"/>
              <w:right w:val="nil"/>
            </w:tcBorders>
            <w:tcMar>
              <w:top w:w="12" w:type="dxa"/>
              <w:left w:w="57" w:type="dxa"/>
              <w:bottom w:w="0" w:type="dxa"/>
              <w:right w:w="57" w:type="dxa"/>
            </w:tcMar>
            <w:vAlign w:val="center"/>
          </w:tcPr>
          <w:p w14:paraId="46331A64" w14:textId="77777777" w:rsidR="0005042F" w:rsidRDefault="007D1A26">
            <w:pPr>
              <w:spacing w:line="256" w:lineRule="auto"/>
              <w:jc w:val="center"/>
              <w:rPr>
                <w:color w:val="000000"/>
                <w:sz w:val="20"/>
                <w:szCs w:val="20"/>
              </w:rPr>
            </w:pPr>
            <w:r>
              <w:rPr>
                <w:color w:val="000000"/>
                <w:sz w:val="20"/>
                <w:szCs w:val="20"/>
              </w:rPr>
              <w:t>0.701</w:t>
            </w:r>
          </w:p>
        </w:tc>
        <w:tc>
          <w:tcPr>
            <w:tcW w:w="1022" w:type="dxa"/>
            <w:tcBorders>
              <w:top w:val="single" w:sz="8" w:space="0" w:color="000000"/>
              <w:left w:val="nil"/>
              <w:bottom w:val="single" w:sz="8" w:space="0" w:color="000000"/>
              <w:right w:val="nil"/>
            </w:tcBorders>
            <w:vAlign w:val="center"/>
          </w:tcPr>
          <w:p w14:paraId="31884C97" w14:textId="77777777" w:rsidR="0005042F" w:rsidRDefault="007D1A26">
            <w:pPr>
              <w:spacing w:line="256" w:lineRule="auto"/>
              <w:jc w:val="center"/>
              <w:rPr>
                <w:color w:val="000000"/>
                <w:sz w:val="20"/>
                <w:szCs w:val="20"/>
              </w:rPr>
            </w:pPr>
            <w:r>
              <w:rPr>
                <w:color w:val="000000"/>
                <w:sz w:val="20"/>
                <w:szCs w:val="20"/>
              </w:rPr>
              <w:t>0.173</w:t>
            </w:r>
          </w:p>
        </w:tc>
        <w:tc>
          <w:tcPr>
            <w:tcW w:w="1022" w:type="dxa"/>
            <w:tcBorders>
              <w:top w:val="single" w:sz="8" w:space="0" w:color="000000"/>
              <w:left w:val="nil"/>
              <w:bottom w:val="single" w:sz="8" w:space="0" w:color="000000"/>
              <w:right w:val="nil"/>
            </w:tcBorders>
            <w:vAlign w:val="center"/>
          </w:tcPr>
          <w:p w14:paraId="54EF03A9" w14:textId="77777777" w:rsidR="0005042F" w:rsidRDefault="007D1A26">
            <w:pPr>
              <w:spacing w:line="256" w:lineRule="auto"/>
              <w:jc w:val="center"/>
              <w:rPr>
                <w:color w:val="000000"/>
                <w:sz w:val="20"/>
                <w:szCs w:val="20"/>
              </w:rPr>
            </w:pPr>
            <w:r>
              <w:rPr>
                <w:color w:val="000000"/>
                <w:sz w:val="20"/>
                <w:szCs w:val="20"/>
              </w:rPr>
              <w:t>0.096</w:t>
            </w:r>
          </w:p>
        </w:tc>
        <w:tc>
          <w:tcPr>
            <w:tcW w:w="1023" w:type="dxa"/>
            <w:tcBorders>
              <w:top w:val="single" w:sz="8" w:space="0" w:color="000000"/>
              <w:left w:val="nil"/>
              <w:bottom w:val="single" w:sz="8" w:space="0" w:color="000000"/>
              <w:right w:val="nil"/>
            </w:tcBorders>
            <w:vAlign w:val="center"/>
          </w:tcPr>
          <w:p w14:paraId="706C5D2F" w14:textId="77777777" w:rsidR="0005042F" w:rsidRDefault="007D1A26">
            <w:pPr>
              <w:spacing w:line="256" w:lineRule="auto"/>
              <w:jc w:val="center"/>
              <w:rPr>
                <w:color w:val="000000"/>
                <w:sz w:val="20"/>
                <w:szCs w:val="20"/>
              </w:rPr>
            </w:pPr>
            <w:r>
              <w:rPr>
                <w:color w:val="000000"/>
                <w:sz w:val="20"/>
                <w:szCs w:val="20"/>
              </w:rPr>
              <w:t>0.927</w:t>
            </w:r>
          </w:p>
        </w:tc>
      </w:tr>
      <w:tr w:rsidR="0005042F" w14:paraId="27C84932" w14:textId="77777777">
        <w:trPr>
          <w:trHeight w:val="283"/>
        </w:trPr>
        <w:tc>
          <w:tcPr>
            <w:tcW w:w="3176" w:type="dxa"/>
            <w:tcBorders>
              <w:top w:val="single" w:sz="8" w:space="0" w:color="000000"/>
              <w:left w:val="nil"/>
              <w:bottom w:val="single" w:sz="8" w:space="0" w:color="000000"/>
              <w:right w:val="nil"/>
            </w:tcBorders>
            <w:tcMar>
              <w:top w:w="12" w:type="dxa"/>
              <w:left w:w="57" w:type="dxa"/>
              <w:bottom w:w="0" w:type="dxa"/>
              <w:right w:w="57" w:type="dxa"/>
            </w:tcMar>
            <w:vAlign w:val="center"/>
          </w:tcPr>
          <w:p w14:paraId="0F9229A7" w14:textId="77777777" w:rsidR="0005042F" w:rsidRDefault="007D1A26">
            <w:pPr>
              <w:jc w:val="left"/>
              <w:rPr>
                <w:sz w:val="20"/>
                <w:szCs w:val="20"/>
              </w:rPr>
            </w:pPr>
            <w:r>
              <w:rPr>
                <w:sz w:val="20"/>
                <w:szCs w:val="20"/>
              </w:rPr>
              <w:t>3. Person-centred care</w:t>
            </w:r>
          </w:p>
        </w:tc>
        <w:tc>
          <w:tcPr>
            <w:tcW w:w="1417" w:type="dxa"/>
            <w:tcBorders>
              <w:top w:val="single" w:sz="8" w:space="0" w:color="000000"/>
              <w:left w:val="nil"/>
              <w:bottom w:val="single" w:sz="8" w:space="0" w:color="000000"/>
              <w:right w:val="nil"/>
            </w:tcBorders>
            <w:tcMar>
              <w:top w:w="12" w:type="dxa"/>
              <w:left w:w="57" w:type="dxa"/>
              <w:bottom w:w="0" w:type="dxa"/>
              <w:right w:w="57" w:type="dxa"/>
            </w:tcMar>
            <w:vAlign w:val="center"/>
          </w:tcPr>
          <w:p w14:paraId="7554A429" w14:textId="77777777" w:rsidR="0005042F" w:rsidRDefault="007D1A26">
            <w:pPr>
              <w:spacing w:line="256" w:lineRule="auto"/>
              <w:jc w:val="center"/>
              <w:rPr>
                <w:sz w:val="20"/>
                <w:szCs w:val="20"/>
              </w:rPr>
            </w:pPr>
            <w:r>
              <w:rPr>
                <w:color w:val="000000"/>
                <w:sz w:val="20"/>
                <w:szCs w:val="20"/>
              </w:rPr>
              <w:t>w</w:t>
            </w:r>
            <w:r>
              <w:rPr>
                <w:color w:val="000000"/>
                <w:sz w:val="20"/>
                <w:szCs w:val="20"/>
                <w:vertAlign w:val="subscript"/>
              </w:rPr>
              <w:t>3</w:t>
            </w:r>
            <w:r>
              <w:rPr>
                <w:color w:val="000000"/>
                <w:sz w:val="20"/>
                <w:szCs w:val="20"/>
              </w:rPr>
              <w:t xml:space="preserve"> = 0.090</w:t>
            </w:r>
          </w:p>
        </w:tc>
        <w:tc>
          <w:tcPr>
            <w:tcW w:w="1271" w:type="dxa"/>
            <w:tcBorders>
              <w:top w:val="single" w:sz="8" w:space="0" w:color="000000"/>
              <w:left w:val="nil"/>
              <w:bottom w:val="single" w:sz="8" w:space="0" w:color="000000"/>
              <w:right w:val="nil"/>
            </w:tcBorders>
            <w:tcMar>
              <w:top w:w="12" w:type="dxa"/>
              <w:left w:w="57" w:type="dxa"/>
              <w:bottom w:w="0" w:type="dxa"/>
              <w:right w:w="57" w:type="dxa"/>
            </w:tcMar>
            <w:vAlign w:val="center"/>
          </w:tcPr>
          <w:p w14:paraId="4B2AB773" w14:textId="77777777" w:rsidR="0005042F" w:rsidRDefault="007D1A26">
            <w:pPr>
              <w:spacing w:line="256" w:lineRule="auto"/>
              <w:jc w:val="center"/>
              <w:rPr>
                <w:color w:val="000000"/>
                <w:sz w:val="20"/>
                <w:szCs w:val="20"/>
              </w:rPr>
            </w:pPr>
            <w:r>
              <w:rPr>
                <w:color w:val="000000"/>
                <w:sz w:val="20"/>
                <w:szCs w:val="20"/>
              </w:rPr>
              <w:t>0.435</w:t>
            </w:r>
          </w:p>
        </w:tc>
        <w:tc>
          <w:tcPr>
            <w:tcW w:w="1022" w:type="dxa"/>
            <w:tcBorders>
              <w:top w:val="single" w:sz="8" w:space="0" w:color="000000"/>
              <w:left w:val="nil"/>
              <w:bottom w:val="single" w:sz="8" w:space="0" w:color="000000"/>
              <w:right w:val="nil"/>
            </w:tcBorders>
            <w:vAlign w:val="center"/>
          </w:tcPr>
          <w:p w14:paraId="40CC88AD" w14:textId="77777777" w:rsidR="0005042F" w:rsidRDefault="007D1A26">
            <w:pPr>
              <w:spacing w:line="256" w:lineRule="auto"/>
              <w:jc w:val="center"/>
              <w:rPr>
                <w:color w:val="000000"/>
                <w:sz w:val="20"/>
                <w:szCs w:val="20"/>
              </w:rPr>
            </w:pPr>
            <w:r>
              <w:rPr>
                <w:color w:val="000000"/>
                <w:sz w:val="20"/>
                <w:szCs w:val="20"/>
              </w:rPr>
              <w:t>0.039</w:t>
            </w:r>
          </w:p>
        </w:tc>
        <w:tc>
          <w:tcPr>
            <w:tcW w:w="1022" w:type="dxa"/>
            <w:tcBorders>
              <w:top w:val="single" w:sz="8" w:space="0" w:color="000000"/>
              <w:left w:val="nil"/>
              <w:bottom w:val="single" w:sz="8" w:space="0" w:color="000000"/>
              <w:right w:val="nil"/>
            </w:tcBorders>
            <w:vAlign w:val="center"/>
          </w:tcPr>
          <w:p w14:paraId="01A41CC8" w14:textId="77777777" w:rsidR="0005042F" w:rsidRDefault="007D1A26">
            <w:pPr>
              <w:spacing w:line="256" w:lineRule="auto"/>
              <w:jc w:val="center"/>
              <w:rPr>
                <w:color w:val="000000"/>
                <w:sz w:val="20"/>
                <w:szCs w:val="20"/>
              </w:rPr>
            </w:pPr>
            <w:r>
              <w:rPr>
                <w:color w:val="000000"/>
                <w:sz w:val="20"/>
                <w:szCs w:val="20"/>
              </w:rPr>
              <w:t>0.354</w:t>
            </w:r>
          </w:p>
        </w:tc>
        <w:tc>
          <w:tcPr>
            <w:tcW w:w="1023" w:type="dxa"/>
            <w:tcBorders>
              <w:top w:val="single" w:sz="8" w:space="0" w:color="000000"/>
              <w:left w:val="nil"/>
              <w:bottom w:val="single" w:sz="8" w:space="0" w:color="000000"/>
              <w:right w:val="nil"/>
            </w:tcBorders>
            <w:vAlign w:val="center"/>
          </w:tcPr>
          <w:p w14:paraId="0FF0E685" w14:textId="77777777" w:rsidR="0005042F" w:rsidRDefault="007D1A26">
            <w:pPr>
              <w:spacing w:line="256" w:lineRule="auto"/>
              <w:jc w:val="center"/>
              <w:rPr>
                <w:color w:val="000000"/>
                <w:sz w:val="20"/>
                <w:szCs w:val="20"/>
              </w:rPr>
            </w:pPr>
            <w:r>
              <w:rPr>
                <w:color w:val="000000"/>
                <w:sz w:val="20"/>
                <w:szCs w:val="20"/>
              </w:rPr>
              <w:t>0.535</w:t>
            </w:r>
          </w:p>
        </w:tc>
      </w:tr>
      <w:tr w:rsidR="0005042F" w14:paraId="7BFE8703" w14:textId="77777777">
        <w:trPr>
          <w:trHeight w:val="283"/>
        </w:trPr>
        <w:tc>
          <w:tcPr>
            <w:tcW w:w="3176" w:type="dxa"/>
            <w:tcBorders>
              <w:top w:val="single" w:sz="8" w:space="0" w:color="000000"/>
              <w:left w:val="nil"/>
              <w:bottom w:val="single" w:sz="8" w:space="0" w:color="000000"/>
              <w:right w:val="nil"/>
            </w:tcBorders>
            <w:tcMar>
              <w:top w:w="12" w:type="dxa"/>
              <w:left w:w="57" w:type="dxa"/>
              <w:bottom w:w="0" w:type="dxa"/>
              <w:right w:w="57" w:type="dxa"/>
            </w:tcMar>
            <w:vAlign w:val="center"/>
          </w:tcPr>
          <w:p w14:paraId="49ACD014" w14:textId="77777777" w:rsidR="0005042F" w:rsidRDefault="007D1A26">
            <w:pPr>
              <w:jc w:val="left"/>
              <w:rPr>
                <w:sz w:val="20"/>
                <w:szCs w:val="20"/>
              </w:rPr>
            </w:pPr>
            <w:r>
              <w:rPr>
                <w:sz w:val="20"/>
                <w:szCs w:val="20"/>
              </w:rPr>
              <w:t>4. Co-ordinated approach</w:t>
            </w:r>
          </w:p>
        </w:tc>
        <w:tc>
          <w:tcPr>
            <w:tcW w:w="1417" w:type="dxa"/>
            <w:tcBorders>
              <w:top w:val="single" w:sz="8" w:space="0" w:color="000000"/>
              <w:left w:val="nil"/>
              <w:bottom w:val="single" w:sz="8" w:space="0" w:color="000000"/>
              <w:right w:val="nil"/>
            </w:tcBorders>
            <w:tcMar>
              <w:top w:w="12" w:type="dxa"/>
              <w:left w:w="57" w:type="dxa"/>
              <w:bottom w:w="0" w:type="dxa"/>
              <w:right w:w="57" w:type="dxa"/>
            </w:tcMar>
            <w:vAlign w:val="center"/>
          </w:tcPr>
          <w:p w14:paraId="05B76759" w14:textId="77777777" w:rsidR="0005042F" w:rsidRDefault="007D1A26">
            <w:pPr>
              <w:spacing w:line="256" w:lineRule="auto"/>
              <w:jc w:val="center"/>
              <w:rPr>
                <w:sz w:val="20"/>
                <w:szCs w:val="20"/>
              </w:rPr>
            </w:pPr>
            <w:r>
              <w:rPr>
                <w:color w:val="000000"/>
                <w:sz w:val="20"/>
                <w:szCs w:val="20"/>
              </w:rPr>
              <w:t>w</w:t>
            </w:r>
            <w:r>
              <w:rPr>
                <w:color w:val="000000"/>
                <w:sz w:val="20"/>
                <w:szCs w:val="20"/>
                <w:vertAlign w:val="subscript"/>
              </w:rPr>
              <w:t>4</w:t>
            </w:r>
            <w:r>
              <w:rPr>
                <w:color w:val="000000"/>
                <w:sz w:val="20"/>
                <w:szCs w:val="20"/>
              </w:rPr>
              <w:t xml:space="preserve"> = 0.205</w:t>
            </w:r>
          </w:p>
        </w:tc>
        <w:tc>
          <w:tcPr>
            <w:tcW w:w="1271" w:type="dxa"/>
            <w:tcBorders>
              <w:top w:val="single" w:sz="8" w:space="0" w:color="000000"/>
              <w:left w:val="nil"/>
              <w:bottom w:val="single" w:sz="8" w:space="0" w:color="000000"/>
              <w:right w:val="nil"/>
            </w:tcBorders>
            <w:tcMar>
              <w:top w:w="12" w:type="dxa"/>
              <w:left w:w="57" w:type="dxa"/>
              <w:bottom w:w="0" w:type="dxa"/>
              <w:right w:w="57" w:type="dxa"/>
            </w:tcMar>
            <w:vAlign w:val="center"/>
          </w:tcPr>
          <w:p w14:paraId="6804757B" w14:textId="77777777" w:rsidR="0005042F" w:rsidRDefault="007D1A26">
            <w:pPr>
              <w:spacing w:line="256" w:lineRule="auto"/>
              <w:jc w:val="center"/>
              <w:rPr>
                <w:color w:val="000000"/>
                <w:sz w:val="20"/>
                <w:szCs w:val="20"/>
              </w:rPr>
            </w:pPr>
            <w:r>
              <w:rPr>
                <w:color w:val="000000"/>
                <w:sz w:val="20"/>
                <w:szCs w:val="20"/>
              </w:rPr>
              <w:t>0.606</w:t>
            </w:r>
          </w:p>
        </w:tc>
        <w:tc>
          <w:tcPr>
            <w:tcW w:w="1022" w:type="dxa"/>
            <w:tcBorders>
              <w:top w:val="single" w:sz="8" w:space="0" w:color="000000"/>
              <w:left w:val="nil"/>
              <w:bottom w:val="single" w:sz="8" w:space="0" w:color="000000"/>
              <w:right w:val="nil"/>
            </w:tcBorders>
            <w:vAlign w:val="center"/>
          </w:tcPr>
          <w:p w14:paraId="0E1BD9B6" w14:textId="77777777" w:rsidR="0005042F" w:rsidRDefault="007D1A26">
            <w:pPr>
              <w:spacing w:line="256" w:lineRule="auto"/>
              <w:jc w:val="center"/>
              <w:rPr>
                <w:color w:val="000000"/>
                <w:sz w:val="20"/>
                <w:szCs w:val="20"/>
              </w:rPr>
            </w:pPr>
            <w:r>
              <w:rPr>
                <w:color w:val="000000"/>
                <w:sz w:val="20"/>
                <w:szCs w:val="20"/>
              </w:rPr>
              <w:t>0.043</w:t>
            </w:r>
          </w:p>
        </w:tc>
        <w:tc>
          <w:tcPr>
            <w:tcW w:w="1022" w:type="dxa"/>
            <w:tcBorders>
              <w:top w:val="single" w:sz="8" w:space="0" w:color="000000"/>
              <w:left w:val="nil"/>
              <w:bottom w:val="single" w:sz="8" w:space="0" w:color="000000"/>
              <w:right w:val="nil"/>
            </w:tcBorders>
            <w:vAlign w:val="center"/>
          </w:tcPr>
          <w:p w14:paraId="5D7BCF6A" w14:textId="77777777" w:rsidR="0005042F" w:rsidRDefault="007D1A26">
            <w:pPr>
              <w:spacing w:line="256" w:lineRule="auto"/>
              <w:jc w:val="center"/>
              <w:rPr>
                <w:color w:val="000000"/>
                <w:sz w:val="20"/>
                <w:szCs w:val="20"/>
              </w:rPr>
            </w:pPr>
            <w:r>
              <w:rPr>
                <w:color w:val="000000"/>
                <w:sz w:val="20"/>
                <w:szCs w:val="20"/>
              </w:rPr>
              <w:t>0.503</w:t>
            </w:r>
          </w:p>
        </w:tc>
        <w:tc>
          <w:tcPr>
            <w:tcW w:w="1023" w:type="dxa"/>
            <w:tcBorders>
              <w:top w:val="single" w:sz="8" w:space="0" w:color="000000"/>
              <w:left w:val="nil"/>
              <w:bottom w:val="single" w:sz="8" w:space="0" w:color="000000"/>
              <w:right w:val="nil"/>
            </w:tcBorders>
            <w:vAlign w:val="center"/>
          </w:tcPr>
          <w:p w14:paraId="71D10D77" w14:textId="77777777" w:rsidR="0005042F" w:rsidRDefault="007D1A26">
            <w:pPr>
              <w:spacing w:line="256" w:lineRule="auto"/>
              <w:jc w:val="center"/>
              <w:rPr>
                <w:color w:val="000000"/>
                <w:sz w:val="20"/>
                <w:szCs w:val="20"/>
              </w:rPr>
            </w:pPr>
            <w:r>
              <w:rPr>
                <w:color w:val="000000"/>
                <w:sz w:val="20"/>
                <w:szCs w:val="20"/>
              </w:rPr>
              <w:t>0.689</w:t>
            </w:r>
          </w:p>
        </w:tc>
      </w:tr>
      <w:tr w:rsidR="0005042F" w14:paraId="36CA2C2F" w14:textId="77777777">
        <w:trPr>
          <w:trHeight w:val="283"/>
        </w:trPr>
        <w:tc>
          <w:tcPr>
            <w:tcW w:w="3176" w:type="dxa"/>
            <w:tcBorders>
              <w:top w:val="single" w:sz="8" w:space="0" w:color="000000"/>
              <w:left w:val="nil"/>
              <w:bottom w:val="single" w:sz="8" w:space="0" w:color="000000"/>
              <w:right w:val="nil"/>
            </w:tcBorders>
            <w:tcMar>
              <w:top w:w="12" w:type="dxa"/>
              <w:left w:w="57" w:type="dxa"/>
              <w:bottom w:w="0" w:type="dxa"/>
              <w:right w:w="57" w:type="dxa"/>
            </w:tcMar>
            <w:vAlign w:val="center"/>
          </w:tcPr>
          <w:p w14:paraId="6E8E76CC" w14:textId="77777777" w:rsidR="0005042F" w:rsidRDefault="007D1A26">
            <w:pPr>
              <w:jc w:val="left"/>
              <w:rPr>
                <w:sz w:val="20"/>
                <w:szCs w:val="20"/>
              </w:rPr>
            </w:pPr>
            <w:r>
              <w:rPr>
                <w:sz w:val="20"/>
                <w:szCs w:val="20"/>
              </w:rPr>
              <w:t>5. Continuity</w:t>
            </w:r>
          </w:p>
        </w:tc>
        <w:tc>
          <w:tcPr>
            <w:tcW w:w="1417" w:type="dxa"/>
            <w:tcBorders>
              <w:top w:val="single" w:sz="8" w:space="0" w:color="000000"/>
              <w:left w:val="nil"/>
              <w:bottom w:val="single" w:sz="8" w:space="0" w:color="000000"/>
              <w:right w:val="nil"/>
            </w:tcBorders>
            <w:tcMar>
              <w:top w:w="12" w:type="dxa"/>
              <w:left w:w="57" w:type="dxa"/>
              <w:bottom w:w="0" w:type="dxa"/>
              <w:right w:w="57" w:type="dxa"/>
            </w:tcMar>
            <w:vAlign w:val="center"/>
          </w:tcPr>
          <w:p w14:paraId="6A7061EC" w14:textId="77777777" w:rsidR="0005042F" w:rsidRDefault="007D1A26">
            <w:pPr>
              <w:spacing w:line="256" w:lineRule="auto"/>
              <w:jc w:val="center"/>
              <w:rPr>
                <w:sz w:val="20"/>
                <w:szCs w:val="20"/>
              </w:rPr>
            </w:pPr>
            <w:r>
              <w:rPr>
                <w:color w:val="000000"/>
                <w:sz w:val="20"/>
                <w:szCs w:val="20"/>
              </w:rPr>
              <w:t>w</w:t>
            </w:r>
            <w:r>
              <w:rPr>
                <w:color w:val="000000"/>
                <w:sz w:val="20"/>
                <w:szCs w:val="20"/>
                <w:vertAlign w:val="subscript"/>
              </w:rPr>
              <w:t>5</w:t>
            </w:r>
            <w:r>
              <w:rPr>
                <w:color w:val="000000"/>
                <w:sz w:val="20"/>
                <w:szCs w:val="20"/>
              </w:rPr>
              <w:t xml:space="preserve"> = 0.121</w:t>
            </w:r>
          </w:p>
        </w:tc>
        <w:tc>
          <w:tcPr>
            <w:tcW w:w="1271" w:type="dxa"/>
            <w:tcBorders>
              <w:top w:val="single" w:sz="8" w:space="0" w:color="000000"/>
              <w:left w:val="nil"/>
              <w:bottom w:val="single" w:sz="8" w:space="0" w:color="000000"/>
              <w:right w:val="nil"/>
            </w:tcBorders>
            <w:tcMar>
              <w:top w:w="12" w:type="dxa"/>
              <w:left w:w="57" w:type="dxa"/>
              <w:bottom w:w="0" w:type="dxa"/>
              <w:right w:w="57" w:type="dxa"/>
            </w:tcMar>
            <w:vAlign w:val="center"/>
          </w:tcPr>
          <w:p w14:paraId="746997A3" w14:textId="77777777" w:rsidR="0005042F" w:rsidRDefault="007D1A26">
            <w:pPr>
              <w:spacing w:line="256" w:lineRule="auto"/>
              <w:jc w:val="center"/>
              <w:rPr>
                <w:color w:val="000000"/>
                <w:sz w:val="20"/>
                <w:szCs w:val="20"/>
              </w:rPr>
            </w:pPr>
            <w:r>
              <w:rPr>
                <w:color w:val="000000"/>
                <w:sz w:val="20"/>
                <w:szCs w:val="20"/>
              </w:rPr>
              <w:t>0.571</w:t>
            </w:r>
          </w:p>
        </w:tc>
        <w:tc>
          <w:tcPr>
            <w:tcW w:w="1022" w:type="dxa"/>
            <w:tcBorders>
              <w:top w:val="single" w:sz="8" w:space="0" w:color="000000"/>
              <w:left w:val="nil"/>
              <w:bottom w:val="single" w:sz="8" w:space="0" w:color="000000"/>
              <w:right w:val="nil"/>
            </w:tcBorders>
            <w:vAlign w:val="center"/>
          </w:tcPr>
          <w:p w14:paraId="11EB408E" w14:textId="77777777" w:rsidR="0005042F" w:rsidRDefault="007D1A26">
            <w:pPr>
              <w:spacing w:line="256" w:lineRule="auto"/>
              <w:jc w:val="center"/>
              <w:rPr>
                <w:color w:val="000000"/>
                <w:sz w:val="20"/>
                <w:szCs w:val="20"/>
              </w:rPr>
            </w:pPr>
            <w:r>
              <w:rPr>
                <w:color w:val="000000"/>
                <w:sz w:val="20"/>
                <w:szCs w:val="20"/>
              </w:rPr>
              <w:t>0.046</w:t>
            </w:r>
          </w:p>
        </w:tc>
        <w:tc>
          <w:tcPr>
            <w:tcW w:w="1022" w:type="dxa"/>
            <w:tcBorders>
              <w:top w:val="single" w:sz="8" w:space="0" w:color="000000"/>
              <w:left w:val="nil"/>
              <w:bottom w:val="single" w:sz="8" w:space="0" w:color="000000"/>
              <w:right w:val="nil"/>
            </w:tcBorders>
            <w:vAlign w:val="center"/>
          </w:tcPr>
          <w:p w14:paraId="09183047" w14:textId="77777777" w:rsidR="0005042F" w:rsidRDefault="007D1A26">
            <w:pPr>
              <w:spacing w:line="256" w:lineRule="auto"/>
              <w:jc w:val="center"/>
              <w:rPr>
                <w:color w:val="000000"/>
                <w:sz w:val="20"/>
                <w:szCs w:val="20"/>
              </w:rPr>
            </w:pPr>
            <w:r>
              <w:rPr>
                <w:color w:val="000000"/>
                <w:sz w:val="20"/>
                <w:szCs w:val="20"/>
              </w:rPr>
              <w:t>0.457</w:t>
            </w:r>
          </w:p>
        </w:tc>
        <w:tc>
          <w:tcPr>
            <w:tcW w:w="1023" w:type="dxa"/>
            <w:tcBorders>
              <w:top w:val="single" w:sz="8" w:space="0" w:color="000000"/>
              <w:left w:val="nil"/>
              <w:bottom w:val="single" w:sz="8" w:space="0" w:color="000000"/>
              <w:right w:val="nil"/>
            </w:tcBorders>
            <w:vAlign w:val="center"/>
          </w:tcPr>
          <w:p w14:paraId="0000B91D" w14:textId="77777777" w:rsidR="0005042F" w:rsidRDefault="007D1A26">
            <w:pPr>
              <w:spacing w:line="256" w:lineRule="auto"/>
              <w:jc w:val="center"/>
              <w:rPr>
                <w:color w:val="000000"/>
                <w:sz w:val="20"/>
                <w:szCs w:val="20"/>
              </w:rPr>
            </w:pPr>
            <w:r>
              <w:rPr>
                <w:color w:val="000000"/>
                <w:sz w:val="20"/>
                <w:szCs w:val="20"/>
              </w:rPr>
              <w:t>0.675</w:t>
            </w:r>
          </w:p>
        </w:tc>
      </w:tr>
      <w:tr w:rsidR="0005042F" w14:paraId="4C2A5E38" w14:textId="77777777">
        <w:trPr>
          <w:trHeight w:val="283"/>
        </w:trPr>
        <w:tc>
          <w:tcPr>
            <w:tcW w:w="3176" w:type="dxa"/>
            <w:tcBorders>
              <w:top w:val="single" w:sz="8" w:space="0" w:color="000000"/>
              <w:left w:val="nil"/>
              <w:bottom w:val="single" w:sz="8" w:space="0" w:color="000000"/>
              <w:right w:val="nil"/>
            </w:tcBorders>
            <w:tcMar>
              <w:top w:w="12" w:type="dxa"/>
              <w:left w:w="57" w:type="dxa"/>
              <w:bottom w:w="0" w:type="dxa"/>
              <w:right w:w="57" w:type="dxa"/>
            </w:tcMar>
            <w:vAlign w:val="center"/>
          </w:tcPr>
          <w:p w14:paraId="050DC5B8" w14:textId="77777777" w:rsidR="0005042F" w:rsidRDefault="007D1A26">
            <w:pPr>
              <w:jc w:val="left"/>
              <w:rPr>
                <w:sz w:val="20"/>
                <w:szCs w:val="20"/>
              </w:rPr>
            </w:pPr>
            <w:r>
              <w:rPr>
                <w:sz w:val="20"/>
                <w:szCs w:val="20"/>
              </w:rPr>
              <w:t>6. Communication, capacity and resources</w:t>
            </w:r>
          </w:p>
        </w:tc>
        <w:tc>
          <w:tcPr>
            <w:tcW w:w="1417" w:type="dxa"/>
            <w:tcBorders>
              <w:top w:val="single" w:sz="8" w:space="0" w:color="000000"/>
              <w:left w:val="nil"/>
              <w:bottom w:val="single" w:sz="8" w:space="0" w:color="000000"/>
              <w:right w:val="nil"/>
            </w:tcBorders>
            <w:tcMar>
              <w:top w:w="12" w:type="dxa"/>
              <w:left w:w="57" w:type="dxa"/>
              <w:bottom w:w="0" w:type="dxa"/>
              <w:right w:w="57" w:type="dxa"/>
            </w:tcMar>
            <w:vAlign w:val="center"/>
          </w:tcPr>
          <w:p w14:paraId="7C66DF69" w14:textId="77777777" w:rsidR="0005042F" w:rsidRDefault="007D1A26">
            <w:pPr>
              <w:spacing w:line="256" w:lineRule="auto"/>
              <w:jc w:val="center"/>
              <w:rPr>
                <w:sz w:val="20"/>
                <w:szCs w:val="20"/>
              </w:rPr>
            </w:pPr>
            <w:r>
              <w:rPr>
                <w:color w:val="000000"/>
                <w:sz w:val="20"/>
                <w:szCs w:val="20"/>
              </w:rPr>
              <w:t>w</w:t>
            </w:r>
            <w:r>
              <w:rPr>
                <w:color w:val="000000"/>
                <w:sz w:val="20"/>
                <w:szCs w:val="20"/>
                <w:vertAlign w:val="subscript"/>
              </w:rPr>
              <w:t>6</w:t>
            </w:r>
            <w:r>
              <w:rPr>
                <w:color w:val="000000"/>
                <w:sz w:val="20"/>
                <w:szCs w:val="20"/>
              </w:rPr>
              <w:t xml:space="preserve"> = 0.134</w:t>
            </w:r>
          </w:p>
        </w:tc>
        <w:tc>
          <w:tcPr>
            <w:tcW w:w="1271" w:type="dxa"/>
            <w:tcBorders>
              <w:top w:val="single" w:sz="8" w:space="0" w:color="000000"/>
              <w:left w:val="nil"/>
              <w:bottom w:val="single" w:sz="8" w:space="0" w:color="000000"/>
              <w:right w:val="nil"/>
            </w:tcBorders>
            <w:tcMar>
              <w:top w:w="12" w:type="dxa"/>
              <w:left w:w="57" w:type="dxa"/>
              <w:bottom w:w="0" w:type="dxa"/>
              <w:right w:w="57" w:type="dxa"/>
            </w:tcMar>
            <w:vAlign w:val="center"/>
          </w:tcPr>
          <w:p w14:paraId="1195A87F" w14:textId="77777777" w:rsidR="0005042F" w:rsidRDefault="007D1A26">
            <w:pPr>
              <w:spacing w:line="256" w:lineRule="auto"/>
              <w:jc w:val="center"/>
              <w:rPr>
                <w:color w:val="000000"/>
                <w:sz w:val="20"/>
                <w:szCs w:val="20"/>
              </w:rPr>
            </w:pPr>
            <w:r>
              <w:rPr>
                <w:color w:val="000000"/>
                <w:sz w:val="20"/>
                <w:szCs w:val="20"/>
              </w:rPr>
              <w:t>0.698</w:t>
            </w:r>
          </w:p>
        </w:tc>
        <w:tc>
          <w:tcPr>
            <w:tcW w:w="1022" w:type="dxa"/>
            <w:tcBorders>
              <w:top w:val="single" w:sz="8" w:space="0" w:color="000000"/>
              <w:left w:val="nil"/>
              <w:bottom w:val="single" w:sz="8" w:space="0" w:color="000000"/>
              <w:right w:val="nil"/>
            </w:tcBorders>
            <w:vAlign w:val="center"/>
          </w:tcPr>
          <w:p w14:paraId="356DD299" w14:textId="77777777" w:rsidR="0005042F" w:rsidRDefault="007D1A26">
            <w:pPr>
              <w:spacing w:line="256" w:lineRule="auto"/>
              <w:jc w:val="center"/>
              <w:rPr>
                <w:color w:val="000000"/>
                <w:sz w:val="20"/>
                <w:szCs w:val="20"/>
              </w:rPr>
            </w:pPr>
            <w:r>
              <w:rPr>
                <w:color w:val="000000"/>
                <w:sz w:val="20"/>
                <w:szCs w:val="20"/>
              </w:rPr>
              <w:t>0.028</w:t>
            </w:r>
          </w:p>
        </w:tc>
        <w:tc>
          <w:tcPr>
            <w:tcW w:w="1022" w:type="dxa"/>
            <w:tcBorders>
              <w:top w:val="single" w:sz="8" w:space="0" w:color="000000"/>
              <w:left w:val="nil"/>
              <w:bottom w:val="single" w:sz="8" w:space="0" w:color="000000"/>
              <w:right w:val="nil"/>
            </w:tcBorders>
            <w:vAlign w:val="center"/>
          </w:tcPr>
          <w:p w14:paraId="513515D7" w14:textId="77777777" w:rsidR="0005042F" w:rsidRDefault="007D1A26">
            <w:pPr>
              <w:spacing w:line="256" w:lineRule="auto"/>
              <w:jc w:val="center"/>
              <w:rPr>
                <w:color w:val="000000"/>
                <w:sz w:val="20"/>
                <w:szCs w:val="20"/>
              </w:rPr>
            </w:pPr>
            <w:r>
              <w:rPr>
                <w:color w:val="000000"/>
                <w:sz w:val="20"/>
                <w:szCs w:val="20"/>
              </w:rPr>
              <w:t>0.641</w:t>
            </w:r>
          </w:p>
        </w:tc>
        <w:tc>
          <w:tcPr>
            <w:tcW w:w="1023" w:type="dxa"/>
            <w:tcBorders>
              <w:top w:val="single" w:sz="8" w:space="0" w:color="000000"/>
              <w:left w:val="nil"/>
              <w:bottom w:val="single" w:sz="8" w:space="0" w:color="000000"/>
              <w:right w:val="nil"/>
            </w:tcBorders>
            <w:vAlign w:val="center"/>
          </w:tcPr>
          <w:p w14:paraId="7C93C646" w14:textId="77777777" w:rsidR="0005042F" w:rsidRDefault="007D1A26">
            <w:pPr>
              <w:spacing w:line="256" w:lineRule="auto"/>
              <w:jc w:val="center"/>
              <w:rPr>
                <w:color w:val="000000"/>
                <w:sz w:val="20"/>
                <w:szCs w:val="20"/>
              </w:rPr>
            </w:pPr>
            <w:r>
              <w:rPr>
                <w:color w:val="000000"/>
                <w:sz w:val="20"/>
                <w:szCs w:val="20"/>
              </w:rPr>
              <w:t>0.748</w:t>
            </w:r>
          </w:p>
        </w:tc>
      </w:tr>
      <w:tr w:rsidR="0005042F" w14:paraId="77AC1675" w14:textId="77777777">
        <w:trPr>
          <w:trHeight w:val="283"/>
        </w:trPr>
        <w:tc>
          <w:tcPr>
            <w:tcW w:w="3176" w:type="dxa"/>
            <w:tcBorders>
              <w:top w:val="single" w:sz="8" w:space="0" w:color="000000"/>
              <w:left w:val="nil"/>
              <w:bottom w:val="single" w:sz="8" w:space="0" w:color="000000"/>
              <w:right w:val="nil"/>
            </w:tcBorders>
            <w:tcMar>
              <w:top w:w="12" w:type="dxa"/>
              <w:left w:w="57" w:type="dxa"/>
              <w:bottom w:w="0" w:type="dxa"/>
              <w:right w:w="57" w:type="dxa"/>
            </w:tcMar>
            <w:vAlign w:val="center"/>
          </w:tcPr>
          <w:p w14:paraId="106D6EAD" w14:textId="77777777" w:rsidR="0005042F" w:rsidRDefault="007D1A26">
            <w:pPr>
              <w:jc w:val="left"/>
              <w:rPr>
                <w:sz w:val="20"/>
                <w:szCs w:val="20"/>
              </w:rPr>
            </w:pPr>
            <w:r>
              <w:rPr>
                <w:sz w:val="20"/>
                <w:szCs w:val="20"/>
              </w:rPr>
              <w:t>7. Treated as a person</w:t>
            </w:r>
          </w:p>
        </w:tc>
        <w:tc>
          <w:tcPr>
            <w:tcW w:w="1417" w:type="dxa"/>
            <w:tcBorders>
              <w:top w:val="single" w:sz="8" w:space="0" w:color="000000"/>
              <w:left w:val="nil"/>
              <w:bottom w:val="single" w:sz="8" w:space="0" w:color="000000"/>
              <w:right w:val="nil"/>
            </w:tcBorders>
            <w:tcMar>
              <w:top w:w="12" w:type="dxa"/>
              <w:left w:w="57" w:type="dxa"/>
              <w:bottom w:w="0" w:type="dxa"/>
              <w:right w:w="57" w:type="dxa"/>
            </w:tcMar>
            <w:vAlign w:val="center"/>
          </w:tcPr>
          <w:p w14:paraId="513B9EA4" w14:textId="77777777" w:rsidR="0005042F" w:rsidRDefault="007D1A26">
            <w:pPr>
              <w:spacing w:line="256" w:lineRule="auto"/>
              <w:jc w:val="center"/>
              <w:rPr>
                <w:sz w:val="20"/>
                <w:szCs w:val="20"/>
              </w:rPr>
            </w:pPr>
            <w:r>
              <w:rPr>
                <w:color w:val="000000"/>
                <w:sz w:val="20"/>
                <w:szCs w:val="20"/>
              </w:rPr>
              <w:t>w</w:t>
            </w:r>
            <w:r>
              <w:rPr>
                <w:color w:val="000000"/>
                <w:sz w:val="20"/>
                <w:szCs w:val="20"/>
                <w:vertAlign w:val="subscript"/>
              </w:rPr>
              <w:t>7</w:t>
            </w:r>
            <w:r>
              <w:rPr>
                <w:color w:val="000000"/>
                <w:sz w:val="20"/>
                <w:szCs w:val="20"/>
              </w:rPr>
              <w:t xml:space="preserve"> = 0.176</w:t>
            </w:r>
          </w:p>
        </w:tc>
        <w:tc>
          <w:tcPr>
            <w:tcW w:w="1271" w:type="dxa"/>
            <w:tcBorders>
              <w:top w:val="single" w:sz="8" w:space="0" w:color="000000"/>
              <w:left w:val="nil"/>
              <w:bottom w:val="single" w:sz="8" w:space="0" w:color="000000"/>
              <w:right w:val="nil"/>
            </w:tcBorders>
            <w:tcMar>
              <w:top w:w="12" w:type="dxa"/>
              <w:left w:w="57" w:type="dxa"/>
              <w:bottom w:w="0" w:type="dxa"/>
              <w:right w:w="57" w:type="dxa"/>
            </w:tcMar>
            <w:vAlign w:val="center"/>
          </w:tcPr>
          <w:p w14:paraId="7741D177" w14:textId="77777777" w:rsidR="0005042F" w:rsidRDefault="007D1A26">
            <w:pPr>
              <w:spacing w:line="256" w:lineRule="auto"/>
              <w:jc w:val="center"/>
              <w:rPr>
                <w:color w:val="000000"/>
                <w:sz w:val="20"/>
                <w:szCs w:val="20"/>
              </w:rPr>
            </w:pPr>
            <w:r>
              <w:rPr>
                <w:color w:val="000000"/>
                <w:sz w:val="20"/>
                <w:szCs w:val="20"/>
              </w:rPr>
              <w:t>0.751</w:t>
            </w:r>
          </w:p>
        </w:tc>
        <w:tc>
          <w:tcPr>
            <w:tcW w:w="1022" w:type="dxa"/>
            <w:tcBorders>
              <w:top w:val="single" w:sz="8" w:space="0" w:color="000000"/>
              <w:left w:val="nil"/>
              <w:bottom w:val="single" w:sz="8" w:space="0" w:color="000000"/>
              <w:right w:val="nil"/>
            </w:tcBorders>
            <w:vAlign w:val="center"/>
          </w:tcPr>
          <w:p w14:paraId="330DC4E8" w14:textId="77777777" w:rsidR="0005042F" w:rsidRDefault="007D1A26">
            <w:pPr>
              <w:spacing w:line="256" w:lineRule="auto"/>
              <w:jc w:val="center"/>
              <w:rPr>
                <w:color w:val="000000"/>
                <w:sz w:val="20"/>
                <w:szCs w:val="20"/>
              </w:rPr>
            </w:pPr>
            <w:r>
              <w:rPr>
                <w:color w:val="000000"/>
                <w:sz w:val="20"/>
                <w:szCs w:val="20"/>
              </w:rPr>
              <w:t>0.023</w:t>
            </w:r>
          </w:p>
        </w:tc>
        <w:tc>
          <w:tcPr>
            <w:tcW w:w="1022" w:type="dxa"/>
            <w:tcBorders>
              <w:top w:val="single" w:sz="8" w:space="0" w:color="000000"/>
              <w:left w:val="nil"/>
              <w:bottom w:val="single" w:sz="8" w:space="0" w:color="000000"/>
              <w:right w:val="nil"/>
            </w:tcBorders>
            <w:vAlign w:val="center"/>
          </w:tcPr>
          <w:p w14:paraId="3247C9BB" w14:textId="77777777" w:rsidR="0005042F" w:rsidRDefault="007D1A26">
            <w:pPr>
              <w:spacing w:line="256" w:lineRule="auto"/>
              <w:jc w:val="center"/>
              <w:rPr>
                <w:color w:val="000000"/>
                <w:sz w:val="20"/>
                <w:szCs w:val="20"/>
              </w:rPr>
            </w:pPr>
            <w:r>
              <w:rPr>
                <w:color w:val="000000"/>
                <w:sz w:val="20"/>
                <w:szCs w:val="20"/>
              </w:rPr>
              <w:t>0.694</w:t>
            </w:r>
          </w:p>
        </w:tc>
        <w:tc>
          <w:tcPr>
            <w:tcW w:w="1023" w:type="dxa"/>
            <w:tcBorders>
              <w:top w:val="single" w:sz="8" w:space="0" w:color="000000"/>
              <w:left w:val="nil"/>
              <w:bottom w:val="single" w:sz="8" w:space="0" w:color="000000"/>
              <w:right w:val="nil"/>
            </w:tcBorders>
            <w:vAlign w:val="center"/>
          </w:tcPr>
          <w:p w14:paraId="0712CF6C" w14:textId="77777777" w:rsidR="0005042F" w:rsidRDefault="007D1A26">
            <w:pPr>
              <w:spacing w:line="256" w:lineRule="auto"/>
              <w:jc w:val="center"/>
              <w:rPr>
                <w:color w:val="000000"/>
                <w:sz w:val="20"/>
                <w:szCs w:val="20"/>
              </w:rPr>
            </w:pPr>
            <w:r>
              <w:rPr>
                <w:color w:val="000000"/>
                <w:sz w:val="20"/>
                <w:szCs w:val="20"/>
              </w:rPr>
              <w:t>0.802</w:t>
            </w:r>
          </w:p>
        </w:tc>
      </w:tr>
      <w:tr w:rsidR="0005042F" w14:paraId="355DE091" w14:textId="77777777">
        <w:trPr>
          <w:trHeight w:val="283"/>
        </w:trPr>
        <w:tc>
          <w:tcPr>
            <w:tcW w:w="3176" w:type="dxa"/>
            <w:tcBorders>
              <w:top w:val="single" w:sz="8" w:space="0" w:color="000000"/>
              <w:left w:val="nil"/>
              <w:bottom w:val="single" w:sz="8" w:space="0" w:color="000000"/>
              <w:right w:val="nil"/>
            </w:tcBorders>
            <w:tcMar>
              <w:top w:w="12" w:type="dxa"/>
              <w:left w:w="57" w:type="dxa"/>
              <w:bottom w:w="0" w:type="dxa"/>
              <w:right w:w="57" w:type="dxa"/>
            </w:tcMar>
            <w:vAlign w:val="center"/>
          </w:tcPr>
          <w:p w14:paraId="1FE67780" w14:textId="77777777" w:rsidR="0005042F" w:rsidRDefault="007D1A26">
            <w:pPr>
              <w:jc w:val="left"/>
              <w:rPr>
                <w:sz w:val="20"/>
                <w:szCs w:val="20"/>
              </w:rPr>
            </w:pPr>
            <w:r>
              <w:rPr>
                <w:sz w:val="20"/>
                <w:szCs w:val="20"/>
              </w:rPr>
              <w:t>8. Recovery focus</w:t>
            </w:r>
          </w:p>
        </w:tc>
        <w:tc>
          <w:tcPr>
            <w:tcW w:w="1417" w:type="dxa"/>
            <w:tcBorders>
              <w:top w:val="single" w:sz="8" w:space="0" w:color="000000"/>
              <w:left w:val="nil"/>
              <w:bottom w:val="single" w:sz="8" w:space="0" w:color="000000"/>
              <w:right w:val="nil"/>
            </w:tcBorders>
            <w:tcMar>
              <w:top w:w="12" w:type="dxa"/>
              <w:left w:w="57" w:type="dxa"/>
              <w:bottom w:w="0" w:type="dxa"/>
              <w:right w:w="57" w:type="dxa"/>
            </w:tcMar>
            <w:vAlign w:val="center"/>
          </w:tcPr>
          <w:p w14:paraId="678319AD" w14:textId="77777777" w:rsidR="0005042F" w:rsidRDefault="007D1A26">
            <w:pPr>
              <w:spacing w:line="256" w:lineRule="auto"/>
              <w:jc w:val="center"/>
              <w:rPr>
                <w:sz w:val="20"/>
                <w:szCs w:val="20"/>
              </w:rPr>
            </w:pPr>
            <w:r>
              <w:rPr>
                <w:color w:val="000000"/>
                <w:sz w:val="20"/>
                <w:szCs w:val="20"/>
              </w:rPr>
              <w:t>w</w:t>
            </w:r>
            <w:r>
              <w:rPr>
                <w:color w:val="000000"/>
                <w:sz w:val="20"/>
                <w:szCs w:val="20"/>
                <w:vertAlign w:val="subscript"/>
              </w:rPr>
              <w:t>8</w:t>
            </w:r>
            <w:r>
              <w:rPr>
                <w:color w:val="000000"/>
                <w:sz w:val="20"/>
                <w:szCs w:val="20"/>
              </w:rPr>
              <w:t xml:space="preserve"> = 0.104</w:t>
            </w:r>
          </w:p>
        </w:tc>
        <w:tc>
          <w:tcPr>
            <w:tcW w:w="1271" w:type="dxa"/>
            <w:tcBorders>
              <w:top w:val="single" w:sz="8" w:space="0" w:color="000000"/>
              <w:left w:val="nil"/>
              <w:bottom w:val="single" w:sz="8" w:space="0" w:color="000000"/>
              <w:right w:val="nil"/>
            </w:tcBorders>
            <w:tcMar>
              <w:top w:w="12" w:type="dxa"/>
              <w:left w:w="57" w:type="dxa"/>
              <w:bottom w:w="0" w:type="dxa"/>
              <w:right w:w="57" w:type="dxa"/>
            </w:tcMar>
            <w:vAlign w:val="center"/>
          </w:tcPr>
          <w:p w14:paraId="2B7CFA2F" w14:textId="77777777" w:rsidR="0005042F" w:rsidRDefault="007D1A26">
            <w:pPr>
              <w:spacing w:line="256" w:lineRule="auto"/>
              <w:jc w:val="center"/>
              <w:rPr>
                <w:color w:val="000000"/>
                <w:sz w:val="20"/>
                <w:szCs w:val="20"/>
              </w:rPr>
            </w:pPr>
            <w:r>
              <w:rPr>
                <w:color w:val="000000"/>
                <w:sz w:val="20"/>
                <w:szCs w:val="20"/>
              </w:rPr>
              <w:t>0.423</w:t>
            </w:r>
          </w:p>
        </w:tc>
        <w:tc>
          <w:tcPr>
            <w:tcW w:w="1022" w:type="dxa"/>
            <w:tcBorders>
              <w:top w:val="single" w:sz="8" w:space="0" w:color="000000"/>
              <w:left w:val="nil"/>
              <w:bottom w:val="single" w:sz="8" w:space="0" w:color="000000"/>
              <w:right w:val="nil"/>
            </w:tcBorders>
            <w:vAlign w:val="center"/>
          </w:tcPr>
          <w:p w14:paraId="7496ABF9" w14:textId="77777777" w:rsidR="0005042F" w:rsidRDefault="007D1A26">
            <w:pPr>
              <w:spacing w:line="256" w:lineRule="auto"/>
              <w:jc w:val="center"/>
              <w:rPr>
                <w:color w:val="000000"/>
                <w:sz w:val="20"/>
                <w:szCs w:val="20"/>
              </w:rPr>
            </w:pPr>
            <w:r>
              <w:rPr>
                <w:color w:val="000000"/>
                <w:sz w:val="20"/>
                <w:szCs w:val="20"/>
              </w:rPr>
              <w:t>0.040</w:t>
            </w:r>
          </w:p>
        </w:tc>
        <w:tc>
          <w:tcPr>
            <w:tcW w:w="1022" w:type="dxa"/>
            <w:tcBorders>
              <w:top w:val="single" w:sz="8" w:space="0" w:color="000000"/>
              <w:left w:val="nil"/>
              <w:bottom w:val="single" w:sz="8" w:space="0" w:color="000000"/>
              <w:right w:val="nil"/>
            </w:tcBorders>
            <w:vAlign w:val="center"/>
          </w:tcPr>
          <w:p w14:paraId="5350538F" w14:textId="77777777" w:rsidR="0005042F" w:rsidRDefault="007D1A26">
            <w:pPr>
              <w:spacing w:line="256" w:lineRule="auto"/>
              <w:jc w:val="center"/>
              <w:rPr>
                <w:color w:val="000000"/>
                <w:sz w:val="20"/>
                <w:szCs w:val="20"/>
              </w:rPr>
            </w:pPr>
            <w:r>
              <w:rPr>
                <w:color w:val="000000"/>
                <w:sz w:val="20"/>
                <w:szCs w:val="20"/>
              </w:rPr>
              <w:t>0.348</w:t>
            </w:r>
          </w:p>
        </w:tc>
        <w:tc>
          <w:tcPr>
            <w:tcW w:w="1023" w:type="dxa"/>
            <w:tcBorders>
              <w:top w:val="single" w:sz="8" w:space="0" w:color="000000"/>
              <w:left w:val="nil"/>
              <w:bottom w:val="single" w:sz="8" w:space="0" w:color="000000"/>
              <w:right w:val="nil"/>
            </w:tcBorders>
            <w:vAlign w:val="center"/>
          </w:tcPr>
          <w:p w14:paraId="4BA28890" w14:textId="77777777" w:rsidR="0005042F" w:rsidRDefault="007D1A26">
            <w:pPr>
              <w:spacing w:line="256" w:lineRule="auto"/>
              <w:jc w:val="center"/>
              <w:rPr>
                <w:color w:val="000000"/>
                <w:sz w:val="20"/>
                <w:szCs w:val="20"/>
              </w:rPr>
            </w:pPr>
            <w:r>
              <w:rPr>
                <w:color w:val="000000"/>
                <w:sz w:val="20"/>
                <w:szCs w:val="20"/>
              </w:rPr>
              <w:t>0.500</w:t>
            </w:r>
          </w:p>
        </w:tc>
      </w:tr>
      <w:tr w:rsidR="0005042F" w14:paraId="4707FC32" w14:textId="77777777">
        <w:trPr>
          <w:trHeight w:val="283"/>
        </w:trPr>
        <w:tc>
          <w:tcPr>
            <w:tcW w:w="3176" w:type="dxa"/>
            <w:tcBorders>
              <w:top w:val="single" w:sz="8" w:space="0" w:color="000000"/>
              <w:left w:val="nil"/>
              <w:bottom w:val="single" w:sz="8" w:space="0" w:color="000000"/>
              <w:right w:val="nil"/>
            </w:tcBorders>
            <w:tcMar>
              <w:top w:w="12" w:type="dxa"/>
              <w:left w:w="57" w:type="dxa"/>
              <w:bottom w:w="0" w:type="dxa"/>
              <w:right w:w="57" w:type="dxa"/>
            </w:tcMar>
            <w:vAlign w:val="center"/>
          </w:tcPr>
          <w:p w14:paraId="6D7CF5DC" w14:textId="77777777" w:rsidR="0005042F" w:rsidRDefault="007D1A26">
            <w:pPr>
              <w:jc w:val="left"/>
              <w:rPr>
                <w:sz w:val="20"/>
                <w:szCs w:val="20"/>
              </w:rPr>
            </w:pPr>
            <w:r>
              <w:rPr>
                <w:sz w:val="20"/>
                <w:szCs w:val="20"/>
              </w:rPr>
              <w:t>9. Appropriate discharge</w:t>
            </w:r>
          </w:p>
        </w:tc>
        <w:tc>
          <w:tcPr>
            <w:tcW w:w="1417" w:type="dxa"/>
            <w:tcBorders>
              <w:top w:val="single" w:sz="8" w:space="0" w:color="000000"/>
              <w:left w:val="nil"/>
              <w:bottom w:val="single" w:sz="8" w:space="0" w:color="000000"/>
              <w:right w:val="nil"/>
            </w:tcBorders>
            <w:tcMar>
              <w:top w:w="12" w:type="dxa"/>
              <w:left w:w="57" w:type="dxa"/>
              <w:bottom w:w="0" w:type="dxa"/>
              <w:right w:w="57" w:type="dxa"/>
            </w:tcMar>
            <w:vAlign w:val="center"/>
          </w:tcPr>
          <w:p w14:paraId="6DF0FB4B" w14:textId="77777777" w:rsidR="0005042F" w:rsidRDefault="007D1A26">
            <w:pPr>
              <w:spacing w:line="256" w:lineRule="auto"/>
              <w:jc w:val="center"/>
              <w:rPr>
                <w:sz w:val="20"/>
                <w:szCs w:val="20"/>
              </w:rPr>
            </w:pPr>
            <w:r>
              <w:rPr>
                <w:color w:val="000000"/>
                <w:sz w:val="20"/>
                <w:szCs w:val="20"/>
              </w:rPr>
              <w:t>w</w:t>
            </w:r>
            <w:r>
              <w:rPr>
                <w:color w:val="000000"/>
                <w:sz w:val="20"/>
                <w:szCs w:val="20"/>
                <w:vertAlign w:val="subscript"/>
              </w:rPr>
              <w:t>9</w:t>
            </w:r>
            <w:r>
              <w:rPr>
                <w:color w:val="000000"/>
                <w:sz w:val="20"/>
                <w:szCs w:val="20"/>
              </w:rPr>
              <w:t xml:space="preserve"> =  0.139</w:t>
            </w:r>
          </w:p>
        </w:tc>
        <w:tc>
          <w:tcPr>
            <w:tcW w:w="1271" w:type="dxa"/>
            <w:tcBorders>
              <w:top w:val="single" w:sz="8" w:space="0" w:color="000000"/>
              <w:left w:val="nil"/>
              <w:bottom w:val="single" w:sz="8" w:space="0" w:color="000000"/>
              <w:right w:val="nil"/>
            </w:tcBorders>
            <w:tcMar>
              <w:top w:w="12" w:type="dxa"/>
              <w:left w:w="57" w:type="dxa"/>
              <w:bottom w:w="0" w:type="dxa"/>
              <w:right w:w="57" w:type="dxa"/>
            </w:tcMar>
            <w:vAlign w:val="center"/>
          </w:tcPr>
          <w:p w14:paraId="50E56E8C" w14:textId="77777777" w:rsidR="0005042F" w:rsidRDefault="007D1A26">
            <w:pPr>
              <w:spacing w:line="256" w:lineRule="auto"/>
              <w:jc w:val="center"/>
              <w:rPr>
                <w:color w:val="000000"/>
                <w:sz w:val="20"/>
                <w:szCs w:val="20"/>
              </w:rPr>
            </w:pPr>
            <w:r>
              <w:rPr>
                <w:color w:val="000000"/>
                <w:sz w:val="20"/>
                <w:szCs w:val="20"/>
              </w:rPr>
              <w:t>0.948</w:t>
            </w:r>
          </w:p>
        </w:tc>
        <w:tc>
          <w:tcPr>
            <w:tcW w:w="1022" w:type="dxa"/>
            <w:tcBorders>
              <w:top w:val="single" w:sz="8" w:space="0" w:color="000000"/>
              <w:left w:val="nil"/>
              <w:bottom w:val="single" w:sz="8" w:space="0" w:color="000000"/>
              <w:right w:val="nil"/>
            </w:tcBorders>
            <w:vAlign w:val="center"/>
          </w:tcPr>
          <w:p w14:paraId="0CCEC5E8" w14:textId="77777777" w:rsidR="0005042F" w:rsidRDefault="007D1A26">
            <w:pPr>
              <w:spacing w:line="256" w:lineRule="auto"/>
              <w:jc w:val="center"/>
              <w:rPr>
                <w:color w:val="000000"/>
                <w:sz w:val="20"/>
                <w:szCs w:val="20"/>
              </w:rPr>
            </w:pPr>
            <w:r>
              <w:rPr>
                <w:color w:val="000000"/>
                <w:sz w:val="20"/>
                <w:szCs w:val="20"/>
              </w:rPr>
              <w:t>0.022</w:t>
            </w:r>
          </w:p>
        </w:tc>
        <w:tc>
          <w:tcPr>
            <w:tcW w:w="1022" w:type="dxa"/>
            <w:tcBorders>
              <w:top w:val="single" w:sz="8" w:space="0" w:color="000000"/>
              <w:left w:val="nil"/>
              <w:bottom w:val="single" w:sz="8" w:space="0" w:color="000000"/>
              <w:right w:val="nil"/>
            </w:tcBorders>
            <w:vAlign w:val="center"/>
          </w:tcPr>
          <w:p w14:paraId="738B0EF9" w14:textId="77777777" w:rsidR="0005042F" w:rsidRDefault="007D1A26">
            <w:pPr>
              <w:spacing w:line="256" w:lineRule="auto"/>
              <w:jc w:val="center"/>
              <w:rPr>
                <w:color w:val="000000"/>
                <w:sz w:val="20"/>
                <w:szCs w:val="20"/>
              </w:rPr>
            </w:pPr>
            <w:r>
              <w:rPr>
                <w:color w:val="000000"/>
                <w:sz w:val="20"/>
                <w:szCs w:val="20"/>
              </w:rPr>
              <w:t>0.888</w:t>
            </w:r>
          </w:p>
        </w:tc>
        <w:tc>
          <w:tcPr>
            <w:tcW w:w="1023" w:type="dxa"/>
            <w:tcBorders>
              <w:top w:val="single" w:sz="8" w:space="0" w:color="000000"/>
              <w:left w:val="nil"/>
              <w:bottom w:val="single" w:sz="8" w:space="0" w:color="000000"/>
              <w:right w:val="nil"/>
            </w:tcBorders>
            <w:vAlign w:val="center"/>
          </w:tcPr>
          <w:p w14:paraId="38CA616A" w14:textId="77777777" w:rsidR="0005042F" w:rsidRDefault="007D1A26">
            <w:pPr>
              <w:spacing w:line="256" w:lineRule="auto"/>
              <w:jc w:val="center"/>
              <w:rPr>
                <w:color w:val="000000"/>
                <w:sz w:val="20"/>
                <w:szCs w:val="20"/>
              </w:rPr>
            </w:pPr>
            <w:r>
              <w:rPr>
                <w:color w:val="000000"/>
                <w:sz w:val="20"/>
                <w:szCs w:val="20"/>
              </w:rPr>
              <w:t>1.002</w:t>
            </w:r>
          </w:p>
        </w:tc>
      </w:tr>
      <w:tr w:rsidR="0005042F" w14:paraId="355DC3C9" w14:textId="77777777">
        <w:trPr>
          <w:trHeight w:val="283"/>
        </w:trPr>
        <w:tc>
          <w:tcPr>
            <w:tcW w:w="3176" w:type="dxa"/>
            <w:tcBorders>
              <w:top w:val="single" w:sz="8" w:space="0" w:color="000000"/>
              <w:left w:val="nil"/>
              <w:bottom w:val="single" w:sz="8" w:space="0" w:color="000000"/>
              <w:right w:val="nil"/>
            </w:tcBorders>
            <w:tcMar>
              <w:top w:w="12" w:type="dxa"/>
              <w:left w:w="57" w:type="dxa"/>
              <w:bottom w:w="0" w:type="dxa"/>
              <w:right w:w="57" w:type="dxa"/>
            </w:tcMar>
            <w:vAlign w:val="center"/>
          </w:tcPr>
          <w:p w14:paraId="1862D818" w14:textId="77777777" w:rsidR="0005042F" w:rsidRDefault="007D1A26">
            <w:pPr>
              <w:jc w:val="left"/>
              <w:rPr>
                <w:sz w:val="20"/>
                <w:szCs w:val="20"/>
              </w:rPr>
            </w:pPr>
            <w:r>
              <w:rPr>
                <w:sz w:val="20"/>
                <w:szCs w:val="20"/>
              </w:rPr>
              <w:t xml:space="preserve">10. Effectiveness: </w:t>
            </w:r>
            <w:proofErr w:type="spellStart"/>
            <w:r>
              <w:rPr>
                <w:sz w:val="20"/>
                <w:szCs w:val="20"/>
              </w:rPr>
              <w:t>ReQoL</w:t>
            </w:r>
            <w:proofErr w:type="spellEnd"/>
            <w:r>
              <w:rPr>
                <w:sz w:val="20"/>
                <w:szCs w:val="20"/>
              </w:rPr>
              <w:t xml:space="preserve"> gain</w:t>
            </w:r>
          </w:p>
        </w:tc>
        <w:tc>
          <w:tcPr>
            <w:tcW w:w="1417" w:type="dxa"/>
            <w:tcBorders>
              <w:top w:val="single" w:sz="8" w:space="0" w:color="000000"/>
              <w:left w:val="nil"/>
              <w:bottom w:val="single" w:sz="8" w:space="0" w:color="000000"/>
              <w:right w:val="nil"/>
            </w:tcBorders>
            <w:tcMar>
              <w:top w:w="12" w:type="dxa"/>
              <w:left w:w="57" w:type="dxa"/>
              <w:bottom w:w="0" w:type="dxa"/>
              <w:right w:w="57" w:type="dxa"/>
            </w:tcMar>
            <w:vAlign w:val="center"/>
          </w:tcPr>
          <w:p w14:paraId="2308C09A" w14:textId="77777777" w:rsidR="0005042F" w:rsidRDefault="007D1A26">
            <w:pPr>
              <w:spacing w:line="256" w:lineRule="auto"/>
              <w:jc w:val="center"/>
              <w:rPr>
                <w:sz w:val="20"/>
                <w:szCs w:val="20"/>
              </w:rPr>
            </w:pPr>
            <w:r>
              <w:rPr>
                <w:color w:val="000000"/>
                <w:sz w:val="20"/>
                <w:szCs w:val="20"/>
              </w:rPr>
              <w:t>1</w:t>
            </w:r>
          </w:p>
        </w:tc>
        <w:tc>
          <w:tcPr>
            <w:tcW w:w="1271" w:type="dxa"/>
            <w:tcBorders>
              <w:top w:val="single" w:sz="8" w:space="0" w:color="000000"/>
              <w:left w:val="nil"/>
              <w:bottom w:val="single" w:sz="8" w:space="0" w:color="000000"/>
              <w:right w:val="nil"/>
            </w:tcBorders>
            <w:tcMar>
              <w:top w:w="12" w:type="dxa"/>
              <w:left w:w="57" w:type="dxa"/>
              <w:bottom w:w="0" w:type="dxa"/>
              <w:right w:w="57" w:type="dxa"/>
            </w:tcMar>
            <w:vAlign w:val="center"/>
          </w:tcPr>
          <w:p w14:paraId="21D18A0C" w14:textId="77777777" w:rsidR="0005042F" w:rsidRDefault="007D1A26">
            <w:pPr>
              <w:spacing w:line="256" w:lineRule="auto"/>
              <w:jc w:val="center"/>
              <w:rPr>
                <w:color w:val="000000"/>
                <w:sz w:val="20"/>
                <w:szCs w:val="20"/>
              </w:rPr>
            </w:pPr>
            <w:r>
              <w:rPr>
                <w:color w:val="000000"/>
                <w:sz w:val="20"/>
                <w:szCs w:val="20"/>
              </w:rPr>
              <w:t>0.107</w:t>
            </w:r>
          </w:p>
        </w:tc>
        <w:tc>
          <w:tcPr>
            <w:tcW w:w="1022" w:type="dxa"/>
            <w:tcBorders>
              <w:top w:val="single" w:sz="8" w:space="0" w:color="000000"/>
              <w:left w:val="nil"/>
              <w:bottom w:val="single" w:sz="8" w:space="0" w:color="000000"/>
              <w:right w:val="nil"/>
            </w:tcBorders>
            <w:vAlign w:val="center"/>
          </w:tcPr>
          <w:p w14:paraId="7EA9A760" w14:textId="77777777" w:rsidR="0005042F" w:rsidRDefault="007D1A26">
            <w:pPr>
              <w:spacing w:line="256" w:lineRule="auto"/>
              <w:jc w:val="center"/>
              <w:rPr>
                <w:color w:val="000000"/>
                <w:sz w:val="20"/>
                <w:szCs w:val="20"/>
              </w:rPr>
            </w:pPr>
            <w:r>
              <w:rPr>
                <w:color w:val="000000"/>
                <w:sz w:val="20"/>
                <w:szCs w:val="20"/>
              </w:rPr>
              <w:t>0.002</w:t>
            </w:r>
          </w:p>
        </w:tc>
        <w:tc>
          <w:tcPr>
            <w:tcW w:w="1022" w:type="dxa"/>
            <w:tcBorders>
              <w:top w:val="single" w:sz="8" w:space="0" w:color="000000"/>
              <w:left w:val="nil"/>
              <w:bottom w:val="single" w:sz="8" w:space="0" w:color="000000"/>
              <w:right w:val="nil"/>
            </w:tcBorders>
            <w:vAlign w:val="center"/>
          </w:tcPr>
          <w:p w14:paraId="4D8716D8" w14:textId="77777777" w:rsidR="0005042F" w:rsidRDefault="007D1A26">
            <w:pPr>
              <w:spacing w:line="256" w:lineRule="auto"/>
              <w:jc w:val="center"/>
              <w:rPr>
                <w:color w:val="000000"/>
                <w:sz w:val="20"/>
                <w:szCs w:val="20"/>
              </w:rPr>
            </w:pPr>
            <w:r>
              <w:rPr>
                <w:color w:val="000000"/>
                <w:sz w:val="20"/>
                <w:szCs w:val="20"/>
              </w:rPr>
              <w:t>0.101</w:t>
            </w:r>
          </w:p>
        </w:tc>
        <w:tc>
          <w:tcPr>
            <w:tcW w:w="1023" w:type="dxa"/>
            <w:tcBorders>
              <w:top w:val="single" w:sz="8" w:space="0" w:color="000000"/>
              <w:left w:val="nil"/>
              <w:bottom w:val="single" w:sz="8" w:space="0" w:color="000000"/>
              <w:right w:val="nil"/>
            </w:tcBorders>
            <w:vAlign w:val="center"/>
          </w:tcPr>
          <w:p w14:paraId="528437CE" w14:textId="77777777" w:rsidR="0005042F" w:rsidRDefault="007D1A26">
            <w:pPr>
              <w:spacing w:line="256" w:lineRule="auto"/>
              <w:jc w:val="center"/>
              <w:rPr>
                <w:color w:val="000000"/>
                <w:sz w:val="20"/>
                <w:szCs w:val="20"/>
              </w:rPr>
            </w:pPr>
            <w:r>
              <w:rPr>
                <w:color w:val="000000"/>
                <w:sz w:val="20"/>
                <w:szCs w:val="20"/>
              </w:rPr>
              <w:t>0.114</w:t>
            </w:r>
          </w:p>
        </w:tc>
      </w:tr>
      <w:tr w:rsidR="0005042F" w14:paraId="3E0E9815" w14:textId="77777777">
        <w:trPr>
          <w:trHeight w:val="283"/>
        </w:trPr>
        <w:tc>
          <w:tcPr>
            <w:tcW w:w="3176" w:type="dxa"/>
            <w:tcBorders>
              <w:top w:val="single" w:sz="8" w:space="0" w:color="000000"/>
              <w:left w:val="nil"/>
              <w:bottom w:val="single" w:sz="8" w:space="0" w:color="000000"/>
              <w:right w:val="nil"/>
            </w:tcBorders>
            <w:tcMar>
              <w:top w:w="12" w:type="dxa"/>
              <w:left w:w="57" w:type="dxa"/>
              <w:bottom w:w="0" w:type="dxa"/>
              <w:right w:w="57" w:type="dxa"/>
            </w:tcMar>
            <w:vAlign w:val="center"/>
          </w:tcPr>
          <w:p w14:paraId="692CC9B6" w14:textId="77777777" w:rsidR="0005042F" w:rsidRDefault="007D1A26">
            <w:pPr>
              <w:jc w:val="center"/>
              <w:rPr>
                <w:sz w:val="20"/>
                <w:szCs w:val="20"/>
              </w:rPr>
            </w:pPr>
            <w:r>
              <w:rPr>
                <w:i/>
                <w:sz w:val="20"/>
                <w:szCs w:val="20"/>
              </w:rPr>
              <w:t>Cost</w:t>
            </w:r>
          </w:p>
        </w:tc>
        <w:tc>
          <w:tcPr>
            <w:tcW w:w="1417" w:type="dxa"/>
            <w:tcBorders>
              <w:top w:val="single" w:sz="8" w:space="0" w:color="000000"/>
              <w:left w:val="nil"/>
              <w:bottom w:val="single" w:sz="8" w:space="0" w:color="000000"/>
              <w:right w:val="nil"/>
            </w:tcBorders>
            <w:tcMar>
              <w:top w:w="12" w:type="dxa"/>
              <w:left w:w="57" w:type="dxa"/>
              <w:bottom w:w="0" w:type="dxa"/>
              <w:right w:w="57" w:type="dxa"/>
            </w:tcMar>
            <w:vAlign w:val="center"/>
          </w:tcPr>
          <w:p w14:paraId="76434732" w14:textId="77777777" w:rsidR="0005042F" w:rsidRDefault="0005042F">
            <w:pPr>
              <w:spacing w:line="256" w:lineRule="auto"/>
              <w:jc w:val="center"/>
              <w:rPr>
                <w:sz w:val="20"/>
                <w:szCs w:val="20"/>
              </w:rPr>
            </w:pPr>
          </w:p>
        </w:tc>
        <w:tc>
          <w:tcPr>
            <w:tcW w:w="1271" w:type="dxa"/>
            <w:tcBorders>
              <w:top w:val="single" w:sz="8" w:space="0" w:color="000000"/>
              <w:left w:val="nil"/>
              <w:bottom w:val="single" w:sz="8" w:space="0" w:color="000000"/>
              <w:right w:val="nil"/>
            </w:tcBorders>
            <w:tcMar>
              <w:top w:w="12" w:type="dxa"/>
              <w:left w:w="57" w:type="dxa"/>
              <w:bottom w:w="0" w:type="dxa"/>
              <w:right w:w="57" w:type="dxa"/>
            </w:tcMar>
            <w:vAlign w:val="center"/>
          </w:tcPr>
          <w:p w14:paraId="0E0F4194" w14:textId="77777777" w:rsidR="0005042F" w:rsidRDefault="0005042F">
            <w:pPr>
              <w:spacing w:line="256" w:lineRule="auto"/>
              <w:jc w:val="center"/>
              <w:rPr>
                <w:sz w:val="20"/>
                <w:szCs w:val="20"/>
              </w:rPr>
            </w:pPr>
          </w:p>
        </w:tc>
        <w:tc>
          <w:tcPr>
            <w:tcW w:w="1022" w:type="dxa"/>
            <w:tcBorders>
              <w:top w:val="single" w:sz="8" w:space="0" w:color="000000"/>
              <w:left w:val="nil"/>
              <w:bottom w:val="single" w:sz="8" w:space="0" w:color="000000"/>
              <w:right w:val="nil"/>
            </w:tcBorders>
            <w:vAlign w:val="center"/>
          </w:tcPr>
          <w:p w14:paraId="7A537A58" w14:textId="77777777" w:rsidR="0005042F" w:rsidRDefault="0005042F">
            <w:pPr>
              <w:spacing w:line="256" w:lineRule="auto"/>
              <w:jc w:val="center"/>
              <w:rPr>
                <w:sz w:val="20"/>
                <w:szCs w:val="20"/>
              </w:rPr>
            </w:pPr>
          </w:p>
        </w:tc>
        <w:tc>
          <w:tcPr>
            <w:tcW w:w="1022" w:type="dxa"/>
            <w:tcBorders>
              <w:top w:val="single" w:sz="8" w:space="0" w:color="000000"/>
              <w:left w:val="nil"/>
              <w:bottom w:val="single" w:sz="8" w:space="0" w:color="000000"/>
              <w:right w:val="nil"/>
            </w:tcBorders>
            <w:vAlign w:val="center"/>
          </w:tcPr>
          <w:p w14:paraId="6F8968EB" w14:textId="77777777" w:rsidR="0005042F" w:rsidRDefault="0005042F">
            <w:pPr>
              <w:spacing w:line="256" w:lineRule="auto"/>
              <w:jc w:val="center"/>
              <w:rPr>
                <w:sz w:val="20"/>
                <w:szCs w:val="20"/>
              </w:rPr>
            </w:pPr>
          </w:p>
        </w:tc>
        <w:tc>
          <w:tcPr>
            <w:tcW w:w="1023" w:type="dxa"/>
            <w:tcBorders>
              <w:top w:val="single" w:sz="8" w:space="0" w:color="000000"/>
              <w:left w:val="nil"/>
              <w:bottom w:val="single" w:sz="8" w:space="0" w:color="000000"/>
              <w:right w:val="nil"/>
            </w:tcBorders>
            <w:vAlign w:val="center"/>
          </w:tcPr>
          <w:p w14:paraId="058AEF65" w14:textId="77777777" w:rsidR="0005042F" w:rsidRDefault="0005042F">
            <w:pPr>
              <w:spacing w:line="256" w:lineRule="auto"/>
              <w:jc w:val="center"/>
              <w:rPr>
                <w:sz w:val="20"/>
                <w:szCs w:val="20"/>
              </w:rPr>
            </w:pPr>
          </w:p>
        </w:tc>
      </w:tr>
      <w:tr w:rsidR="0005042F" w14:paraId="19546CC8" w14:textId="77777777">
        <w:trPr>
          <w:trHeight w:val="283"/>
        </w:trPr>
        <w:tc>
          <w:tcPr>
            <w:tcW w:w="3176" w:type="dxa"/>
            <w:tcBorders>
              <w:top w:val="single" w:sz="8" w:space="0" w:color="000000"/>
              <w:left w:val="nil"/>
              <w:bottom w:val="single" w:sz="4" w:space="0" w:color="000000"/>
              <w:right w:val="nil"/>
            </w:tcBorders>
            <w:tcMar>
              <w:top w:w="12" w:type="dxa"/>
              <w:left w:w="57" w:type="dxa"/>
              <w:bottom w:w="0" w:type="dxa"/>
              <w:right w:w="57" w:type="dxa"/>
            </w:tcMar>
            <w:vAlign w:val="center"/>
          </w:tcPr>
          <w:p w14:paraId="50ED45C7" w14:textId="77777777" w:rsidR="0005042F" w:rsidRDefault="007D1A26">
            <w:pPr>
              <w:jc w:val="left"/>
              <w:rPr>
                <w:sz w:val="20"/>
                <w:szCs w:val="20"/>
              </w:rPr>
            </w:pPr>
            <w:r>
              <w:rPr>
                <w:sz w:val="20"/>
                <w:szCs w:val="20"/>
              </w:rPr>
              <w:t>Cost (£) per cluster-episode</w:t>
            </w:r>
          </w:p>
        </w:tc>
        <w:tc>
          <w:tcPr>
            <w:tcW w:w="1417" w:type="dxa"/>
            <w:tcBorders>
              <w:top w:val="single" w:sz="8" w:space="0" w:color="000000"/>
              <w:left w:val="nil"/>
              <w:bottom w:val="single" w:sz="4" w:space="0" w:color="000000"/>
              <w:right w:val="nil"/>
            </w:tcBorders>
            <w:tcMar>
              <w:top w:w="12" w:type="dxa"/>
              <w:left w:w="57" w:type="dxa"/>
              <w:bottom w:w="0" w:type="dxa"/>
              <w:right w:w="57" w:type="dxa"/>
            </w:tcMar>
            <w:vAlign w:val="center"/>
          </w:tcPr>
          <w:p w14:paraId="399ACF91" w14:textId="77777777" w:rsidR="0005042F" w:rsidRDefault="007D1A26">
            <w:pPr>
              <w:spacing w:line="257" w:lineRule="auto"/>
              <w:jc w:val="center"/>
              <w:rPr>
                <w:sz w:val="20"/>
                <w:szCs w:val="20"/>
              </w:rPr>
            </w:pPr>
            <w:proofErr w:type="spellStart"/>
            <w:r>
              <w:rPr>
                <w:color w:val="000000"/>
                <w:sz w:val="20"/>
                <w:szCs w:val="20"/>
              </w:rPr>
              <w:t>w</w:t>
            </w:r>
            <w:r>
              <w:rPr>
                <w:color w:val="000000"/>
                <w:sz w:val="20"/>
                <w:szCs w:val="20"/>
                <w:vertAlign w:val="subscript"/>
              </w:rPr>
              <w:t>c</w:t>
            </w:r>
            <w:proofErr w:type="spellEnd"/>
            <w:r>
              <w:rPr>
                <w:color w:val="000000"/>
                <w:sz w:val="20"/>
                <w:szCs w:val="20"/>
              </w:rPr>
              <w:t xml:space="preserve"> = 1/£30,000</w:t>
            </w:r>
          </w:p>
        </w:tc>
        <w:tc>
          <w:tcPr>
            <w:tcW w:w="1271" w:type="dxa"/>
            <w:tcBorders>
              <w:top w:val="single" w:sz="8" w:space="0" w:color="000000"/>
              <w:left w:val="nil"/>
              <w:bottom w:val="single" w:sz="4" w:space="0" w:color="000000"/>
              <w:right w:val="nil"/>
            </w:tcBorders>
            <w:tcMar>
              <w:top w:w="12" w:type="dxa"/>
              <w:left w:w="57" w:type="dxa"/>
              <w:bottom w:w="0" w:type="dxa"/>
              <w:right w:w="57" w:type="dxa"/>
            </w:tcMar>
            <w:vAlign w:val="center"/>
          </w:tcPr>
          <w:p w14:paraId="0319B337" w14:textId="77777777" w:rsidR="0005042F" w:rsidRDefault="007D1A26">
            <w:pPr>
              <w:spacing w:line="256" w:lineRule="auto"/>
              <w:jc w:val="center"/>
              <w:rPr>
                <w:color w:val="000000"/>
                <w:sz w:val="20"/>
                <w:szCs w:val="20"/>
              </w:rPr>
            </w:pPr>
            <w:r>
              <w:rPr>
                <w:color w:val="000000"/>
                <w:sz w:val="20"/>
                <w:szCs w:val="20"/>
              </w:rPr>
              <w:t>13,383</w:t>
            </w:r>
          </w:p>
        </w:tc>
        <w:tc>
          <w:tcPr>
            <w:tcW w:w="1022" w:type="dxa"/>
            <w:tcBorders>
              <w:top w:val="single" w:sz="8" w:space="0" w:color="000000"/>
              <w:left w:val="nil"/>
              <w:bottom w:val="single" w:sz="4" w:space="0" w:color="000000"/>
              <w:right w:val="nil"/>
            </w:tcBorders>
            <w:vAlign w:val="center"/>
          </w:tcPr>
          <w:p w14:paraId="0BFCE7AD" w14:textId="77777777" w:rsidR="0005042F" w:rsidRDefault="007D1A26">
            <w:pPr>
              <w:spacing w:line="256" w:lineRule="auto"/>
              <w:jc w:val="center"/>
              <w:rPr>
                <w:color w:val="000000"/>
                <w:sz w:val="20"/>
                <w:szCs w:val="20"/>
              </w:rPr>
            </w:pPr>
            <w:r>
              <w:rPr>
                <w:color w:val="000000"/>
                <w:sz w:val="20"/>
                <w:szCs w:val="20"/>
              </w:rPr>
              <w:t>910</w:t>
            </w:r>
          </w:p>
        </w:tc>
        <w:tc>
          <w:tcPr>
            <w:tcW w:w="1022" w:type="dxa"/>
            <w:tcBorders>
              <w:top w:val="single" w:sz="8" w:space="0" w:color="000000"/>
              <w:left w:val="nil"/>
              <w:bottom w:val="single" w:sz="4" w:space="0" w:color="000000"/>
              <w:right w:val="nil"/>
            </w:tcBorders>
            <w:vAlign w:val="center"/>
          </w:tcPr>
          <w:p w14:paraId="00508F27" w14:textId="77777777" w:rsidR="0005042F" w:rsidRDefault="007D1A26">
            <w:pPr>
              <w:spacing w:line="256" w:lineRule="auto"/>
              <w:jc w:val="center"/>
              <w:rPr>
                <w:color w:val="000000"/>
                <w:sz w:val="20"/>
                <w:szCs w:val="20"/>
              </w:rPr>
            </w:pPr>
            <w:r>
              <w:rPr>
                <w:color w:val="000000"/>
                <w:sz w:val="20"/>
                <w:szCs w:val="20"/>
              </w:rPr>
              <w:t>11,703</w:t>
            </w:r>
          </w:p>
        </w:tc>
        <w:tc>
          <w:tcPr>
            <w:tcW w:w="1023" w:type="dxa"/>
            <w:tcBorders>
              <w:top w:val="single" w:sz="8" w:space="0" w:color="000000"/>
              <w:left w:val="nil"/>
              <w:bottom w:val="single" w:sz="4" w:space="0" w:color="000000"/>
              <w:right w:val="nil"/>
            </w:tcBorders>
            <w:vAlign w:val="center"/>
          </w:tcPr>
          <w:p w14:paraId="2D907139" w14:textId="77777777" w:rsidR="0005042F" w:rsidRDefault="007D1A26">
            <w:pPr>
              <w:spacing w:line="256" w:lineRule="auto"/>
              <w:jc w:val="center"/>
              <w:rPr>
                <w:color w:val="000000"/>
                <w:sz w:val="20"/>
                <w:szCs w:val="20"/>
              </w:rPr>
            </w:pPr>
            <w:r>
              <w:rPr>
                <w:color w:val="000000"/>
                <w:sz w:val="20"/>
                <w:szCs w:val="20"/>
              </w:rPr>
              <w:t>16,043</w:t>
            </w:r>
          </w:p>
        </w:tc>
      </w:tr>
      <w:tr w:rsidR="0005042F" w14:paraId="353A4192" w14:textId="77777777">
        <w:trPr>
          <w:trHeight w:val="283"/>
        </w:trPr>
        <w:tc>
          <w:tcPr>
            <w:tcW w:w="3176" w:type="dxa"/>
            <w:tcBorders>
              <w:top w:val="single" w:sz="4" w:space="0" w:color="000000"/>
              <w:left w:val="nil"/>
              <w:bottom w:val="single" w:sz="8" w:space="0" w:color="000000"/>
              <w:right w:val="nil"/>
            </w:tcBorders>
            <w:tcMar>
              <w:top w:w="12" w:type="dxa"/>
              <w:left w:w="57" w:type="dxa"/>
              <w:bottom w:w="0" w:type="dxa"/>
              <w:right w:w="57" w:type="dxa"/>
            </w:tcMar>
            <w:vAlign w:val="center"/>
          </w:tcPr>
          <w:p w14:paraId="56DE041E" w14:textId="77777777" w:rsidR="0005042F" w:rsidRDefault="007D1A26">
            <w:pPr>
              <w:rPr>
                <w:sz w:val="20"/>
                <w:szCs w:val="20"/>
                <w:vertAlign w:val="subscript"/>
              </w:rPr>
            </w:pPr>
            <w:r>
              <w:rPr>
                <w:i/>
                <w:sz w:val="20"/>
                <w:szCs w:val="20"/>
              </w:rPr>
              <w:t>Equivalent health benefit (</w:t>
            </w:r>
            <w:proofErr w:type="spellStart"/>
            <w:r>
              <w:rPr>
                <w:i/>
                <w:sz w:val="20"/>
                <w:szCs w:val="20"/>
              </w:rPr>
              <w:t>eHB</w:t>
            </w:r>
            <w:proofErr w:type="spellEnd"/>
            <w:r>
              <w:rPr>
                <w:i/>
                <w:sz w:val="20"/>
                <w:szCs w:val="20"/>
              </w:rPr>
              <w:t>)</w:t>
            </w:r>
          </w:p>
        </w:tc>
        <w:tc>
          <w:tcPr>
            <w:tcW w:w="1417" w:type="dxa"/>
            <w:tcBorders>
              <w:top w:val="single" w:sz="4" w:space="0" w:color="000000"/>
              <w:left w:val="nil"/>
              <w:bottom w:val="single" w:sz="8" w:space="0" w:color="000000"/>
              <w:right w:val="nil"/>
            </w:tcBorders>
            <w:tcMar>
              <w:top w:w="12" w:type="dxa"/>
              <w:left w:w="57" w:type="dxa"/>
              <w:bottom w:w="0" w:type="dxa"/>
              <w:right w:w="57" w:type="dxa"/>
            </w:tcMar>
            <w:vAlign w:val="center"/>
          </w:tcPr>
          <w:p w14:paraId="1E50D1B9" w14:textId="77777777" w:rsidR="0005042F" w:rsidRDefault="0005042F">
            <w:pPr>
              <w:spacing w:line="256" w:lineRule="auto"/>
              <w:jc w:val="center"/>
              <w:rPr>
                <w:color w:val="000000"/>
                <w:sz w:val="20"/>
                <w:szCs w:val="20"/>
              </w:rPr>
            </w:pPr>
          </w:p>
        </w:tc>
        <w:tc>
          <w:tcPr>
            <w:tcW w:w="1271" w:type="dxa"/>
            <w:tcBorders>
              <w:top w:val="single" w:sz="4" w:space="0" w:color="000000"/>
              <w:left w:val="nil"/>
              <w:bottom w:val="single" w:sz="8" w:space="0" w:color="000000"/>
              <w:right w:val="nil"/>
            </w:tcBorders>
            <w:tcMar>
              <w:top w:w="12" w:type="dxa"/>
              <w:left w:w="57" w:type="dxa"/>
              <w:bottom w:w="0" w:type="dxa"/>
              <w:right w:w="57" w:type="dxa"/>
            </w:tcMar>
            <w:vAlign w:val="center"/>
          </w:tcPr>
          <w:p w14:paraId="1D8A67B2" w14:textId="77777777" w:rsidR="0005042F" w:rsidRDefault="007D1A26">
            <w:pPr>
              <w:spacing w:line="256" w:lineRule="auto"/>
              <w:jc w:val="center"/>
              <w:rPr>
                <w:color w:val="000000"/>
                <w:sz w:val="20"/>
                <w:szCs w:val="20"/>
              </w:rPr>
            </w:pPr>
            <w:r>
              <w:rPr>
                <w:color w:val="000000"/>
                <w:sz w:val="20"/>
                <w:szCs w:val="20"/>
              </w:rPr>
              <w:t>0.933</w:t>
            </w:r>
          </w:p>
        </w:tc>
        <w:tc>
          <w:tcPr>
            <w:tcW w:w="1022" w:type="dxa"/>
            <w:tcBorders>
              <w:top w:val="single" w:sz="4" w:space="0" w:color="000000"/>
              <w:left w:val="nil"/>
              <w:bottom w:val="single" w:sz="8" w:space="0" w:color="000000"/>
              <w:right w:val="nil"/>
            </w:tcBorders>
            <w:vAlign w:val="center"/>
          </w:tcPr>
          <w:p w14:paraId="61B8E80F" w14:textId="77777777" w:rsidR="0005042F" w:rsidRDefault="007D1A26">
            <w:pPr>
              <w:spacing w:line="256" w:lineRule="auto"/>
              <w:jc w:val="center"/>
              <w:rPr>
                <w:color w:val="000000"/>
                <w:sz w:val="20"/>
                <w:szCs w:val="20"/>
              </w:rPr>
            </w:pPr>
            <w:r>
              <w:rPr>
                <w:color w:val="000000"/>
                <w:sz w:val="20"/>
                <w:szCs w:val="20"/>
              </w:rPr>
              <w:t>0.043</w:t>
            </w:r>
          </w:p>
        </w:tc>
        <w:tc>
          <w:tcPr>
            <w:tcW w:w="1022" w:type="dxa"/>
            <w:tcBorders>
              <w:top w:val="single" w:sz="4" w:space="0" w:color="000000"/>
              <w:left w:val="nil"/>
              <w:bottom w:val="single" w:sz="8" w:space="0" w:color="000000"/>
              <w:right w:val="nil"/>
            </w:tcBorders>
            <w:vAlign w:val="center"/>
          </w:tcPr>
          <w:p w14:paraId="0DAB83D5" w14:textId="77777777" w:rsidR="0005042F" w:rsidRDefault="007D1A26">
            <w:pPr>
              <w:spacing w:line="256" w:lineRule="auto"/>
              <w:jc w:val="center"/>
              <w:rPr>
                <w:color w:val="000000"/>
                <w:sz w:val="20"/>
                <w:szCs w:val="20"/>
              </w:rPr>
            </w:pPr>
            <w:r>
              <w:rPr>
                <w:color w:val="000000"/>
                <w:sz w:val="20"/>
                <w:szCs w:val="20"/>
              </w:rPr>
              <w:t>0.841</w:t>
            </w:r>
          </w:p>
        </w:tc>
        <w:tc>
          <w:tcPr>
            <w:tcW w:w="1023" w:type="dxa"/>
            <w:tcBorders>
              <w:top w:val="single" w:sz="4" w:space="0" w:color="000000"/>
              <w:left w:val="nil"/>
              <w:bottom w:val="single" w:sz="8" w:space="0" w:color="000000"/>
              <w:right w:val="nil"/>
            </w:tcBorders>
            <w:vAlign w:val="center"/>
          </w:tcPr>
          <w:p w14:paraId="07ED49F0" w14:textId="77777777" w:rsidR="0005042F" w:rsidRDefault="007D1A26">
            <w:pPr>
              <w:spacing w:line="256" w:lineRule="auto"/>
              <w:jc w:val="center"/>
              <w:rPr>
                <w:color w:val="000000"/>
                <w:sz w:val="20"/>
                <w:szCs w:val="20"/>
              </w:rPr>
            </w:pPr>
            <w:r>
              <w:rPr>
                <w:color w:val="000000"/>
                <w:sz w:val="20"/>
                <w:szCs w:val="20"/>
              </w:rPr>
              <w:t>1.009</w:t>
            </w:r>
          </w:p>
        </w:tc>
      </w:tr>
      <w:tr w:rsidR="0005042F" w14:paraId="525A4D2D" w14:textId="77777777">
        <w:trPr>
          <w:trHeight w:val="283"/>
        </w:trPr>
        <w:tc>
          <w:tcPr>
            <w:tcW w:w="3176" w:type="dxa"/>
            <w:tcBorders>
              <w:top w:val="single" w:sz="8" w:space="0" w:color="000000"/>
              <w:left w:val="nil"/>
              <w:bottom w:val="single" w:sz="8" w:space="0" w:color="000000"/>
              <w:right w:val="nil"/>
            </w:tcBorders>
            <w:tcMar>
              <w:top w:w="12" w:type="dxa"/>
              <w:left w:w="57" w:type="dxa"/>
              <w:bottom w:w="0" w:type="dxa"/>
              <w:right w:w="57" w:type="dxa"/>
            </w:tcMar>
            <w:vAlign w:val="center"/>
          </w:tcPr>
          <w:p w14:paraId="16F25F86" w14:textId="77777777" w:rsidR="0005042F" w:rsidRDefault="007D1A26">
            <w:pPr>
              <w:rPr>
                <w:i/>
                <w:sz w:val="20"/>
                <w:szCs w:val="20"/>
              </w:rPr>
            </w:pPr>
            <w:r>
              <w:rPr>
                <w:i/>
                <w:sz w:val="20"/>
                <w:szCs w:val="20"/>
              </w:rPr>
              <w:t>Equivalent net health benefit (</w:t>
            </w:r>
            <w:proofErr w:type="spellStart"/>
            <w:r>
              <w:rPr>
                <w:i/>
                <w:sz w:val="20"/>
                <w:szCs w:val="20"/>
              </w:rPr>
              <w:t>eNHB</w:t>
            </w:r>
            <w:proofErr w:type="spellEnd"/>
            <w:r>
              <w:rPr>
                <w:i/>
                <w:sz w:val="20"/>
                <w:szCs w:val="20"/>
              </w:rPr>
              <w:t>)</w:t>
            </w:r>
          </w:p>
        </w:tc>
        <w:tc>
          <w:tcPr>
            <w:tcW w:w="1417" w:type="dxa"/>
            <w:tcBorders>
              <w:top w:val="single" w:sz="8" w:space="0" w:color="000000"/>
              <w:left w:val="nil"/>
              <w:bottom w:val="single" w:sz="8" w:space="0" w:color="000000"/>
              <w:right w:val="nil"/>
            </w:tcBorders>
            <w:tcMar>
              <w:top w:w="12" w:type="dxa"/>
              <w:left w:w="57" w:type="dxa"/>
              <w:bottom w:w="0" w:type="dxa"/>
              <w:right w:w="57" w:type="dxa"/>
            </w:tcMar>
            <w:vAlign w:val="center"/>
          </w:tcPr>
          <w:p w14:paraId="6B475737" w14:textId="77777777" w:rsidR="0005042F" w:rsidRDefault="0005042F">
            <w:pPr>
              <w:spacing w:line="256" w:lineRule="auto"/>
              <w:jc w:val="center"/>
              <w:rPr>
                <w:color w:val="000000"/>
                <w:sz w:val="20"/>
                <w:szCs w:val="20"/>
              </w:rPr>
            </w:pPr>
          </w:p>
        </w:tc>
        <w:tc>
          <w:tcPr>
            <w:tcW w:w="1271" w:type="dxa"/>
            <w:tcBorders>
              <w:top w:val="single" w:sz="8" w:space="0" w:color="000000"/>
              <w:left w:val="nil"/>
              <w:bottom w:val="single" w:sz="8" w:space="0" w:color="000000"/>
              <w:right w:val="nil"/>
            </w:tcBorders>
            <w:tcMar>
              <w:top w:w="12" w:type="dxa"/>
              <w:left w:w="57" w:type="dxa"/>
              <w:bottom w:w="0" w:type="dxa"/>
              <w:right w:w="57" w:type="dxa"/>
            </w:tcMar>
            <w:vAlign w:val="center"/>
          </w:tcPr>
          <w:p w14:paraId="2AE9DA62" w14:textId="77777777" w:rsidR="0005042F" w:rsidRDefault="007D1A26">
            <w:pPr>
              <w:spacing w:line="256" w:lineRule="auto"/>
              <w:jc w:val="center"/>
              <w:rPr>
                <w:color w:val="000000"/>
                <w:sz w:val="20"/>
                <w:szCs w:val="20"/>
              </w:rPr>
            </w:pPr>
            <w:r>
              <w:rPr>
                <w:color w:val="000000"/>
                <w:sz w:val="20"/>
                <w:szCs w:val="20"/>
              </w:rPr>
              <w:t>0.487</w:t>
            </w:r>
          </w:p>
        </w:tc>
        <w:tc>
          <w:tcPr>
            <w:tcW w:w="1022" w:type="dxa"/>
            <w:tcBorders>
              <w:top w:val="single" w:sz="8" w:space="0" w:color="000000"/>
              <w:left w:val="nil"/>
              <w:bottom w:val="single" w:sz="8" w:space="0" w:color="000000"/>
              <w:right w:val="nil"/>
            </w:tcBorders>
            <w:vAlign w:val="center"/>
          </w:tcPr>
          <w:p w14:paraId="686BAFC0" w14:textId="77777777" w:rsidR="0005042F" w:rsidRDefault="007D1A26">
            <w:pPr>
              <w:spacing w:line="256" w:lineRule="auto"/>
              <w:jc w:val="center"/>
              <w:rPr>
                <w:color w:val="000000"/>
                <w:sz w:val="20"/>
                <w:szCs w:val="20"/>
              </w:rPr>
            </w:pPr>
            <w:r>
              <w:rPr>
                <w:color w:val="000000"/>
                <w:sz w:val="20"/>
                <w:szCs w:val="20"/>
              </w:rPr>
              <w:t>0.059</w:t>
            </w:r>
          </w:p>
        </w:tc>
        <w:tc>
          <w:tcPr>
            <w:tcW w:w="1022" w:type="dxa"/>
            <w:tcBorders>
              <w:top w:val="single" w:sz="8" w:space="0" w:color="000000"/>
              <w:left w:val="nil"/>
              <w:bottom w:val="single" w:sz="8" w:space="0" w:color="000000"/>
              <w:right w:val="nil"/>
            </w:tcBorders>
            <w:vAlign w:val="center"/>
          </w:tcPr>
          <w:p w14:paraId="064243E7" w14:textId="77777777" w:rsidR="0005042F" w:rsidRDefault="007D1A26">
            <w:pPr>
              <w:spacing w:line="256" w:lineRule="auto"/>
              <w:jc w:val="center"/>
              <w:rPr>
                <w:color w:val="000000"/>
                <w:sz w:val="20"/>
                <w:szCs w:val="20"/>
              </w:rPr>
            </w:pPr>
            <w:r>
              <w:rPr>
                <w:color w:val="000000"/>
                <w:sz w:val="20"/>
                <w:szCs w:val="20"/>
              </w:rPr>
              <w:t>0.320</w:t>
            </w:r>
          </w:p>
        </w:tc>
        <w:tc>
          <w:tcPr>
            <w:tcW w:w="1023" w:type="dxa"/>
            <w:tcBorders>
              <w:top w:val="single" w:sz="8" w:space="0" w:color="000000"/>
              <w:left w:val="nil"/>
              <w:bottom w:val="single" w:sz="8" w:space="0" w:color="000000"/>
              <w:right w:val="nil"/>
            </w:tcBorders>
            <w:vAlign w:val="center"/>
          </w:tcPr>
          <w:p w14:paraId="37339EA7" w14:textId="77777777" w:rsidR="0005042F" w:rsidRDefault="007D1A26">
            <w:pPr>
              <w:spacing w:line="256" w:lineRule="auto"/>
              <w:jc w:val="center"/>
              <w:rPr>
                <w:color w:val="000000"/>
                <w:sz w:val="20"/>
                <w:szCs w:val="20"/>
              </w:rPr>
            </w:pPr>
            <w:r>
              <w:rPr>
                <w:color w:val="000000"/>
                <w:sz w:val="20"/>
                <w:szCs w:val="20"/>
              </w:rPr>
              <w:t>0.603</w:t>
            </w:r>
          </w:p>
        </w:tc>
      </w:tr>
    </w:tbl>
    <w:p w14:paraId="6D4F8F63" w14:textId="77777777" w:rsidR="0005042F" w:rsidRDefault="007D1A26">
      <w:pPr>
        <w:spacing w:after="160" w:line="256" w:lineRule="auto"/>
        <w:jc w:val="left"/>
      </w:pPr>
      <w:r>
        <w:rPr>
          <w:rFonts w:ascii="Calibri" w:eastAsia="Calibri" w:hAnsi="Calibri" w:cs="Calibri"/>
          <w:sz w:val="20"/>
          <w:szCs w:val="20"/>
        </w:rPr>
        <w:t xml:space="preserve">Notes:   Summary statistics are for provider effects calculated as risk adjusted provider fixed effects </w:t>
      </w:r>
      <w:r>
        <w:rPr>
          <w:rFonts w:ascii="Calibri" w:eastAsia="Calibri" w:hAnsi="Calibri" w:cs="Calibri"/>
          <w:i/>
          <w:sz w:val="20"/>
          <w:szCs w:val="20"/>
        </w:rPr>
        <w:t>plus</w:t>
      </w:r>
      <w:r>
        <w:rPr>
          <w:rFonts w:ascii="Calibri" w:eastAsia="Calibri" w:hAnsi="Calibri" w:cs="Calibri"/>
          <w:sz w:val="20"/>
          <w:szCs w:val="20"/>
        </w:rPr>
        <w:t xml:space="preserve"> the overall mean for the attribute or cost.  Equivalent health benefit: </w:t>
      </w:r>
      <w:proofErr w:type="spellStart"/>
      <w:r>
        <w:rPr>
          <w:rFonts w:ascii="Calibri" w:eastAsia="Calibri" w:hAnsi="Calibri" w:cs="Calibri"/>
          <w:i/>
          <w:sz w:val="20"/>
          <w:szCs w:val="20"/>
        </w:rPr>
        <w:t>eHB</w:t>
      </w:r>
      <w:proofErr w:type="spellEnd"/>
      <w:r>
        <w:rPr>
          <w:rFonts w:ascii="Calibri" w:eastAsia="Calibri" w:hAnsi="Calibri" w:cs="Calibri"/>
          <w:i/>
          <w:sz w:val="20"/>
          <w:szCs w:val="20"/>
        </w:rPr>
        <w:t xml:space="preserve"> </w:t>
      </w:r>
      <w:r>
        <w:rPr>
          <w:rFonts w:ascii="Calibri" w:eastAsia="Calibri" w:hAnsi="Calibri" w:cs="Calibri"/>
          <w:sz w:val="20"/>
          <w:szCs w:val="20"/>
        </w:rPr>
        <w:t xml:space="preserve">= </w:t>
      </w:r>
      <w:r>
        <w:rPr>
          <w:rFonts w:ascii="Calibri" w:eastAsia="Calibri" w:hAnsi="Calibri" w:cs="Calibri"/>
          <w:i/>
          <w:sz w:val="20"/>
          <w:szCs w:val="20"/>
        </w:rPr>
        <w:t>h –</w:t>
      </w:r>
      <w:proofErr w:type="spellStart"/>
      <w:r>
        <w:rPr>
          <w:rFonts w:ascii="Calibri" w:eastAsia="Calibri" w:hAnsi="Calibri" w:cs="Calibri"/>
          <w:i/>
          <w:sz w:val="20"/>
          <w:szCs w:val="20"/>
        </w:rPr>
        <w:t>w</w:t>
      </w:r>
      <w:r>
        <w:rPr>
          <w:rFonts w:ascii="Calibri" w:eastAsia="Calibri" w:hAnsi="Calibri" w:cs="Calibri"/>
          <w:i/>
          <w:sz w:val="20"/>
          <w:szCs w:val="20"/>
          <w:vertAlign w:val="subscript"/>
        </w:rPr>
        <w:t>c</w:t>
      </w:r>
      <w:proofErr w:type="spellEnd"/>
      <w:r>
        <w:rPr>
          <w:rFonts w:ascii="Calibri" w:eastAsia="Calibri" w:hAnsi="Calibri" w:cs="Calibri"/>
          <w:i/>
          <w:sz w:val="20"/>
          <w:szCs w:val="20"/>
        </w:rPr>
        <w:t xml:space="preserve"> </w:t>
      </w:r>
      <w:proofErr w:type="gramStart"/>
      <w:r>
        <w:rPr>
          <w:rFonts w:ascii="Calibri" w:eastAsia="Calibri" w:hAnsi="Calibri" w:cs="Calibri"/>
          <w:i/>
          <w:sz w:val="20"/>
          <w:szCs w:val="20"/>
        </w:rPr>
        <w:t>c</w:t>
      </w:r>
      <w:r>
        <w:rPr>
          <w:rFonts w:ascii="Calibri" w:eastAsia="Calibri" w:hAnsi="Calibri" w:cs="Calibri"/>
          <w:sz w:val="20"/>
          <w:szCs w:val="20"/>
        </w:rPr>
        <w:t xml:space="preserve"> .</w:t>
      </w:r>
      <w:proofErr w:type="gramEnd"/>
      <w:r>
        <w:rPr>
          <w:rFonts w:ascii="Calibri" w:eastAsia="Calibri" w:hAnsi="Calibri" w:cs="Calibri"/>
          <w:sz w:val="20"/>
          <w:szCs w:val="20"/>
        </w:rPr>
        <w:t xml:space="preserve">  Equivalent net health benefit: </w:t>
      </w:r>
      <w:proofErr w:type="spellStart"/>
      <w:r>
        <w:rPr>
          <w:rFonts w:ascii="Calibri" w:eastAsia="Calibri" w:hAnsi="Calibri" w:cs="Calibri"/>
          <w:i/>
          <w:sz w:val="20"/>
          <w:szCs w:val="20"/>
        </w:rPr>
        <w:t>eNHB</w:t>
      </w:r>
      <w:proofErr w:type="spellEnd"/>
      <w:r>
        <w:rPr>
          <w:rFonts w:ascii="Calibri" w:eastAsia="Calibri" w:hAnsi="Calibri" w:cs="Calibri"/>
          <w:sz w:val="20"/>
          <w:szCs w:val="20"/>
        </w:rPr>
        <w:t xml:space="preserve"> = </w:t>
      </w:r>
      <w:r>
        <w:rPr>
          <w:rFonts w:ascii="Calibri" w:eastAsia="Calibri" w:hAnsi="Calibri" w:cs="Calibri"/>
          <w:i/>
          <w:sz w:val="20"/>
          <w:szCs w:val="20"/>
        </w:rPr>
        <w:t>h</w:t>
      </w:r>
      <w:r>
        <w:rPr>
          <w:rFonts w:ascii="Calibri" w:eastAsia="Calibri" w:hAnsi="Calibri" w:cs="Calibri"/>
          <w:sz w:val="20"/>
          <w:szCs w:val="20"/>
        </w:rPr>
        <w:t xml:space="preserve"> +</w:t>
      </w:r>
      <w:r>
        <w:rPr>
          <w:rFonts w:ascii="Calibri" w:eastAsia="Calibri" w:hAnsi="Calibri" w:cs="Calibri"/>
          <w:noProof/>
          <w:sz w:val="33"/>
          <w:szCs w:val="33"/>
          <w:vertAlign w:val="subscript"/>
        </w:rPr>
        <w:drawing>
          <wp:inline distT="0" distB="0" distL="0" distR="0" wp14:anchorId="703B17B2" wp14:editId="260908EB">
            <wp:extent cx="933450" cy="276225"/>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933450" cy="276225"/>
                    </a:xfrm>
                    <a:prstGeom prst="rect">
                      <a:avLst/>
                    </a:prstGeom>
                    <a:ln/>
                  </pic:spPr>
                </pic:pic>
              </a:graphicData>
            </a:graphic>
          </wp:inline>
        </w:drawing>
      </w:r>
      <w:r>
        <w:rPr>
          <w:rFonts w:ascii="Calibri" w:eastAsia="Calibri" w:hAnsi="Calibri" w:cs="Calibri"/>
          <w:sz w:val="20"/>
          <w:szCs w:val="20"/>
        </w:rPr>
        <w:t>. Number of prov</w:t>
      </w:r>
      <w:r>
        <w:rPr>
          <w:rFonts w:ascii="Calibri" w:eastAsia="Calibri" w:hAnsi="Calibri" w:cs="Calibri"/>
          <w:sz w:val="20"/>
          <w:szCs w:val="20"/>
        </w:rPr>
        <w:t>iders: 54. Benefit attributes (except for appropriate discharge) and cost are case-mix risk adjusted as described in the Online Appendix.</w:t>
      </w:r>
    </w:p>
    <w:p w14:paraId="203CB337" w14:textId="77777777" w:rsidR="0005042F" w:rsidRDefault="0005042F">
      <w:pPr>
        <w:spacing w:after="160" w:line="256" w:lineRule="auto"/>
        <w:jc w:val="left"/>
        <w:rPr>
          <w:rFonts w:ascii="Calibri" w:eastAsia="Calibri" w:hAnsi="Calibri" w:cs="Calibri"/>
          <w:sz w:val="22"/>
          <w:szCs w:val="22"/>
        </w:rPr>
      </w:pPr>
    </w:p>
    <w:p w14:paraId="53B40E56" w14:textId="77777777" w:rsidR="0005042F" w:rsidRDefault="007D1A26">
      <w:pPr>
        <w:spacing w:line="240" w:lineRule="auto"/>
        <w:jc w:val="left"/>
        <w:rPr>
          <w:rFonts w:ascii="Calibri" w:eastAsia="Calibri" w:hAnsi="Calibri" w:cs="Calibri"/>
          <w:color w:val="000000"/>
          <w:sz w:val="22"/>
          <w:szCs w:val="22"/>
        </w:rPr>
      </w:pPr>
      <w:r>
        <w:rPr>
          <w:rFonts w:ascii="Calibri" w:eastAsia="Calibri" w:hAnsi="Calibri" w:cs="Calibri"/>
          <w:b/>
          <w:color w:val="000000"/>
          <w:sz w:val="22"/>
          <w:szCs w:val="22"/>
        </w:rPr>
        <w:t>Table 3.</w:t>
      </w:r>
      <w:r>
        <w:rPr>
          <w:rFonts w:ascii="Calibri" w:eastAsia="Calibri" w:hAnsi="Calibri" w:cs="Calibri"/>
          <w:color w:val="000000"/>
          <w:sz w:val="22"/>
          <w:szCs w:val="22"/>
        </w:rPr>
        <w:t xml:space="preserve"> </w:t>
      </w:r>
      <w:r>
        <w:rPr>
          <w:rFonts w:ascii="Calibri" w:eastAsia="Calibri" w:hAnsi="Calibri" w:cs="Calibri"/>
          <w:b/>
          <w:color w:val="000000"/>
          <w:sz w:val="22"/>
          <w:szCs w:val="22"/>
        </w:rPr>
        <w:t xml:space="preserve">Correlations between health, non-health attributes, and cost </w:t>
      </w:r>
    </w:p>
    <w:tbl>
      <w:tblPr>
        <w:tblStyle w:val="a1"/>
        <w:tblW w:w="9026" w:type="dxa"/>
        <w:tblInd w:w="-5"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562"/>
        <w:gridCol w:w="832"/>
        <w:gridCol w:w="832"/>
        <w:gridCol w:w="867"/>
        <w:gridCol w:w="867"/>
        <w:gridCol w:w="867"/>
        <w:gridCol w:w="867"/>
        <w:gridCol w:w="833"/>
        <w:gridCol w:w="833"/>
        <w:gridCol w:w="833"/>
        <w:gridCol w:w="833"/>
      </w:tblGrid>
      <w:tr w:rsidR="0005042F" w14:paraId="017903AB" w14:textId="77777777">
        <w:trPr>
          <w:trHeight w:val="1619"/>
        </w:trPr>
        <w:tc>
          <w:tcPr>
            <w:tcW w:w="563" w:type="dxa"/>
            <w:tcBorders>
              <w:top w:val="single" w:sz="4" w:space="0" w:color="000000"/>
              <w:left w:val="nil"/>
              <w:bottom w:val="single" w:sz="4" w:space="0" w:color="000000"/>
              <w:right w:val="single" w:sz="4" w:space="0" w:color="000000"/>
            </w:tcBorders>
          </w:tcPr>
          <w:p w14:paraId="3D96CC6A" w14:textId="77777777" w:rsidR="0005042F" w:rsidRDefault="007D1A26">
            <w:pPr>
              <w:jc w:val="center"/>
              <w:rPr>
                <w:b/>
                <w:color w:val="000000"/>
                <w:sz w:val="20"/>
                <w:szCs w:val="20"/>
              </w:rPr>
            </w:pPr>
            <w:r>
              <w:rPr>
                <w:b/>
                <w:color w:val="000000"/>
                <w:sz w:val="20"/>
                <w:szCs w:val="20"/>
              </w:rPr>
              <w:t> </w:t>
            </w:r>
          </w:p>
        </w:tc>
        <w:tc>
          <w:tcPr>
            <w:tcW w:w="832" w:type="dxa"/>
            <w:tcBorders>
              <w:top w:val="single" w:sz="4" w:space="0" w:color="000000"/>
              <w:left w:val="single" w:sz="4" w:space="0" w:color="000000"/>
              <w:bottom w:val="single" w:sz="4" w:space="0" w:color="000000"/>
              <w:right w:val="single" w:sz="4" w:space="0" w:color="000000"/>
            </w:tcBorders>
            <w:vAlign w:val="center"/>
          </w:tcPr>
          <w:p w14:paraId="5D2CC9CF" w14:textId="77777777" w:rsidR="0005042F" w:rsidRDefault="007D1A26">
            <w:pPr>
              <w:jc w:val="center"/>
              <w:rPr>
                <w:b/>
                <w:color w:val="000000"/>
                <w:sz w:val="20"/>
                <w:szCs w:val="20"/>
              </w:rPr>
            </w:pPr>
            <w:r>
              <w:rPr>
                <w:b/>
                <w:color w:val="000000"/>
                <w:sz w:val="20"/>
                <w:szCs w:val="20"/>
              </w:rPr>
              <w:t>1. Waiting time</w:t>
            </w:r>
          </w:p>
        </w:tc>
        <w:tc>
          <w:tcPr>
            <w:tcW w:w="832" w:type="dxa"/>
            <w:tcBorders>
              <w:top w:val="single" w:sz="4" w:space="0" w:color="000000"/>
              <w:left w:val="single" w:sz="4" w:space="0" w:color="000000"/>
              <w:bottom w:val="single" w:sz="4" w:space="0" w:color="000000"/>
              <w:right w:val="single" w:sz="4" w:space="0" w:color="000000"/>
            </w:tcBorders>
            <w:vAlign w:val="center"/>
          </w:tcPr>
          <w:p w14:paraId="1A46F919" w14:textId="77777777" w:rsidR="0005042F" w:rsidRDefault="007D1A26">
            <w:pPr>
              <w:jc w:val="center"/>
              <w:rPr>
                <w:b/>
                <w:color w:val="000000"/>
                <w:sz w:val="20"/>
                <w:szCs w:val="20"/>
              </w:rPr>
            </w:pPr>
            <w:r>
              <w:rPr>
                <w:b/>
                <w:color w:val="000000"/>
                <w:sz w:val="20"/>
                <w:szCs w:val="20"/>
              </w:rPr>
              <w:t>2. Ease of access</w:t>
            </w:r>
          </w:p>
        </w:tc>
        <w:tc>
          <w:tcPr>
            <w:tcW w:w="867" w:type="dxa"/>
            <w:tcBorders>
              <w:top w:val="single" w:sz="4" w:space="0" w:color="000000"/>
              <w:left w:val="single" w:sz="4" w:space="0" w:color="000000"/>
              <w:bottom w:val="single" w:sz="4" w:space="0" w:color="000000"/>
              <w:right w:val="single" w:sz="4" w:space="0" w:color="000000"/>
            </w:tcBorders>
            <w:vAlign w:val="center"/>
          </w:tcPr>
          <w:p w14:paraId="2FCEE0F7" w14:textId="77777777" w:rsidR="0005042F" w:rsidRDefault="007D1A26">
            <w:pPr>
              <w:jc w:val="center"/>
              <w:rPr>
                <w:b/>
                <w:color w:val="000000"/>
                <w:sz w:val="20"/>
                <w:szCs w:val="20"/>
              </w:rPr>
            </w:pPr>
            <w:r>
              <w:rPr>
                <w:b/>
                <w:color w:val="000000"/>
                <w:sz w:val="20"/>
                <w:szCs w:val="20"/>
              </w:rPr>
              <w:t xml:space="preserve">3. </w:t>
            </w:r>
            <w:r>
              <w:rPr>
                <w:b/>
                <w:color w:val="000000"/>
                <w:sz w:val="20"/>
                <w:szCs w:val="20"/>
              </w:rPr>
              <w:t>Person-centred care</w:t>
            </w:r>
          </w:p>
        </w:tc>
        <w:tc>
          <w:tcPr>
            <w:tcW w:w="867" w:type="dxa"/>
            <w:tcBorders>
              <w:top w:val="single" w:sz="4" w:space="0" w:color="000000"/>
              <w:left w:val="single" w:sz="4" w:space="0" w:color="000000"/>
              <w:bottom w:val="single" w:sz="4" w:space="0" w:color="000000"/>
              <w:right w:val="single" w:sz="4" w:space="0" w:color="000000"/>
            </w:tcBorders>
            <w:vAlign w:val="center"/>
          </w:tcPr>
          <w:p w14:paraId="2E993601" w14:textId="77777777" w:rsidR="0005042F" w:rsidRDefault="007D1A26">
            <w:pPr>
              <w:jc w:val="center"/>
              <w:rPr>
                <w:b/>
                <w:color w:val="000000"/>
                <w:sz w:val="20"/>
                <w:szCs w:val="20"/>
              </w:rPr>
            </w:pPr>
            <w:r>
              <w:rPr>
                <w:b/>
                <w:color w:val="000000"/>
                <w:sz w:val="20"/>
                <w:szCs w:val="20"/>
              </w:rPr>
              <w:t>4. Co-ordinated approach</w:t>
            </w:r>
          </w:p>
        </w:tc>
        <w:tc>
          <w:tcPr>
            <w:tcW w:w="867" w:type="dxa"/>
            <w:tcBorders>
              <w:top w:val="single" w:sz="4" w:space="0" w:color="000000"/>
              <w:left w:val="single" w:sz="4" w:space="0" w:color="000000"/>
              <w:bottom w:val="single" w:sz="4" w:space="0" w:color="000000"/>
              <w:right w:val="single" w:sz="4" w:space="0" w:color="000000"/>
            </w:tcBorders>
            <w:vAlign w:val="center"/>
          </w:tcPr>
          <w:p w14:paraId="46B988C6" w14:textId="77777777" w:rsidR="0005042F" w:rsidRDefault="007D1A26">
            <w:pPr>
              <w:jc w:val="center"/>
              <w:rPr>
                <w:b/>
                <w:color w:val="000000"/>
                <w:sz w:val="20"/>
                <w:szCs w:val="20"/>
              </w:rPr>
            </w:pPr>
            <w:r>
              <w:rPr>
                <w:b/>
                <w:color w:val="000000"/>
                <w:sz w:val="20"/>
                <w:szCs w:val="20"/>
              </w:rPr>
              <w:t>5. Continuity</w:t>
            </w:r>
          </w:p>
        </w:tc>
        <w:tc>
          <w:tcPr>
            <w:tcW w:w="867" w:type="dxa"/>
            <w:tcBorders>
              <w:top w:val="single" w:sz="4" w:space="0" w:color="000000"/>
              <w:left w:val="single" w:sz="4" w:space="0" w:color="000000"/>
              <w:bottom w:val="single" w:sz="4" w:space="0" w:color="000000"/>
              <w:right w:val="single" w:sz="4" w:space="0" w:color="000000"/>
            </w:tcBorders>
            <w:vAlign w:val="center"/>
          </w:tcPr>
          <w:p w14:paraId="56C0E78C" w14:textId="77777777" w:rsidR="0005042F" w:rsidRDefault="007D1A26">
            <w:pPr>
              <w:jc w:val="center"/>
              <w:rPr>
                <w:b/>
                <w:color w:val="000000"/>
                <w:sz w:val="20"/>
                <w:szCs w:val="20"/>
              </w:rPr>
            </w:pPr>
            <w:r>
              <w:rPr>
                <w:b/>
                <w:color w:val="000000"/>
                <w:sz w:val="20"/>
                <w:szCs w:val="20"/>
              </w:rPr>
              <w:t>6. Communication</w:t>
            </w:r>
          </w:p>
        </w:tc>
        <w:tc>
          <w:tcPr>
            <w:tcW w:w="833" w:type="dxa"/>
            <w:tcBorders>
              <w:top w:val="single" w:sz="4" w:space="0" w:color="000000"/>
              <w:left w:val="single" w:sz="4" w:space="0" w:color="000000"/>
              <w:bottom w:val="single" w:sz="4" w:space="0" w:color="000000"/>
              <w:right w:val="single" w:sz="4" w:space="0" w:color="000000"/>
            </w:tcBorders>
            <w:vAlign w:val="center"/>
          </w:tcPr>
          <w:p w14:paraId="417FDAF9" w14:textId="77777777" w:rsidR="0005042F" w:rsidRDefault="007D1A26">
            <w:pPr>
              <w:jc w:val="center"/>
              <w:rPr>
                <w:b/>
                <w:color w:val="000000"/>
                <w:sz w:val="20"/>
                <w:szCs w:val="20"/>
              </w:rPr>
            </w:pPr>
            <w:r>
              <w:rPr>
                <w:b/>
                <w:color w:val="000000"/>
                <w:sz w:val="20"/>
                <w:szCs w:val="20"/>
              </w:rPr>
              <w:t>7. Treated as a person</w:t>
            </w:r>
          </w:p>
        </w:tc>
        <w:tc>
          <w:tcPr>
            <w:tcW w:w="833" w:type="dxa"/>
            <w:tcBorders>
              <w:top w:val="single" w:sz="4" w:space="0" w:color="000000"/>
              <w:left w:val="single" w:sz="4" w:space="0" w:color="000000"/>
              <w:bottom w:val="single" w:sz="4" w:space="0" w:color="000000"/>
              <w:right w:val="single" w:sz="4" w:space="0" w:color="000000"/>
            </w:tcBorders>
            <w:vAlign w:val="center"/>
          </w:tcPr>
          <w:p w14:paraId="6100589F" w14:textId="77777777" w:rsidR="0005042F" w:rsidRDefault="007D1A26">
            <w:pPr>
              <w:jc w:val="center"/>
              <w:rPr>
                <w:b/>
                <w:color w:val="000000"/>
                <w:sz w:val="20"/>
                <w:szCs w:val="20"/>
              </w:rPr>
            </w:pPr>
            <w:r>
              <w:rPr>
                <w:b/>
                <w:color w:val="000000"/>
                <w:sz w:val="20"/>
                <w:szCs w:val="20"/>
              </w:rPr>
              <w:t>8. Recovery focus</w:t>
            </w:r>
          </w:p>
        </w:tc>
        <w:tc>
          <w:tcPr>
            <w:tcW w:w="833" w:type="dxa"/>
            <w:tcBorders>
              <w:top w:val="single" w:sz="4" w:space="0" w:color="000000"/>
              <w:left w:val="single" w:sz="4" w:space="0" w:color="000000"/>
              <w:bottom w:val="single" w:sz="4" w:space="0" w:color="000000"/>
              <w:right w:val="single" w:sz="4" w:space="0" w:color="000000"/>
            </w:tcBorders>
            <w:vAlign w:val="center"/>
          </w:tcPr>
          <w:p w14:paraId="6554C79E" w14:textId="77777777" w:rsidR="0005042F" w:rsidRDefault="007D1A26">
            <w:pPr>
              <w:jc w:val="center"/>
              <w:rPr>
                <w:b/>
                <w:color w:val="000000"/>
                <w:sz w:val="20"/>
                <w:szCs w:val="20"/>
              </w:rPr>
            </w:pPr>
            <w:r>
              <w:rPr>
                <w:b/>
                <w:color w:val="000000"/>
                <w:sz w:val="20"/>
                <w:szCs w:val="20"/>
              </w:rPr>
              <w:t>9. Appropriate discharge</w:t>
            </w:r>
          </w:p>
        </w:tc>
        <w:tc>
          <w:tcPr>
            <w:tcW w:w="833" w:type="dxa"/>
            <w:tcBorders>
              <w:top w:val="single" w:sz="4" w:space="0" w:color="000000"/>
              <w:left w:val="single" w:sz="4" w:space="0" w:color="000000"/>
              <w:bottom w:val="single" w:sz="4" w:space="0" w:color="000000"/>
              <w:right w:val="nil"/>
            </w:tcBorders>
            <w:vAlign w:val="center"/>
          </w:tcPr>
          <w:p w14:paraId="007ADBE8" w14:textId="77777777" w:rsidR="0005042F" w:rsidRDefault="007D1A26">
            <w:pPr>
              <w:jc w:val="center"/>
              <w:rPr>
                <w:b/>
                <w:color w:val="000000"/>
                <w:sz w:val="20"/>
                <w:szCs w:val="20"/>
              </w:rPr>
            </w:pPr>
            <w:r>
              <w:rPr>
                <w:b/>
                <w:color w:val="000000"/>
                <w:sz w:val="20"/>
                <w:szCs w:val="20"/>
              </w:rPr>
              <w:t>10. Effectiveness</w:t>
            </w:r>
          </w:p>
          <w:p w14:paraId="04530F27" w14:textId="77777777" w:rsidR="0005042F" w:rsidRDefault="007D1A26">
            <w:pPr>
              <w:jc w:val="center"/>
              <w:rPr>
                <w:b/>
                <w:color w:val="000000"/>
                <w:sz w:val="20"/>
                <w:szCs w:val="20"/>
              </w:rPr>
            </w:pPr>
            <w:r>
              <w:rPr>
                <w:b/>
                <w:color w:val="000000"/>
                <w:sz w:val="20"/>
                <w:szCs w:val="20"/>
              </w:rPr>
              <w:t>(</w:t>
            </w:r>
            <w:proofErr w:type="spellStart"/>
            <w:r>
              <w:rPr>
                <w:b/>
                <w:color w:val="000000"/>
                <w:sz w:val="20"/>
                <w:szCs w:val="20"/>
              </w:rPr>
              <w:t>ReQoL</w:t>
            </w:r>
            <w:proofErr w:type="spellEnd"/>
            <w:r>
              <w:rPr>
                <w:b/>
                <w:color w:val="000000"/>
                <w:sz w:val="20"/>
                <w:szCs w:val="20"/>
              </w:rPr>
              <w:t xml:space="preserve"> gain)</w:t>
            </w:r>
          </w:p>
        </w:tc>
      </w:tr>
      <w:tr w:rsidR="0005042F" w14:paraId="10FA971F" w14:textId="77777777">
        <w:trPr>
          <w:trHeight w:val="276"/>
        </w:trPr>
        <w:tc>
          <w:tcPr>
            <w:tcW w:w="563" w:type="dxa"/>
            <w:tcBorders>
              <w:top w:val="single" w:sz="4" w:space="0" w:color="000000"/>
              <w:left w:val="nil"/>
              <w:bottom w:val="single" w:sz="4" w:space="0" w:color="000000"/>
              <w:right w:val="single" w:sz="4" w:space="0" w:color="000000"/>
            </w:tcBorders>
          </w:tcPr>
          <w:p w14:paraId="1A8E7473" w14:textId="77777777" w:rsidR="0005042F" w:rsidRDefault="007D1A26">
            <w:pPr>
              <w:jc w:val="right"/>
              <w:rPr>
                <w:b/>
                <w:color w:val="000000"/>
                <w:sz w:val="20"/>
                <w:szCs w:val="20"/>
              </w:rPr>
            </w:pPr>
            <w:r>
              <w:rPr>
                <w:b/>
                <w:color w:val="000000"/>
                <w:sz w:val="20"/>
                <w:szCs w:val="20"/>
              </w:rPr>
              <w:t>2</w:t>
            </w:r>
          </w:p>
        </w:tc>
        <w:tc>
          <w:tcPr>
            <w:tcW w:w="832" w:type="dxa"/>
            <w:tcBorders>
              <w:top w:val="single" w:sz="4" w:space="0" w:color="000000"/>
              <w:left w:val="single" w:sz="4" w:space="0" w:color="000000"/>
              <w:bottom w:val="single" w:sz="4" w:space="0" w:color="000000"/>
              <w:right w:val="single" w:sz="4" w:space="0" w:color="000000"/>
            </w:tcBorders>
            <w:vAlign w:val="center"/>
          </w:tcPr>
          <w:p w14:paraId="66161241" w14:textId="77777777" w:rsidR="0005042F" w:rsidRDefault="007D1A26">
            <w:pPr>
              <w:jc w:val="center"/>
              <w:rPr>
                <w:color w:val="000000"/>
                <w:sz w:val="20"/>
                <w:szCs w:val="20"/>
              </w:rPr>
            </w:pPr>
            <w:r>
              <w:rPr>
                <w:color w:val="000000"/>
                <w:sz w:val="20"/>
                <w:szCs w:val="20"/>
              </w:rPr>
              <w:t>0.108</w:t>
            </w:r>
          </w:p>
        </w:tc>
        <w:tc>
          <w:tcPr>
            <w:tcW w:w="832" w:type="dxa"/>
            <w:tcBorders>
              <w:top w:val="single" w:sz="4" w:space="0" w:color="000000"/>
              <w:left w:val="single" w:sz="4" w:space="0" w:color="000000"/>
              <w:bottom w:val="single" w:sz="4" w:space="0" w:color="000000"/>
              <w:right w:val="single" w:sz="4" w:space="0" w:color="000000"/>
            </w:tcBorders>
            <w:vAlign w:val="center"/>
          </w:tcPr>
          <w:p w14:paraId="77C73D83" w14:textId="77777777" w:rsidR="0005042F" w:rsidRDefault="007D1A26">
            <w:pPr>
              <w:jc w:val="center"/>
              <w:rPr>
                <w:color w:val="000000"/>
                <w:sz w:val="20"/>
                <w:szCs w:val="20"/>
              </w:rPr>
            </w:pPr>
            <w:r>
              <w:rPr>
                <w:color w:val="000000"/>
                <w:sz w:val="20"/>
                <w:szCs w:val="20"/>
              </w:rPr>
              <w:t>1</w:t>
            </w:r>
          </w:p>
        </w:tc>
        <w:tc>
          <w:tcPr>
            <w:tcW w:w="867" w:type="dxa"/>
            <w:tcBorders>
              <w:top w:val="single" w:sz="4" w:space="0" w:color="000000"/>
              <w:left w:val="single" w:sz="4" w:space="0" w:color="000000"/>
              <w:bottom w:val="single" w:sz="4" w:space="0" w:color="000000"/>
              <w:right w:val="single" w:sz="4" w:space="0" w:color="000000"/>
            </w:tcBorders>
            <w:vAlign w:val="center"/>
          </w:tcPr>
          <w:p w14:paraId="318FB058" w14:textId="77777777" w:rsidR="0005042F" w:rsidRDefault="0005042F">
            <w:pPr>
              <w:jc w:val="center"/>
              <w:rPr>
                <w:color w:val="000000"/>
                <w:sz w:val="20"/>
                <w:szCs w:val="20"/>
              </w:rPr>
            </w:pPr>
          </w:p>
        </w:tc>
        <w:tc>
          <w:tcPr>
            <w:tcW w:w="867" w:type="dxa"/>
            <w:tcBorders>
              <w:top w:val="single" w:sz="4" w:space="0" w:color="000000"/>
              <w:left w:val="single" w:sz="4" w:space="0" w:color="000000"/>
              <w:bottom w:val="single" w:sz="4" w:space="0" w:color="000000"/>
              <w:right w:val="single" w:sz="4" w:space="0" w:color="000000"/>
            </w:tcBorders>
            <w:vAlign w:val="center"/>
          </w:tcPr>
          <w:p w14:paraId="706CED38" w14:textId="77777777" w:rsidR="0005042F" w:rsidRDefault="0005042F">
            <w:pPr>
              <w:jc w:val="center"/>
              <w:rPr>
                <w:color w:val="000000"/>
                <w:sz w:val="20"/>
                <w:szCs w:val="20"/>
              </w:rPr>
            </w:pPr>
          </w:p>
        </w:tc>
        <w:tc>
          <w:tcPr>
            <w:tcW w:w="867" w:type="dxa"/>
            <w:tcBorders>
              <w:top w:val="single" w:sz="4" w:space="0" w:color="000000"/>
              <w:left w:val="single" w:sz="4" w:space="0" w:color="000000"/>
              <w:bottom w:val="single" w:sz="4" w:space="0" w:color="000000"/>
              <w:right w:val="single" w:sz="4" w:space="0" w:color="000000"/>
            </w:tcBorders>
            <w:vAlign w:val="center"/>
          </w:tcPr>
          <w:p w14:paraId="1DD5619A" w14:textId="77777777" w:rsidR="0005042F" w:rsidRDefault="0005042F">
            <w:pPr>
              <w:jc w:val="center"/>
              <w:rPr>
                <w:color w:val="000000"/>
                <w:sz w:val="20"/>
                <w:szCs w:val="20"/>
              </w:rPr>
            </w:pPr>
          </w:p>
        </w:tc>
        <w:tc>
          <w:tcPr>
            <w:tcW w:w="867" w:type="dxa"/>
            <w:tcBorders>
              <w:top w:val="single" w:sz="4" w:space="0" w:color="000000"/>
              <w:left w:val="single" w:sz="4" w:space="0" w:color="000000"/>
              <w:bottom w:val="single" w:sz="4" w:space="0" w:color="000000"/>
              <w:right w:val="single" w:sz="4" w:space="0" w:color="000000"/>
            </w:tcBorders>
            <w:vAlign w:val="center"/>
          </w:tcPr>
          <w:p w14:paraId="1E0E05EC" w14:textId="77777777" w:rsidR="0005042F" w:rsidRDefault="0005042F">
            <w:pPr>
              <w:jc w:val="center"/>
              <w:rPr>
                <w:color w:val="000000"/>
                <w:sz w:val="20"/>
                <w:szCs w:val="20"/>
              </w:rPr>
            </w:pPr>
          </w:p>
        </w:tc>
        <w:tc>
          <w:tcPr>
            <w:tcW w:w="833" w:type="dxa"/>
            <w:tcBorders>
              <w:top w:val="single" w:sz="4" w:space="0" w:color="000000"/>
              <w:left w:val="single" w:sz="4" w:space="0" w:color="000000"/>
              <w:bottom w:val="single" w:sz="4" w:space="0" w:color="000000"/>
              <w:right w:val="single" w:sz="4" w:space="0" w:color="000000"/>
            </w:tcBorders>
            <w:vAlign w:val="center"/>
          </w:tcPr>
          <w:p w14:paraId="1B05F253" w14:textId="77777777" w:rsidR="0005042F" w:rsidRDefault="0005042F">
            <w:pPr>
              <w:jc w:val="center"/>
              <w:rPr>
                <w:color w:val="000000"/>
                <w:sz w:val="20"/>
                <w:szCs w:val="20"/>
              </w:rPr>
            </w:pPr>
          </w:p>
        </w:tc>
        <w:tc>
          <w:tcPr>
            <w:tcW w:w="833" w:type="dxa"/>
            <w:tcBorders>
              <w:top w:val="single" w:sz="4" w:space="0" w:color="000000"/>
              <w:left w:val="single" w:sz="4" w:space="0" w:color="000000"/>
              <w:bottom w:val="single" w:sz="4" w:space="0" w:color="000000"/>
              <w:right w:val="single" w:sz="4" w:space="0" w:color="000000"/>
            </w:tcBorders>
            <w:vAlign w:val="center"/>
          </w:tcPr>
          <w:p w14:paraId="4E2E077C" w14:textId="77777777" w:rsidR="0005042F" w:rsidRDefault="0005042F">
            <w:pPr>
              <w:jc w:val="center"/>
              <w:rPr>
                <w:color w:val="000000"/>
                <w:sz w:val="20"/>
                <w:szCs w:val="20"/>
              </w:rPr>
            </w:pPr>
          </w:p>
        </w:tc>
        <w:tc>
          <w:tcPr>
            <w:tcW w:w="833" w:type="dxa"/>
            <w:tcBorders>
              <w:top w:val="single" w:sz="4" w:space="0" w:color="000000"/>
              <w:left w:val="single" w:sz="4" w:space="0" w:color="000000"/>
              <w:bottom w:val="single" w:sz="4" w:space="0" w:color="000000"/>
              <w:right w:val="single" w:sz="4" w:space="0" w:color="000000"/>
            </w:tcBorders>
            <w:vAlign w:val="center"/>
          </w:tcPr>
          <w:p w14:paraId="56E1F5C4" w14:textId="77777777" w:rsidR="0005042F" w:rsidRDefault="0005042F">
            <w:pPr>
              <w:jc w:val="center"/>
              <w:rPr>
                <w:color w:val="000000"/>
                <w:sz w:val="20"/>
                <w:szCs w:val="20"/>
              </w:rPr>
            </w:pPr>
          </w:p>
        </w:tc>
        <w:tc>
          <w:tcPr>
            <w:tcW w:w="833" w:type="dxa"/>
            <w:tcBorders>
              <w:top w:val="single" w:sz="4" w:space="0" w:color="000000"/>
              <w:left w:val="single" w:sz="4" w:space="0" w:color="000000"/>
              <w:bottom w:val="single" w:sz="4" w:space="0" w:color="000000"/>
              <w:right w:val="nil"/>
            </w:tcBorders>
            <w:vAlign w:val="center"/>
          </w:tcPr>
          <w:p w14:paraId="359E3240" w14:textId="77777777" w:rsidR="0005042F" w:rsidRDefault="0005042F">
            <w:pPr>
              <w:jc w:val="center"/>
              <w:rPr>
                <w:color w:val="000000"/>
                <w:sz w:val="20"/>
                <w:szCs w:val="20"/>
              </w:rPr>
            </w:pPr>
          </w:p>
        </w:tc>
      </w:tr>
      <w:tr w:rsidR="0005042F" w14:paraId="7D9410AE" w14:textId="77777777">
        <w:trPr>
          <w:trHeight w:val="276"/>
        </w:trPr>
        <w:tc>
          <w:tcPr>
            <w:tcW w:w="563" w:type="dxa"/>
            <w:tcBorders>
              <w:top w:val="single" w:sz="4" w:space="0" w:color="000000"/>
              <w:left w:val="nil"/>
              <w:bottom w:val="single" w:sz="4" w:space="0" w:color="000000"/>
              <w:right w:val="single" w:sz="4" w:space="0" w:color="000000"/>
            </w:tcBorders>
          </w:tcPr>
          <w:p w14:paraId="788439E1" w14:textId="77777777" w:rsidR="0005042F" w:rsidRDefault="007D1A26">
            <w:pPr>
              <w:jc w:val="right"/>
              <w:rPr>
                <w:b/>
                <w:color w:val="000000"/>
                <w:sz w:val="20"/>
                <w:szCs w:val="20"/>
              </w:rPr>
            </w:pPr>
            <w:r>
              <w:rPr>
                <w:b/>
                <w:color w:val="000000"/>
                <w:sz w:val="20"/>
                <w:szCs w:val="20"/>
              </w:rPr>
              <w:t>3</w:t>
            </w:r>
          </w:p>
        </w:tc>
        <w:tc>
          <w:tcPr>
            <w:tcW w:w="832" w:type="dxa"/>
            <w:tcBorders>
              <w:top w:val="single" w:sz="4" w:space="0" w:color="000000"/>
              <w:left w:val="single" w:sz="4" w:space="0" w:color="000000"/>
              <w:bottom w:val="single" w:sz="4" w:space="0" w:color="000000"/>
              <w:right w:val="single" w:sz="4" w:space="0" w:color="000000"/>
            </w:tcBorders>
            <w:vAlign w:val="center"/>
          </w:tcPr>
          <w:p w14:paraId="03AD60BB" w14:textId="77777777" w:rsidR="0005042F" w:rsidRDefault="007D1A26">
            <w:pPr>
              <w:jc w:val="center"/>
              <w:rPr>
                <w:color w:val="000000"/>
                <w:sz w:val="20"/>
                <w:szCs w:val="20"/>
              </w:rPr>
            </w:pPr>
            <w:r>
              <w:rPr>
                <w:color w:val="000000"/>
                <w:sz w:val="20"/>
                <w:szCs w:val="20"/>
              </w:rPr>
              <w:t>0.142</w:t>
            </w:r>
          </w:p>
        </w:tc>
        <w:tc>
          <w:tcPr>
            <w:tcW w:w="832" w:type="dxa"/>
            <w:tcBorders>
              <w:top w:val="single" w:sz="4" w:space="0" w:color="000000"/>
              <w:left w:val="single" w:sz="4" w:space="0" w:color="000000"/>
              <w:bottom w:val="single" w:sz="4" w:space="0" w:color="000000"/>
              <w:right w:val="single" w:sz="4" w:space="0" w:color="000000"/>
            </w:tcBorders>
            <w:vAlign w:val="center"/>
          </w:tcPr>
          <w:p w14:paraId="2D64A04E" w14:textId="77777777" w:rsidR="0005042F" w:rsidRDefault="007D1A26">
            <w:pPr>
              <w:jc w:val="center"/>
              <w:rPr>
                <w:color w:val="000000"/>
                <w:sz w:val="20"/>
                <w:szCs w:val="20"/>
              </w:rPr>
            </w:pPr>
            <w:r>
              <w:rPr>
                <w:sz w:val="20"/>
                <w:szCs w:val="20"/>
              </w:rPr>
              <w:t>0.079</w:t>
            </w:r>
          </w:p>
        </w:tc>
        <w:tc>
          <w:tcPr>
            <w:tcW w:w="867" w:type="dxa"/>
            <w:tcBorders>
              <w:top w:val="single" w:sz="4" w:space="0" w:color="000000"/>
              <w:left w:val="single" w:sz="4" w:space="0" w:color="000000"/>
              <w:bottom w:val="single" w:sz="4" w:space="0" w:color="000000"/>
              <w:right w:val="single" w:sz="4" w:space="0" w:color="000000"/>
            </w:tcBorders>
            <w:vAlign w:val="center"/>
          </w:tcPr>
          <w:p w14:paraId="086696EC" w14:textId="77777777" w:rsidR="0005042F" w:rsidRDefault="007D1A26">
            <w:pPr>
              <w:jc w:val="center"/>
              <w:rPr>
                <w:color w:val="000000"/>
                <w:sz w:val="20"/>
                <w:szCs w:val="20"/>
              </w:rPr>
            </w:pPr>
            <w:r>
              <w:rPr>
                <w:color w:val="000000"/>
                <w:sz w:val="20"/>
                <w:szCs w:val="20"/>
              </w:rPr>
              <w:t>1</w:t>
            </w:r>
          </w:p>
        </w:tc>
        <w:tc>
          <w:tcPr>
            <w:tcW w:w="867" w:type="dxa"/>
            <w:tcBorders>
              <w:top w:val="single" w:sz="4" w:space="0" w:color="000000"/>
              <w:left w:val="single" w:sz="4" w:space="0" w:color="000000"/>
              <w:bottom w:val="single" w:sz="4" w:space="0" w:color="000000"/>
              <w:right w:val="single" w:sz="4" w:space="0" w:color="000000"/>
            </w:tcBorders>
            <w:vAlign w:val="center"/>
          </w:tcPr>
          <w:p w14:paraId="62B89341" w14:textId="77777777" w:rsidR="0005042F" w:rsidRDefault="0005042F">
            <w:pPr>
              <w:jc w:val="center"/>
              <w:rPr>
                <w:color w:val="000000"/>
                <w:sz w:val="20"/>
                <w:szCs w:val="20"/>
              </w:rPr>
            </w:pPr>
          </w:p>
        </w:tc>
        <w:tc>
          <w:tcPr>
            <w:tcW w:w="867" w:type="dxa"/>
            <w:tcBorders>
              <w:top w:val="single" w:sz="4" w:space="0" w:color="000000"/>
              <w:left w:val="single" w:sz="4" w:space="0" w:color="000000"/>
              <w:bottom w:val="single" w:sz="4" w:space="0" w:color="000000"/>
              <w:right w:val="single" w:sz="4" w:space="0" w:color="000000"/>
            </w:tcBorders>
            <w:vAlign w:val="center"/>
          </w:tcPr>
          <w:p w14:paraId="5DF6154E" w14:textId="77777777" w:rsidR="0005042F" w:rsidRDefault="0005042F">
            <w:pPr>
              <w:jc w:val="center"/>
              <w:rPr>
                <w:color w:val="000000"/>
                <w:sz w:val="20"/>
                <w:szCs w:val="20"/>
              </w:rPr>
            </w:pPr>
          </w:p>
        </w:tc>
        <w:tc>
          <w:tcPr>
            <w:tcW w:w="867" w:type="dxa"/>
            <w:tcBorders>
              <w:top w:val="single" w:sz="4" w:space="0" w:color="000000"/>
              <w:left w:val="single" w:sz="4" w:space="0" w:color="000000"/>
              <w:bottom w:val="single" w:sz="4" w:space="0" w:color="000000"/>
              <w:right w:val="single" w:sz="4" w:space="0" w:color="000000"/>
            </w:tcBorders>
            <w:vAlign w:val="center"/>
          </w:tcPr>
          <w:p w14:paraId="449C325E" w14:textId="77777777" w:rsidR="0005042F" w:rsidRDefault="0005042F">
            <w:pPr>
              <w:jc w:val="center"/>
              <w:rPr>
                <w:color w:val="000000"/>
                <w:sz w:val="20"/>
                <w:szCs w:val="20"/>
              </w:rPr>
            </w:pPr>
          </w:p>
        </w:tc>
        <w:tc>
          <w:tcPr>
            <w:tcW w:w="833" w:type="dxa"/>
            <w:tcBorders>
              <w:top w:val="single" w:sz="4" w:space="0" w:color="000000"/>
              <w:left w:val="single" w:sz="4" w:space="0" w:color="000000"/>
              <w:bottom w:val="single" w:sz="4" w:space="0" w:color="000000"/>
              <w:right w:val="single" w:sz="4" w:space="0" w:color="000000"/>
            </w:tcBorders>
            <w:vAlign w:val="center"/>
          </w:tcPr>
          <w:p w14:paraId="3745229B" w14:textId="77777777" w:rsidR="0005042F" w:rsidRDefault="0005042F">
            <w:pPr>
              <w:jc w:val="center"/>
              <w:rPr>
                <w:color w:val="000000"/>
                <w:sz w:val="20"/>
                <w:szCs w:val="20"/>
              </w:rPr>
            </w:pPr>
          </w:p>
        </w:tc>
        <w:tc>
          <w:tcPr>
            <w:tcW w:w="833" w:type="dxa"/>
            <w:tcBorders>
              <w:top w:val="single" w:sz="4" w:space="0" w:color="000000"/>
              <w:left w:val="single" w:sz="4" w:space="0" w:color="000000"/>
              <w:bottom w:val="single" w:sz="4" w:space="0" w:color="000000"/>
              <w:right w:val="single" w:sz="4" w:space="0" w:color="000000"/>
            </w:tcBorders>
            <w:vAlign w:val="center"/>
          </w:tcPr>
          <w:p w14:paraId="724D61B5" w14:textId="77777777" w:rsidR="0005042F" w:rsidRDefault="0005042F">
            <w:pPr>
              <w:jc w:val="center"/>
              <w:rPr>
                <w:color w:val="000000"/>
                <w:sz w:val="20"/>
                <w:szCs w:val="20"/>
              </w:rPr>
            </w:pPr>
          </w:p>
        </w:tc>
        <w:tc>
          <w:tcPr>
            <w:tcW w:w="833" w:type="dxa"/>
            <w:tcBorders>
              <w:top w:val="single" w:sz="4" w:space="0" w:color="000000"/>
              <w:left w:val="single" w:sz="4" w:space="0" w:color="000000"/>
              <w:bottom w:val="single" w:sz="4" w:space="0" w:color="000000"/>
              <w:right w:val="single" w:sz="4" w:space="0" w:color="000000"/>
            </w:tcBorders>
            <w:vAlign w:val="center"/>
          </w:tcPr>
          <w:p w14:paraId="1DAA4EF2" w14:textId="77777777" w:rsidR="0005042F" w:rsidRDefault="0005042F">
            <w:pPr>
              <w:jc w:val="center"/>
              <w:rPr>
                <w:color w:val="000000"/>
                <w:sz w:val="20"/>
                <w:szCs w:val="20"/>
              </w:rPr>
            </w:pPr>
          </w:p>
        </w:tc>
        <w:tc>
          <w:tcPr>
            <w:tcW w:w="833" w:type="dxa"/>
            <w:tcBorders>
              <w:top w:val="single" w:sz="4" w:space="0" w:color="000000"/>
              <w:left w:val="single" w:sz="4" w:space="0" w:color="000000"/>
              <w:bottom w:val="single" w:sz="4" w:space="0" w:color="000000"/>
              <w:right w:val="nil"/>
            </w:tcBorders>
            <w:vAlign w:val="center"/>
          </w:tcPr>
          <w:p w14:paraId="29A36CDD" w14:textId="77777777" w:rsidR="0005042F" w:rsidRDefault="0005042F">
            <w:pPr>
              <w:jc w:val="center"/>
              <w:rPr>
                <w:color w:val="000000"/>
                <w:sz w:val="20"/>
                <w:szCs w:val="20"/>
              </w:rPr>
            </w:pPr>
          </w:p>
        </w:tc>
      </w:tr>
      <w:tr w:rsidR="0005042F" w14:paraId="4CF3E88D" w14:textId="77777777">
        <w:trPr>
          <w:trHeight w:val="276"/>
        </w:trPr>
        <w:tc>
          <w:tcPr>
            <w:tcW w:w="563" w:type="dxa"/>
            <w:tcBorders>
              <w:top w:val="single" w:sz="4" w:space="0" w:color="000000"/>
              <w:left w:val="nil"/>
              <w:bottom w:val="single" w:sz="4" w:space="0" w:color="000000"/>
              <w:right w:val="single" w:sz="4" w:space="0" w:color="000000"/>
            </w:tcBorders>
          </w:tcPr>
          <w:p w14:paraId="3450DE78" w14:textId="77777777" w:rsidR="0005042F" w:rsidRDefault="007D1A26">
            <w:pPr>
              <w:jc w:val="right"/>
              <w:rPr>
                <w:b/>
                <w:color w:val="000000"/>
                <w:sz w:val="20"/>
                <w:szCs w:val="20"/>
              </w:rPr>
            </w:pPr>
            <w:r>
              <w:rPr>
                <w:b/>
                <w:color w:val="000000"/>
                <w:sz w:val="20"/>
                <w:szCs w:val="20"/>
              </w:rPr>
              <w:t>4</w:t>
            </w:r>
          </w:p>
        </w:tc>
        <w:tc>
          <w:tcPr>
            <w:tcW w:w="832" w:type="dxa"/>
            <w:tcBorders>
              <w:top w:val="single" w:sz="4" w:space="0" w:color="000000"/>
              <w:left w:val="single" w:sz="4" w:space="0" w:color="000000"/>
              <w:bottom w:val="single" w:sz="4" w:space="0" w:color="000000"/>
              <w:right w:val="single" w:sz="4" w:space="0" w:color="000000"/>
            </w:tcBorders>
            <w:vAlign w:val="center"/>
          </w:tcPr>
          <w:p w14:paraId="1D7373CB" w14:textId="77777777" w:rsidR="0005042F" w:rsidRDefault="007D1A26">
            <w:pPr>
              <w:jc w:val="center"/>
              <w:rPr>
                <w:b/>
                <w:color w:val="000000"/>
                <w:sz w:val="20"/>
                <w:szCs w:val="20"/>
              </w:rPr>
            </w:pPr>
            <w:r>
              <w:rPr>
                <w:color w:val="000000"/>
                <w:sz w:val="20"/>
                <w:szCs w:val="20"/>
              </w:rPr>
              <w:t>0.193</w:t>
            </w:r>
          </w:p>
        </w:tc>
        <w:tc>
          <w:tcPr>
            <w:tcW w:w="832" w:type="dxa"/>
            <w:tcBorders>
              <w:top w:val="single" w:sz="4" w:space="0" w:color="000000"/>
              <w:left w:val="single" w:sz="4" w:space="0" w:color="000000"/>
              <w:bottom w:val="single" w:sz="4" w:space="0" w:color="000000"/>
              <w:right w:val="single" w:sz="4" w:space="0" w:color="000000"/>
            </w:tcBorders>
            <w:vAlign w:val="center"/>
          </w:tcPr>
          <w:p w14:paraId="712DF02F" w14:textId="77777777" w:rsidR="0005042F" w:rsidRDefault="007D1A26">
            <w:pPr>
              <w:jc w:val="center"/>
              <w:rPr>
                <w:color w:val="000000"/>
                <w:sz w:val="20"/>
                <w:szCs w:val="20"/>
              </w:rPr>
            </w:pPr>
            <w:r>
              <w:rPr>
                <w:sz w:val="20"/>
                <w:szCs w:val="20"/>
              </w:rPr>
              <w:t>0.093</w:t>
            </w:r>
          </w:p>
        </w:tc>
        <w:tc>
          <w:tcPr>
            <w:tcW w:w="867" w:type="dxa"/>
            <w:tcBorders>
              <w:top w:val="single" w:sz="4" w:space="0" w:color="000000"/>
              <w:left w:val="single" w:sz="4" w:space="0" w:color="000000"/>
              <w:bottom w:val="single" w:sz="4" w:space="0" w:color="000000"/>
              <w:right w:val="single" w:sz="4" w:space="0" w:color="000000"/>
            </w:tcBorders>
            <w:vAlign w:val="center"/>
          </w:tcPr>
          <w:p w14:paraId="0A64392F" w14:textId="77777777" w:rsidR="0005042F" w:rsidRDefault="007D1A26">
            <w:pPr>
              <w:jc w:val="center"/>
              <w:rPr>
                <w:b/>
                <w:color w:val="000000"/>
                <w:sz w:val="20"/>
                <w:szCs w:val="20"/>
              </w:rPr>
            </w:pPr>
            <w:r>
              <w:rPr>
                <w:color w:val="000000"/>
                <w:sz w:val="20"/>
                <w:szCs w:val="20"/>
              </w:rPr>
              <w:t>0.636***</w:t>
            </w:r>
          </w:p>
        </w:tc>
        <w:tc>
          <w:tcPr>
            <w:tcW w:w="867" w:type="dxa"/>
            <w:tcBorders>
              <w:top w:val="single" w:sz="4" w:space="0" w:color="000000"/>
              <w:left w:val="single" w:sz="4" w:space="0" w:color="000000"/>
              <w:bottom w:val="single" w:sz="4" w:space="0" w:color="000000"/>
              <w:right w:val="single" w:sz="4" w:space="0" w:color="000000"/>
            </w:tcBorders>
            <w:vAlign w:val="center"/>
          </w:tcPr>
          <w:p w14:paraId="41F26829" w14:textId="77777777" w:rsidR="0005042F" w:rsidRDefault="007D1A26">
            <w:pPr>
              <w:jc w:val="center"/>
              <w:rPr>
                <w:color w:val="000000"/>
                <w:sz w:val="20"/>
                <w:szCs w:val="20"/>
              </w:rPr>
            </w:pPr>
            <w:r>
              <w:rPr>
                <w:color w:val="000000"/>
                <w:sz w:val="20"/>
                <w:szCs w:val="20"/>
              </w:rPr>
              <w:t>1</w:t>
            </w:r>
          </w:p>
        </w:tc>
        <w:tc>
          <w:tcPr>
            <w:tcW w:w="867" w:type="dxa"/>
            <w:tcBorders>
              <w:top w:val="single" w:sz="4" w:space="0" w:color="000000"/>
              <w:left w:val="single" w:sz="4" w:space="0" w:color="000000"/>
              <w:bottom w:val="single" w:sz="4" w:space="0" w:color="000000"/>
              <w:right w:val="single" w:sz="4" w:space="0" w:color="000000"/>
            </w:tcBorders>
            <w:vAlign w:val="center"/>
          </w:tcPr>
          <w:p w14:paraId="0B92CD8E" w14:textId="77777777" w:rsidR="0005042F" w:rsidRDefault="0005042F">
            <w:pPr>
              <w:jc w:val="center"/>
              <w:rPr>
                <w:color w:val="000000"/>
                <w:sz w:val="20"/>
                <w:szCs w:val="20"/>
              </w:rPr>
            </w:pPr>
          </w:p>
        </w:tc>
        <w:tc>
          <w:tcPr>
            <w:tcW w:w="867" w:type="dxa"/>
            <w:tcBorders>
              <w:top w:val="single" w:sz="4" w:space="0" w:color="000000"/>
              <w:left w:val="single" w:sz="4" w:space="0" w:color="000000"/>
              <w:bottom w:val="single" w:sz="4" w:space="0" w:color="000000"/>
              <w:right w:val="single" w:sz="4" w:space="0" w:color="000000"/>
            </w:tcBorders>
            <w:vAlign w:val="center"/>
          </w:tcPr>
          <w:p w14:paraId="19E48034" w14:textId="77777777" w:rsidR="0005042F" w:rsidRDefault="0005042F">
            <w:pPr>
              <w:jc w:val="center"/>
              <w:rPr>
                <w:color w:val="000000"/>
                <w:sz w:val="20"/>
                <w:szCs w:val="20"/>
              </w:rPr>
            </w:pPr>
          </w:p>
        </w:tc>
        <w:tc>
          <w:tcPr>
            <w:tcW w:w="833" w:type="dxa"/>
            <w:tcBorders>
              <w:top w:val="single" w:sz="4" w:space="0" w:color="000000"/>
              <w:left w:val="single" w:sz="4" w:space="0" w:color="000000"/>
              <w:bottom w:val="single" w:sz="4" w:space="0" w:color="000000"/>
              <w:right w:val="single" w:sz="4" w:space="0" w:color="000000"/>
            </w:tcBorders>
            <w:vAlign w:val="center"/>
          </w:tcPr>
          <w:p w14:paraId="6E170688" w14:textId="77777777" w:rsidR="0005042F" w:rsidRDefault="0005042F">
            <w:pPr>
              <w:jc w:val="center"/>
              <w:rPr>
                <w:color w:val="000000"/>
                <w:sz w:val="20"/>
                <w:szCs w:val="20"/>
              </w:rPr>
            </w:pPr>
          </w:p>
        </w:tc>
        <w:tc>
          <w:tcPr>
            <w:tcW w:w="833" w:type="dxa"/>
            <w:tcBorders>
              <w:top w:val="single" w:sz="4" w:space="0" w:color="000000"/>
              <w:left w:val="single" w:sz="4" w:space="0" w:color="000000"/>
              <w:bottom w:val="single" w:sz="4" w:space="0" w:color="000000"/>
              <w:right w:val="single" w:sz="4" w:space="0" w:color="000000"/>
            </w:tcBorders>
            <w:vAlign w:val="center"/>
          </w:tcPr>
          <w:p w14:paraId="04627FBA" w14:textId="77777777" w:rsidR="0005042F" w:rsidRDefault="0005042F">
            <w:pPr>
              <w:jc w:val="center"/>
              <w:rPr>
                <w:color w:val="000000"/>
                <w:sz w:val="20"/>
                <w:szCs w:val="20"/>
              </w:rPr>
            </w:pPr>
          </w:p>
        </w:tc>
        <w:tc>
          <w:tcPr>
            <w:tcW w:w="833" w:type="dxa"/>
            <w:tcBorders>
              <w:top w:val="single" w:sz="4" w:space="0" w:color="000000"/>
              <w:left w:val="single" w:sz="4" w:space="0" w:color="000000"/>
              <w:bottom w:val="single" w:sz="4" w:space="0" w:color="000000"/>
              <w:right w:val="single" w:sz="4" w:space="0" w:color="000000"/>
            </w:tcBorders>
            <w:vAlign w:val="center"/>
          </w:tcPr>
          <w:p w14:paraId="51CAC0D6" w14:textId="77777777" w:rsidR="0005042F" w:rsidRDefault="0005042F">
            <w:pPr>
              <w:jc w:val="center"/>
              <w:rPr>
                <w:color w:val="000000"/>
                <w:sz w:val="20"/>
                <w:szCs w:val="20"/>
              </w:rPr>
            </w:pPr>
          </w:p>
        </w:tc>
        <w:tc>
          <w:tcPr>
            <w:tcW w:w="833" w:type="dxa"/>
            <w:tcBorders>
              <w:top w:val="single" w:sz="4" w:space="0" w:color="000000"/>
              <w:left w:val="single" w:sz="4" w:space="0" w:color="000000"/>
              <w:bottom w:val="single" w:sz="4" w:space="0" w:color="000000"/>
              <w:right w:val="nil"/>
            </w:tcBorders>
            <w:vAlign w:val="center"/>
          </w:tcPr>
          <w:p w14:paraId="6A54A968" w14:textId="77777777" w:rsidR="0005042F" w:rsidRDefault="0005042F">
            <w:pPr>
              <w:jc w:val="center"/>
              <w:rPr>
                <w:color w:val="000000"/>
                <w:sz w:val="20"/>
                <w:szCs w:val="20"/>
              </w:rPr>
            </w:pPr>
          </w:p>
        </w:tc>
      </w:tr>
      <w:tr w:rsidR="0005042F" w14:paraId="67DD7766" w14:textId="77777777">
        <w:trPr>
          <w:trHeight w:val="276"/>
        </w:trPr>
        <w:tc>
          <w:tcPr>
            <w:tcW w:w="563" w:type="dxa"/>
            <w:tcBorders>
              <w:top w:val="single" w:sz="4" w:space="0" w:color="000000"/>
              <w:left w:val="nil"/>
              <w:bottom w:val="single" w:sz="4" w:space="0" w:color="000000"/>
              <w:right w:val="single" w:sz="4" w:space="0" w:color="000000"/>
            </w:tcBorders>
          </w:tcPr>
          <w:p w14:paraId="442D4708" w14:textId="77777777" w:rsidR="0005042F" w:rsidRDefault="007D1A26">
            <w:pPr>
              <w:jc w:val="right"/>
              <w:rPr>
                <w:b/>
                <w:color w:val="000000"/>
                <w:sz w:val="20"/>
                <w:szCs w:val="20"/>
              </w:rPr>
            </w:pPr>
            <w:r>
              <w:rPr>
                <w:b/>
                <w:color w:val="000000"/>
                <w:sz w:val="20"/>
                <w:szCs w:val="20"/>
              </w:rPr>
              <w:t>5</w:t>
            </w:r>
          </w:p>
        </w:tc>
        <w:tc>
          <w:tcPr>
            <w:tcW w:w="832" w:type="dxa"/>
            <w:tcBorders>
              <w:top w:val="single" w:sz="4" w:space="0" w:color="000000"/>
              <w:left w:val="single" w:sz="4" w:space="0" w:color="000000"/>
              <w:bottom w:val="single" w:sz="4" w:space="0" w:color="000000"/>
              <w:right w:val="single" w:sz="4" w:space="0" w:color="000000"/>
            </w:tcBorders>
            <w:vAlign w:val="center"/>
          </w:tcPr>
          <w:p w14:paraId="180AE7A2" w14:textId="77777777" w:rsidR="0005042F" w:rsidRDefault="007D1A26">
            <w:pPr>
              <w:jc w:val="center"/>
              <w:rPr>
                <w:color w:val="000000"/>
                <w:sz w:val="20"/>
                <w:szCs w:val="20"/>
              </w:rPr>
            </w:pPr>
            <w:r>
              <w:rPr>
                <w:color w:val="000000"/>
                <w:sz w:val="20"/>
                <w:szCs w:val="20"/>
              </w:rPr>
              <w:t>0.183</w:t>
            </w:r>
          </w:p>
        </w:tc>
        <w:tc>
          <w:tcPr>
            <w:tcW w:w="832" w:type="dxa"/>
            <w:tcBorders>
              <w:top w:val="single" w:sz="4" w:space="0" w:color="000000"/>
              <w:left w:val="single" w:sz="4" w:space="0" w:color="000000"/>
              <w:bottom w:val="single" w:sz="4" w:space="0" w:color="000000"/>
              <w:right w:val="single" w:sz="4" w:space="0" w:color="000000"/>
            </w:tcBorders>
            <w:vAlign w:val="center"/>
          </w:tcPr>
          <w:p w14:paraId="7564F0A3" w14:textId="77777777" w:rsidR="0005042F" w:rsidRDefault="007D1A26">
            <w:pPr>
              <w:jc w:val="center"/>
              <w:rPr>
                <w:color w:val="000000"/>
                <w:sz w:val="20"/>
                <w:szCs w:val="20"/>
              </w:rPr>
            </w:pPr>
            <w:r>
              <w:rPr>
                <w:sz w:val="20"/>
                <w:szCs w:val="20"/>
              </w:rPr>
              <w:t>0.112</w:t>
            </w:r>
          </w:p>
        </w:tc>
        <w:tc>
          <w:tcPr>
            <w:tcW w:w="867" w:type="dxa"/>
            <w:tcBorders>
              <w:top w:val="single" w:sz="4" w:space="0" w:color="000000"/>
              <w:left w:val="single" w:sz="4" w:space="0" w:color="000000"/>
              <w:bottom w:val="single" w:sz="4" w:space="0" w:color="000000"/>
              <w:right w:val="single" w:sz="4" w:space="0" w:color="000000"/>
            </w:tcBorders>
            <w:vAlign w:val="center"/>
          </w:tcPr>
          <w:p w14:paraId="3C70A5A9" w14:textId="77777777" w:rsidR="0005042F" w:rsidRDefault="007D1A26">
            <w:pPr>
              <w:jc w:val="center"/>
              <w:rPr>
                <w:b/>
                <w:color w:val="000000"/>
                <w:sz w:val="20"/>
                <w:szCs w:val="20"/>
              </w:rPr>
            </w:pPr>
            <w:r>
              <w:rPr>
                <w:color w:val="000000"/>
                <w:sz w:val="20"/>
                <w:szCs w:val="20"/>
              </w:rPr>
              <w:t>0.500***</w:t>
            </w:r>
          </w:p>
        </w:tc>
        <w:tc>
          <w:tcPr>
            <w:tcW w:w="867" w:type="dxa"/>
            <w:tcBorders>
              <w:top w:val="single" w:sz="4" w:space="0" w:color="000000"/>
              <w:left w:val="single" w:sz="4" w:space="0" w:color="000000"/>
              <w:bottom w:val="single" w:sz="4" w:space="0" w:color="000000"/>
              <w:right w:val="single" w:sz="4" w:space="0" w:color="000000"/>
            </w:tcBorders>
            <w:vAlign w:val="center"/>
          </w:tcPr>
          <w:p w14:paraId="48901564" w14:textId="77777777" w:rsidR="0005042F" w:rsidRDefault="007D1A26">
            <w:pPr>
              <w:jc w:val="center"/>
              <w:rPr>
                <w:b/>
                <w:color w:val="000000"/>
                <w:sz w:val="20"/>
                <w:szCs w:val="20"/>
              </w:rPr>
            </w:pPr>
            <w:r>
              <w:rPr>
                <w:color w:val="000000"/>
                <w:sz w:val="20"/>
                <w:szCs w:val="20"/>
              </w:rPr>
              <w:t>0.543***</w:t>
            </w:r>
          </w:p>
        </w:tc>
        <w:tc>
          <w:tcPr>
            <w:tcW w:w="867" w:type="dxa"/>
            <w:tcBorders>
              <w:top w:val="single" w:sz="4" w:space="0" w:color="000000"/>
              <w:left w:val="single" w:sz="4" w:space="0" w:color="000000"/>
              <w:bottom w:val="single" w:sz="4" w:space="0" w:color="000000"/>
              <w:right w:val="single" w:sz="4" w:space="0" w:color="000000"/>
            </w:tcBorders>
            <w:vAlign w:val="center"/>
          </w:tcPr>
          <w:p w14:paraId="5A9184BA" w14:textId="77777777" w:rsidR="0005042F" w:rsidRDefault="007D1A26">
            <w:pPr>
              <w:jc w:val="center"/>
              <w:rPr>
                <w:color w:val="000000"/>
                <w:sz w:val="20"/>
                <w:szCs w:val="20"/>
              </w:rPr>
            </w:pPr>
            <w:r>
              <w:rPr>
                <w:color w:val="000000"/>
                <w:sz w:val="20"/>
                <w:szCs w:val="20"/>
              </w:rPr>
              <w:t>1</w:t>
            </w:r>
          </w:p>
        </w:tc>
        <w:tc>
          <w:tcPr>
            <w:tcW w:w="867" w:type="dxa"/>
            <w:tcBorders>
              <w:top w:val="single" w:sz="4" w:space="0" w:color="000000"/>
              <w:left w:val="single" w:sz="4" w:space="0" w:color="000000"/>
              <w:bottom w:val="single" w:sz="4" w:space="0" w:color="000000"/>
              <w:right w:val="single" w:sz="4" w:space="0" w:color="000000"/>
            </w:tcBorders>
            <w:vAlign w:val="center"/>
          </w:tcPr>
          <w:p w14:paraId="1B9DC6E3" w14:textId="77777777" w:rsidR="0005042F" w:rsidRDefault="0005042F">
            <w:pPr>
              <w:jc w:val="center"/>
              <w:rPr>
                <w:color w:val="000000"/>
                <w:sz w:val="20"/>
                <w:szCs w:val="20"/>
              </w:rPr>
            </w:pPr>
          </w:p>
        </w:tc>
        <w:tc>
          <w:tcPr>
            <w:tcW w:w="833" w:type="dxa"/>
            <w:tcBorders>
              <w:top w:val="single" w:sz="4" w:space="0" w:color="000000"/>
              <w:left w:val="single" w:sz="4" w:space="0" w:color="000000"/>
              <w:bottom w:val="single" w:sz="4" w:space="0" w:color="000000"/>
              <w:right w:val="single" w:sz="4" w:space="0" w:color="000000"/>
            </w:tcBorders>
            <w:vAlign w:val="center"/>
          </w:tcPr>
          <w:p w14:paraId="0EE3BAD9" w14:textId="77777777" w:rsidR="0005042F" w:rsidRDefault="0005042F">
            <w:pPr>
              <w:jc w:val="center"/>
              <w:rPr>
                <w:color w:val="000000"/>
                <w:sz w:val="20"/>
                <w:szCs w:val="20"/>
              </w:rPr>
            </w:pPr>
          </w:p>
        </w:tc>
        <w:tc>
          <w:tcPr>
            <w:tcW w:w="833" w:type="dxa"/>
            <w:tcBorders>
              <w:top w:val="single" w:sz="4" w:space="0" w:color="000000"/>
              <w:left w:val="single" w:sz="4" w:space="0" w:color="000000"/>
              <w:bottom w:val="single" w:sz="4" w:space="0" w:color="000000"/>
              <w:right w:val="single" w:sz="4" w:space="0" w:color="000000"/>
            </w:tcBorders>
            <w:vAlign w:val="center"/>
          </w:tcPr>
          <w:p w14:paraId="5183DC24" w14:textId="77777777" w:rsidR="0005042F" w:rsidRDefault="0005042F">
            <w:pPr>
              <w:jc w:val="center"/>
              <w:rPr>
                <w:color w:val="000000"/>
                <w:sz w:val="20"/>
                <w:szCs w:val="20"/>
              </w:rPr>
            </w:pPr>
          </w:p>
        </w:tc>
        <w:tc>
          <w:tcPr>
            <w:tcW w:w="833" w:type="dxa"/>
            <w:tcBorders>
              <w:top w:val="single" w:sz="4" w:space="0" w:color="000000"/>
              <w:left w:val="single" w:sz="4" w:space="0" w:color="000000"/>
              <w:bottom w:val="single" w:sz="4" w:space="0" w:color="000000"/>
              <w:right w:val="single" w:sz="4" w:space="0" w:color="000000"/>
            </w:tcBorders>
            <w:vAlign w:val="center"/>
          </w:tcPr>
          <w:p w14:paraId="4AA12B97" w14:textId="77777777" w:rsidR="0005042F" w:rsidRDefault="0005042F">
            <w:pPr>
              <w:jc w:val="center"/>
              <w:rPr>
                <w:color w:val="000000"/>
                <w:sz w:val="20"/>
                <w:szCs w:val="20"/>
              </w:rPr>
            </w:pPr>
          </w:p>
        </w:tc>
        <w:tc>
          <w:tcPr>
            <w:tcW w:w="833" w:type="dxa"/>
            <w:tcBorders>
              <w:top w:val="single" w:sz="4" w:space="0" w:color="000000"/>
              <w:left w:val="single" w:sz="4" w:space="0" w:color="000000"/>
              <w:bottom w:val="single" w:sz="4" w:space="0" w:color="000000"/>
              <w:right w:val="nil"/>
            </w:tcBorders>
            <w:vAlign w:val="center"/>
          </w:tcPr>
          <w:p w14:paraId="241229E2" w14:textId="77777777" w:rsidR="0005042F" w:rsidRDefault="0005042F">
            <w:pPr>
              <w:jc w:val="center"/>
              <w:rPr>
                <w:color w:val="000000"/>
                <w:sz w:val="20"/>
                <w:szCs w:val="20"/>
              </w:rPr>
            </w:pPr>
          </w:p>
        </w:tc>
      </w:tr>
      <w:tr w:rsidR="0005042F" w14:paraId="40EF6EB2" w14:textId="77777777">
        <w:trPr>
          <w:trHeight w:val="276"/>
        </w:trPr>
        <w:tc>
          <w:tcPr>
            <w:tcW w:w="563" w:type="dxa"/>
            <w:tcBorders>
              <w:top w:val="single" w:sz="4" w:space="0" w:color="000000"/>
              <w:left w:val="nil"/>
              <w:bottom w:val="single" w:sz="4" w:space="0" w:color="000000"/>
              <w:right w:val="single" w:sz="4" w:space="0" w:color="000000"/>
            </w:tcBorders>
          </w:tcPr>
          <w:p w14:paraId="363A7C04" w14:textId="77777777" w:rsidR="0005042F" w:rsidRDefault="007D1A26">
            <w:pPr>
              <w:jc w:val="right"/>
              <w:rPr>
                <w:b/>
                <w:color w:val="000000"/>
                <w:sz w:val="20"/>
                <w:szCs w:val="20"/>
              </w:rPr>
            </w:pPr>
            <w:r>
              <w:rPr>
                <w:b/>
                <w:color w:val="000000"/>
                <w:sz w:val="20"/>
                <w:szCs w:val="20"/>
              </w:rPr>
              <w:t>6</w:t>
            </w:r>
          </w:p>
        </w:tc>
        <w:tc>
          <w:tcPr>
            <w:tcW w:w="832" w:type="dxa"/>
            <w:tcBorders>
              <w:top w:val="single" w:sz="4" w:space="0" w:color="000000"/>
              <w:left w:val="single" w:sz="4" w:space="0" w:color="000000"/>
              <w:bottom w:val="single" w:sz="4" w:space="0" w:color="000000"/>
              <w:right w:val="single" w:sz="4" w:space="0" w:color="000000"/>
            </w:tcBorders>
            <w:vAlign w:val="center"/>
          </w:tcPr>
          <w:p w14:paraId="7CB477DF" w14:textId="77777777" w:rsidR="0005042F" w:rsidRDefault="007D1A26">
            <w:pPr>
              <w:jc w:val="center"/>
              <w:rPr>
                <w:b/>
                <w:color w:val="000000"/>
                <w:sz w:val="20"/>
                <w:szCs w:val="20"/>
              </w:rPr>
            </w:pPr>
            <w:r>
              <w:rPr>
                <w:color w:val="000000"/>
                <w:sz w:val="20"/>
                <w:szCs w:val="20"/>
              </w:rPr>
              <w:t>0.211</w:t>
            </w:r>
          </w:p>
        </w:tc>
        <w:tc>
          <w:tcPr>
            <w:tcW w:w="832" w:type="dxa"/>
            <w:tcBorders>
              <w:top w:val="single" w:sz="4" w:space="0" w:color="000000"/>
              <w:left w:val="single" w:sz="4" w:space="0" w:color="000000"/>
              <w:bottom w:val="single" w:sz="4" w:space="0" w:color="000000"/>
              <w:right w:val="single" w:sz="4" w:space="0" w:color="000000"/>
            </w:tcBorders>
            <w:vAlign w:val="center"/>
          </w:tcPr>
          <w:p w14:paraId="32679EB9" w14:textId="77777777" w:rsidR="0005042F" w:rsidRDefault="007D1A26">
            <w:pPr>
              <w:jc w:val="center"/>
              <w:rPr>
                <w:color w:val="000000"/>
                <w:sz w:val="20"/>
                <w:szCs w:val="20"/>
              </w:rPr>
            </w:pPr>
            <w:r>
              <w:rPr>
                <w:sz w:val="20"/>
                <w:szCs w:val="20"/>
              </w:rPr>
              <w:t>0.122</w:t>
            </w:r>
          </w:p>
        </w:tc>
        <w:tc>
          <w:tcPr>
            <w:tcW w:w="867" w:type="dxa"/>
            <w:tcBorders>
              <w:top w:val="single" w:sz="4" w:space="0" w:color="000000"/>
              <w:left w:val="single" w:sz="4" w:space="0" w:color="000000"/>
              <w:bottom w:val="single" w:sz="4" w:space="0" w:color="000000"/>
              <w:right w:val="single" w:sz="4" w:space="0" w:color="000000"/>
            </w:tcBorders>
            <w:vAlign w:val="center"/>
          </w:tcPr>
          <w:p w14:paraId="4C40EAA9" w14:textId="77777777" w:rsidR="0005042F" w:rsidRDefault="007D1A26">
            <w:pPr>
              <w:jc w:val="center"/>
              <w:rPr>
                <w:b/>
                <w:color w:val="000000"/>
                <w:sz w:val="20"/>
                <w:szCs w:val="20"/>
              </w:rPr>
            </w:pPr>
            <w:r>
              <w:rPr>
                <w:color w:val="000000"/>
                <w:sz w:val="20"/>
                <w:szCs w:val="20"/>
              </w:rPr>
              <w:t>0.829***</w:t>
            </w:r>
          </w:p>
        </w:tc>
        <w:tc>
          <w:tcPr>
            <w:tcW w:w="867" w:type="dxa"/>
            <w:tcBorders>
              <w:top w:val="single" w:sz="4" w:space="0" w:color="000000"/>
              <w:left w:val="single" w:sz="4" w:space="0" w:color="000000"/>
              <w:bottom w:val="single" w:sz="4" w:space="0" w:color="000000"/>
              <w:right w:val="single" w:sz="4" w:space="0" w:color="000000"/>
            </w:tcBorders>
            <w:vAlign w:val="center"/>
          </w:tcPr>
          <w:p w14:paraId="71772BDC" w14:textId="77777777" w:rsidR="0005042F" w:rsidRDefault="007D1A26">
            <w:pPr>
              <w:jc w:val="center"/>
              <w:rPr>
                <w:b/>
                <w:color w:val="000000"/>
                <w:sz w:val="20"/>
                <w:szCs w:val="20"/>
              </w:rPr>
            </w:pPr>
            <w:r>
              <w:rPr>
                <w:color w:val="000000"/>
                <w:sz w:val="20"/>
                <w:szCs w:val="20"/>
              </w:rPr>
              <w:t>0.724***</w:t>
            </w:r>
          </w:p>
        </w:tc>
        <w:tc>
          <w:tcPr>
            <w:tcW w:w="867" w:type="dxa"/>
            <w:tcBorders>
              <w:top w:val="single" w:sz="4" w:space="0" w:color="000000"/>
              <w:left w:val="single" w:sz="4" w:space="0" w:color="000000"/>
              <w:bottom w:val="single" w:sz="4" w:space="0" w:color="000000"/>
              <w:right w:val="single" w:sz="4" w:space="0" w:color="000000"/>
            </w:tcBorders>
            <w:vAlign w:val="center"/>
          </w:tcPr>
          <w:p w14:paraId="03DA884B" w14:textId="77777777" w:rsidR="0005042F" w:rsidRDefault="007D1A26">
            <w:pPr>
              <w:jc w:val="center"/>
              <w:rPr>
                <w:b/>
                <w:color w:val="000000"/>
                <w:sz w:val="20"/>
                <w:szCs w:val="20"/>
              </w:rPr>
            </w:pPr>
            <w:r>
              <w:rPr>
                <w:color w:val="000000"/>
                <w:sz w:val="20"/>
                <w:szCs w:val="20"/>
              </w:rPr>
              <w:t>0.634***</w:t>
            </w:r>
          </w:p>
        </w:tc>
        <w:tc>
          <w:tcPr>
            <w:tcW w:w="867" w:type="dxa"/>
            <w:tcBorders>
              <w:top w:val="single" w:sz="4" w:space="0" w:color="000000"/>
              <w:left w:val="single" w:sz="4" w:space="0" w:color="000000"/>
              <w:bottom w:val="single" w:sz="4" w:space="0" w:color="000000"/>
              <w:right w:val="single" w:sz="4" w:space="0" w:color="000000"/>
            </w:tcBorders>
            <w:vAlign w:val="center"/>
          </w:tcPr>
          <w:p w14:paraId="71AB51FA" w14:textId="77777777" w:rsidR="0005042F" w:rsidRDefault="007D1A26">
            <w:pPr>
              <w:jc w:val="center"/>
              <w:rPr>
                <w:color w:val="000000"/>
                <w:sz w:val="20"/>
                <w:szCs w:val="20"/>
              </w:rPr>
            </w:pPr>
            <w:r>
              <w:rPr>
                <w:color w:val="000000"/>
                <w:sz w:val="20"/>
                <w:szCs w:val="20"/>
              </w:rPr>
              <w:t>1</w:t>
            </w:r>
          </w:p>
        </w:tc>
        <w:tc>
          <w:tcPr>
            <w:tcW w:w="833" w:type="dxa"/>
            <w:tcBorders>
              <w:top w:val="single" w:sz="4" w:space="0" w:color="000000"/>
              <w:left w:val="single" w:sz="4" w:space="0" w:color="000000"/>
              <w:bottom w:val="single" w:sz="4" w:space="0" w:color="000000"/>
              <w:right w:val="single" w:sz="4" w:space="0" w:color="000000"/>
            </w:tcBorders>
            <w:vAlign w:val="center"/>
          </w:tcPr>
          <w:p w14:paraId="5474CE84" w14:textId="77777777" w:rsidR="0005042F" w:rsidRDefault="0005042F">
            <w:pPr>
              <w:jc w:val="center"/>
              <w:rPr>
                <w:color w:val="000000"/>
                <w:sz w:val="20"/>
                <w:szCs w:val="20"/>
              </w:rPr>
            </w:pPr>
          </w:p>
        </w:tc>
        <w:tc>
          <w:tcPr>
            <w:tcW w:w="833" w:type="dxa"/>
            <w:tcBorders>
              <w:top w:val="single" w:sz="4" w:space="0" w:color="000000"/>
              <w:left w:val="single" w:sz="4" w:space="0" w:color="000000"/>
              <w:bottom w:val="single" w:sz="4" w:space="0" w:color="000000"/>
              <w:right w:val="single" w:sz="4" w:space="0" w:color="000000"/>
            </w:tcBorders>
            <w:vAlign w:val="center"/>
          </w:tcPr>
          <w:p w14:paraId="202390F8" w14:textId="77777777" w:rsidR="0005042F" w:rsidRDefault="0005042F">
            <w:pPr>
              <w:jc w:val="center"/>
              <w:rPr>
                <w:color w:val="000000"/>
                <w:sz w:val="20"/>
                <w:szCs w:val="20"/>
              </w:rPr>
            </w:pPr>
          </w:p>
        </w:tc>
        <w:tc>
          <w:tcPr>
            <w:tcW w:w="833" w:type="dxa"/>
            <w:tcBorders>
              <w:top w:val="single" w:sz="4" w:space="0" w:color="000000"/>
              <w:left w:val="single" w:sz="4" w:space="0" w:color="000000"/>
              <w:bottom w:val="single" w:sz="4" w:space="0" w:color="000000"/>
              <w:right w:val="single" w:sz="4" w:space="0" w:color="000000"/>
            </w:tcBorders>
            <w:vAlign w:val="center"/>
          </w:tcPr>
          <w:p w14:paraId="0F7D4CF8" w14:textId="77777777" w:rsidR="0005042F" w:rsidRDefault="0005042F">
            <w:pPr>
              <w:jc w:val="center"/>
              <w:rPr>
                <w:color w:val="000000"/>
                <w:sz w:val="20"/>
                <w:szCs w:val="20"/>
              </w:rPr>
            </w:pPr>
          </w:p>
        </w:tc>
        <w:tc>
          <w:tcPr>
            <w:tcW w:w="833" w:type="dxa"/>
            <w:tcBorders>
              <w:top w:val="single" w:sz="4" w:space="0" w:color="000000"/>
              <w:left w:val="single" w:sz="4" w:space="0" w:color="000000"/>
              <w:bottom w:val="single" w:sz="4" w:space="0" w:color="000000"/>
              <w:right w:val="nil"/>
            </w:tcBorders>
            <w:vAlign w:val="center"/>
          </w:tcPr>
          <w:p w14:paraId="54FE7586" w14:textId="77777777" w:rsidR="0005042F" w:rsidRDefault="0005042F">
            <w:pPr>
              <w:jc w:val="center"/>
              <w:rPr>
                <w:color w:val="000000"/>
                <w:sz w:val="20"/>
                <w:szCs w:val="20"/>
              </w:rPr>
            </w:pPr>
          </w:p>
        </w:tc>
      </w:tr>
      <w:tr w:rsidR="0005042F" w14:paraId="6A4906BA" w14:textId="77777777">
        <w:trPr>
          <w:trHeight w:val="276"/>
        </w:trPr>
        <w:tc>
          <w:tcPr>
            <w:tcW w:w="563" w:type="dxa"/>
            <w:tcBorders>
              <w:top w:val="single" w:sz="4" w:space="0" w:color="000000"/>
              <w:left w:val="nil"/>
              <w:bottom w:val="single" w:sz="4" w:space="0" w:color="000000"/>
              <w:right w:val="single" w:sz="4" w:space="0" w:color="000000"/>
            </w:tcBorders>
          </w:tcPr>
          <w:p w14:paraId="3C767469" w14:textId="77777777" w:rsidR="0005042F" w:rsidRDefault="007D1A26">
            <w:pPr>
              <w:jc w:val="right"/>
              <w:rPr>
                <w:b/>
                <w:color w:val="000000"/>
                <w:sz w:val="20"/>
                <w:szCs w:val="20"/>
              </w:rPr>
            </w:pPr>
            <w:r>
              <w:rPr>
                <w:b/>
                <w:color w:val="000000"/>
                <w:sz w:val="20"/>
                <w:szCs w:val="20"/>
              </w:rPr>
              <w:t>7</w:t>
            </w:r>
          </w:p>
        </w:tc>
        <w:tc>
          <w:tcPr>
            <w:tcW w:w="832" w:type="dxa"/>
            <w:tcBorders>
              <w:top w:val="single" w:sz="4" w:space="0" w:color="000000"/>
              <w:left w:val="single" w:sz="4" w:space="0" w:color="000000"/>
              <w:bottom w:val="single" w:sz="4" w:space="0" w:color="000000"/>
              <w:right w:val="single" w:sz="4" w:space="0" w:color="000000"/>
            </w:tcBorders>
            <w:vAlign w:val="center"/>
          </w:tcPr>
          <w:p w14:paraId="275CC081" w14:textId="77777777" w:rsidR="0005042F" w:rsidRDefault="007D1A26">
            <w:pPr>
              <w:jc w:val="center"/>
              <w:rPr>
                <w:color w:val="000000"/>
                <w:sz w:val="20"/>
                <w:szCs w:val="20"/>
              </w:rPr>
            </w:pPr>
            <w:r>
              <w:rPr>
                <w:color w:val="000000"/>
                <w:sz w:val="20"/>
                <w:szCs w:val="20"/>
              </w:rPr>
              <w:t>0.167</w:t>
            </w:r>
          </w:p>
        </w:tc>
        <w:tc>
          <w:tcPr>
            <w:tcW w:w="832" w:type="dxa"/>
            <w:tcBorders>
              <w:top w:val="single" w:sz="4" w:space="0" w:color="000000"/>
              <w:left w:val="single" w:sz="4" w:space="0" w:color="000000"/>
              <w:bottom w:val="single" w:sz="4" w:space="0" w:color="000000"/>
              <w:right w:val="single" w:sz="4" w:space="0" w:color="000000"/>
            </w:tcBorders>
            <w:vAlign w:val="center"/>
          </w:tcPr>
          <w:p w14:paraId="2C51DEF8" w14:textId="77777777" w:rsidR="0005042F" w:rsidRDefault="007D1A26">
            <w:pPr>
              <w:jc w:val="center"/>
              <w:rPr>
                <w:color w:val="000000"/>
                <w:sz w:val="20"/>
                <w:szCs w:val="20"/>
              </w:rPr>
            </w:pPr>
            <w:r>
              <w:rPr>
                <w:sz w:val="20"/>
                <w:szCs w:val="20"/>
              </w:rPr>
              <w:t>0.080</w:t>
            </w:r>
          </w:p>
        </w:tc>
        <w:tc>
          <w:tcPr>
            <w:tcW w:w="867" w:type="dxa"/>
            <w:tcBorders>
              <w:top w:val="single" w:sz="4" w:space="0" w:color="000000"/>
              <w:left w:val="single" w:sz="4" w:space="0" w:color="000000"/>
              <w:bottom w:val="single" w:sz="4" w:space="0" w:color="000000"/>
              <w:right w:val="single" w:sz="4" w:space="0" w:color="000000"/>
            </w:tcBorders>
            <w:vAlign w:val="center"/>
          </w:tcPr>
          <w:p w14:paraId="5BE39C38" w14:textId="77777777" w:rsidR="0005042F" w:rsidRDefault="007D1A26">
            <w:pPr>
              <w:jc w:val="center"/>
              <w:rPr>
                <w:b/>
                <w:color w:val="000000"/>
                <w:sz w:val="20"/>
                <w:szCs w:val="20"/>
              </w:rPr>
            </w:pPr>
            <w:r>
              <w:rPr>
                <w:color w:val="000000"/>
                <w:sz w:val="20"/>
                <w:szCs w:val="20"/>
              </w:rPr>
              <w:t>0.518***</w:t>
            </w:r>
          </w:p>
        </w:tc>
        <w:tc>
          <w:tcPr>
            <w:tcW w:w="867" w:type="dxa"/>
            <w:tcBorders>
              <w:top w:val="single" w:sz="4" w:space="0" w:color="000000"/>
              <w:left w:val="single" w:sz="4" w:space="0" w:color="000000"/>
              <w:bottom w:val="single" w:sz="4" w:space="0" w:color="000000"/>
              <w:right w:val="single" w:sz="4" w:space="0" w:color="000000"/>
            </w:tcBorders>
            <w:vAlign w:val="center"/>
          </w:tcPr>
          <w:p w14:paraId="45ECFF2A" w14:textId="77777777" w:rsidR="0005042F" w:rsidRDefault="007D1A26">
            <w:pPr>
              <w:jc w:val="center"/>
              <w:rPr>
                <w:b/>
                <w:color w:val="000000"/>
                <w:sz w:val="20"/>
                <w:szCs w:val="20"/>
              </w:rPr>
            </w:pPr>
            <w:r>
              <w:rPr>
                <w:color w:val="000000"/>
                <w:sz w:val="20"/>
                <w:szCs w:val="20"/>
              </w:rPr>
              <w:t>0.441**</w:t>
            </w:r>
          </w:p>
        </w:tc>
        <w:tc>
          <w:tcPr>
            <w:tcW w:w="867" w:type="dxa"/>
            <w:tcBorders>
              <w:top w:val="single" w:sz="4" w:space="0" w:color="000000"/>
              <w:left w:val="single" w:sz="4" w:space="0" w:color="000000"/>
              <w:bottom w:val="single" w:sz="4" w:space="0" w:color="000000"/>
              <w:right w:val="single" w:sz="4" w:space="0" w:color="000000"/>
            </w:tcBorders>
            <w:vAlign w:val="center"/>
          </w:tcPr>
          <w:p w14:paraId="3005BA89" w14:textId="77777777" w:rsidR="0005042F" w:rsidRDefault="007D1A26">
            <w:pPr>
              <w:jc w:val="center"/>
              <w:rPr>
                <w:b/>
                <w:color w:val="000000"/>
                <w:sz w:val="20"/>
                <w:szCs w:val="20"/>
              </w:rPr>
            </w:pPr>
            <w:r>
              <w:rPr>
                <w:color w:val="000000"/>
                <w:sz w:val="20"/>
                <w:szCs w:val="20"/>
              </w:rPr>
              <w:t>0.367</w:t>
            </w:r>
          </w:p>
        </w:tc>
        <w:tc>
          <w:tcPr>
            <w:tcW w:w="867" w:type="dxa"/>
            <w:tcBorders>
              <w:top w:val="single" w:sz="4" w:space="0" w:color="000000"/>
              <w:left w:val="single" w:sz="4" w:space="0" w:color="000000"/>
              <w:bottom w:val="single" w:sz="4" w:space="0" w:color="000000"/>
              <w:right w:val="single" w:sz="4" w:space="0" w:color="000000"/>
            </w:tcBorders>
            <w:vAlign w:val="center"/>
          </w:tcPr>
          <w:p w14:paraId="66D1F029" w14:textId="77777777" w:rsidR="0005042F" w:rsidRDefault="007D1A26">
            <w:pPr>
              <w:jc w:val="center"/>
              <w:rPr>
                <w:b/>
                <w:color w:val="000000"/>
                <w:sz w:val="20"/>
                <w:szCs w:val="20"/>
              </w:rPr>
            </w:pPr>
            <w:r>
              <w:rPr>
                <w:color w:val="000000"/>
                <w:sz w:val="20"/>
                <w:szCs w:val="20"/>
              </w:rPr>
              <w:t>0.448**</w:t>
            </w:r>
          </w:p>
        </w:tc>
        <w:tc>
          <w:tcPr>
            <w:tcW w:w="833" w:type="dxa"/>
            <w:tcBorders>
              <w:top w:val="single" w:sz="4" w:space="0" w:color="000000"/>
              <w:left w:val="single" w:sz="4" w:space="0" w:color="000000"/>
              <w:bottom w:val="single" w:sz="4" w:space="0" w:color="000000"/>
              <w:right w:val="single" w:sz="4" w:space="0" w:color="000000"/>
            </w:tcBorders>
            <w:vAlign w:val="center"/>
          </w:tcPr>
          <w:p w14:paraId="1EF73F4C" w14:textId="77777777" w:rsidR="0005042F" w:rsidRDefault="007D1A26">
            <w:pPr>
              <w:jc w:val="center"/>
              <w:rPr>
                <w:color w:val="000000"/>
                <w:sz w:val="20"/>
                <w:szCs w:val="20"/>
              </w:rPr>
            </w:pPr>
            <w:r>
              <w:rPr>
                <w:color w:val="000000"/>
                <w:sz w:val="20"/>
                <w:szCs w:val="20"/>
              </w:rPr>
              <w:t>1</w:t>
            </w:r>
          </w:p>
        </w:tc>
        <w:tc>
          <w:tcPr>
            <w:tcW w:w="833" w:type="dxa"/>
            <w:tcBorders>
              <w:top w:val="single" w:sz="4" w:space="0" w:color="000000"/>
              <w:left w:val="single" w:sz="4" w:space="0" w:color="000000"/>
              <w:bottom w:val="single" w:sz="4" w:space="0" w:color="000000"/>
              <w:right w:val="single" w:sz="4" w:space="0" w:color="000000"/>
            </w:tcBorders>
            <w:vAlign w:val="center"/>
          </w:tcPr>
          <w:p w14:paraId="0E43F764" w14:textId="77777777" w:rsidR="0005042F" w:rsidRDefault="0005042F">
            <w:pPr>
              <w:jc w:val="center"/>
              <w:rPr>
                <w:color w:val="000000"/>
                <w:sz w:val="20"/>
                <w:szCs w:val="20"/>
              </w:rPr>
            </w:pPr>
          </w:p>
        </w:tc>
        <w:tc>
          <w:tcPr>
            <w:tcW w:w="833" w:type="dxa"/>
            <w:tcBorders>
              <w:top w:val="single" w:sz="4" w:space="0" w:color="000000"/>
              <w:left w:val="single" w:sz="4" w:space="0" w:color="000000"/>
              <w:bottom w:val="single" w:sz="4" w:space="0" w:color="000000"/>
              <w:right w:val="single" w:sz="4" w:space="0" w:color="000000"/>
            </w:tcBorders>
            <w:vAlign w:val="center"/>
          </w:tcPr>
          <w:p w14:paraId="60767451" w14:textId="77777777" w:rsidR="0005042F" w:rsidRDefault="0005042F">
            <w:pPr>
              <w:jc w:val="center"/>
              <w:rPr>
                <w:color w:val="000000"/>
                <w:sz w:val="20"/>
                <w:szCs w:val="20"/>
              </w:rPr>
            </w:pPr>
          </w:p>
        </w:tc>
        <w:tc>
          <w:tcPr>
            <w:tcW w:w="833" w:type="dxa"/>
            <w:tcBorders>
              <w:top w:val="single" w:sz="4" w:space="0" w:color="000000"/>
              <w:left w:val="single" w:sz="4" w:space="0" w:color="000000"/>
              <w:bottom w:val="single" w:sz="4" w:space="0" w:color="000000"/>
              <w:right w:val="nil"/>
            </w:tcBorders>
            <w:vAlign w:val="center"/>
          </w:tcPr>
          <w:p w14:paraId="3B594216" w14:textId="77777777" w:rsidR="0005042F" w:rsidRDefault="0005042F">
            <w:pPr>
              <w:jc w:val="center"/>
              <w:rPr>
                <w:color w:val="000000"/>
                <w:sz w:val="20"/>
                <w:szCs w:val="20"/>
              </w:rPr>
            </w:pPr>
          </w:p>
        </w:tc>
      </w:tr>
      <w:tr w:rsidR="0005042F" w14:paraId="3C52E1E4" w14:textId="77777777">
        <w:trPr>
          <w:trHeight w:val="276"/>
        </w:trPr>
        <w:tc>
          <w:tcPr>
            <w:tcW w:w="563" w:type="dxa"/>
            <w:tcBorders>
              <w:top w:val="single" w:sz="4" w:space="0" w:color="000000"/>
              <w:left w:val="nil"/>
              <w:bottom w:val="single" w:sz="4" w:space="0" w:color="000000"/>
              <w:right w:val="single" w:sz="4" w:space="0" w:color="000000"/>
            </w:tcBorders>
          </w:tcPr>
          <w:p w14:paraId="0E940B61" w14:textId="77777777" w:rsidR="0005042F" w:rsidRDefault="007D1A26">
            <w:pPr>
              <w:jc w:val="right"/>
              <w:rPr>
                <w:b/>
                <w:color w:val="000000"/>
                <w:sz w:val="20"/>
                <w:szCs w:val="20"/>
              </w:rPr>
            </w:pPr>
            <w:r>
              <w:rPr>
                <w:b/>
                <w:color w:val="000000"/>
                <w:sz w:val="20"/>
                <w:szCs w:val="20"/>
              </w:rPr>
              <w:t>8</w:t>
            </w:r>
          </w:p>
        </w:tc>
        <w:tc>
          <w:tcPr>
            <w:tcW w:w="832" w:type="dxa"/>
            <w:tcBorders>
              <w:top w:val="single" w:sz="4" w:space="0" w:color="000000"/>
              <w:left w:val="single" w:sz="4" w:space="0" w:color="000000"/>
              <w:bottom w:val="single" w:sz="4" w:space="0" w:color="000000"/>
              <w:right w:val="single" w:sz="4" w:space="0" w:color="000000"/>
            </w:tcBorders>
            <w:vAlign w:val="center"/>
          </w:tcPr>
          <w:p w14:paraId="60853ABD" w14:textId="77777777" w:rsidR="0005042F" w:rsidRDefault="007D1A26">
            <w:pPr>
              <w:jc w:val="center"/>
              <w:rPr>
                <w:b/>
                <w:color w:val="000000"/>
                <w:sz w:val="20"/>
                <w:szCs w:val="20"/>
              </w:rPr>
            </w:pPr>
            <w:r>
              <w:rPr>
                <w:color w:val="000000"/>
                <w:sz w:val="20"/>
                <w:szCs w:val="20"/>
              </w:rPr>
              <w:t>0.204</w:t>
            </w:r>
          </w:p>
        </w:tc>
        <w:tc>
          <w:tcPr>
            <w:tcW w:w="832" w:type="dxa"/>
            <w:tcBorders>
              <w:top w:val="single" w:sz="4" w:space="0" w:color="000000"/>
              <w:left w:val="single" w:sz="4" w:space="0" w:color="000000"/>
              <w:bottom w:val="single" w:sz="4" w:space="0" w:color="000000"/>
              <w:right w:val="single" w:sz="4" w:space="0" w:color="000000"/>
            </w:tcBorders>
            <w:vAlign w:val="center"/>
          </w:tcPr>
          <w:p w14:paraId="722B4ED5" w14:textId="77777777" w:rsidR="0005042F" w:rsidRDefault="007D1A26">
            <w:pPr>
              <w:jc w:val="center"/>
              <w:rPr>
                <w:color w:val="000000"/>
                <w:sz w:val="20"/>
                <w:szCs w:val="20"/>
              </w:rPr>
            </w:pPr>
            <w:r>
              <w:rPr>
                <w:sz w:val="20"/>
                <w:szCs w:val="20"/>
              </w:rPr>
              <w:t>0.039</w:t>
            </w:r>
          </w:p>
        </w:tc>
        <w:tc>
          <w:tcPr>
            <w:tcW w:w="867" w:type="dxa"/>
            <w:tcBorders>
              <w:top w:val="single" w:sz="4" w:space="0" w:color="000000"/>
              <w:left w:val="single" w:sz="4" w:space="0" w:color="000000"/>
              <w:bottom w:val="single" w:sz="4" w:space="0" w:color="000000"/>
              <w:right w:val="single" w:sz="4" w:space="0" w:color="000000"/>
            </w:tcBorders>
            <w:vAlign w:val="center"/>
          </w:tcPr>
          <w:p w14:paraId="027C29FC" w14:textId="77777777" w:rsidR="0005042F" w:rsidRDefault="007D1A26">
            <w:pPr>
              <w:jc w:val="center"/>
              <w:rPr>
                <w:b/>
                <w:color w:val="000000"/>
                <w:sz w:val="20"/>
                <w:szCs w:val="20"/>
              </w:rPr>
            </w:pPr>
            <w:r>
              <w:rPr>
                <w:color w:val="000000"/>
                <w:sz w:val="20"/>
                <w:szCs w:val="20"/>
              </w:rPr>
              <w:t>0.832***</w:t>
            </w:r>
          </w:p>
        </w:tc>
        <w:tc>
          <w:tcPr>
            <w:tcW w:w="867" w:type="dxa"/>
            <w:tcBorders>
              <w:top w:val="single" w:sz="4" w:space="0" w:color="000000"/>
              <w:left w:val="single" w:sz="4" w:space="0" w:color="000000"/>
              <w:bottom w:val="single" w:sz="4" w:space="0" w:color="000000"/>
              <w:right w:val="single" w:sz="4" w:space="0" w:color="000000"/>
            </w:tcBorders>
            <w:vAlign w:val="center"/>
          </w:tcPr>
          <w:p w14:paraId="70634B89" w14:textId="77777777" w:rsidR="0005042F" w:rsidRDefault="007D1A26">
            <w:pPr>
              <w:jc w:val="center"/>
              <w:rPr>
                <w:b/>
                <w:color w:val="000000"/>
                <w:sz w:val="20"/>
                <w:szCs w:val="20"/>
              </w:rPr>
            </w:pPr>
            <w:r>
              <w:rPr>
                <w:color w:val="000000"/>
                <w:sz w:val="20"/>
                <w:szCs w:val="20"/>
              </w:rPr>
              <w:t>0.765***</w:t>
            </w:r>
          </w:p>
        </w:tc>
        <w:tc>
          <w:tcPr>
            <w:tcW w:w="867" w:type="dxa"/>
            <w:tcBorders>
              <w:top w:val="single" w:sz="4" w:space="0" w:color="000000"/>
              <w:left w:val="single" w:sz="4" w:space="0" w:color="000000"/>
              <w:bottom w:val="single" w:sz="4" w:space="0" w:color="000000"/>
              <w:right w:val="single" w:sz="4" w:space="0" w:color="000000"/>
            </w:tcBorders>
            <w:vAlign w:val="center"/>
          </w:tcPr>
          <w:p w14:paraId="2C55C04F" w14:textId="77777777" w:rsidR="0005042F" w:rsidRDefault="007D1A26">
            <w:pPr>
              <w:jc w:val="center"/>
              <w:rPr>
                <w:b/>
                <w:color w:val="000000"/>
                <w:sz w:val="20"/>
                <w:szCs w:val="20"/>
              </w:rPr>
            </w:pPr>
            <w:r>
              <w:rPr>
                <w:color w:val="000000"/>
                <w:sz w:val="20"/>
                <w:szCs w:val="20"/>
              </w:rPr>
              <w:t>0.545***</w:t>
            </w:r>
          </w:p>
        </w:tc>
        <w:tc>
          <w:tcPr>
            <w:tcW w:w="867" w:type="dxa"/>
            <w:tcBorders>
              <w:top w:val="single" w:sz="4" w:space="0" w:color="000000"/>
              <w:left w:val="single" w:sz="4" w:space="0" w:color="000000"/>
              <w:bottom w:val="single" w:sz="4" w:space="0" w:color="000000"/>
              <w:right w:val="single" w:sz="4" w:space="0" w:color="000000"/>
            </w:tcBorders>
            <w:vAlign w:val="center"/>
          </w:tcPr>
          <w:p w14:paraId="70BF52B7" w14:textId="77777777" w:rsidR="0005042F" w:rsidRDefault="007D1A26">
            <w:pPr>
              <w:jc w:val="center"/>
              <w:rPr>
                <w:b/>
                <w:color w:val="000000"/>
                <w:sz w:val="20"/>
                <w:szCs w:val="20"/>
              </w:rPr>
            </w:pPr>
            <w:r>
              <w:rPr>
                <w:color w:val="000000"/>
                <w:sz w:val="20"/>
                <w:szCs w:val="20"/>
              </w:rPr>
              <w:t>0.851***</w:t>
            </w:r>
          </w:p>
        </w:tc>
        <w:tc>
          <w:tcPr>
            <w:tcW w:w="833" w:type="dxa"/>
            <w:tcBorders>
              <w:top w:val="single" w:sz="4" w:space="0" w:color="000000"/>
              <w:left w:val="single" w:sz="4" w:space="0" w:color="000000"/>
              <w:bottom w:val="single" w:sz="4" w:space="0" w:color="000000"/>
              <w:right w:val="single" w:sz="4" w:space="0" w:color="000000"/>
            </w:tcBorders>
            <w:vAlign w:val="center"/>
          </w:tcPr>
          <w:p w14:paraId="76D52346" w14:textId="77777777" w:rsidR="0005042F" w:rsidRDefault="007D1A26">
            <w:pPr>
              <w:jc w:val="center"/>
              <w:rPr>
                <w:b/>
                <w:color w:val="000000"/>
                <w:sz w:val="20"/>
                <w:szCs w:val="20"/>
              </w:rPr>
            </w:pPr>
            <w:r>
              <w:rPr>
                <w:color w:val="000000"/>
                <w:sz w:val="20"/>
                <w:szCs w:val="20"/>
              </w:rPr>
              <w:t>0.410</w:t>
            </w:r>
          </w:p>
        </w:tc>
        <w:tc>
          <w:tcPr>
            <w:tcW w:w="833" w:type="dxa"/>
            <w:tcBorders>
              <w:top w:val="single" w:sz="4" w:space="0" w:color="000000"/>
              <w:left w:val="single" w:sz="4" w:space="0" w:color="000000"/>
              <w:bottom w:val="single" w:sz="4" w:space="0" w:color="000000"/>
              <w:right w:val="single" w:sz="4" w:space="0" w:color="000000"/>
            </w:tcBorders>
            <w:vAlign w:val="center"/>
          </w:tcPr>
          <w:p w14:paraId="69B72ABD" w14:textId="77777777" w:rsidR="0005042F" w:rsidRDefault="007D1A26">
            <w:pPr>
              <w:jc w:val="center"/>
              <w:rPr>
                <w:color w:val="000000"/>
                <w:sz w:val="20"/>
                <w:szCs w:val="20"/>
              </w:rPr>
            </w:pPr>
            <w:r>
              <w:rPr>
                <w:color w:val="000000"/>
                <w:sz w:val="20"/>
                <w:szCs w:val="20"/>
              </w:rPr>
              <w:t>1</w:t>
            </w:r>
          </w:p>
        </w:tc>
        <w:tc>
          <w:tcPr>
            <w:tcW w:w="833" w:type="dxa"/>
            <w:tcBorders>
              <w:top w:val="single" w:sz="4" w:space="0" w:color="000000"/>
              <w:left w:val="single" w:sz="4" w:space="0" w:color="000000"/>
              <w:bottom w:val="single" w:sz="4" w:space="0" w:color="000000"/>
              <w:right w:val="single" w:sz="4" w:space="0" w:color="000000"/>
            </w:tcBorders>
            <w:vAlign w:val="center"/>
          </w:tcPr>
          <w:p w14:paraId="32EF8DAC" w14:textId="77777777" w:rsidR="0005042F" w:rsidRDefault="0005042F">
            <w:pPr>
              <w:jc w:val="center"/>
              <w:rPr>
                <w:color w:val="000000"/>
                <w:sz w:val="20"/>
                <w:szCs w:val="20"/>
              </w:rPr>
            </w:pPr>
          </w:p>
        </w:tc>
        <w:tc>
          <w:tcPr>
            <w:tcW w:w="833" w:type="dxa"/>
            <w:tcBorders>
              <w:top w:val="single" w:sz="4" w:space="0" w:color="000000"/>
              <w:left w:val="single" w:sz="4" w:space="0" w:color="000000"/>
              <w:bottom w:val="single" w:sz="4" w:space="0" w:color="000000"/>
              <w:right w:val="nil"/>
            </w:tcBorders>
            <w:vAlign w:val="center"/>
          </w:tcPr>
          <w:p w14:paraId="2B1AC060" w14:textId="77777777" w:rsidR="0005042F" w:rsidRDefault="0005042F">
            <w:pPr>
              <w:jc w:val="center"/>
              <w:rPr>
                <w:color w:val="000000"/>
                <w:sz w:val="20"/>
                <w:szCs w:val="20"/>
              </w:rPr>
            </w:pPr>
          </w:p>
        </w:tc>
      </w:tr>
      <w:tr w:rsidR="0005042F" w14:paraId="3EFEAEC8" w14:textId="77777777">
        <w:trPr>
          <w:trHeight w:val="276"/>
        </w:trPr>
        <w:tc>
          <w:tcPr>
            <w:tcW w:w="563" w:type="dxa"/>
            <w:tcBorders>
              <w:top w:val="single" w:sz="4" w:space="0" w:color="000000"/>
              <w:left w:val="nil"/>
              <w:bottom w:val="single" w:sz="4" w:space="0" w:color="000000"/>
              <w:right w:val="single" w:sz="4" w:space="0" w:color="000000"/>
            </w:tcBorders>
          </w:tcPr>
          <w:p w14:paraId="52B0B873" w14:textId="77777777" w:rsidR="0005042F" w:rsidRDefault="007D1A26">
            <w:pPr>
              <w:jc w:val="right"/>
              <w:rPr>
                <w:b/>
                <w:color w:val="000000"/>
                <w:sz w:val="20"/>
                <w:szCs w:val="20"/>
              </w:rPr>
            </w:pPr>
            <w:r>
              <w:rPr>
                <w:b/>
                <w:color w:val="000000"/>
                <w:sz w:val="20"/>
                <w:szCs w:val="20"/>
              </w:rPr>
              <w:t>9</w:t>
            </w:r>
          </w:p>
        </w:tc>
        <w:tc>
          <w:tcPr>
            <w:tcW w:w="832" w:type="dxa"/>
            <w:tcBorders>
              <w:top w:val="single" w:sz="4" w:space="0" w:color="000000"/>
              <w:left w:val="single" w:sz="4" w:space="0" w:color="000000"/>
              <w:bottom w:val="single" w:sz="4" w:space="0" w:color="000000"/>
              <w:right w:val="single" w:sz="4" w:space="0" w:color="000000"/>
            </w:tcBorders>
            <w:vAlign w:val="center"/>
          </w:tcPr>
          <w:p w14:paraId="60A0FEB3" w14:textId="77777777" w:rsidR="0005042F" w:rsidRDefault="007D1A26">
            <w:pPr>
              <w:jc w:val="center"/>
              <w:rPr>
                <w:color w:val="000000"/>
                <w:sz w:val="20"/>
                <w:szCs w:val="20"/>
              </w:rPr>
            </w:pPr>
            <w:r>
              <w:rPr>
                <w:color w:val="000000"/>
                <w:sz w:val="20"/>
                <w:szCs w:val="20"/>
              </w:rPr>
              <w:t>-0.151</w:t>
            </w:r>
          </w:p>
        </w:tc>
        <w:tc>
          <w:tcPr>
            <w:tcW w:w="832" w:type="dxa"/>
            <w:tcBorders>
              <w:top w:val="single" w:sz="4" w:space="0" w:color="000000"/>
              <w:left w:val="single" w:sz="4" w:space="0" w:color="000000"/>
              <w:bottom w:val="single" w:sz="4" w:space="0" w:color="000000"/>
              <w:right w:val="single" w:sz="4" w:space="0" w:color="000000"/>
            </w:tcBorders>
            <w:vAlign w:val="center"/>
          </w:tcPr>
          <w:p w14:paraId="1B57FA96" w14:textId="77777777" w:rsidR="0005042F" w:rsidRDefault="007D1A26">
            <w:pPr>
              <w:jc w:val="center"/>
              <w:rPr>
                <w:color w:val="000000"/>
                <w:sz w:val="20"/>
                <w:szCs w:val="20"/>
              </w:rPr>
            </w:pPr>
            <w:r>
              <w:rPr>
                <w:sz w:val="20"/>
                <w:szCs w:val="20"/>
              </w:rPr>
              <w:t>-0.129</w:t>
            </w:r>
          </w:p>
        </w:tc>
        <w:tc>
          <w:tcPr>
            <w:tcW w:w="867" w:type="dxa"/>
            <w:tcBorders>
              <w:top w:val="single" w:sz="4" w:space="0" w:color="000000"/>
              <w:left w:val="single" w:sz="4" w:space="0" w:color="000000"/>
              <w:bottom w:val="single" w:sz="4" w:space="0" w:color="000000"/>
              <w:right w:val="single" w:sz="4" w:space="0" w:color="000000"/>
            </w:tcBorders>
            <w:vAlign w:val="center"/>
          </w:tcPr>
          <w:p w14:paraId="19351301" w14:textId="77777777" w:rsidR="0005042F" w:rsidRDefault="007D1A26">
            <w:pPr>
              <w:jc w:val="center"/>
              <w:rPr>
                <w:color w:val="000000"/>
                <w:sz w:val="20"/>
                <w:szCs w:val="20"/>
              </w:rPr>
            </w:pPr>
            <w:r>
              <w:rPr>
                <w:color w:val="000000"/>
                <w:sz w:val="20"/>
                <w:szCs w:val="20"/>
              </w:rPr>
              <w:t>-0.215</w:t>
            </w:r>
          </w:p>
        </w:tc>
        <w:tc>
          <w:tcPr>
            <w:tcW w:w="867" w:type="dxa"/>
            <w:tcBorders>
              <w:top w:val="single" w:sz="4" w:space="0" w:color="000000"/>
              <w:left w:val="single" w:sz="4" w:space="0" w:color="000000"/>
              <w:bottom w:val="single" w:sz="4" w:space="0" w:color="000000"/>
              <w:right w:val="single" w:sz="4" w:space="0" w:color="000000"/>
            </w:tcBorders>
            <w:vAlign w:val="center"/>
          </w:tcPr>
          <w:p w14:paraId="2426BDEB" w14:textId="77777777" w:rsidR="0005042F" w:rsidRDefault="007D1A26">
            <w:pPr>
              <w:jc w:val="center"/>
              <w:rPr>
                <w:color w:val="000000"/>
                <w:sz w:val="20"/>
                <w:szCs w:val="20"/>
              </w:rPr>
            </w:pPr>
            <w:r>
              <w:rPr>
                <w:color w:val="000000"/>
                <w:sz w:val="20"/>
                <w:szCs w:val="20"/>
              </w:rPr>
              <w:t>-0.055</w:t>
            </w:r>
          </w:p>
        </w:tc>
        <w:tc>
          <w:tcPr>
            <w:tcW w:w="867" w:type="dxa"/>
            <w:tcBorders>
              <w:top w:val="single" w:sz="4" w:space="0" w:color="000000"/>
              <w:left w:val="single" w:sz="4" w:space="0" w:color="000000"/>
              <w:bottom w:val="single" w:sz="4" w:space="0" w:color="000000"/>
              <w:right w:val="single" w:sz="4" w:space="0" w:color="000000"/>
            </w:tcBorders>
            <w:vAlign w:val="center"/>
          </w:tcPr>
          <w:p w14:paraId="7D50AED1" w14:textId="77777777" w:rsidR="0005042F" w:rsidRDefault="007D1A26">
            <w:pPr>
              <w:jc w:val="center"/>
              <w:rPr>
                <w:b/>
                <w:color w:val="000000"/>
                <w:sz w:val="20"/>
                <w:szCs w:val="20"/>
              </w:rPr>
            </w:pPr>
            <w:r>
              <w:rPr>
                <w:color w:val="000000"/>
                <w:sz w:val="20"/>
                <w:szCs w:val="20"/>
              </w:rPr>
              <w:t>-0.253</w:t>
            </w:r>
          </w:p>
        </w:tc>
        <w:tc>
          <w:tcPr>
            <w:tcW w:w="867" w:type="dxa"/>
            <w:tcBorders>
              <w:top w:val="single" w:sz="4" w:space="0" w:color="000000"/>
              <w:left w:val="single" w:sz="4" w:space="0" w:color="000000"/>
              <w:bottom w:val="single" w:sz="4" w:space="0" w:color="000000"/>
              <w:right w:val="single" w:sz="4" w:space="0" w:color="000000"/>
            </w:tcBorders>
            <w:vAlign w:val="center"/>
          </w:tcPr>
          <w:p w14:paraId="1B4F8EF3" w14:textId="77777777" w:rsidR="0005042F" w:rsidRDefault="007D1A26">
            <w:pPr>
              <w:jc w:val="center"/>
              <w:rPr>
                <w:color w:val="000000"/>
                <w:sz w:val="20"/>
                <w:szCs w:val="20"/>
              </w:rPr>
            </w:pPr>
            <w:r>
              <w:rPr>
                <w:color w:val="000000"/>
                <w:sz w:val="20"/>
                <w:szCs w:val="20"/>
              </w:rPr>
              <w:t>-0.057</w:t>
            </w:r>
          </w:p>
        </w:tc>
        <w:tc>
          <w:tcPr>
            <w:tcW w:w="833" w:type="dxa"/>
            <w:tcBorders>
              <w:top w:val="single" w:sz="4" w:space="0" w:color="000000"/>
              <w:left w:val="single" w:sz="4" w:space="0" w:color="000000"/>
              <w:bottom w:val="single" w:sz="4" w:space="0" w:color="000000"/>
              <w:right w:val="single" w:sz="4" w:space="0" w:color="000000"/>
            </w:tcBorders>
            <w:vAlign w:val="center"/>
          </w:tcPr>
          <w:p w14:paraId="562BC00A" w14:textId="77777777" w:rsidR="0005042F" w:rsidRDefault="007D1A26">
            <w:pPr>
              <w:jc w:val="center"/>
              <w:rPr>
                <w:b/>
                <w:color w:val="000000"/>
                <w:sz w:val="20"/>
                <w:szCs w:val="20"/>
              </w:rPr>
            </w:pPr>
            <w:r>
              <w:rPr>
                <w:color w:val="000000"/>
                <w:sz w:val="20"/>
                <w:szCs w:val="20"/>
              </w:rPr>
              <w:t>-0.291</w:t>
            </w:r>
          </w:p>
        </w:tc>
        <w:tc>
          <w:tcPr>
            <w:tcW w:w="833" w:type="dxa"/>
            <w:tcBorders>
              <w:top w:val="single" w:sz="4" w:space="0" w:color="000000"/>
              <w:left w:val="single" w:sz="4" w:space="0" w:color="000000"/>
              <w:bottom w:val="single" w:sz="4" w:space="0" w:color="000000"/>
              <w:right w:val="single" w:sz="4" w:space="0" w:color="000000"/>
            </w:tcBorders>
            <w:vAlign w:val="center"/>
          </w:tcPr>
          <w:p w14:paraId="67732F93" w14:textId="77777777" w:rsidR="0005042F" w:rsidRDefault="007D1A26">
            <w:pPr>
              <w:jc w:val="center"/>
              <w:rPr>
                <w:color w:val="000000"/>
                <w:sz w:val="20"/>
                <w:szCs w:val="20"/>
              </w:rPr>
            </w:pPr>
            <w:r>
              <w:rPr>
                <w:color w:val="000000"/>
                <w:sz w:val="20"/>
                <w:szCs w:val="20"/>
              </w:rPr>
              <w:t>-0.023</w:t>
            </w:r>
          </w:p>
        </w:tc>
        <w:tc>
          <w:tcPr>
            <w:tcW w:w="833" w:type="dxa"/>
            <w:tcBorders>
              <w:top w:val="single" w:sz="4" w:space="0" w:color="000000"/>
              <w:left w:val="single" w:sz="4" w:space="0" w:color="000000"/>
              <w:bottom w:val="single" w:sz="4" w:space="0" w:color="000000"/>
              <w:right w:val="single" w:sz="4" w:space="0" w:color="000000"/>
            </w:tcBorders>
            <w:vAlign w:val="center"/>
          </w:tcPr>
          <w:p w14:paraId="48F5027A" w14:textId="77777777" w:rsidR="0005042F" w:rsidRDefault="007D1A26">
            <w:pPr>
              <w:jc w:val="center"/>
              <w:rPr>
                <w:color w:val="000000"/>
                <w:sz w:val="20"/>
                <w:szCs w:val="20"/>
              </w:rPr>
            </w:pPr>
            <w:r>
              <w:rPr>
                <w:color w:val="000000"/>
                <w:sz w:val="20"/>
                <w:szCs w:val="20"/>
              </w:rPr>
              <w:t>1</w:t>
            </w:r>
          </w:p>
        </w:tc>
        <w:tc>
          <w:tcPr>
            <w:tcW w:w="833" w:type="dxa"/>
            <w:tcBorders>
              <w:top w:val="single" w:sz="4" w:space="0" w:color="000000"/>
              <w:left w:val="single" w:sz="4" w:space="0" w:color="000000"/>
              <w:bottom w:val="single" w:sz="4" w:space="0" w:color="000000"/>
              <w:right w:val="nil"/>
            </w:tcBorders>
            <w:vAlign w:val="center"/>
          </w:tcPr>
          <w:p w14:paraId="7A6CE79F" w14:textId="77777777" w:rsidR="0005042F" w:rsidRDefault="0005042F">
            <w:pPr>
              <w:jc w:val="center"/>
              <w:rPr>
                <w:color w:val="000000"/>
                <w:sz w:val="20"/>
                <w:szCs w:val="20"/>
              </w:rPr>
            </w:pPr>
          </w:p>
        </w:tc>
      </w:tr>
      <w:tr w:rsidR="0005042F" w14:paraId="3DB9BE65" w14:textId="77777777">
        <w:trPr>
          <w:trHeight w:val="276"/>
        </w:trPr>
        <w:tc>
          <w:tcPr>
            <w:tcW w:w="563" w:type="dxa"/>
            <w:tcBorders>
              <w:top w:val="single" w:sz="4" w:space="0" w:color="000000"/>
              <w:left w:val="nil"/>
              <w:bottom w:val="single" w:sz="4" w:space="0" w:color="000000"/>
              <w:right w:val="single" w:sz="4" w:space="0" w:color="000000"/>
            </w:tcBorders>
          </w:tcPr>
          <w:p w14:paraId="4B83F769" w14:textId="77777777" w:rsidR="0005042F" w:rsidRDefault="007D1A26">
            <w:pPr>
              <w:jc w:val="right"/>
              <w:rPr>
                <w:b/>
                <w:color w:val="000000"/>
                <w:sz w:val="20"/>
                <w:szCs w:val="20"/>
              </w:rPr>
            </w:pPr>
            <w:r>
              <w:rPr>
                <w:b/>
                <w:color w:val="000000"/>
                <w:sz w:val="20"/>
                <w:szCs w:val="20"/>
              </w:rPr>
              <w:t>10</w:t>
            </w:r>
          </w:p>
        </w:tc>
        <w:tc>
          <w:tcPr>
            <w:tcW w:w="832" w:type="dxa"/>
            <w:tcBorders>
              <w:top w:val="single" w:sz="4" w:space="0" w:color="000000"/>
              <w:left w:val="single" w:sz="4" w:space="0" w:color="000000"/>
              <w:bottom w:val="single" w:sz="4" w:space="0" w:color="000000"/>
              <w:right w:val="single" w:sz="4" w:space="0" w:color="000000"/>
            </w:tcBorders>
            <w:vAlign w:val="center"/>
          </w:tcPr>
          <w:p w14:paraId="20B75F4C" w14:textId="77777777" w:rsidR="0005042F" w:rsidRDefault="007D1A26">
            <w:pPr>
              <w:jc w:val="center"/>
              <w:rPr>
                <w:color w:val="000000"/>
                <w:sz w:val="20"/>
                <w:szCs w:val="20"/>
              </w:rPr>
            </w:pPr>
            <w:r>
              <w:rPr>
                <w:color w:val="000000"/>
                <w:sz w:val="20"/>
                <w:szCs w:val="20"/>
              </w:rPr>
              <w:t>-0.076</w:t>
            </w:r>
          </w:p>
        </w:tc>
        <w:tc>
          <w:tcPr>
            <w:tcW w:w="832" w:type="dxa"/>
            <w:tcBorders>
              <w:top w:val="single" w:sz="4" w:space="0" w:color="000000"/>
              <w:left w:val="single" w:sz="4" w:space="0" w:color="000000"/>
              <w:bottom w:val="single" w:sz="4" w:space="0" w:color="000000"/>
              <w:right w:val="single" w:sz="4" w:space="0" w:color="000000"/>
            </w:tcBorders>
            <w:vAlign w:val="center"/>
          </w:tcPr>
          <w:p w14:paraId="35CFAC85" w14:textId="77777777" w:rsidR="0005042F" w:rsidRDefault="007D1A26">
            <w:pPr>
              <w:jc w:val="center"/>
              <w:rPr>
                <w:color w:val="000000"/>
                <w:sz w:val="20"/>
                <w:szCs w:val="20"/>
              </w:rPr>
            </w:pPr>
            <w:r>
              <w:rPr>
                <w:sz w:val="20"/>
                <w:szCs w:val="20"/>
              </w:rPr>
              <w:t>-0.117</w:t>
            </w:r>
          </w:p>
        </w:tc>
        <w:tc>
          <w:tcPr>
            <w:tcW w:w="867" w:type="dxa"/>
            <w:tcBorders>
              <w:top w:val="single" w:sz="4" w:space="0" w:color="000000"/>
              <w:left w:val="single" w:sz="4" w:space="0" w:color="000000"/>
              <w:bottom w:val="single" w:sz="4" w:space="0" w:color="000000"/>
              <w:right w:val="single" w:sz="4" w:space="0" w:color="000000"/>
            </w:tcBorders>
            <w:vAlign w:val="center"/>
          </w:tcPr>
          <w:p w14:paraId="7B1A2FD9" w14:textId="77777777" w:rsidR="0005042F" w:rsidRDefault="007D1A26">
            <w:pPr>
              <w:jc w:val="center"/>
              <w:rPr>
                <w:color w:val="000000"/>
                <w:sz w:val="20"/>
                <w:szCs w:val="20"/>
              </w:rPr>
            </w:pPr>
            <w:r>
              <w:rPr>
                <w:color w:val="000000"/>
                <w:sz w:val="20"/>
                <w:szCs w:val="20"/>
              </w:rPr>
              <w:t>-0.142</w:t>
            </w:r>
          </w:p>
        </w:tc>
        <w:tc>
          <w:tcPr>
            <w:tcW w:w="867" w:type="dxa"/>
            <w:tcBorders>
              <w:top w:val="single" w:sz="4" w:space="0" w:color="000000"/>
              <w:left w:val="single" w:sz="4" w:space="0" w:color="000000"/>
              <w:bottom w:val="single" w:sz="4" w:space="0" w:color="000000"/>
              <w:right w:val="single" w:sz="4" w:space="0" w:color="000000"/>
            </w:tcBorders>
            <w:vAlign w:val="center"/>
          </w:tcPr>
          <w:p w14:paraId="36AA8740" w14:textId="77777777" w:rsidR="0005042F" w:rsidRDefault="007D1A26">
            <w:pPr>
              <w:jc w:val="center"/>
              <w:rPr>
                <w:color w:val="000000"/>
                <w:sz w:val="20"/>
                <w:szCs w:val="20"/>
              </w:rPr>
            </w:pPr>
            <w:r>
              <w:rPr>
                <w:color w:val="000000"/>
                <w:sz w:val="20"/>
                <w:szCs w:val="20"/>
              </w:rPr>
              <w:t>0.024</w:t>
            </w:r>
          </w:p>
        </w:tc>
        <w:tc>
          <w:tcPr>
            <w:tcW w:w="867" w:type="dxa"/>
            <w:tcBorders>
              <w:top w:val="single" w:sz="4" w:space="0" w:color="000000"/>
              <w:left w:val="single" w:sz="4" w:space="0" w:color="000000"/>
              <w:bottom w:val="single" w:sz="4" w:space="0" w:color="000000"/>
              <w:right w:val="single" w:sz="4" w:space="0" w:color="000000"/>
            </w:tcBorders>
            <w:vAlign w:val="center"/>
          </w:tcPr>
          <w:p w14:paraId="47137FFC" w14:textId="77777777" w:rsidR="0005042F" w:rsidRDefault="007D1A26">
            <w:pPr>
              <w:jc w:val="center"/>
              <w:rPr>
                <w:color w:val="000000"/>
                <w:sz w:val="20"/>
                <w:szCs w:val="20"/>
              </w:rPr>
            </w:pPr>
            <w:r>
              <w:rPr>
                <w:color w:val="000000"/>
                <w:sz w:val="20"/>
                <w:szCs w:val="20"/>
              </w:rPr>
              <w:t>0.186</w:t>
            </w:r>
          </w:p>
        </w:tc>
        <w:tc>
          <w:tcPr>
            <w:tcW w:w="867" w:type="dxa"/>
            <w:tcBorders>
              <w:top w:val="single" w:sz="4" w:space="0" w:color="000000"/>
              <w:left w:val="single" w:sz="4" w:space="0" w:color="000000"/>
              <w:bottom w:val="single" w:sz="4" w:space="0" w:color="000000"/>
              <w:right w:val="single" w:sz="4" w:space="0" w:color="000000"/>
            </w:tcBorders>
            <w:vAlign w:val="center"/>
          </w:tcPr>
          <w:p w14:paraId="5221C94D" w14:textId="77777777" w:rsidR="0005042F" w:rsidRDefault="007D1A26">
            <w:pPr>
              <w:jc w:val="center"/>
              <w:rPr>
                <w:b/>
                <w:color w:val="000000"/>
                <w:sz w:val="20"/>
                <w:szCs w:val="20"/>
              </w:rPr>
            </w:pPr>
            <w:r>
              <w:rPr>
                <w:color w:val="000000"/>
                <w:sz w:val="20"/>
                <w:szCs w:val="20"/>
              </w:rPr>
              <w:t>-0.022</w:t>
            </w:r>
          </w:p>
        </w:tc>
        <w:tc>
          <w:tcPr>
            <w:tcW w:w="833" w:type="dxa"/>
            <w:tcBorders>
              <w:top w:val="single" w:sz="4" w:space="0" w:color="000000"/>
              <w:left w:val="single" w:sz="4" w:space="0" w:color="000000"/>
              <w:bottom w:val="single" w:sz="4" w:space="0" w:color="000000"/>
              <w:right w:val="single" w:sz="4" w:space="0" w:color="000000"/>
            </w:tcBorders>
            <w:vAlign w:val="center"/>
          </w:tcPr>
          <w:p w14:paraId="7534783E" w14:textId="77777777" w:rsidR="0005042F" w:rsidRDefault="007D1A26">
            <w:pPr>
              <w:jc w:val="center"/>
              <w:rPr>
                <w:color w:val="000000"/>
                <w:sz w:val="20"/>
                <w:szCs w:val="20"/>
              </w:rPr>
            </w:pPr>
            <w:r>
              <w:rPr>
                <w:color w:val="000000"/>
                <w:sz w:val="20"/>
                <w:szCs w:val="20"/>
              </w:rPr>
              <w:t>-0.088</w:t>
            </w:r>
          </w:p>
        </w:tc>
        <w:tc>
          <w:tcPr>
            <w:tcW w:w="833" w:type="dxa"/>
            <w:tcBorders>
              <w:top w:val="single" w:sz="4" w:space="0" w:color="000000"/>
              <w:left w:val="single" w:sz="4" w:space="0" w:color="000000"/>
              <w:bottom w:val="single" w:sz="4" w:space="0" w:color="000000"/>
              <w:right w:val="single" w:sz="4" w:space="0" w:color="000000"/>
            </w:tcBorders>
            <w:vAlign w:val="center"/>
          </w:tcPr>
          <w:p w14:paraId="78F5EA97" w14:textId="77777777" w:rsidR="0005042F" w:rsidRDefault="007D1A26">
            <w:pPr>
              <w:jc w:val="center"/>
              <w:rPr>
                <w:b/>
                <w:color w:val="000000"/>
                <w:sz w:val="20"/>
                <w:szCs w:val="20"/>
              </w:rPr>
            </w:pPr>
            <w:r>
              <w:rPr>
                <w:color w:val="000000"/>
                <w:sz w:val="20"/>
                <w:szCs w:val="20"/>
              </w:rPr>
              <w:t>-0.070</w:t>
            </w:r>
          </w:p>
        </w:tc>
        <w:tc>
          <w:tcPr>
            <w:tcW w:w="833" w:type="dxa"/>
            <w:tcBorders>
              <w:top w:val="single" w:sz="4" w:space="0" w:color="000000"/>
              <w:left w:val="single" w:sz="4" w:space="0" w:color="000000"/>
              <w:bottom w:val="single" w:sz="4" w:space="0" w:color="000000"/>
              <w:right w:val="single" w:sz="4" w:space="0" w:color="000000"/>
            </w:tcBorders>
            <w:vAlign w:val="center"/>
          </w:tcPr>
          <w:p w14:paraId="0D359DAB" w14:textId="77777777" w:rsidR="0005042F" w:rsidRDefault="007D1A26">
            <w:pPr>
              <w:jc w:val="center"/>
              <w:rPr>
                <w:color w:val="000000"/>
                <w:sz w:val="20"/>
                <w:szCs w:val="20"/>
              </w:rPr>
            </w:pPr>
            <w:r>
              <w:rPr>
                <w:color w:val="000000"/>
                <w:sz w:val="20"/>
                <w:szCs w:val="20"/>
              </w:rPr>
              <w:t>0.044</w:t>
            </w:r>
          </w:p>
        </w:tc>
        <w:tc>
          <w:tcPr>
            <w:tcW w:w="833" w:type="dxa"/>
            <w:tcBorders>
              <w:top w:val="single" w:sz="4" w:space="0" w:color="000000"/>
              <w:left w:val="single" w:sz="4" w:space="0" w:color="000000"/>
              <w:bottom w:val="single" w:sz="4" w:space="0" w:color="000000"/>
              <w:right w:val="nil"/>
            </w:tcBorders>
            <w:vAlign w:val="center"/>
          </w:tcPr>
          <w:p w14:paraId="5CEE5182" w14:textId="77777777" w:rsidR="0005042F" w:rsidRDefault="007D1A26">
            <w:pPr>
              <w:jc w:val="center"/>
              <w:rPr>
                <w:color w:val="000000"/>
                <w:sz w:val="20"/>
                <w:szCs w:val="20"/>
              </w:rPr>
            </w:pPr>
            <w:r>
              <w:rPr>
                <w:color w:val="000000"/>
                <w:sz w:val="20"/>
                <w:szCs w:val="20"/>
              </w:rPr>
              <w:t>1</w:t>
            </w:r>
          </w:p>
        </w:tc>
      </w:tr>
      <w:tr w:rsidR="0005042F" w14:paraId="186EC268" w14:textId="77777777">
        <w:trPr>
          <w:trHeight w:val="276"/>
        </w:trPr>
        <w:tc>
          <w:tcPr>
            <w:tcW w:w="563" w:type="dxa"/>
            <w:tcBorders>
              <w:top w:val="single" w:sz="4" w:space="0" w:color="000000"/>
              <w:left w:val="nil"/>
              <w:bottom w:val="single" w:sz="4" w:space="0" w:color="000000"/>
              <w:right w:val="single" w:sz="4" w:space="0" w:color="000000"/>
            </w:tcBorders>
          </w:tcPr>
          <w:p w14:paraId="19C9FE30" w14:textId="77777777" w:rsidR="0005042F" w:rsidRDefault="007D1A26">
            <w:pPr>
              <w:jc w:val="center"/>
              <w:rPr>
                <w:b/>
                <w:color w:val="000000"/>
                <w:sz w:val="20"/>
                <w:szCs w:val="20"/>
              </w:rPr>
            </w:pPr>
            <w:r>
              <w:rPr>
                <w:b/>
                <w:color w:val="000000"/>
                <w:sz w:val="20"/>
                <w:szCs w:val="20"/>
              </w:rPr>
              <w:t>Cost</w:t>
            </w:r>
          </w:p>
        </w:tc>
        <w:tc>
          <w:tcPr>
            <w:tcW w:w="832" w:type="dxa"/>
            <w:tcBorders>
              <w:top w:val="single" w:sz="4" w:space="0" w:color="000000"/>
              <w:left w:val="single" w:sz="4" w:space="0" w:color="000000"/>
              <w:bottom w:val="single" w:sz="4" w:space="0" w:color="000000"/>
              <w:right w:val="single" w:sz="4" w:space="0" w:color="000000"/>
            </w:tcBorders>
            <w:vAlign w:val="center"/>
          </w:tcPr>
          <w:p w14:paraId="75293493" w14:textId="77777777" w:rsidR="0005042F" w:rsidRDefault="007D1A26">
            <w:pPr>
              <w:jc w:val="center"/>
              <w:rPr>
                <w:color w:val="000000"/>
                <w:sz w:val="20"/>
                <w:szCs w:val="20"/>
              </w:rPr>
            </w:pPr>
            <w:r>
              <w:rPr>
                <w:color w:val="000000"/>
                <w:sz w:val="20"/>
                <w:szCs w:val="20"/>
              </w:rPr>
              <w:t>-0.134</w:t>
            </w:r>
          </w:p>
        </w:tc>
        <w:tc>
          <w:tcPr>
            <w:tcW w:w="832" w:type="dxa"/>
            <w:tcBorders>
              <w:top w:val="single" w:sz="4" w:space="0" w:color="000000"/>
              <w:left w:val="single" w:sz="4" w:space="0" w:color="000000"/>
              <w:bottom w:val="single" w:sz="4" w:space="0" w:color="000000"/>
              <w:right w:val="single" w:sz="4" w:space="0" w:color="000000"/>
            </w:tcBorders>
            <w:vAlign w:val="center"/>
          </w:tcPr>
          <w:p w14:paraId="48D2F3FF" w14:textId="77777777" w:rsidR="0005042F" w:rsidRDefault="007D1A26">
            <w:pPr>
              <w:jc w:val="center"/>
              <w:rPr>
                <w:color w:val="000000"/>
                <w:sz w:val="20"/>
                <w:szCs w:val="20"/>
              </w:rPr>
            </w:pPr>
            <w:r>
              <w:rPr>
                <w:sz w:val="20"/>
                <w:szCs w:val="20"/>
              </w:rPr>
              <w:t>-0.332</w:t>
            </w:r>
          </w:p>
        </w:tc>
        <w:tc>
          <w:tcPr>
            <w:tcW w:w="867" w:type="dxa"/>
            <w:tcBorders>
              <w:top w:val="single" w:sz="4" w:space="0" w:color="000000"/>
              <w:left w:val="single" w:sz="4" w:space="0" w:color="000000"/>
              <w:bottom w:val="single" w:sz="4" w:space="0" w:color="000000"/>
              <w:right w:val="single" w:sz="4" w:space="0" w:color="000000"/>
            </w:tcBorders>
            <w:vAlign w:val="center"/>
          </w:tcPr>
          <w:p w14:paraId="5FE75C92" w14:textId="77777777" w:rsidR="0005042F" w:rsidRDefault="007D1A26">
            <w:pPr>
              <w:jc w:val="center"/>
              <w:rPr>
                <w:color w:val="000000"/>
                <w:sz w:val="20"/>
                <w:szCs w:val="20"/>
              </w:rPr>
            </w:pPr>
            <w:r>
              <w:rPr>
                <w:sz w:val="20"/>
                <w:szCs w:val="20"/>
              </w:rPr>
              <w:t>-0.123</w:t>
            </w:r>
          </w:p>
        </w:tc>
        <w:tc>
          <w:tcPr>
            <w:tcW w:w="867" w:type="dxa"/>
            <w:tcBorders>
              <w:top w:val="single" w:sz="4" w:space="0" w:color="000000"/>
              <w:left w:val="single" w:sz="4" w:space="0" w:color="000000"/>
              <w:bottom w:val="single" w:sz="4" w:space="0" w:color="000000"/>
              <w:right w:val="single" w:sz="4" w:space="0" w:color="000000"/>
            </w:tcBorders>
            <w:vAlign w:val="center"/>
          </w:tcPr>
          <w:p w14:paraId="49D72C33" w14:textId="77777777" w:rsidR="0005042F" w:rsidRDefault="007D1A26">
            <w:pPr>
              <w:jc w:val="center"/>
              <w:rPr>
                <w:color w:val="000000"/>
                <w:sz w:val="20"/>
                <w:szCs w:val="20"/>
              </w:rPr>
            </w:pPr>
            <w:r>
              <w:rPr>
                <w:sz w:val="20"/>
                <w:szCs w:val="20"/>
              </w:rPr>
              <w:t>-0.051</w:t>
            </w:r>
          </w:p>
        </w:tc>
        <w:tc>
          <w:tcPr>
            <w:tcW w:w="867" w:type="dxa"/>
            <w:tcBorders>
              <w:top w:val="single" w:sz="4" w:space="0" w:color="000000"/>
              <w:left w:val="single" w:sz="4" w:space="0" w:color="000000"/>
              <w:bottom w:val="single" w:sz="4" w:space="0" w:color="000000"/>
              <w:right w:val="single" w:sz="4" w:space="0" w:color="000000"/>
            </w:tcBorders>
            <w:vAlign w:val="center"/>
          </w:tcPr>
          <w:p w14:paraId="5EC76E3A" w14:textId="77777777" w:rsidR="0005042F" w:rsidRDefault="007D1A26">
            <w:pPr>
              <w:jc w:val="center"/>
              <w:rPr>
                <w:color w:val="000000"/>
                <w:sz w:val="20"/>
                <w:szCs w:val="20"/>
              </w:rPr>
            </w:pPr>
            <w:r>
              <w:rPr>
                <w:sz w:val="20"/>
                <w:szCs w:val="20"/>
              </w:rPr>
              <w:t>0.005</w:t>
            </w:r>
          </w:p>
        </w:tc>
        <w:tc>
          <w:tcPr>
            <w:tcW w:w="867" w:type="dxa"/>
            <w:tcBorders>
              <w:top w:val="single" w:sz="4" w:space="0" w:color="000000"/>
              <w:left w:val="single" w:sz="4" w:space="0" w:color="000000"/>
              <w:bottom w:val="single" w:sz="4" w:space="0" w:color="000000"/>
              <w:right w:val="single" w:sz="4" w:space="0" w:color="000000"/>
            </w:tcBorders>
            <w:vAlign w:val="center"/>
          </w:tcPr>
          <w:p w14:paraId="23DC8EC6" w14:textId="77777777" w:rsidR="0005042F" w:rsidRDefault="007D1A26">
            <w:pPr>
              <w:jc w:val="center"/>
              <w:rPr>
                <w:color w:val="000000"/>
                <w:sz w:val="20"/>
                <w:szCs w:val="20"/>
              </w:rPr>
            </w:pPr>
            <w:r>
              <w:rPr>
                <w:sz w:val="20"/>
                <w:szCs w:val="20"/>
              </w:rPr>
              <w:t>-0.058</w:t>
            </w:r>
          </w:p>
        </w:tc>
        <w:tc>
          <w:tcPr>
            <w:tcW w:w="833" w:type="dxa"/>
            <w:tcBorders>
              <w:top w:val="single" w:sz="4" w:space="0" w:color="000000"/>
              <w:left w:val="single" w:sz="4" w:space="0" w:color="000000"/>
              <w:bottom w:val="single" w:sz="4" w:space="0" w:color="000000"/>
              <w:right w:val="single" w:sz="4" w:space="0" w:color="000000"/>
            </w:tcBorders>
            <w:vAlign w:val="center"/>
          </w:tcPr>
          <w:p w14:paraId="5F5E0464" w14:textId="77777777" w:rsidR="0005042F" w:rsidRDefault="007D1A26">
            <w:pPr>
              <w:jc w:val="center"/>
              <w:rPr>
                <w:color w:val="000000"/>
                <w:sz w:val="20"/>
                <w:szCs w:val="20"/>
              </w:rPr>
            </w:pPr>
            <w:r>
              <w:rPr>
                <w:sz w:val="20"/>
                <w:szCs w:val="20"/>
              </w:rPr>
              <w:t>-0.120</w:t>
            </w:r>
          </w:p>
        </w:tc>
        <w:tc>
          <w:tcPr>
            <w:tcW w:w="833" w:type="dxa"/>
            <w:tcBorders>
              <w:top w:val="single" w:sz="4" w:space="0" w:color="000000"/>
              <w:left w:val="single" w:sz="4" w:space="0" w:color="000000"/>
              <w:bottom w:val="single" w:sz="4" w:space="0" w:color="000000"/>
              <w:right w:val="single" w:sz="4" w:space="0" w:color="000000"/>
            </w:tcBorders>
            <w:vAlign w:val="center"/>
          </w:tcPr>
          <w:p w14:paraId="34DB4E97" w14:textId="77777777" w:rsidR="0005042F" w:rsidRDefault="007D1A26">
            <w:pPr>
              <w:jc w:val="center"/>
              <w:rPr>
                <w:color w:val="000000"/>
                <w:sz w:val="20"/>
                <w:szCs w:val="20"/>
              </w:rPr>
            </w:pPr>
            <w:r>
              <w:rPr>
                <w:sz w:val="20"/>
                <w:szCs w:val="20"/>
              </w:rPr>
              <w:t>0.024</w:t>
            </w:r>
          </w:p>
        </w:tc>
        <w:tc>
          <w:tcPr>
            <w:tcW w:w="833" w:type="dxa"/>
            <w:tcBorders>
              <w:top w:val="single" w:sz="4" w:space="0" w:color="000000"/>
              <w:left w:val="single" w:sz="4" w:space="0" w:color="000000"/>
              <w:bottom w:val="single" w:sz="4" w:space="0" w:color="000000"/>
              <w:right w:val="single" w:sz="4" w:space="0" w:color="000000"/>
            </w:tcBorders>
            <w:vAlign w:val="center"/>
          </w:tcPr>
          <w:p w14:paraId="5C62BDA9" w14:textId="77777777" w:rsidR="0005042F" w:rsidRDefault="007D1A26">
            <w:pPr>
              <w:jc w:val="center"/>
              <w:rPr>
                <w:color w:val="000000"/>
                <w:sz w:val="20"/>
                <w:szCs w:val="20"/>
              </w:rPr>
            </w:pPr>
            <w:r>
              <w:rPr>
                <w:sz w:val="20"/>
                <w:szCs w:val="20"/>
              </w:rPr>
              <w:t>0.046</w:t>
            </w:r>
          </w:p>
        </w:tc>
        <w:tc>
          <w:tcPr>
            <w:tcW w:w="833" w:type="dxa"/>
            <w:tcBorders>
              <w:top w:val="single" w:sz="4" w:space="0" w:color="000000"/>
              <w:left w:val="single" w:sz="4" w:space="0" w:color="000000"/>
              <w:bottom w:val="single" w:sz="4" w:space="0" w:color="000000"/>
              <w:right w:val="nil"/>
            </w:tcBorders>
            <w:vAlign w:val="center"/>
          </w:tcPr>
          <w:p w14:paraId="5312EF2F" w14:textId="77777777" w:rsidR="0005042F" w:rsidRDefault="007D1A26">
            <w:pPr>
              <w:jc w:val="center"/>
              <w:rPr>
                <w:color w:val="000000"/>
                <w:sz w:val="20"/>
                <w:szCs w:val="20"/>
              </w:rPr>
            </w:pPr>
            <w:r>
              <w:rPr>
                <w:sz w:val="20"/>
                <w:szCs w:val="20"/>
              </w:rPr>
              <w:t>0.178</w:t>
            </w:r>
          </w:p>
        </w:tc>
      </w:tr>
    </w:tbl>
    <w:p w14:paraId="6C24CB92" w14:textId="77777777" w:rsidR="0005042F" w:rsidRDefault="007D1A26">
      <w:pPr>
        <w:spacing w:after="160" w:line="256" w:lineRule="auto"/>
        <w:rPr>
          <w:rFonts w:ascii="Calibri" w:eastAsia="Calibri" w:hAnsi="Calibri" w:cs="Calibri"/>
          <w:sz w:val="20"/>
          <w:szCs w:val="20"/>
        </w:rPr>
      </w:pPr>
      <w:r>
        <w:rPr>
          <w:rFonts w:ascii="Calibri" w:eastAsia="Calibri" w:hAnsi="Calibri" w:cs="Calibri"/>
          <w:sz w:val="20"/>
          <w:szCs w:val="20"/>
        </w:rPr>
        <w:t>Note.  **, ***:  Pearson correlation significant at the 1% and 5% level after applying Bonferroni adjustment.</w:t>
      </w:r>
    </w:p>
    <w:p w14:paraId="5AA29E4B" w14:textId="77777777" w:rsidR="0005042F" w:rsidRDefault="0005042F">
      <w:pPr>
        <w:spacing w:after="160" w:line="256" w:lineRule="auto"/>
        <w:jc w:val="left"/>
        <w:rPr>
          <w:rFonts w:ascii="Calibri" w:eastAsia="Calibri" w:hAnsi="Calibri" w:cs="Calibri"/>
          <w:b/>
          <w:sz w:val="22"/>
          <w:szCs w:val="22"/>
        </w:rPr>
      </w:pPr>
    </w:p>
    <w:p w14:paraId="2B9F7FA2" w14:textId="77777777" w:rsidR="0005042F" w:rsidRDefault="007D1A26">
      <w:pPr>
        <w:spacing w:after="160"/>
        <w:jc w:val="left"/>
        <w:rPr>
          <w:rFonts w:ascii="Calibri" w:eastAsia="Calibri" w:hAnsi="Calibri" w:cs="Calibri"/>
          <w:b/>
          <w:sz w:val="22"/>
          <w:szCs w:val="22"/>
        </w:rPr>
      </w:pPr>
      <w:r>
        <w:br w:type="page"/>
      </w:r>
    </w:p>
    <w:p w14:paraId="20F04245" w14:textId="77777777" w:rsidR="0005042F" w:rsidRDefault="007D1A26">
      <w:pPr>
        <w:spacing w:after="160" w:line="256" w:lineRule="auto"/>
        <w:jc w:val="left"/>
        <w:rPr>
          <w:rFonts w:ascii="Calibri" w:eastAsia="Calibri" w:hAnsi="Calibri" w:cs="Calibri"/>
          <w:b/>
          <w:sz w:val="22"/>
          <w:szCs w:val="22"/>
        </w:rPr>
      </w:pPr>
      <w:r>
        <w:rPr>
          <w:rFonts w:ascii="Calibri" w:eastAsia="Calibri" w:hAnsi="Calibri" w:cs="Calibri"/>
          <w:b/>
          <w:sz w:val="22"/>
          <w:szCs w:val="22"/>
        </w:rPr>
        <w:lastRenderedPageBreak/>
        <w:t xml:space="preserve">Table 4. Sensitivity to weights on cost and non-health attributes  </w:t>
      </w:r>
    </w:p>
    <w:tbl>
      <w:tblPr>
        <w:tblStyle w:val="a2"/>
        <w:tblW w:w="9202" w:type="dxa"/>
        <w:tblInd w:w="-176"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2991"/>
        <w:gridCol w:w="1403"/>
        <w:gridCol w:w="1402"/>
        <w:gridCol w:w="1516"/>
        <w:gridCol w:w="851"/>
        <w:gridCol w:w="1039"/>
      </w:tblGrid>
      <w:tr w:rsidR="0005042F" w14:paraId="2243BF03" w14:textId="77777777">
        <w:tc>
          <w:tcPr>
            <w:tcW w:w="2991" w:type="dxa"/>
            <w:tcBorders>
              <w:top w:val="single" w:sz="4" w:space="0" w:color="000000"/>
              <w:left w:val="nil"/>
              <w:bottom w:val="single" w:sz="4" w:space="0" w:color="000000"/>
              <w:right w:val="single" w:sz="4" w:space="0" w:color="000000"/>
            </w:tcBorders>
            <w:vAlign w:val="center"/>
          </w:tcPr>
          <w:p w14:paraId="3C2B116E" w14:textId="77777777" w:rsidR="0005042F" w:rsidRDefault="0005042F">
            <w:pPr>
              <w:jc w:val="center"/>
              <w:rPr>
                <w:sz w:val="22"/>
                <w:szCs w:val="22"/>
              </w:rPr>
            </w:pPr>
          </w:p>
        </w:tc>
        <w:tc>
          <w:tcPr>
            <w:tcW w:w="1403" w:type="dxa"/>
            <w:tcBorders>
              <w:top w:val="single" w:sz="4" w:space="0" w:color="000000"/>
              <w:left w:val="single" w:sz="4" w:space="0" w:color="000000"/>
              <w:bottom w:val="single" w:sz="4" w:space="0" w:color="000000"/>
              <w:right w:val="single" w:sz="4" w:space="0" w:color="000000"/>
            </w:tcBorders>
          </w:tcPr>
          <w:p w14:paraId="5B4883EC" w14:textId="77777777" w:rsidR="0005042F" w:rsidRDefault="007D1A26">
            <w:pPr>
              <w:jc w:val="center"/>
              <w:rPr>
                <w:color w:val="000000"/>
                <w:sz w:val="20"/>
                <w:szCs w:val="20"/>
              </w:rPr>
            </w:pPr>
            <w:proofErr w:type="spellStart"/>
            <w:r>
              <w:rPr>
                <w:color w:val="000000"/>
                <w:sz w:val="20"/>
                <w:szCs w:val="20"/>
              </w:rPr>
              <w:t>Correlation</w:t>
            </w:r>
            <w:r>
              <w:rPr>
                <w:color w:val="000000"/>
                <w:sz w:val="20"/>
                <w:szCs w:val="20"/>
                <w:vertAlign w:val="superscript"/>
              </w:rPr>
              <w:t>a</w:t>
            </w:r>
            <w:proofErr w:type="spellEnd"/>
            <w:r>
              <w:rPr>
                <w:color w:val="000000"/>
                <w:sz w:val="20"/>
                <w:szCs w:val="20"/>
              </w:rPr>
              <w:t xml:space="preserve"> with baseline </w:t>
            </w:r>
            <w:proofErr w:type="spellStart"/>
            <w:r>
              <w:rPr>
                <w:color w:val="000000"/>
                <w:sz w:val="20"/>
                <w:szCs w:val="20"/>
              </w:rPr>
              <w:t>eNHB</w:t>
            </w:r>
            <w:proofErr w:type="spellEnd"/>
            <w:r>
              <w:rPr>
                <w:color w:val="000000"/>
                <w:sz w:val="20"/>
                <w:szCs w:val="20"/>
              </w:rPr>
              <w:t xml:space="preserve"> </w:t>
            </w:r>
          </w:p>
          <w:p w14:paraId="07F9E235" w14:textId="77777777" w:rsidR="0005042F" w:rsidRDefault="007D1A26">
            <w:pPr>
              <w:jc w:val="center"/>
              <w:rPr>
                <w:color w:val="000000"/>
                <w:sz w:val="20"/>
                <w:szCs w:val="20"/>
              </w:rPr>
            </w:pPr>
            <w:r>
              <w:rPr>
                <w:color w:val="000000"/>
                <w:sz w:val="20"/>
                <w:szCs w:val="20"/>
              </w:rPr>
              <w:t>(1)</w:t>
            </w:r>
          </w:p>
        </w:tc>
        <w:tc>
          <w:tcPr>
            <w:tcW w:w="1402" w:type="dxa"/>
            <w:tcBorders>
              <w:top w:val="single" w:sz="4" w:space="0" w:color="000000"/>
              <w:left w:val="single" w:sz="4" w:space="0" w:color="000000"/>
              <w:bottom w:val="single" w:sz="4" w:space="0" w:color="000000"/>
              <w:right w:val="single" w:sz="4" w:space="0" w:color="000000"/>
            </w:tcBorders>
          </w:tcPr>
          <w:p w14:paraId="1867CD32" w14:textId="77777777" w:rsidR="0005042F" w:rsidRDefault="007D1A26">
            <w:pPr>
              <w:jc w:val="center"/>
              <w:rPr>
                <w:color w:val="000000"/>
                <w:sz w:val="20"/>
                <w:szCs w:val="20"/>
              </w:rPr>
            </w:pPr>
            <w:proofErr w:type="spellStart"/>
            <w:r>
              <w:rPr>
                <w:color w:val="000000"/>
                <w:sz w:val="20"/>
                <w:szCs w:val="20"/>
              </w:rPr>
              <w:t>Correlation</w:t>
            </w:r>
            <w:r>
              <w:rPr>
                <w:color w:val="000000"/>
                <w:sz w:val="20"/>
                <w:szCs w:val="20"/>
                <w:vertAlign w:val="superscript"/>
              </w:rPr>
              <w:t>b</w:t>
            </w:r>
            <w:proofErr w:type="spellEnd"/>
            <w:r>
              <w:rPr>
                <w:color w:val="000000"/>
                <w:sz w:val="20"/>
                <w:szCs w:val="20"/>
              </w:rPr>
              <w:t xml:space="preserve"> with baseline </w:t>
            </w:r>
            <w:proofErr w:type="spellStart"/>
            <w:r>
              <w:rPr>
                <w:color w:val="000000"/>
                <w:sz w:val="20"/>
                <w:szCs w:val="20"/>
              </w:rPr>
              <w:t>eNHB</w:t>
            </w:r>
            <w:proofErr w:type="spellEnd"/>
            <w:r>
              <w:rPr>
                <w:color w:val="000000"/>
                <w:sz w:val="20"/>
                <w:szCs w:val="20"/>
              </w:rPr>
              <w:t xml:space="preserve"> ranking</w:t>
            </w:r>
          </w:p>
          <w:p w14:paraId="6137A4A5" w14:textId="77777777" w:rsidR="0005042F" w:rsidRDefault="007D1A26">
            <w:pPr>
              <w:jc w:val="center"/>
              <w:rPr>
                <w:sz w:val="22"/>
                <w:szCs w:val="22"/>
              </w:rPr>
            </w:pPr>
            <w:r>
              <w:rPr>
                <w:color w:val="000000"/>
                <w:sz w:val="20"/>
                <w:szCs w:val="20"/>
              </w:rPr>
              <w:t>(2)</w:t>
            </w:r>
          </w:p>
        </w:tc>
        <w:tc>
          <w:tcPr>
            <w:tcW w:w="1516" w:type="dxa"/>
            <w:tcBorders>
              <w:top w:val="single" w:sz="4" w:space="0" w:color="000000"/>
              <w:left w:val="single" w:sz="4" w:space="0" w:color="000000"/>
              <w:bottom w:val="single" w:sz="4" w:space="0" w:color="000000"/>
              <w:right w:val="single" w:sz="4" w:space="0" w:color="000000"/>
            </w:tcBorders>
          </w:tcPr>
          <w:p w14:paraId="2EB43199" w14:textId="77777777" w:rsidR="0005042F" w:rsidRDefault="007D1A26">
            <w:pPr>
              <w:jc w:val="center"/>
              <w:rPr>
                <w:color w:val="000000"/>
                <w:sz w:val="20"/>
                <w:szCs w:val="20"/>
              </w:rPr>
            </w:pPr>
            <w:r>
              <w:rPr>
                <w:color w:val="000000"/>
                <w:sz w:val="20"/>
                <w:szCs w:val="20"/>
              </w:rPr>
              <w:t xml:space="preserve">Average absolute change in ranking </w:t>
            </w:r>
          </w:p>
          <w:p w14:paraId="51DF8463" w14:textId="77777777" w:rsidR="0005042F" w:rsidRDefault="007D1A26">
            <w:pPr>
              <w:jc w:val="center"/>
              <w:rPr>
                <w:sz w:val="22"/>
                <w:szCs w:val="22"/>
              </w:rPr>
            </w:pPr>
            <w:r>
              <w:rPr>
                <w:color w:val="000000"/>
                <w:sz w:val="20"/>
                <w:szCs w:val="20"/>
              </w:rPr>
              <w:t>(3)</w:t>
            </w:r>
          </w:p>
        </w:tc>
        <w:tc>
          <w:tcPr>
            <w:tcW w:w="851" w:type="dxa"/>
            <w:tcBorders>
              <w:top w:val="single" w:sz="4" w:space="0" w:color="000000"/>
              <w:left w:val="single" w:sz="4" w:space="0" w:color="000000"/>
              <w:bottom w:val="single" w:sz="4" w:space="0" w:color="000000"/>
              <w:right w:val="single" w:sz="4" w:space="0" w:color="000000"/>
            </w:tcBorders>
          </w:tcPr>
          <w:p w14:paraId="06E6A096" w14:textId="77777777" w:rsidR="0005042F" w:rsidRDefault="007D1A26">
            <w:pPr>
              <w:jc w:val="center"/>
              <w:rPr>
                <w:color w:val="000000"/>
                <w:sz w:val="20"/>
                <w:szCs w:val="20"/>
              </w:rPr>
            </w:pPr>
            <w:r>
              <w:rPr>
                <w:color w:val="000000"/>
                <w:sz w:val="20"/>
                <w:szCs w:val="20"/>
              </w:rPr>
              <w:t>Change in top quartile</w:t>
            </w:r>
          </w:p>
          <w:p w14:paraId="58AB4D11" w14:textId="77777777" w:rsidR="0005042F" w:rsidRDefault="007D1A26">
            <w:pPr>
              <w:jc w:val="center"/>
              <w:rPr>
                <w:color w:val="000000"/>
                <w:sz w:val="20"/>
                <w:szCs w:val="20"/>
              </w:rPr>
            </w:pPr>
            <w:r>
              <w:rPr>
                <w:color w:val="000000"/>
                <w:sz w:val="20"/>
                <w:szCs w:val="20"/>
              </w:rPr>
              <w:t>(4)</w:t>
            </w:r>
          </w:p>
        </w:tc>
        <w:tc>
          <w:tcPr>
            <w:tcW w:w="1039" w:type="dxa"/>
            <w:tcBorders>
              <w:top w:val="single" w:sz="4" w:space="0" w:color="000000"/>
              <w:left w:val="single" w:sz="4" w:space="0" w:color="000000"/>
              <w:bottom w:val="single" w:sz="4" w:space="0" w:color="000000"/>
              <w:right w:val="nil"/>
            </w:tcBorders>
          </w:tcPr>
          <w:p w14:paraId="3EB87651" w14:textId="77777777" w:rsidR="0005042F" w:rsidRDefault="007D1A26">
            <w:pPr>
              <w:jc w:val="center"/>
              <w:rPr>
                <w:color w:val="000000"/>
                <w:sz w:val="20"/>
                <w:szCs w:val="20"/>
              </w:rPr>
            </w:pPr>
            <w:r>
              <w:rPr>
                <w:color w:val="000000"/>
                <w:sz w:val="20"/>
                <w:szCs w:val="20"/>
              </w:rPr>
              <w:t>Change in bottom quartile</w:t>
            </w:r>
          </w:p>
          <w:p w14:paraId="459FE5E8" w14:textId="77777777" w:rsidR="0005042F" w:rsidRDefault="007D1A26">
            <w:pPr>
              <w:jc w:val="center"/>
              <w:rPr>
                <w:color w:val="000000"/>
                <w:sz w:val="20"/>
                <w:szCs w:val="20"/>
              </w:rPr>
            </w:pPr>
            <w:r>
              <w:rPr>
                <w:color w:val="000000"/>
                <w:sz w:val="20"/>
                <w:szCs w:val="20"/>
              </w:rPr>
              <w:t>(5)</w:t>
            </w:r>
          </w:p>
        </w:tc>
      </w:tr>
      <w:tr w:rsidR="0005042F" w14:paraId="12C0817C" w14:textId="77777777">
        <w:tc>
          <w:tcPr>
            <w:tcW w:w="2991" w:type="dxa"/>
            <w:tcBorders>
              <w:top w:val="single" w:sz="4" w:space="0" w:color="000000"/>
              <w:left w:val="nil"/>
              <w:bottom w:val="nil"/>
              <w:right w:val="single" w:sz="4" w:space="0" w:color="000000"/>
            </w:tcBorders>
            <w:vAlign w:val="center"/>
          </w:tcPr>
          <w:p w14:paraId="1C03A5BE" w14:textId="77777777" w:rsidR="0005042F" w:rsidRDefault="007D1A26">
            <w:pPr>
              <w:spacing w:line="276" w:lineRule="auto"/>
              <w:rPr>
                <w:sz w:val="22"/>
                <w:szCs w:val="22"/>
              </w:rPr>
            </w:pPr>
            <w:r>
              <w:rPr>
                <w:i/>
                <w:color w:val="000000"/>
                <w:sz w:val="20"/>
                <w:szCs w:val="20"/>
              </w:rPr>
              <w:t xml:space="preserve">Health </w:t>
            </w:r>
            <w:r>
              <w:rPr>
                <w:i/>
                <w:color w:val="000000"/>
                <w:sz w:val="20"/>
                <w:szCs w:val="20"/>
              </w:rPr>
              <w:t>gain equivalent of cost (</w:t>
            </w:r>
            <w:proofErr w:type="spellStart"/>
            <w:r>
              <w:rPr>
                <w:i/>
                <w:color w:val="000000"/>
                <w:sz w:val="20"/>
                <w:szCs w:val="20"/>
              </w:rPr>
              <w:t>w</w:t>
            </w:r>
            <w:r>
              <w:rPr>
                <w:i/>
                <w:color w:val="000000"/>
                <w:sz w:val="20"/>
                <w:szCs w:val="20"/>
                <w:vertAlign w:val="subscript"/>
              </w:rPr>
              <w:t>c</w:t>
            </w:r>
            <w:proofErr w:type="spellEnd"/>
            <w:r>
              <w:rPr>
                <w:i/>
                <w:color w:val="000000"/>
                <w:sz w:val="20"/>
                <w:szCs w:val="20"/>
              </w:rPr>
              <w:t>)</w:t>
            </w:r>
          </w:p>
        </w:tc>
        <w:tc>
          <w:tcPr>
            <w:tcW w:w="1403" w:type="dxa"/>
            <w:tcBorders>
              <w:top w:val="single" w:sz="4" w:space="0" w:color="000000"/>
              <w:left w:val="single" w:sz="4" w:space="0" w:color="000000"/>
              <w:bottom w:val="nil"/>
              <w:right w:val="single" w:sz="4" w:space="0" w:color="000000"/>
            </w:tcBorders>
            <w:vAlign w:val="center"/>
          </w:tcPr>
          <w:p w14:paraId="52FA20B8" w14:textId="77777777" w:rsidR="0005042F" w:rsidRDefault="0005042F">
            <w:pPr>
              <w:spacing w:line="276" w:lineRule="auto"/>
              <w:rPr>
                <w:sz w:val="22"/>
                <w:szCs w:val="22"/>
              </w:rPr>
            </w:pPr>
          </w:p>
        </w:tc>
        <w:tc>
          <w:tcPr>
            <w:tcW w:w="1402" w:type="dxa"/>
            <w:tcBorders>
              <w:top w:val="single" w:sz="4" w:space="0" w:color="000000"/>
              <w:left w:val="single" w:sz="4" w:space="0" w:color="000000"/>
              <w:bottom w:val="nil"/>
              <w:right w:val="single" w:sz="4" w:space="0" w:color="000000"/>
            </w:tcBorders>
            <w:vAlign w:val="center"/>
          </w:tcPr>
          <w:p w14:paraId="60C6239C" w14:textId="77777777" w:rsidR="0005042F" w:rsidRDefault="0005042F">
            <w:pPr>
              <w:spacing w:line="276" w:lineRule="auto"/>
              <w:rPr>
                <w:sz w:val="22"/>
                <w:szCs w:val="22"/>
              </w:rPr>
            </w:pPr>
          </w:p>
        </w:tc>
        <w:tc>
          <w:tcPr>
            <w:tcW w:w="1516" w:type="dxa"/>
            <w:tcBorders>
              <w:top w:val="single" w:sz="4" w:space="0" w:color="000000"/>
              <w:left w:val="single" w:sz="4" w:space="0" w:color="000000"/>
              <w:bottom w:val="nil"/>
              <w:right w:val="single" w:sz="4" w:space="0" w:color="000000"/>
            </w:tcBorders>
            <w:vAlign w:val="center"/>
          </w:tcPr>
          <w:p w14:paraId="2C50FFAD" w14:textId="77777777" w:rsidR="0005042F" w:rsidRDefault="0005042F">
            <w:pPr>
              <w:spacing w:line="276" w:lineRule="auto"/>
              <w:rPr>
                <w:sz w:val="22"/>
                <w:szCs w:val="22"/>
              </w:rPr>
            </w:pPr>
          </w:p>
        </w:tc>
        <w:tc>
          <w:tcPr>
            <w:tcW w:w="851" w:type="dxa"/>
            <w:tcBorders>
              <w:top w:val="single" w:sz="4" w:space="0" w:color="000000"/>
              <w:left w:val="single" w:sz="4" w:space="0" w:color="000000"/>
              <w:bottom w:val="nil"/>
              <w:right w:val="single" w:sz="4" w:space="0" w:color="000000"/>
            </w:tcBorders>
            <w:vAlign w:val="center"/>
          </w:tcPr>
          <w:p w14:paraId="3A6D47D2" w14:textId="77777777" w:rsidR="0005042F" w:rsidRDefault="0005042F">
            <w:pPr>
              <w:spacing w:line="276" w:lineRule="auto"/>
              <w:rPr>
                <w:sz w:val="22"/>
                <w:szCs w:val="22"/>
              </w:rPr>
            </w:pPr>
          </w:p>
        </w:tc>
        <w:tc>
          <w:tcPr>
            <w:tcW w:w="1039" w:type="dxa"/>
            <w:tcBorders>
              <w:top w:val="single" w:sz="4" w:space="0" w:color="000000"/>
              <w:left w:val="single" w:sz="4" w:space="0" w:color="000000"/>
              <w:bottom w:val="nil"/>
              <w:right w:val="nil"/>
            </w:tcBorders>
            <w:vAlign w:val="center"/>
          </w:tcPr>
          <w:p w14:paraId="0D691111" w14:textId="77777777" w:rsidR="0005042F" w:rsidRDefault="0005042F">
            <w:pPr>
              <w:spacing w:line="276" w:lineRule="auto"/>
              <w:rPr>
                <w:sz w:val="22"/>
                <w:szCs w:val="22"/>
              </w:rPr>
            </w:pPr>
          </w:p>
        </w:tc>
      </w:tr>
      <w:tr w:rsidR="0005042F" w14:paraId="3DF413E1" w14:textId="77777777">
        <w:tc>
          <w:tcPr>
            <w:tcW w:w="2991" w:type="dxa"/>
            <w:tcBorders>
              <w:top w:val="nil"/>
              <w:left w:val="nil"/>
              <w:bottom w:val="nil"/>
              <w:right w:val="single" w:sz="4" w:space="0" w:color="000000"/>
            </w:tcBorders>
            <w:vAlign w:val="center"/>
          </w:tcPr>
          <w:p w14:paraId="7E343062" w14:textId="77777777" w:rsidR="0005042F" w:rsidRDefault="007D1A26">
            <w:pPr>
              <w:spacing w:line="276" w:lineRule="auto"/>
              <w:jc w:val="right"/>
              <w:rPr>
                <w:sz w:val="22"/>
                <w:szCs w:val="22"/>
              </w:rPr>
            </w:pPr>
            <w:proofErr w:type="spellStart"/>
            <w:r>
              <w:rPr>
                <w:i/>
                <w:color w:val="000000"/>
                <w:sz w:val="20"/>
                <w:szCs w:val="20"/>
              </w:rPr>
              <w:t>w</w:t>
            </w:r>
            <w:r>
              <w:rPr>
                <w:i/>
                <w:color w:val="000000"/>
                <w:sz w:val="20"/>
                <w:szCs w:val="20"/>
                <w:vertAlign w:val="subscript"/>
              </w:rPr>
              <w:t>c</w:t>
            </w:r>
            <w:proofErr w:type="spellEnd"/>
            <w:r>
              <w:rPr>
                <w:i/>
                <w:color w:val="000000"/>
                <w:sz w:val="20"/>
                <w:szCs w:val="20"/>
                <w:vertAlign w:val="subscript"/>
              </w:rPr>
              <w:t xml:space="preserve"> </w:t>
            </w:r>
            <w:r>
              <w:rPr>
                <w:color w:val="000000"/>
                <w:sz w:val="20"/>
                <w:szCs w:val="20"/>
              </w:rPr>
              <w:t>=1/£10k</w:t>
            </w:r>
          </w:p>
        </w:tc>
        <w:tc>
          <w:tcPr>
            <w:tcW w:w="1403" w:type="dxa"/>
            <w:tcBorders>
              <w:top w:val="nil"/>
              <w:left w:val="single" w:sz="4" w:space="0" w:color="000000"/>
              <w:bottom w:val="nil"/>
              <w:right w:val="single" w:sz="4" w:space="0" w:color="000000"/>
            </w:tcBorders>
            <w:vAlign w:val="center"/>
          </w:tcPr>
          <w:p w14:paraId="3331249A" w14:textId="77777777" w:rsidR="0005042F" w:rsidRDefault="007D1A26">
            <w:pPr>
              <w:spacing w:line="276" w:lineRule="auto"/>
              <w:jc w:val="center"/>
              <w:rPr>
                <w:color w:val="000000"/>
                <w:sz w:val="20"/>
                <w:szCs w:val="20"/>
              </w:rPr>
            </w:pPr>
            <w:r>
              <w:rPr>
                <w:color w:val="000000"/>
                <w:sz w:val="20"/>
                <w:szCs w:val="20"/>
              </w:rPr>
              <w:t>0.93</w:t>
            </w:r>
          </w:p>
        </w:tc>
        <w:tc>
          <w:tcPr>
            <w:tcW w:w="1402" w:type="dxa"/>
            <w:tcBorders>
              <w:top w:val="nil"/>
              <w:left w:val="single" w:sz="4" w:space="0" w:color="000000"/>
              <w:bottom w:val="nil"/>
              <w:right w:val="single" w:sz="4" w:space="0" w:color="000000"/>
            </w:tcBorders>
            <w:vAlign w:val="center"/>
          </w:tcPr>
          <w:p w14:paraId="7F55EB4D" w14:textId="77777777" w:rsidR="0005042F" w:rsidRDefault="007D1A26">
            <w:pPr>
              <w:spacing w:line="276" w:lineRule="auto"/>
              <w:jc w:val="center"/>
              <w:rPr>
                <w:sz w:val="22"/>
                <w:szCs w:val="22"/>
              </w:rPr>
            </w:pPr>
            <w:r>
              <w:rPr>
                <w:color w:val="000000"/>
                <w:sz w:val="20"/>
                <w:szCs w:val="20"/>
              </w:rPr>
              <w:t>0.82</w:t>
            </w:r>
          </w:p>
        </w:tc>
        <w:tc>
          <w:tcPr>
            <w:tcW w:w="1516" w:type="dxa"/>
            <w:tcBorders>
              <w:top w:val="nil"/>
              <w:left w:val="single" w:sz="4" w:space="0" w:color="000000"/>
              <w:bottom w:val="nil"/>
              <w:right w:val="single" w:sz="4" w:space="0" w:color="000000"/>
            </w:tcBorders>
            <w:vAlign w:val="center"/>
          </w:tcPr>
          <w:p w14:paraId="1E30F47E" w14:textId="77777777" w:rsidR="0005042F" w:rsidRDefault="007D1A26">
            <w:pPr>
              <w:spacing w:line="276" w:lineRule="auto"/>
              <w:jc w:val="center"/>
              <w:rPr>
                <w:sz w:val="22"/>
                <w:szCs w:val="22"/>
              </w:rPr>
            </w:pPr>
            <w:r>
              <w:rPr>
                <w:color w:val="000000"/>
                <w:sz w:val="20"/>
                <w:szCs w:val="20"/>
              </w:rPr>
              <w:t>6.5</w:t>
            </w:r>
          </w:p>
        </w:tc>
        <w:tc>
          <w:tcPr>
            <w:tcW w:w="851" w:type="dxa"/>
            <w:tcBorders>
              <w:top w:val="nil"/>
              <w:left w:val="single" w:sz="4" w:space="0" w:color="000000"/>
              <w:bottom w:val="nil"/>
              <w:right w:val="single" w:sz="4" w:space="0" w:color="000000"/>
            </w:tcBorders>
            <w:vAlign w:val="center"/>
          </w:tcPr>
          <w:p w14:paraId="572041A4" w14:textId="77777777" w:rsidR="0005042F" w:rsidRDefault="007D1A26">
            <w:pPr>
              <w:spacing w:line="276" w:lineRule="auto"/>
              <w:jc w:val="center"/>
              <w:rPr>
                <w:color w:val="000000"/>
                <w:sz w:val="20"/>
                <w:szCs w:val="20"/>
              </w:rPr>
            </w:pPr>
            <w:r>
              <w:rPr>
                <w:color w:val="000000"/>
                <w:sz w:val="20"/>
                <w:szCs w:val="20"/>
              </w:rPr>
              <w:t>2</w:t>
            </w:r>
          </w:p>
        </w:tc>
        <w:tc>
          <w:tcPr>
            <w:tcW w:w="1039" w:type="dxa"/>
            <w:tcBorders>
              <w:top w:val="nil"/>
              <w:left w:val="single" w:sz="4" w:space="0" w:color="000000"/>
              <w:bottom w:val="nil"/>
              <w:right w:val="nil"/>
            </w:tcBorders>
            <w:vAlign w:val="center"/>
          </w:tcPr>
          <w:p w14:paraId="0B830F71" w14:textId="77777777" w:rsidR="0005042F" w:rsidRDefault="007D1A26">
            <w:pPr>
              <w:spacing w:line="276" w:lineRule="auto"/>
              <w:jc w:val="center"/>
              <w:rPr>
                <w:color w:val="000000"/>
                <w:sz w:val="20"/>
                <w:szCs w:val="20"/>
              </w:rPr>
            </w:pPr>
            <w:r>
              <w:rPr>
                <w:color w:val="000000"/>
                <w:sz w:val="20"/>
                <w:szCs w:val="20"/>
              </w:rPr>
              <w:t>1</w:t>
            </w:r>
          </w:p>
        </w:tc>
      </w:tr>
      <w:tr w:rsidR="0005042F" w14:paraId="30C1BE2C" w14:textId="77777777">
        <w:tc>
          <w:tcPr>
            <w:tcW w:w="2991" w:type="dxa"/>
            <w:tcBorders>
              <w:top w:val="nil"/>
              <w:left w:val="nil"/>
              <w:bottom w:val="nil"/>
              <w:right w:val="single" w:sz="4" w:space="0" w:color="000000"/>
            </w:tcBorders>
            <w:vAlign w:val="center"/>
          </w:tcPr>
          <w:p w14:paraId="57AB708F" w14:textId="77777777" w:rsidR="0005042F" w:rsidRDefault="007D1A26">
            <w:pPr>
              <w:spacing w:line="276" w:lineRule="auto"/>
              <w:jc w:val="right"/>
              <w:rPr>
                <w:sz w:val="22"/>
                <w:szCs w:val="22"/>
              </w:rPr>
            </w:pPr>
            <w:proofErr w:type="spellStart"/>
            <w:r>
              <w:rPr>
                <w:i/>
                <w:color w:val="000000"/>
                <w:sz w:val="20"/>
                <w:szCs w:val="20"/>
              </w:rPr>
              <w:t>w</w:t>
            </w:r>
            <w:r>
              <w:rPr>
                <w:i/>
                <w:color w:val="000000"/>
                <w:sz w:val="20"/>
                <w:szCs w:val="20"/>
                <w:vertAlign w:val="subscript"/>
              </w:rPr>
              <w:t>c</w:t>
            </w:r>
            <w:proofErr w:type="spellEnd"/>
            <w:r>
              <w:rPr>
                <w:i/>
                <w:color w:val="000000"/>
                <w:sz w:val="20"/>
                <w:szCs w:val="20"/>
                <w:vertAlign w:val="subscript"/>
              </w:rPr>
              <w:t xml:space="preserve"> </w:t>
            </w:r>
            <w:r>
              <w:rPr>
                <w:color w:val="000000"/>
                <w:sz w:val="20"/>
                <w:szCs w:val="20"/>
              </w:rPr>
              <w:t>=1/£20k</w:t>
            </w:r>
          </w:p>
        </w:tc>
        <w:tc>
          <w:tcPr>
            <w:tcW w:w="1403" w:type="dxa"/>
            <w:tcBorders>
              <w:top w:val="nil"/>
              <w:left w:val="single" w:sz="4" w:space="0" w:color="000000"/>
              <w:bottom w:val="nil"/>
              <w:right w:val="single" w:sz="4" w:space="0" w:color="000000"/>
            </w:tcBorders>
            <w:vAlign w:val="center"/>
          </w:tcPr>
          <w:p w14:paraId="670A0546" w14:textId="77777777" w:rsidR="0005042F" w:rsidRDefault="007D1A26">
            <w:pPr>
              <w:spacing w:line="276" w:lineRule="auto"/>
              <w:jc w:val="center"/>
              <w:rPr>
                <w:color w:val="000000"/>
                <w:sz w:val="20"/>
                <w:szCs w:val="20"/>
              </w:rPr>
            </w:pPr>
            <w:r>
              <w:rPr>
                <w:color w:val="000000"/>
                <w:sz w:val="20"/>
                <w:szCs w:val="20"/>
              </w:rPr>
              <w:t>0.99</w:t>
            </w:r>
          </w:p>
        </w:tc>
        <w:tc>
          <w:tcPr>
            <w:tcW w:w="1402" w:type="dxa"/>
            <w:tcBorders>
              <w:top w:val="nil"/>
              <w:left w:val="single" w:sz="4" w:space="0" w:color="000000"/>
              <w:bottom w:val="nil"/>
              <w:right w:val="single" w:sz="4" w:space="0" w:color="000000"/>
            </w:tcBorders>
            <w:vAlign w:val="center"/>
          </w:tcPr>
          <w:p w14:paraId="06793AC8" w14:textId="77777777" w:rsidR="0005042F" w:rsidRDefault="007D1A26">
            <w:pPr>
              <w:spacing w:line="276" w:lineRule="auto"/>
              <w:jc w:val="center"/>
              <w:rPr>
                <w:sz w:val="22"/>
                <w:szCs w:val="22"/>
              </w:rPr>
            </w:pPr>
            <w:r>
              <w:rPr>
                <w:color w:val="000000"/>
                <w:sz w:val="20"/>
                <w:szCs w:val="20"/>
              </w:rPr>
              <w:t>0.97</w:t>
            </w:r>
          </w:p>
        </w:tc>
        <w:tc>
          <w:tcPr>
            <w:tcW w:w="1516" w:type="dxa"/>
            <w:tcBorders>
              <w:top w:val="nil"/>
              <w:left w:val="single" w:sz="4" w:space="0" w:color="000000"/>
              <w:bottom w:val="nil"/>
              <w:right w:val="single" w:sz="4" w:space="0" w:color="000000"/>
            </w:tcBorders>
            <w:vAlign w:val="center"/>
          </w:tcPr>
          <w:p w14:paraId="73D0B0CB" w14:textId="77777777" w:rsidR="0005042F" w:rsidRDefault="007D1A26">
            <w:pPr>
              <w:spacing w:line="276" w:lineRule="auto"/>
              <w:jc w:val="center"/>
              <w:rPr>
                <w:sz w:val="22"/>
                <w:szCs w:val="22"/>
              </w:rPr>
            </w:pPr>
            <w:r>
              <w:rPr>
                <w:color w:val="000000"/>
                <w:sz w:val="20"/>
                <w:szCs w:val="20"/>
              </w:rPr>
              <w:t>2.6</w:t>
            </w:r>
          </w:p>
        </w:tc>
        <w:tc>
          <w:tcPr>
            <w:tcW w:w="851" w:type="dxa"/>
            <w:tcBorders>
              <w:top w:val="nil"/>
              <w:left w:val="single" w:sz="4" w:space="0" w:color="000000"/>
              <w:bottom w:val="nil"/>
              <w:right w:val="single" w:sz="4" w:space="0" w:color="000000"/>
            </w:tcBorders>
            <w:vAlign w:val="center"/>
          </w:tcPr>
          <w:p w14:paraId="281B470C" w14:textId="77777777" w:rsidR="0005042F" w:rsidRDefault="007D1A26">
            <w:pPr>
              <w:spacing w:line="276" w:lineRule="auto"/>
              <w:jc w:val="center"/>
              <w:rPr>
                <w:color w:val="000000"/>
                <w:sz w:val="20"/>
                <w:szCs w:val="20"/>
              </w:rPr>
            </w:pPr>
            <w:r>
              <w:rPr>
                <w:color w:val="000000"/>
                <w:sz w:val="20"/>
                <w:szCs w:val="20"/>
              </w:rPr>
              <w:t>1</w:t>
            </w:r>
          </w:p>
        </w:tc>
        <w:tc>
          <w:tcPr>
            <w:tcW w:w="1039" w:type="dxa"/>
            <w:tcBorders>
              <w:top w:val="nil"/>
              <w:left w:val="single" w:sz="4" w:space="0" w:color="000000"/>
              <w:bottom w:val="nil"/>
              <w:right w:val="nil"/>
            </w:tcBorders>
            <w:vAlign w:val="center"/>
          </w:tcPr>
          <w:p w14:paraId="39814F08" w14:textId="77777777" w:rsidR="0005042F" w:rsidRDefault="007D1A26">
            <w:pPr>
              <w:spacing w:line="276" w:lineRule="auto"/>
              <w:jc w:val="center"/>
              <w:rPr>
                <w:color w:val="000000"/>
                <w:sz w:val="20"/>
                <w:szCs w:val="20"/>
              </w:rPr>
            </w:pPr>
            <w:r>
              <w:rPr>
                <w:color w:val="000000"/>
                <w:sz w:val="20"/>
                <w:szCs w:val="20"/>
              </w:rPr>
              <w:t>1</w:t>
            </w:r>
          </w:p>
        </w:tc>
      </w:tr>
      <w:tr w:rsidR="0005042F" w14:paraId="7237A9B0" w14:textId="77777777">
        <w:tc>
          <w:tcPr>
            <w:tcW w:w="2991" w:type="dxa"/>
            <w:tcBorders>
              <w:top w:val="nil"/>
              <w:left w:val="nil"/>
              <w:bottom w:val="nil"/>
              <w:right w:val="single" w:sz="4" w:space="0" w:color="000000"/>
            </w:tcBorders>
            <w:vAlign w:val="center"/>
          </w:tcPr>
          <w:p w14:paraId="13A976C7" w14:textId="77777777" w:rsidR="0005042F" w:rsidRDefault="007D1A26">
            <w:pPr>
              <w:spacing w:line="276" w:lineRule="auto"/>
              <w:jc w:val="right"/>
              <w:rPr>
                <w:color w:val="000000"/>
                <w:sz w:val="20"/>
                <w:szCs w:val="20"/>
              </w:rPr>
            </w:pPr>
            <w:r>
              <w:rPr>
                <w:color w:val="000000"/>
                <w:sz w:val="20"/>
                <w:szCs w:val="20"/>
              </w:rPr>
              <w:t xml:space="preserve">baseline </w:t>
            </w:r>
            <w:proofErr w:type="spellStart"/>
            <w:r>
              <w:rPr>
                <w:i/>
                <w:color w:val="000000"/>
                <w:sz w:val="20"/>
                <w:szCs w:val="20"/>
              </w:rPr>
              <w:t>w</w:t>
            </w:r>
            <w:r>
              <w:rPr>
                <w:i/>
                <w:color w:val="000000"/>
                <w:sz w:val="20"/>
                <w:szCs w:val="20"/>
                <w:vertAlign w:val="subscript"/>
              </w:rPr>
              <w:t>c</w:t>
            </w:r>
            <w:proofErr w:type="spellEnd"/>
            <w:r>
              <w:rPr>
                <w:i/>
                <w:color w:val="000000"/>
                <w:sz w:val="20"/>
                <w:szCs w:val="20"/>
                <w:vertAlign w:val="subscript"/>
              </w:rPr>
              <w:t xml:space="preserve"> </w:t>
            </w:r>
            <w:r>
              <w:rPr>
                <w:color w:val="000000"/>
                <w:sz w:val="20"/>
                <w:szCs w:val="20"/>
              </w:rPr>
              <w:t>=1/£30k</w:t>
            </w:r>
          </w:p>
        </w:tc>
        <w:tc>
          <w:tcPr>
            <w:tcW w:w="1403" w:type="dxa"/>
            <w:tcBorders>
              <w:top w:val="nil"/>
              <w:left w:val="single" w:sz="4" w:space="0" w:color="000000"/>
              <w:bottom w:val="nil"/>
              <w:right w:val="single" w:sz="4" w:space="0" w:color="000000"/>
            </w:tcBorders>
            <w:vAlign w:val="center"/>
          </w:tcPr>
          <w:p w14:paraId="673E6D22" w14:textId="77777777" w:rsidR="0005042F" w:rsidRDefault="007D1A26">
            <w:pPr>
              <w:spacing w:line="276" w:lineRule="auto"/>
              <w:jc w:val="center"/>
              <w:rPr>
                <w:color w:val="000000"/>
                <w:sz w:val="20"/>
                <w:szCs w:val="20"/>
              </w:rPr>
            </w:pPr>
            <w:r>
              <w:rPr>
                <w:color w:val="000000"/>
                <w:sz w:val="20"/>
                <w:szCs w:val="20"/>
              </w:rPr>
              <w:t>1</w:t>
            </w:r>
          </w:p>
        </w:tc>
        <w:tc>
          <w:tcPr>
            <w:tcW w:w="1402" w:type="dxa"/>
            <w:tcBorders>
              <w:top w:val="nil"/>
              <w:left w:val="single" w:sz="4" w:space="0" w:color="000000"/>
              <w:bottom w:val="nil"/>
              <w:right w:val="single" w:sz="4" w:space="0" w:color="000000"/>
            </w:tcBorders>
            <w:vAlign w:val="center"/>
          </w:tcPr>
          <w:p w14:paraId="60ED9E12" w14:textId="77777777" w:rsidR="0005042F" w:rsidRDefault="007D1A26">
            <w:pPr>
              <w:spacing w:line="276" w:lineRule="auto"/>
              <w:jc w:val="center"/>
              <w:rPr>
                <w:color w:val="000000"/>
                <w:sz w:val="20"/>
                <w:szCs w:val="20"/>
              </w:rPr>
            </w:pPr>
            <w:r>
              <w:rPr>
                <w:color w:val="000000"/>
                <w:sz w:val="20"/>
                <w:szCs w:val="20"/>
              </w:rPr>
              <w:t>1</w:t>
            </w:r>
          </w:p>
        </w:tc>
        <w:tc>
          <w:tcPr>
            <w:tcW w:w="1516" w:type="dxa"/>
            <w:tcBorders>
              <w:top w:val="nil"/>
              <w:left w:val="single" w:sz="4" w:space="0" w:color="000000"/>
              <w:bottom w:val="nil"/>
              <w:right w:val="single" w:sz="4" w:space="0" w:color="000000"/>
            </w:tcBorders>
            <w:vAlign w:val="center"/>
          </w:tcPr>
          <w:p w14:paraId="16D607E3" w14:textId="77777777" w:rsidR="0005042F" w:rsidRDefault="007D1A26">
            <w:pPr>
              <w:spacing w:line="276" w:lineRule="auto"/>
              <w:jc w:val="center"/>
              <w:rPr>
                <w:color w:val="000000"/>
                <w:sz w:val="20"/>
                <w:szCs w:val="20"/>
              </w:rPr>
            </w:pPr>
            <w:r>
              <w:rPr>
                <w:color w:val="000000"/>
                <w:sz w:val="20"/>
                <w:szCs w:val="20"/>
              </w:rPr>
              <w:t>0</w:t>
            </w:r>
          </w:p>
        </w:tc>
        <w:tc>
          <w:tcPr>
            <w:tcW w:w="851" w:type="dxa"/>
            <w:tcBorders>
              <w:top w:val="nil"/>
              <w:left w:val="single" w:sz="4" w:space="0" w:color="000000"/>
              <w:bottom w:val="nil"/>
              <w:right w:val="single" w:sz="4" w:space="0" w:color="000000"/>
            </w:tcBorders>
            <w:vAlign w:val="center"/>
          </w:tcPr>
          <w:p w14:paraId="2BF93FCC" w14:textId="77777777" w:rsidR="0005042F" w:rsidRDefault="007D1A26">
            <w:pPr>
              <w:spacing w:line="276" w:lineRule="auto"/>
              <w:jc w:val="center"/>
              <w:rPr>
                <w:color w:val="000000"/>
                <w:sz w:val="20"/>
                <w:szCs w:val="20"/>
              </w:rPr>
            </w:pPr>
            <w:r>
              <w:rPr>
                <w:color w:val="000000"/>
                <w:sz w:val="20"/>
                <w:szCs w:val="20"/>
              </w:rPr>
              <w:t>0</w:t>
            </w:r>
          </w:p>
        </w:tc>
        <w:tc>
          <w:tcPr>
            <w:tcW w:w="1039" w:type="dxa"/>
            <w:tcBorders>
              <w:top w:val="nil"/>
              <w:left w:val="single" w:sz="4" w:space="0" w:color="000000"/>
              <w:bottom w:val="nil"/>
              <w:right w:val="nil"/>
            </w:tcBorders>
            <w:vAlign w:val="center"/>
          </w:tcPr>
          <w:p w14:paraId="14112EA8" w14:textId="77777777" w:rsidR="0005042F" w:rsidRDefault="007D1A26">
            <w:pPr>
              <w:spacing w:line="276" w:lineRule="auto"/>
              <w:jc w:val="center"/>
              <w:rPr>
                <w:color w:val="000000"/>
                <w:sz w:val="20"/>
                <w:szCs w:val="20"/>
              </w:rPr>
            </w:pPr>
            <w:r>
              <w:rPr>
                <w:color w:val="000000"/>
                <w:sz w:val="20"/>
                <w:szCs w:val="20"/>
              </w:rPr>
              <w:t>0</w:t>
            </w:r>
          </w:p>
        </w:tc>
      </w:tr>
      <w:tr w:rsidR="0005042F" w14:paraId="01B45FF6" w14:textId="77777777">
        <w:tc>
          <w:tcPr>
            <w:tcW w:w="2991" w:type="dxa"/>
            <w:tcBorders>
              <w:top w:val="nil"/>
              <w:left w:val="nil"/>
              <w:bottom w:val="nil"/>
              <w:right w:val="single" w:sz="4" w:space="0" w:color="000000"/>
            </w:tcBorders>
            <w:vAlign w:val="center"/>
          </w:tcPr>
          <w:p w14:paraId="5C75A9CA" w14:textId="77777777" w:rsidR="0005042F" w:rsidRDefault="007D1A26">
            <w:pPr>
              <w:spacing w:line="276" w:lineRule="auto"/>
              <w:jc w:val="right"/>
              <w:rPr>
                <w:sz w:val="22"/>
                <w:szCs w:val="22"/>
              </w:rPr>
            </w:pPr>
            <w:proofErr w:type="spellStart"/>
            <w:r>
              <w:rPr>
                <w:i/>
                <w:color w:val="000000"/>
                <w:sz w:val="20"/>
                <w:szCs w:val="20"/>
              </w:rPr>
              <w:t>w</w:t>
            </w:r>
            <w:r>
              <w:rPr>
                <w:i/>
                <w:color w:val="000000"/>
                <w:sz w:val="20"/>
                <w:szCs w:val="20"/>
                <w:vertAlign w:val="subscript"/>
              </w:rPr>
              <w:t>c</w:t>
            </w:r>
            <w:proofErr w:type="spellEnd"/>
            <w:r>
              <w:rPr>
                <w:i/>
                <w:color w:val="000000"/>
                <w:sz w:val="20"/>
                <w:szCs w:val="20"/>
                <w:vertAlign w:val="subscript"/>
              </w:rPr>
              <w:t xml:space="preserve"> </w:t>
            </w:r>
            <w:r>
              <w:rPr>
                <w:color w:val="000000"/>
                <w:sz w:val="20"/>
                <w:szCs w:val="20"/>
              </w:rPr>
              <w:t>=1/£40k</w:t>
            </w:r>
          </w:p>
        </w:tc>
        <w:tc>
          <w:tcPr>
            <w:tcW w:w="1403" w:type="dxa"/>
            <w:tcBorders>
              <w:top w:val="nil"/>
              <w:left w:val="single" w:sz="4" w:space="0" w:color="000000"/>
              <w:bottom w:val="nil"/>
              <w:right w:val="single" w:sz="4" w:space="0" w:color="000000"/>
            </w:tcBorders>
            <w:vAlign w:val="center"/>
          </w:tcPr>
          <w:p w14:paraId="28FF971B" w14:textId="77777777" w:rsidR="0005042F" w:rsidRDefault="007D1A26">
            <w:pPr>
              <w:spacing w:line="276" w:lineRule="auto"/>
              <w:jc w:val="center"/>
              <w:rPr>
                <w:color w:val="000000"/>
                <w:sz w:val="20"/>
                <w:szCs w:val="20"/>
              </w:rPr>
            </w:pPr>
            <w:r>
              <w:rPr>
                <w:color w:val="000000"/>
                <w:sz w:val="20"/>
                <w:szCs w:val="20"/>
              </w:rPr>
              <w:t>1.00</w:t>
            </w:r>
          </w:p>
        </w:tc>
        <w:tc>
          <w:tcPr>
            <w:tcW w:w="1402" w:type="dxa"/>
            <w:tcBorders>
              <w:top w:val="nil"/>
              <w:left w:val="single" w:sz="4" w:space="0" w:color="000000"/>
              <w:bottom w:val="nil"/>
              <w:right w:val="single" w:sz="4" w:space="0" w:color="000000"/>
            </w:tcBorders>
            <w:vAlign w:val="center"/>
          </w:tcPr>
          <w:p w14:paraId="7054AFC9" w14:textId="77777777" w:rsidR="0005042F" w:rsidRDefault="007D1A26">
            <w:pPr>
              <w:spacing w:line="276" w:lineRule="auto"/>
              <w:jc w:val="center"/>
              <w:rPr>
                <w:sz w:val="22"/>
                <w:szCs w:val="22"/>
              </w:rPr>
            </w:pPr>
            <w:r>
              <w:rPr>
                <w:color w:val="000000"/>
                <w:sz w:val="20"/>
                <w:szCs w:val="20"/>
              </w:rPr>
              <w:t>0.99</w:t>
            </w:r>
          </w:p>
        </w:tc>
        <w:tc>
          <w:tcPr>
            <w:tcW w:w="1516" w:type="dxa"/>
            <w:tcBorders>
              <w:top w:val="nil"/>
              <w:left w:val="single" w:sz="4" w:space="0" w:color="000000"/>
              <w:bottom w:val="nil"/>
              <w:right w:val="single" w:sz="4" w:space="0" w:color="000000"/>
            </w:tcBorders>
            <w:vAlign w:val="center"/>
          </w:tcPr>
          <w:p w14:paraId="7BE8AF12" w14:textId="77777777" w:rsidR="0005042F" w:rsidRDefault="007D1A26">
            <w:pPr>
              <w:spacing w:line="276" w:lineRule="auto"/>
              <w:jc w:val="center"/>
              <w:rPr>
                <w:sz w:val="22"/>
                <w:szCs w:val="22"/>
              </w:rPr>
            </w:pPr>
            <w:r>
              <w:rPr>
                <w:color w:val="000000"/>
                <w:sz w:val="20"/>
                <w:szCs w:val="20"/>
              </w:rPr>
              <w:t>1.5</w:t>
            </w:r>
          </w:p>
        </w:tc>
        <w:tc>
          <w:tcPr>
            <w:tcW w:w="851" w:type="dxa"/>
            <w:tcBorders>
              <w:top w:val="nil"/>
              <w:left w:val="single" w:sz="4" w:space="0" w:color="000000"/>
              <w:bottom w:val="nil"/>
              <w:right w:val="single" w:sz="4" w:space="0" w:color="000000"/>
            </w:tcBorders>
            <w:vAlign w:val="center"/>
          </w:tcPr>
          <w:p w14:paraId="28914BE3" w14:textId="77777777" w:rsidR="0005042F" w:rsidRDefault="007D1A26">
            <w:pPr>
              <w:spacing w:line="276" w:lineRule="auto"/>
              <w:jc w:val="center"/>
              <w:rPr>
                <w:color w:val="000000"/>
                <w:sz w:val="20"/>
                <w:szCs w:val="20"/>
              </w:rPr>
            </w:pPr>
            <w:r>
              <w:rPr>
                <w:color w:val="000000"/>
                <w:sz w:val="20"/>
                <w:szCs w:val="20"/>
              </w:rPr>
              <w:t>1</w:t>
            </w:r>
          </w:p>
        </w:tc>
        <w:tc>
          <w:tcPr>
            <w:tcW w:w="1039" w:type="dxa"/>
            <w:tcBorders>
              <w:top w:val="nil"/>
              <w:left w:val="single" w:sz="4" w:space="0" w:color="000000"/>
              <w:bottom w:val="nil"/>
              <w:right w:val="nil"/>
            </w:tcBorders>
            <w:vAlign w:val="center"/>
          </w:tcPr>
          <w:p w14:paraId="6919112A" w14:textId="77777777" w:rsidR="0005042F" w:rsidRDefault="007D1A26">
            <w:pPr>
              <w:spacing w:line="276" w:lineRule="auto"/>
              <w:jc w:val="center"/>
              <w:rPr>
                <w:color w:val="000000"/>
                <w:sz w:val="20"/>
                <w:szCs w:val="20"/>
              </w:rPr>
            </w:pPr>
            <w:r>
              <w:rPr>
                <w:color w:val="000000"/>
                <w:sz w:val="20"/>
                <w:szCs w:val="20"/>
              </w:rPr>
              <w:t>1</w:t>
            </w:r>
          </w:p>
        </w:tc>
      </w:tr>
      <w:tr w:rsidR="0005042F" w14:paraId="6867B4E2" w14:textId="77777777">
        <w:tc>
          <w:tcPr>
            <w:tcW w:w="2991" w:type="dxa"/>
            <w:tcBorders>
              <w:top w:val="nil"/>
              <w:left w:val="nil"/>
              <w:bottom w:val="single" w:sz="4" w:space="0" w:color="000000"/>
              <w:right w:val="single" w:sz="4" w:space="0" w:color="000000"/>
            </w:tcBorders>
            <w:vAlign w:val="center"/>
          </w:tcPr>
          <w:p w14:paraId="7FD222D3" w14:textId="77777777" w:rsidR="0005042F" w:rsidRDefault="007D1A26">
            <w:pPr>
              <w:spacing w:line="276" w:lineRule="auto"/>
              <w:jc w:val="right"/>
              <w:rPr>
                <w:sz w:val="22"/>
                <w:szCs w:val="22"/>
              </w:rPr>
            </w:pPr>
            <w:proofErr w:type="spellStart"/>
            <w:r>
              <w:rPr>
                <w:i/>
                <w:color w:val="000000"/>
                <w:sz w:val="20"/>
                <w:szCs w:val="20"/>
              </w:rPr>
              <w:t>w</w:t>
            </w:r>
            <w:r>
              <w:rPr>
                <w:i/>
                <w:color w:val="000000"/>
                <w:sz w:val="20"/>
                <w:szCs w:val="20"/>
                <w:vertAlign w:val="subscript"/>
              </w:rPr>
              <w:t>c</w:t>
            </w:r>
            <w:proofErr w:type="spellEnd"/>
            <w:r>
              <w:rPr>
                <w:i/>
                <w:color w:val="000000"/>
                <w:sz w:val="20"/>
                <w:szCs w:val="20"/>
                <w:vertAlign w:val="subscript"/>
              </w:rPr>
              <w:t xml:space="preserve"> </w:t>
            </w:r>
            <w:r>
              <w:rPr>
                <w:color w:val="000000"/>
                <w:sz w:val="20"/>
                <w:szCs w:val="20"/>
              </w:rPr>
              <w:t>=1/£50k</w:t>
            </w:r>
          </w:p>
        </w:tc>
        <w:tc>
          <w:tcPr>
            <w:tcW w:w="1403" w:type="dxa"/>
            <w:tcBorders>
              <w:top w:val="nil"/>
              <w:left w:val="single" w:sz="4" w:space="0" w:color="000000"/>
              <w:bottom w:val="single" w:sz="4" w:space="0" w:color="000000"/>
              <w:right w:val="single" w:sz="4" w:space="0" w:color="000000"/>
            </w:tcBorders>
            <w:vAlign w:val="center"/>
          </w:tcPr>
          <w:p w14:paraId="3B8EFD47" w14:textId="77777777" w:rsidR="0005042F" w:rsidRDefault="007D1A26">
            <w:pPr>
              <w:spacing w:line="276" w:lineRule="auto"/>
              <w:jc w:val="center"/>
              <w:rPr>
                <w:color w:val="000000"/>
                <w:sz w:val="20"/>
                <w:szCs w:val="20"/>
              </w:rPr>
            </w:pPr>
            <w:r>
              <w:rPr>
                <w:color w:val="000000"/>
                <w:sz w:val="20"/>
                <w:szCs w:val="20"/>
              </w:rPr>
              <w:t>0.99</w:t>
            </w:r>
          </w:p>
        </w:tc>
        <w:tc>
          <w:tcPr>
            <w:tcW w:w="1402" w:type="dxa"/>
            <w:tcBorders>
              <w:top w:val="nil"/>
              <w:left w:val="single" w:sz="4" w:space="0" w:color="000000"/>
              <w:bottom w:val="single" w:sz="4" w:space="0" w:color="000000"/>
              <w:right w:val="single" w:sz="4" w:space="0" w:color="000000"/>
            </w:tcBorders>
            <w:vAlign w:val="center"/>
          </w:tcPr>
          <w:p w14:paraId="77976AAD" w14:textId="77777777" w:rsidR="0005042F" w:rsidRDefault="007D1A26">
            <w:pPr>
              <w:spacing w:line="276" w:lineRule="auto"/>
              <w:jc w:val="center"/>
              <w:rPr>
                <w:sz w:val="22"/>
                <w:szCs w:val="22"/>
              </w:rPr>
            </w:pPr>
            <w:r>
              <w:rPr>
                <w:color w:val="000000"/>
                <w:sz w:val="20"/>
                <w:szCs w:val="20"/>
              </w:rPr>
              <w:t>0.98</w:t>
            </w:r>
          </w:p>
        </w:tc>
        <w:tc>
          <w:tcPr>
            <w:tcW w:w="1516" w:type="dxa"/>
            <w:tcBorders>
              <w:top w:val="nil"/>
              <w:left w:val="single" w:sz="4" w:space="0" w:color="000000"/>
              <w:bottom w:val="single" w:sz="4" w:space="0" w:color="000000"/>
              <w:right w:val="single" w:sz="4" w:space="0" w:color="000000"/>
            </w:tcBorders>
            <w:vAlign w:val="center"/>
          </w:tcPr>
          <w:p w14:paraId="06E45F8B" w14:textId="77777777" w:rsidR="0005042F" w:rsidRDefault="007D1A26">
            <w:pPr>
              <w:spacing w:line="276" w:lineRule="auto"/>
              <w:jc w:val="center"/>
              <w:rPr>
                <w:sz w:val="22"/>
                <w:szCs w:val="22"/>
              </w:rPr>
            </w:pPr>
            <w:r>
              <w:rPr>
                <w:color w:val="000000"/>
                <w:sz w:val="20"/>
                <w:szCs w:val="20"/>
              </w:rPr>
              <w:t>2.2</w:t>
            </w:r>
          </w:p>
        </w:tc>
        <w:tc>
          <w:tcPr>
            <w:tcW w:w="851" w:type="dxa"/>
            <w:tcBorders>
              <w:top w:val="nil"/>
              <w:left w:val="single" w:sz="4" w:space="0" w:color="000000"/>
              <w:bottom w:val="single" w:sz="4" w:space="0" w:color="000000"/>
              <w:right w:val="single" w:sz="4" w:space="0" w:color="000000"/>
            </w:tcBorders>
            <w:vAlign w:val="center"/>
          </w:tcPr>
          <w:p w14:paraId="0232122B" w14:textId="77777777" w:rsidR="0005042F" w:rsidRDefault="007D1A26">
            <w:pPr>
              <w:spacing w:line="276" w:lineRule="auto"/>
              <w:jc w:val="center"/>
              <w:rPr>
                <w:color w:val="000000"/>
                <w:sz w:val="20"/>
                <w:szCs w:val="20"/>
              </w:rPr>
            </w:pPr>
            <w:r>
              <w:rPr>
                <w:color w:val="000000"/>
                <w:sz w:val="20"/>
                <w:szCs w:val="20"/>
              </w:rPr>
              <w:t>1</w:t>
            </w:r>
          </w:p>
        </w:tc>
        <w:tc>
          <w:tcPr>
            <w:tcW w:w="1039" w:type="dxa"/>
            <w:tcBorders>
              <w:top w:val="nil"/>
              <w:left w:val="single" w:sz="4" w:space="0" w:color="000000"/>
              <w:bottom w:val="single" w:sz="4" w:space="0" w:color="000000"/>
              <w:right w:val="nil"/>
            </w:tcBorders>
            <w:vAlign w:val="center"/>
          </w:tcPr>
          <w:p w14:paraId="55EFB7B6" w14:textId="77777777" w:rsidR="0005042F" w:rsidRDefault="007D1A26">
            <w:pPr>
              <w:spacing w:line="276" w:lineRule="auto"/>
              <w:jc w:val="center"/>
              <w:rPr>
                <w:color w:val="000000"/>
                <w:sz w:val="20"/>
                <w:szCs w:val="20"/>
              </w:rPr>
            </w:pPr>
            <w:r>
              <w:rPr>
                <w:color w:val="000000"/>
                <w:sz w:val="20"/>
                <w:szCs w:val="20"/>
              </w:rPr>
              <w:t>2</w:t>
            </w:r>
          </w:p>
        </w:tc>
      </w:tr>
      <w:tr w:rsidR="0005042F" w14:paraId="3515540E" w14:textId="77777777">
        <w:tc>
          <w:tcPr>
            <w:tcW w:w="2991" w:type="dxa"/>
            <w:tcBorders>
              <w:top w:val="single" w:sz="4" w:space="0" w:color="000000"/>
              <w:left w:val="nil"/>
              <w:bottom w:val="nil"/>
              <w:right w:val="single" w:sz="4" w:space="0" w:color="000000"/>
            </w:tcBorders>
            <w:vAlign w:val="center"/>
          </w:tcPr>
          <w:p w14:paraId="6D9324EE" w14:textId="77777777" w:rsidR="0005042F" w:rsidRDefault="007D1A26">
            <w:pPr>
              <w:spacing w:line="276" w:lineRule="auto"/>
              <w:jc w:val="left"/>
              <w:rPr>
                <w:sz w:val="22"/>
                <w:szCs w:val="22"/>
              </w:rPr>
            </w:pPr>
            <w:r>
              <w:rPr>
                <w:i/>
                <w:color w:val="000000"/>
                <w:sz w:val="20"/>
                <w:szCs w:val="20"/>
              </w:rPr>
              <w:t>Weights on non-health attributes</w:t>
            </w:r>
          </w:p>
        </w:tc>
        <w:tc>
          <w:tcPr>
            <w:tcW w:w="1403" w:type="dxa"/>
            <w:tcBorders>
              <w:top w:val="single" w:sz="4" w:space="0" w:color="000000"/>
              <w:left w:val="single" w:sz="4" w:space="0" w:color="000000"/>
              <w:bottom w:val="nil"/>
              <w:right w:val="single" w:sz="4" w:space="0" w:color="000000"/>
            </w:tcBorders>
            <w:vAlign w:val="center"/>
          </w:tcPr>
          <w:p w14:paraId="40FCAEB4" w14:textId="77777777" w:rsidR="0005042F" w:rsidRDefault="0005042F">
            <w:pPr>
              <w:spacing w:line="276" w:lineRule="auto"/>
              <w:jc w:val="center"/>
              <w:rPr>
                <w:sz w:val="22"/>
                <w:szCs w:val="22"/>
              </w:rPr>
            </w:pPr>
          </w:p>
        </w:tc>
        <w:tc>
          <w:tcPr>
            <w:tcW w:w="1402" w:type="dxa"/>
            <w:tcBorders>
              <w:top w:val="single" w:sz="4" w:space="0" w:color="000000"/>
              <w:left w:val="single" w:sz="4" w:space="0" w:color="000000"/>
              <w:bottom w:val="nil"/>
              <w:right w:val="single" w:sz="4" w:space="0" w:color="000000"/>
            </w:tcBorders>
            <w:vAlign w:val="center"/>
          </w:tcPr>
          <w:p w14:paraId="38C70D20" w14:textId="77777777" w:rsidR="0005042F" w:rsidRDefault="0005042F">
            <w:pPr>
              <w:spacing w:line="276" w:lineRule="auto"/>
              <w:jc w:val="center"/>
              <w:rPr>
                <w:sz w:val="22"/>
                <w:szCs w:val="22"/>
              </w:rPr>
            </w:pPr>
          </w:p>
        </w:tc>
        <w:tc>
          <w:tcPr>
            <w:tcW w:w="1516" w:type="dxa"/>
            <w:tcBorders>
              <w:top w:val="single" w:sz="4" w:space="0" w:color="000000"/>
              <w:left w:val="single" w:sz="4" w:space="0" w:color="000000"/>
              <w:bottom w:val="nil"/>
              <w:right w:val="single" w:sz="4" w:space="0" w:color="000000"/>
            </w:tcBorders>
            <w:vAlign w:val="center"/>
          </w:tcPr>
          <w:p w14:paraId="474F6761" w14:textId="77777777" w:rsidR="0005042F" w:rsidRDefault="0005042F">
            <w:pPr>
              <w:spacing w:line="276" w:lineRule="auto"/>
              <w:jc w:val="center"/>
              <w:rPr>
                <w:sz w:val="22"/>
                <w:szCs w:val="22"/>
              </w:rPr>
            </w:pPr>
          </w:p>
        </w:tc>
        <w:tc>
          <w:tcPr>
            <w:tcW w:w="851" w:type="dxa"/>
            <w:tcBorders>
              <w:top w:val="single" w:sz="4" w:space="0" w:color="000000"/>
              <w:left w:val="single" w:sz="4" w:space="0" w:color="000000"/>
              <w:bottom w:val="nil"/>
              <w:right w:val="single" w:sz="4" w:space="0" w:color="000000"/>
            </w:tcBorders>
            <w:vAlign w:val="center"/>
          </w:tcPr>
          <w:p w14:paraId="4C3DDD83" w14:textId="77777777" w:rsidR="0005042F" w:rsidRDefault="0005042F">
            <w:pPr>
              <w:spacing w:line="276" w:lineRule="auto"/>
              <w:jc w:val="center"/>
              <w:rPr>
                <w:sz w:val="22"/>
                <w:szCs w:val="22"/>
              </w:rPr>
            </w:pPr>
          </w:p>
        </w:tc>
        <w:tc>
          <w:tcPr>
            <w:tcW w:w="1039" w:type="dxa"/>
            <w:tcBorders>
              <w:top w:val="single" w:sz="4" w:space="0" w:color="000000"/>
              <w:left w:val="single" w:sz="4" w:space="0" w:color="000000"/>
              <w:bottom w:val="nil"/>
              <w:right w:val="nil"/>
            </w:tcBorders>
            <w:vAlign w:val="center"/>
          </w:tcPr>
          <w:p w14:paraId="7C67CC4B" w14:textId="77777777" w:rsidR="0005042F" w:rsidRDefault="0005042F">
            <w:pPr>
              <w:spacing w:line="276" w:lineRule="auto"/>
              <w:jc w:val="center"/>
              <w:rPr>
                <w:sz w:val="22"/>
                <w:szCs w:val="22"/>
              </w:rPr>
            </w:pPr>
          </w:p>
        </w:tc>
      </w:tr>
      <w:tr w:rsidR="0005042F" w14:paraId="4E771E88" w14:textId="77777777">
        <w:tc>
          <w:tcPr>
            <w:tcW w:w="2991" w:type="dxa"/>
            <w:tcBorders>
              <w:top w:val="nil"/>
              <w:left w:val="nil"/>
              <w:bottom w:val="nil"/>
              <w:right w:val="single" w:sz="4" w:space="0" w:color="000000"/>
            </w:tcBorders>
            <w:vAlign w:val="center"/>
          </w:tcPr>
          <w:p w14:paraId="0E466BD7" w14:textId="77777777" w:rsidR="0005042F" w:rsidRDefault="007D1A26">
            <w:pPr>
              <w:spacing w:line="276" w:lineRule="auto"/>
              <w:jc w:val="right"/>
              <w:rPr>
                <w:sz w:val="22"/>
                <w:szCs w:val="22"/>
              </w:rPr>
            </w:pPr>
            <w:r>
              <w:rPr>
                <w:color w:val="000000"/>
                <w:sz w:val="20"/>
                <w:szCs w:val="20"/>
              </w:rPr>
              <w:t>Service Users</w:t>
            </w:r>
          </w:p>
        </w:tc>
        <w:tc>
          <w:tcPr>
            <w:tcW w:w="1403" w:type="dxa"/>
            <w:tcBorders>
              <w:top w:val="nil"/>
              <w:left w:val="single" w:sz="4" w:space="0" w:color="000000"/>
              <w:bottom w:val="nil"/>
              <w:right w:val="single" w:sz="4" w:space="0" w:color="000000"/>
            </w:tcBorders>
            <w:vAlign w:val="center"/>
          </w:tcPr>
          <w:p w14:paraId="3EA3C6E9" w14:textId="77777777" w:rsidR="0005042F" w:rsidRDefault="007D1A26">
            <w:pPr>
              <w:spacing w:line="276" w:lineRule="auto"/>
              <w:jc w:val="center"/>
              <w:rPr>
                <w:color w:val="000000"/>
                <w:sz w:val="20"/>
                <w:szCs w:val="20"/>
              </w:rPr>
            </w:pPr>
            <w:r>
              <w:rPr>
                <w:color w:val="000000"/>
                <w:sz w:val="20"/>
                <w:szCs w:val="20"/>
              </w:rPr>
              <w:t>1.00</w:t>
            </w:r>
          </w:p>
        </w:tc>
        <w:tc>
          <w:tcPr>
            <w:tcW w:w="1402" w:type="dxa"/>
            <w:tcBorders>
              <w:top w:val="nil"/>
              <w:left w:val="single" w:sz="4" w:space="0" w:color="000000"/>
              <w:bottom w:val="nil"/>
              <w:right w:val="single" w:sz="4" w:space="0" w:color="000000"/>
            </w:tcBorders>
            <w:vAlign w:val="center"/>
          </w:tcPr>
          <w:p w14:paraId="2C12AE24" w14:textId="77777777" w:rsidR="0005042F" w:rsidRDefault="007D1A26">
            <w:pPr>
              <w:spacing w:line="276" w:lineRule="auto"/>
              <w:jc w:val="center"/>
              <w:rPr>
                <w:sz w:val="22"/>
                <w:szCs w:val="22"/>
              </w:rPr>
            </w:pPr>
            <w:r>
              <w:rPr>
                <w:color w:val="000000"/>
                <w:sz w:val="20"/>
                <w:szCs w:val="20"/>
              </w:rPr>
              <w:t>0.99</w:t>
            </w:r>
          </w:p>
        </w:tc>
        <w:tc>
          <w:tcPr>
            <w:tcW w:w="1516" w:type="dxa"/>
            <w:tcBorders>
              <w:top w:val="nil"/>
              <w:left w:val="single" w:sz="4" w:space="0" w:color="000000"/>
              <w:bottom w:val="nil"/>
              <w:right w:val="single" w:sz="4" w:space="0" w:color="000000"/>
            </w:tcBorders>
            <w:vAlign w:val="center"/>
          </w:tcPr>
          <w:p w14:paraId="63AF5838" w14:textId="77777777" w:rsidR="0005042F" w:rsidRDefault="007D1A26">
            <w:pPr>
              <w:spacing w:line="276" w:lineRule="auto"/>
              <w:jc w:val="center"/>
              <w:rPr>
                <w:sz w:val="22"/>
                <w:szCs w:val="22"/>
              </w:rPr>
            </w:pPr>
            <w:r>
              <w:rPr>
                <w:color w:val="000000"/>
                <w:sz w:val="20"/>
                <w:szCs w:val="20"/>
              </w:rPr>
              <w:t>1.7</w:t>
            </w:r>
          </w:p>
        </w:tc>
        <w:tc>
          <w:tcPr>
            <w:tcW w:w="851" w:type="dxa"/>
            <w:tcBorders>
              <w:top w:val="nil"/>
              <w:left w:val="single" w:sz="4" w:space="0" w:color="000000"/>
              <w:bottom w:val="nil"/>
              <w:right w:val="single" w:sz="4" w:space="0" w:color="000000"/>
            </w:tcBorders>
            <w:vAlign w:val="center"/>
          </w:tcPr>
          <w:p w14:paraId="58D83E93" w14:textId="77777777" w:rsidR="0005042F" w:rsidRDefault="007D1A26">
            <w:pPr>
              <w:spacing w:line="276" w:lineRule="auto"/>
              <w:jc w:val="center"/>
              <w:rPr>
                <w:color w:val="000000"/>
                <w:sz w:val="20"/>
                <w:szCs w:val="20"/>
              </w:rPr>
            </w:pPr>
            <w:r>
              <w:rPr>
                <w:color w:val="000000"/>
                <w:sz w:val="20"/>
                <w:szCs w:val="20"/>
              </w:rPr>
              <w:t>1</w:t>
            </w:r>
          </w:p>
        </w:tc>
        <w:tc>
          <w:tcPr>
            <w:tcW w:w="1039" w:type="dxa"/>
            <w:tcBorders>
              <w:top w:val="nil"/>
              <w:left w:val="single" w:sz="4" w:space="0" w:color="000000"/>
              <w:bottom w:val="nil"/>
              <w:right w:val="nil"/>
            </w:tcBorders>
            <w:vAlign w:val="center"/>
          </w:tcPr>
          <w:p w14:paraId="7AE56C42" w14:textId="77777777" w:rsidR="0005042F" w:rsidRDefault="007D1A26">
            <w:pPr>
              <w:spacing w:line="276" w:lineRule="auto"/>
              <w:jc w:val="center"/>
              <w:rPr>
                <w:color w:val="000000"/>
                <w:sz w:val="20"/>
                <w:szCs w:val="20"/>
              </w:rPr>
            </w:pPr>
            <w:r>
              <w:rPr>
                <w:color w:val="000000"/>
                <w:sz w:val="20"/>
                <w:szCs w:val="20"/>
              </w:rPr>
              <w:t>1</w:t>
            </w:r>
          </w:p>
        </w:tc>
      </w:tr>
      <w:tr w:rsidR="0005042F" w14:paraId="0962C6E6" w14:textId="77777777">
        <w:tc>
          <w:tcPr>
            <w:tcW w:w="2991" w:type="dxa"/>
            <w:tcBorders>
              <w:top w:val="nil"/>
              <w:left w:val="nil"/>
              <w:bottom w:val="nil"/>
              <w:right w:val="single" w:sz="4" w:space="0" w:color="000000"/>
            </w:tcBorders>
            <w:vAlign w:val="center"/>
          </w:tcPr>
          <w:p w14:paraId="4ADB194D" w14:textId="77777777" w:rsidR="0005042F" w:rsidRDefault="007D1A26">
            <w:pPr>
              <w:spacing w:line="276" w:lineRule="auto"/>
              <w:jc w:val="right"/>
              <w:rPr>
                <w:sz w:val="22"/>
                <w:szCs w:val="22"/>
              </w:rPr>
            </w:pPr>
            <w:r>
              <w:rPr>
                <w:color w:val="000000"/>
                <w:sz w:val="20"/>
                <w:szCs w:val="20"/>
              </w:rPr>
              <w:t>Healthcare Professionals</w:t>
            </w:r>
          </w:p>
        </w:tc>
        <w:tc>
          <w:tcPr>
            <w:tcW w:w="1403" w:type="dxa"/>
            <w:tcBorders>
              <w:top w:val="nil"/>
              <w:left w:val="single" w:sz="4" w:space="0" w:color="000000"/>
              <w:bottom w:val="nil"/>
              <w:right w:val="single" w:sz="4" w:space="0" w:color="000000"/>
            </w:tcBorders>
            <w:vAlign w:val="center"/>
          </w:tcPr>
          <w:p w14:paraId="52668D44" w14:textId="77777777" w:rsidR="0005042F" w:rsidRDefault="007D1A26">
            <w:pPr>
              <w:spacing w:line="276" w:lineRule="auto"/>
              <w:jc w:val="center"/>
              <w:rPr>
                <w:color w:val="000000"/>
                <w:sz w:val="20"/>
                <w:szCs w:val="20"/>
              </w:rPr>
            </w:pPr>
            <w:r>
              <w:rPr>
                <w:color w:val="000000"/>
                <w:sz w:val="20"/>
                <w:szCs w:val="20"/>
              </w:rPr>
              <w:t>0.98</w:t>
            </w:r>
          </w:p>
        </w:tc>
        <w:tc>
          <w:tcPr>
            <w:tcW w:w="1402" w:type="dxa"/>
            <w:tcBorders>
              <w:top w:val="nil"/>
              <w:left w:val="single" w:sz="4" w:space="0" w:color="000000"/>
              <w:bottom w:val="nil"/>
              <w:right w:val="single" w:sz="4" w:space="0" w:color="000000"/>
            </w:tcBorders>
            <w:vAlign w:val="center"/>
          </w:tcPr>
          <w:p w14:paraId="434651EE" w14:textId="77777777" w:rsidR="0005042F" w:rsidRDefault="007D1A26">
            <w:pPr>
              <w:spacing w:line="276" w:lineRule="auto"/>
              <w:jc w:val="center"/>
              <w:rPr>
                <w:sz w:val="22"/>
                <w:szCs w:val="22"/>
              </w:rPr>
            </w:pPr>
            <w:r>
              <w:rPr>
                <w:color w:val="000000"/>
                <w:sz w:val="20"/>
                <w:szCs w:val="20"/>
              </w:rPr>
              <w:t>0.96</w:t>
            </w:r>
          </w:p>
        </w:tc>
        <w:tc>
          <w:tcPr>
            <w:tcW w:w="1516" w:type="dxa"/>
            <w:tcBorders>
              <w:top w:val="nil"/>
              <w:left w:val="single" w:sz="4" w:space="0" w:color="000000"/>
              <w:bottom w:val="nil"/>
              <w:right w:val="single" w:sz="4" w:space="0" w:color="000000"/>
            </w:tcBorders>
            <w:vAlign w:val="center"/>
          </w:tcPr>
          <w:p w14:paraId="7BC1E456" w14:textId="77777777" w:rsidR="0005042F" w:rsidRDefault="007D1A26">
            <w:pPr>
              <w:spacing w:line="276" w:lineRule="auto"/>
              <w:jc w:val="center"/>
              <w:rPr>
                <w:sz w:val="22"/>
                <w:szCs w:val="22"/>
              </w:rPr>
            </w:pPr>
            <w:r>
              <w:rPr>
                <w:color w:val="000000"/>
                <w:sz w:val="20"/>
                <w:szCs w:val="20"/>
              </w:rPr>
              <w:t>2.9</w:t>
            </w:r>
          </w:p>
        </w:tc>
        <w:tc>
          <w:tcPr>
            <w:tcW w:w="851" w:type="dxa"/>
            <w:tcBorders>
              <w:top w:val="nil"/>
              <w:left w:val="single" w:sz="4" w:space="0" w:color="000000"/>
              <w:bottom w:val="nil"/>
              <w:right w:val="single" w:sz="4" w:space="0" w:color="000000"/>
            </w:tcBorders>
            <w:vAlign w:val="center"/>
          </w:tcPr>
          <w:p w14:paraId="58619F04" w14:textId="77777777" w:rsidR="0005042F" w:rsidRDefault="007D1A26">
            <w:pPr>
              <w:spacing w:line="276" w:lineRule="auto"/>
              <w:jc w:val="center"/>
              <w:rPr>
                <w:color w:val="000000"/>
                <w:sz w:val="20"/>
                <w:szCs w:val="20"/>
              </w:rPr>
            </w:pPr>
            <w:r>
              <w:rPr>
                <w:color w:val="000000"/>
                <w:sz w:val="20"/>
                <w:szCs w:val="20"/>
              </w:rPr>
              <w:t>1</w:t>
            </w:r>
          </w:p>
        </w:tc>
        <w:tc>
          <w:tcPr>
            <w:tcW w:w="1039" w:type="dxa"/>
            <w:tcBorders>
              <w:top w:val="nil"/>
              <w:left w:val="single" w:sz="4" w:space="0" w:color="000000"/>
              <w:bottom w:val="nil"/>
              <w:right w:val="nil"/>
            </w:tcBorders>
            <w:vAlign w:val="center"/>
          </w:tcPr>
          <w:p w14:paraId="341E4C52" w14:textId="77777777" w:rsidR="0005042F" w:rsidRDefault="007D1A26">
            <w:pPr>
              <w:spacing w:line="276" w:lineRule="auto"/>
              <w:jc w:val="center"/>
              <w:rPr>
                <w:color w:val="000000"/>
                <w:sz w:val="20"/>
                <w:szCs w:val="20"/>
              </w:rPr>
            </w:pPr>
            <w:r>
              <w:rPr>
                <w:color w:val="000000"/>
                <w:sz w:val="20"/>
                <w:szCs w:val="20"/>
              </w:rPr>
              <w:t>1</w:t>
            </w:r>
          </w:p>
        </w:tc>
      </w:tr>
      <w:tr w:rsidR="0005042F" w14:paraId="610E1696" w14:textId="77777777">
        <w:tc>
          <w:tcPr>
            <w:tcW w:w="2991" w:type="dxa"/>
            <w:tcBorders>
              <w:top w:val="nil"/>
              <w:left w:val="nil"/>
              <w:bottom w:val="single" w:sz="4" w:space="0" w:color="000000"/>
              <w:right w:val="single" w:sz="4" w:space="0" w:color="000000"/>
            </w:tcBorders>
            <w:vAlign w:val="center"/>
          </w:tcPr>
          <w:p w14:paraId="2D75289E" w14:textId="77777777" w:rsidR="0005042F" w:rsidRDefault="007D1A26">
            <w:pPr>
              <w:spacing w:line="276" w:lineRule="auto"/>
              <w:jc w:val="right"/>
              <w:rPr>
                <w:color w:val="000000"/>
                <w:sz w:val="20"/>
                <w:szCs w:val="20"/>
              </w:rPr>
            </w:pPr>
            <w:r>
              <w:rPr>
                <w:color w:val="000000"/>
                <w:sz w:val="20"/>
                <w:szCs w:val="20"/>
              </w:rPr>
              <w:t xml:space="preserve"> Only health gain and cost matter (NHB): </w:t>
            </w:r>
            <w:r>
              <w:rPr>
                <w:i/>
                <w:color w:val="000000"/>
                <w:sz w:val="20"/>
                <w:szCs w:val="20"/>
              </w:rPr>
              <w:t>w</w:t>
            </w:r>
            <w:r>
              <w:rPr>
                <w:color w:val="000000"/>
                <w:sz w:val="20"/>
                <w:szCs w:val="20"/>
                <w:vertAlign w:val="subscript"/>
              </w:rPr>
              <w:t>1</w:t>
            </w:r>
            <w:r>
              <w:rPr>
                <w:color w:val="000000"/>
                <w:sz w:val="20"/>
                <w:szCs w:val="20"/>
              </w:rPr>
              <w:t>= 0,…,</w:t>
            </w:r>
            <w:r>
              <w:rPr>
                <w:i/>
                <w:color w:val="000000"/>
                <w:sz w:val="20"/>
                <w:szCs w:val="20"/>
              </w:rPr>
              <w:t>w</w:t>
            </w:r>
            <w:r>
              <w:rPr>
                <w:color w:val="000000"/>
                <w:sz w:val="20"/>
                <w:szCs w:val="20"/>
                <w:vertAlign w:val="subscript"/>
              </w:rPr>
              <w:t>9</w:t>
            </w:r>
            <w:r>
              <w:rPr>
                <w:color w:val="000000"/>
                <w:sz w:val="20"/>
                <w:szCs w:val="20"/>
              </w:rPr>
              <w:t xml:space="preserve"> = 0) </w:t>
            </w:r>
          </w:p>
        </w:tc>
        <w:tc>
          <w:tcPr>
            <w:tcW w:w="1403" w:type="dxa"/>
            <w:tcBorders>
              <w:top w:val="nil"/>
              <w:left w:val="single" w:sz="4" w:space="0" w:color="000000"/>
              <w:bottom w:val="single" w:sz="4" w:space="0" w:color="000000"/>
              <w:right w:val="single" w:sz="4" w:space="0" w:color="000000"/>
            </w:tcBorders>
            <w:vAlign w:val="center"/>
          </w:tcPr>
          <w:p w14:paraId="02A3FEAF" w14:textId="77777777" w:rsidR="0005042F" w:rsidRDefault="007D1A26">
            <w:pPr>
              <w:spacing w:line="276" w:lineRule="auto"/>
              <w:jc w:val="center"/>
              <w:rPr>
                <w:color w:val="000000"/>
                <w:sz w:val="20"/>
                <w:szCs w:val="20"/>
              </w:rPr>
            </w:pPr>
            <w:r>
              <w:rPr>
                <w:color w:val="000000"/>
                <w:sz w:val="20"/>
                <w:szCs w:val="20"/>
              </w:rPr>
              <w:t>0.72</w:t>
            </w:r>
          </w:p>
        </w:tc>
        <w:tc>
          <w:tcPr>
            <w:tcW w:w="1402" w:type="dxa"/>
            <w:tcBorders>
              <w:top w:val="nil"/>
              <w:left w:val="single" w:sz="4" w:space="0" w:color="000000"/>
              <w:bottom w:val="single" w:sz="4" w:space="0" w:color="000000"/>
              <w:right w:val="single" w:sz="4" w:space="0" w:color="000000"/>
            </w:tcBorders>
            <w:vAlign w:val="center"/>
          </w:tcPr>
          <w:p w14:paraId="686E2569" w14:textId="77777777" w:rsidR="0005042F" w:rsidRDefault="007D1A26">
            <w:pPr>
              <w:spacing w:line="276" w:lineRule="auto"/>
              <w:jc w:val="center"/>
              <w:rPr>
                <w:color w:val="000000"/>
                <w:sz w:val="20"/>
                <w:szCs w:val="20"/>
              </w:rPr>
            </w:pPr>
            <w:r>
              <w:rPr>
                <w:color w:val="000000"/>
                <w:sz w:val="20"/>
                <w:szCs w:val="20"/>
              </w:rPr>
              <w:t>0.57</w:t>
            </w:r>
          </w:p>
        </w:tc>
        <w:tc>
          <w:tcPr>
            <w:tcW w:w="1516" w:type="dxa"/>
            <w:tcBorders>
              <w:top w:val="nil"/>
              <w:left w:val="single" w:sz="4" w:space="0" w:color="000000"/>
              <w:bottom w:val="single" w:sz="4" w:space="0" w:color="000000"/>
              <w:right w:val="single" w:sz="4" w:space="0" w:color="000000"/>
            </w:tcBorders>
            <w:vAlign w:val="center"/>
          </w:tcPr>
          <w:p w14:paraId="649E22EF" w14:textId="77777777" w:rsidR="0005042F" w:rsidRDefault="007D1A26">
            <w:pPr>
              <w:spacing w:line="276" w:lineRule="auto"/>
              <w:jc w:val="center"/>
              <w:rPr>
                <w:color w:val="000000"/>
                <w:sz w:val="20"/>
                <w:szCs w:val="20"/>
              </w:rPr>
            </w:pPr>
            <w:r>
              <w:rPr>
                <w:color w:val="000000"/>
                <w:sz w:val="20"/>
                <w:szCs w:val="20"/>
              </w:rPr>
              <w:t>10.6</w:t>
            </w:r>
          </w:p>
        </w:tc>
        <w:tc>
          <w:tcPr>
            <w:tcW w:w="851" w:type="dxa"/>
            <w:tcBorders>
              <w:top w:val="nil"/>
              <w:left w:val="single" w:sz="4" w:space="0" w:color="000000"/>
              <w:bottom w:val="single" w:sz="4" w:space="0" w:color="000000"/>
              <w:right w:val="single" w:sz="4" w:space="0" w:color="000000"/>
            </w:tcBorders>
            <w:vAlign w:val="center"/>
          </w:tcPr>
          <w:p w14:paraId="21AF09FC" w14:textId="77777777" w:rsidR="0005042F" w:rsidRDefault="007D1A26">
            <w:pPr>
              <w:spacing w:line="276" w:lineRule="auto"/>
              <w:jc w:val="center"/>
              <w:rPr>
                <w:color w:val="000000"/>
                <w:sz w:val="20"/>
                <w:szCs w:val="20"/>
              </w:rPr>
            </w:pPr>
            <w:r>
              <w:rPr>
                <w:color w:val="000000"/>
                <w:sz w:val="20"/>
                <w:szCs w:val="20"/>
              </w:rPr>
              <w:t>5</w:t>
            </w:r>
          </w:p>
        </w:tc>
        <w:tc>
          <w:tcPr>
            <w:tcW w:w="1039" w:type="dxa"/>
            <w:tcBorders>
              <w:top w:val="nil"/>
              <w:left w:val="single" w:sz="4" w:space="0" w:color="000000"/>
              <w:bottom w:val="single" w:sz="4" w:space="0" w:color="000000"/>
              <w:right w:val="nil"/>
            </w:tcBorders>
            <w:vAlign w:val="center"/>
          </w:tcPr>
          <w:p w14:paraId="531ED63F" w14:textId="77777777" w:rsidR="0005042F" w:rsidRDefault="007D1A26">
            <w:pPr>
              <w:spacing w:line="276" w:lineRule="auto"/>
              <w:jc w:val="center"/>
              <w:rPr>
                <w:color w:val="000000"/>
                <w:sz w:val="20"/>
                <w:szCs w:val="20"/>
              </w:rPr>
            </w:pPr>
            <w:r>
              <w:rPr>
                <w:color w:val="000000"/>
                <w:sz w:val="20"/>
                <w:szCs w:val="20"/>
              </w:rPr>
              <w:t>4</w:t>
            </w:r>
          </w:p>
        </w:tc>
      </w:tr>
    </w:tbl>
    <w:p w14:paraId="74856150" w14:textId="77777777" w:rsidR="0005042F" w:rsidRDefault="007D1A26">
      <w:pPr>
        <w:spacing w:line="240" w:lineRule="auto"/>
        <w:rPr>
          <w:rFonts w:ascii="Calibri" w:eastAsia="Calibri" w:hAnsi="Calibri" w:cs="Calibri"/>
          <w:sz w:val="18"/>
          <w:szCs w:val="18"/>
        </w:rPr>
      </w:pPr>
      <w:r>
        <w:rPr>
          <w:rFonts w:ascii="Calibri" w:eastAsia="Calibri" w:hAnsi="Calibri" w:cs="Calibri"/>
          <w:sz w:val="18"/>
          <w:szCs w:val="18"/>
        </w:rPr>
        <w:t xml:space="preserve">Note. </w:t>
      </w:r>
      <w:r>
        <w:rPr>
          <w:rFonts w:ascii="Calibri" w:eastAsia="Calibri" w:hAnsi="Calibri" w:cs="Calibri"/>
          <w:sz w:val="18"/>
          <w:szCs w:val="18"/>
          <w:vertAlign w:val="superscript"/>
        </w:rPr>
        <w:t>a</w:t>
      </w:r>
      <w:r>
        <w:rPr>
          <w:rFonts w:ascii="Calibri" w:eastAsia="Calibri" w:hAnsi="Calibri" w:cs="Calibri"/>
          <w:sz w:val="18"/>
          <w:szCs w:val="18"/>
        </w:rPr>
        <w:t xml:space="preserve"> Pearson correlation coefficient. </w:t>
      </w:r>
      <w:r>
        <w:rPr>
          <w:rFonts w:ascii="Calibri" w:eastAsia="Calibri" w:hAnsi="Calibri" w:cs="Calibri"/>
          <w:sz w:val="18"/>
          <w:szCs w:val="18"/>
          <w:vertAlign w:val="superscript"/>
        </w:rPr>
        <w:t xml:space="preserve">b </w:t>
      </w:r>
      <w:r>
        <w:rPr>
          <w:rFonts w:ascii="Calibri" w:eastAsia="Calibri" w:hAnsi="Calibri" w:cs="Calibri"/>
          <w:sz w:val="18"/>
          <w:szCs w:val="18"/>
        </w:rPr>
        <w:t>Spearman rank order correlation coefficient. Change in top and bottom quartiles: number of different providers in quartile compared with baseline. The baseline case uses the general public marginal rates of substitution between health gain and other attrib</w:t>
      </w:r>
      <w:r>
        <w:rPr>
          <w:rFonts w:ascii="Calibri" w:eastAsia="Calibri" w:hAnsi="Calibri" w:cs="Calibri"/>
          <w:sz w:val="18"/>
          <w:szCs w:val="18"/>
        </w:rPr>
        <w:t xml:space="preserve">utes. </w:t>
      </w:r>
      <w:proofErr w:type="spellStart"/>
      <w:r>
        <w:rPr>
          <w:rFonts w:ascii="Calibri" w:eastAsia="Calibri" w:hAnsi="Calibri" w:cs="Calibri"/>
          <w:sz w:val="18"/>
          <w:szCs w:val="18"/>
        </w:rPr>
        <w:t>eNHB</w:t>
      </w:r>
      <w:proofErr w:type="spellEnd"/>
      <w:r>
        <w:rPr>
          <w:rFonts w:ascii="Calibri" w:eastAsia="Calibri" w:hAnsi="Calibri" w:cs="Calibri"/>
          <w:sz w:val="18"/>
          <w:szCs w:val="18"/>
        </w:rPr>
        <w:t xml:space="preserve">: equivalent net health benefit </w:t>
      </w:r>
      <w:r>
        <w:rPr>
          <w:rFonts w:ascii="Calibri" w:eastAsia="Calibri" w:hAnsi="Calibri" w:cs="Calibri"/>
          <w:noProof/>
          <w:sz w:val="30"/>
          <w:szCs w:val="30"/>
          <w:vertAlign w:val="subscript"/>
        </w:rPr>
        <w:drawing>
          <wp:inline distT="0" distB="0" distL="0" distR="0" wp14:anchorId="43A7DF96" wp14:editId="1A394A85">
            <wp:extent cx="1190625" cy="276225"/>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1190625" cy="276225"/>
                    </a:xfrm>
                    <a:prstGeom prst="rect">
                      <a:avLst/>
                    </a:prstGeom>
                    <a:ln/>
                  </pic:spPr>
                </pic:pic>
              </a:graphicData>
            </a:graphic>
          </wp:inline>
        </w:drawing>
      </w:r>
      <w:r>
        <w:rPr>
          <w:rFonts w:ascii="Calibri" w:eastAsia="Calibri" w:hAnsi="Calibri" w:cs="Calibri"/>
          <w:sz w:val="18"/>
          <w:szCs w:val="18"/>
        </w:rPr>
        <w:t xml:space="preserve">. NHB: net health benefit </w:t>
      </w:r>
      <w:r>
        <w:rPr>
          <w:rFonts w:ascii="Calibri" w:eastAsia="Calibri" w:hAnsi="Calibri" w:cs="Calibri"/>
          <w:noProof/>
          <w:sz w:val="30"/>
          <w:szCs w:val="30"/>
          <w:vertAlign w:val="subscript"/>
        </w:rPr>
        <w:drawing>
          <wp:inline distT="0" distB="0" distL="0" distR="0" wp14:anchorId="22EC9FAB" wp14:editId="6AB6244E">
            <wp:extent cx="514350" cy="190500"/>
            <wp:effectExtent l="0" t="0" r="0" b="0"/>
            <wp:docPr id="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5"/>
                    <a:srcRect/>
                    <a:stretch>
                      <a:fillRect/>
                    </a:stretch>
                  </pic:blipFill>
                  <pic:spPr>
                    <a:xfrm>
                      <a:off x="0" y="0"/>
                      <a:ext cx="514350" cy="190500"/>
                    </a:xfrm>
                    <a:prstGeom prst="rect">
                      <a:avLst/>
                    </a:prstGeom>
                    <a:ln/>
                  </pic:spPr>
                </pic:pic>
              </a:graphicData>
            </a:graphic>
          </wp:inline>
        </w:drawing>
      </w:r>
      <w:r>
        <w:rPr>
          <w:rFonts w:ascii="Calibri" w:eastAsia="Calibri" w:hAnsi="Calibri" w:cs="Calibri"/>
          <w:sz w:val="18"/>
          <w:szCs w:val="18"/>
        </w:rPr>
        <w:t xml:space="preserve">.  </w:t>
      </w:r>
    </w:p>
    <w:p w14:paraId="3BF33EB0" w14:textId="77777777" w:rsidR="0005042F" w:rsidRDefault="0005042F">
      <w:pPr>
        <w:spacing w:line="240" w:lineRule="auto"/>
        <w:rPr>
          <w:rFonts w:ascii="Calibri" w:eastAsia="Calibri" w:hAnsi="Calibri" w:cs="Calibri"/>
          <w:sz w:val="22"/>
          <w:szCs w:val="22"/>
        </w:rPr>
      </w:pPr>
    </w:p>
    <w:p w14:paraId="7DB8ACE4" w14:textId="77777777" w:rsidR="0005042F" w:rsidRDefault="0005042F">
      <w:pPr>
        <w:spacing w:line="240" w:lineRule="auto"/>
        <w:jc w:val="left"/>
        <w:rPr>
          <w:rFonts w:ascii="Calibri" w:eastAsia="Calibri" w:hAnsi="Calibri" w:cs="Calibri"/>
          <w:b/>
          <w:sz w:val="22"/>
          <w:szCs w:val="22"/>
        </w:rPr>
      </w:pPr>
    </w:p>
    <w:p w14:paraId="30CDA78E" w14:textId="77777777" w:rsidR="0005042F" w:rsidRDefault="0005042F">
      <w:pPr>
        <w:spacing w:line="240" w:lineRule="auto"/>
        <w:jc w:val="left"/>
        <w:rPr>
          <w:rFonts w:ascii="Calibri" w:eastAsia="Calibri" w:hAnsi="Calibri" w:cs="Calibri"/>
          <w:b/>
          <w:sz w:val="22"/>
          <w:szCs w:val="22"/>
        </w:rPr>
      </w:pPr>
    </w:p>
    <w:p w14:paraId="5CA1CED2" w14:textId="77777777" w:rsidR="0005042F" w:rsidRDefault="0005042F">
      <w:pPr>
        <w:spacing w:line="240" w:lineRule="auto"/>
        <w:jc w:val="left"/>
        <w:rPr>
          <w:rFonts w:ascii="Calibri" w:eastAsia="Calibri" w:hAnsi="Calibri" w:cs="Calibri"/>
          <w:b/>
          <w:sz w:val="22"/>
          <w:szCs w:val="22"/>
        </w:rPr>
      </w:pPr>
    </w:p>
    <w:p w14:paraId="46883F22" w14:textId="77777777" w:rsidR="0005042F" w:rsidRDefault="0005042F">
      <w:pPr>
        <w:spacing w:line="240" w:lineRule="auto"/>
        <w:jc w:val="left"/>
        <w:rPr>
          <w:rFonts w:ascii="Calibri" w:eastAsia="Calibri" w:hAnsi="Calibri" w:cs="Calibri"/>
          <w:b/>
          <w:sz w:val="22"/>
          <w:szCs w:val="22"/>
        </w:rPr>
      </w:pPr>
    </w:p>
    <w:p w14:paraId="73EAC3F4" w14:textId="77777777" w:rsidR="0005042F" w:rsidRDefault="0005042F">
      <w:pPr>
        <w:spacing w:line="240" w:lineRule="auto"/>
        <w:jc w:val="left"/>
        <w:rPr>
          <w:rFonts w:ascii="Calibri" w:eastAsia="Calibri" w:hAnsi="Calibri" w:cs="Calibri"/>
          <w:b/>
          <w:sz w:val="22"/>
          <w:szCs w:val="22"/>
        </w:rPr>
      </w:pPr>
    </w:p>
    <w:p w14:paraId="106C6839" w14:textId="77777777" w:rsidR="0005042F" w:rsidRDefault="0005042F">
      <w:pPr>
        <w:spacing w:line="240" w:lineRule="auto"/>
        <w:jc w:val="left"/>
        <w:rPr>
          <w:rFonts w:ascii="Calibri" w:eastAsia="Calibri" w:hAnsi="Calibri" w:cs="Calibri"/>
          <w:b/>
          <w:sz w:val="22"/>
          <w:szCs w:val="22"/>
        </w:rPr>
      </w:pPr>
    </w:p>
    <w:p w14:paraId="29E6FA7F" w14:textId="77777777" w:rsidR="0005042F" w:rsidRDefault="0005042F">
      <w:pPr>
        <w:spacing w:line="240" w:lineRule="auto"/>
        <w:jc w:val="left"/>
        <w:rPr>
          <w:rFonts w:ascii="Calibri" w:eastAsia="Calibri" w:hAnsi="Calibri" w:cs="Calibri"/>
          <w:b/>
          <w:sz w:val="22"/>
          <w:szCs w:val="22"/>
        </w:rPr>
      </w:pPr>
    </w:p>
    <w:p w14:paraId="1D249EEC" w14:textId="77777777" w:rsidR="0005042F" w:rsidRDefault="0005042F">
      <w:pPr>
        <w:spacing w:line="240" w:lineRule="auto"/>
        <w:jc w:val="left"/>
        <w:rPr>
          <w:rFonts w:ascii="Calibri" w:eastAsia="Calibri" w:hAnsi="Calibri" w:cs="Calibri"/>
          <w:b/>
          <w:sz w:val="22"/>
          <w:szCs w:val="22"/>
        </w:rPr>
      </w:pPr>
    </w:p>
    <w:p w14:paraId="20F193D6" w14:textId="77777777" w:rsidR="0005042F" w:rsidRDefault="0005042F">
      <w:pPr>
        <w:spacing w:line="240" w:lineRule="auto"/>
        <w:jc w:val="left"/>
        <w:rPr>
          <w:rFonts w:ascii="Calibri" w:eastAsia="Calibri" w:hAnsi="Calibri" w:cs="Calibri"/>
          <w:b/>
          <w:sz w:val="22"/>
          <w:szCs w:val="22"/>
        </w:rPr>
      </w:pPr>
    </w:p>
    <w:p w14:paraId="6EC132E2" w14:textId="77777777" w:rsidR="0005042F" w:rsidRDefault="0005042F">
      <w:pPr>
        <w:spacing w:line="240" w:lineRule="auto"/>
        <w:jc w:val="left"/>
        <w:rPr>
          <w:rFonts w:ascii="Calibri" w:eastAsia="Calibri" w:hAnsi="Calibri" w:cs="Calibri"/>
          <w:b/>
          <w:sz w:val="22"/>
          <w:szCs w:val="22"/>
        </w:rPr>
      </w:pPr>
    </w:p>
    <w:p w14:paraId="04CA0682" w14:textId="77777777" w:rsidR="0005042F" w:rsidRDefault="0005042F">
      <w:pPr>
        <w:spacing w:line="240" w:lineRule="auto"/>
        <w:jc w:val="left"/>
        <w:rPr>
          <w:rFonts w:ascii="Calibri" w:eastAsia="Calibri" w:hAnsi="Calibri" w:cs="Calibri"/>
          <w:b/>
          <w:sz w:val="22"/>
          <w:szCs w:val="22"/>
        </w:rPr>
      </w:pPr>
    </w:p>
    <w:p w14:paraId="55686D2F" w14:textId="77777777" w:rsidR="0005042F" w:rsidRDefault="0005042F">
      <w:pPr>
        <w:spacing w:line="240" w:lineRule="auto"/>
        <w:jc w:val="left"/>
        <w:rPr>
          <w:rFonts w:ascii="Calibri" w:eastAsia="Calibri" w:hAnsi="Calibri" w:cs="Calibri"/>
          <w:b/>
          <w:sz w:val="22"/>
          <w:szCs w:val="22"/>
        </w:rPr>
      </w:pPr>
    </w:p>
    <w:p w14:paraId="22319A9D" w14:textId="77777777" w:rsidR="0005042F" w:rsidRDefault="0005042F">
      <w:pPr>
        <w:spacing w:line="240" w:lineRule="auto"/>
        <w:jc w:val="left"/>
        <w:rPr>
          <w:rFonts w:ascii="Calibri" w:eastAsia="Calibri" w:hAnsi="Calibri" w:cs="Calibri"/>
          <w:b/>
          <w:sz w:val="22"/>
          <w:szCs w:val="22"/>
        </w:rPr>
      </w:pPr>
    </w:p>
    <w:p w14:paraId="64053A25" w14:textId="77777777" w:rsidR="0005042F" w:rsidRDefault="0005042F">
      <w:pPr>
        <w:spacing w:line="240" w:lineRule="auto"/>
        <w:jc w:val="left"/>
        <w:rPr>
          <w:rFonts w:ascii="Calibri" w:eastAsia="Calibri" w:hAnsi="Calibri" w:cs="Calibri"/>
          <w:b/>
          <w:sz w:val="22"/>
          <w:szCs w:val="22"/>
        </w:rPr>
      </w:pPr>
    </w:p>
    <w:p w14:paraId="379497BA" w14:textId="77777777" w:rsidR="0005042F" w:rsidRDefault="0005042F">
      <w:pPr>
        <w:spacing w:line="240" w:lineRule="auto"/>
        <w:jc w:val="left"/>
        <w:rPr>
          <w:rFonts w:ascii="Calibri" w:eastAsia="Calibri" w:hAnsi="Calibri" w:cs="Calibri"/>
          <w:b/>
          <w:sz w:val="22"/>
          <w:szCs w:val="22"/>
        </w:rPr>
      </w:pPr>
    </w:p>
    <w:p w14:paraId="5A8D7ED4" w14:textId="77777777" w:rsidR="0005042F" w:rsidRDefault="0005042F">
      <w:pPr>
        <w:spacing w:line="240" w:lineRule="auto"/>
        <w:jc w:val="left"/>
        <w:rPr>
          <w:rFonts w:ascii="Calibri" w:eastAsia="Calibri" w:hAnsi="Calibri" w:cs="Calibri"/>
          <w:b/>
          <w:sz w:val="22"/>
          <w:szCs w:val="22"/>
        </w:rPr>
      </w:pPr>
    </w:p>
    <w:p w14:paraId="01477711" w14:textId="77777777" w:rsidR="0005042F" w:rsidRDefault="0005042F">
      <w:pPr>
        <w:spacing w:line="240" w:lineRule="auto"/>
        <w:jc w:val="left"/>
        <w:rPr>
          <w:rFonts w:ascii="Calibri" w:eastAsia="Calibri" w:hAnsi="Calibri" w:cs="Calibri"/>
          <w:b/>
          <w:sz w:val="22"/>
          <w:szCs w:val="22"/>
        </w:rPr>
      </w:pPr>
    </w:p>
    <w:p w14:paraId="2DAF77CE" w14:textId="77777777" w:rsidR="0005042F" w:rsidRDefault="0005042F">
      <w:pPr>
        <w:spacing w:line="240" w:lineRule="auto"/>
        <w:jc w:val="left"/>
        <w:rPr>
          <w:rFonts w:ascii="Calibri" w:eastAsia="Calibri" w:hAnsi="Calibri" w:cs="Calibri"/>
          <w:b/>
          <w:sz w:val="22"/>
          <w:szCs w:val="22"/>
        </w:rPr>
      </w:pPr>
    </w:p>
    <w:p w14:paraId="3F93EF41" w14:textId="77777777" w:rsidR="0005042F" w:rsidRDefault="0005042F">
      <w:pPr>
        <w:spacing w:line="240" w:lineRule="auto"/>
        <w:jc w:val="left"/>
        <w:rPr>
          <w:rFonts w:ascii="Calibri" w:eastAsia="Calibri" w:hAnsi="Calibri" w:cs="Calibri"/>
          <w:b/>
          <w:sz w:val="22"/>
          <w:szCs w:val="22"/>
        </w:rPr>
      </w:pPr>
    </w:p>
    <w:p w14:paraId="294E78A7" w14:textId="77777777" w:rsidR="0005042F" w:rsidRDefault="0005042F">
      <w:pPr>
        <w:spacing w:line="240" w:lineRule="auto"/>
        <w:jc w:val="left"/>
        <w:rPr>
          <w:rFonts w:ascii="Calibri" w:eastAsia="Calibri" w:hAnsi="Calibri" w:cs="Calibri"/>
          <w:b/>
          <w:sz w:val="22"/>
          <w:szCs w:val="22"/>
        </w:rPr>
      </w:pPr>
    </w:p>
    <w:p w14:paraId="42776D58" w14:textId="77777777" w:rsidR="0005042F" w:rsidRDefault="0005042F">
      <w:pPr>
        <w:spacing w:line="240" w:lineRule="auto"/>
        <w:jc w:val="left"/>
        <w:rPr>
          <w:rFonts w:ascii="Calibri" w:eastAsia="Calibri" w:hAnsi="Calibri" w:cs="Calibri"/>
          <w:b/>
          <w:sz w:val="22"/>
          <w:szCs w:val="22"/>
        </w:rPr>
      </w:pPr>
    </w:p>
    <w:p w14:paraId="7AAA982A" w14:textId="77777777" w:rsidR="0005042F" w:rsidRDefault="0005042F">
      <w:pPr>
        <w:spacing w:line="240" w:lineRule="auto"/>
        <w:jc w:val="left"/>
        <w:rPr>
          <w:rFonts w:ascii="Calibri" w:eastAsia="Calibri" w:hAnsi="Calibri" w:cs="Calibri"/>
          <w:b/>
          <w:sz w:val="22"/>
          <w:szCs w:val="22"/>
        </w:rPr>
      </w:pPr>
    </w:p>
    <w:p w14:paraId="7D9C833B" w14:textId="77777777" w:rsidR="0005042F" w:rsidRDefault="0005042F">
      <w:pPr>
        <w:spacing w:line="240" w:lineRule="auto"/>
        <w:jc w:val="left"/>
        <w:rPr>
          <w:rFonts w:ascii="Calibri" w:eastAsia="Calibri" w:hAnsi="Calibri" w:cs="Calibri"/>
          <w:b/>
          <w:sz w:val="22"/>
          <w:szCs w:val="22"/>
        </w:rPr>
      </w:pPr>
    </w:p>
    <w:p w14:paraId="786377ED" w14:textId="77777777" w:rsidR="0005042F" w:rsidRDefault="0005042F">
      <w:pPr>
        <w:spacing w:line="240" w:lineRule="auto"/>
        <w:jc w:val="left"/>
        <w:rPr>
          <w:rFonts w:ascii="Calibri" w:eastAsia="Calibri" w:hAnsi="Calibri" w:cs="Calibri"/>
          <w:b/>
          <w:sz w:val="22"/>
          <w:szCs w:val="22"/>
        </w:rPr>
      </w:pPr>
    </w:p>
    <w:p w14:paraId="1AFCA4EE" w14:textId="77777777" w:rsidR="0005042F" w:rsidRDefault="0005042F">
      <w:pPr>
        <w:spacing w:line="240" w:lineRule="auto"/>
        <w:jc w:val="left"/>
        <w:rPr>
          <w:rFonts w:ascii="Calibri" w:eastAsia="Calibri" w:hAnsi="Calibri" w:cs="Calibri"/>
          <w:b/>
          <w:sz w:val="22"/>
          <w:szCs w:val="22"/>
        </w:rPr>
      </w:pPr>
    </w:p>
    <w:p w14:paraId="694FEC3D" w14:textId="77777777" w:rsidR="0005042F" w:rsidRDefault="0005042F">
      <w:pPr>
        <w:spacing w:line="240" w:lineRule="auto"/>
        <w:jc w:val="left"/>
        <w:rPr>
          <w:rFonts w:ascii="Calibri" w:eastAsia="Calibri" w:hAnsi="Calibri" w:cs="Calibri"/>
          <w:b/>
          <w:sz w:val="22"/>
          <w:szCs w:val="22"/>
        </w:rPr>
      </w:pPr>
    </w:p>
    <w:p w14:paraId="3A26DFB0" w14:textId="77777777" w:rsidR="0005042F" w:rsidRDefault="0005042F">
      <w:pPr>
        <w:spacing w:line="240" w:lineRule="auto"/>
        <w:jc w:val="left"/>
        <w:rPr>
          <w:rFonts w:ascii="Calibri" w:eastAsia="Calibri" w:hAnsi="Calibri" w:cs="Calibri"/>
          <w:b/>
          <w:sz w:val="22"/>
          <w:szCs w:val="22"/>
        </w:rPr>
      </w:pPr>
    </w:p>
    <w:p w14:paraId="006042A0" w14:textId="77777777" w:rsidR="0005042F" w:rsidRDefault="0005042F">
      <w:pPr>
        <w:spacing w:line="240" w:lineRule="auto"/>
        <w:jc w:val="left"/>
        <w:rPr>
          <w:rFonts w:ascii="Calibri" w:eastAsia="Calibri" w:hAnsi="Calibri" w:cs="Calibri"/>
          <w:b/>
          <w:sz w:val="22"/>
          <w:szCs w:val="22"/>
        </w:rPr>
      </w:pPr>
    </w:p>
    <w:p w14:paraId="07E8A5E2" w14:textId="77777777" w:rsidR="0005042F" w:rsidRDefault="0005042F">
      <w:pPr>
        <w:spacing w:line="240" w:lineRule="auto"/>
        <w:jc w:val="left"/>
        <w:rPr>
          <w:rFonts w:ascii="Calibri" w:eastAsia="Calibri" w:hAnsi="Calibri" w:cs="Calibri"/>
          <w:b/>
          <w:sz w:val="22"/>
          <w:szCs w:val="22"/>
        </w:rPr>
      </w:pPr>
    </w:p>
    <w:p w14:paraId="03307399" w14:textId="77777777" w:rsidR="0005042F" w:rsidRDefault="007D1A26">
      <w:pPr>
        <w:spacing w:line="240" w:lineRule="auto"/>
        <w:jc w:val="left"/>
        <w:rPr>
          <w:rFonts w:ascii="Calibri" w:eastAsia="Calibri" w:hAnsi="Calibri" w:cs="Calibri"/>
          <w:i/>
          <w:sz w:val="18"/>
          <w:szCs w:val="18"/>
        </w:rPr>
      </w:pPr>
      <w:r>
        <w:rPr>
          <w:rFonts w:ascii="Calibri" w:eastAsia="Calibri" w:hAnsi="Calibri" w:cs="Calibri"/>
          <w:b/>
          <w:sz w:val="22"/>
          <w:szCs w:val="22"/>
        </w:rPr>
        <w:lastRenderedPageBreak/>
        <w:t xml:space="preserve">Figure 1. </w:t>
      </w:r>
      <w:proofErr w:type="spellStart"/>
      <w:r>
        <w:rPr>
          <w:rFonts w:ascii="Calibri" w:eastAsia="Calibri" w:hAnsi="Calibri" w:cs="Calibri"/>
          <w:b/>
          <w:sz w:val="22"/>
          <w:szCs w:val="22"/>
        </w:rPr>
        <w:t>eNHB</w:t>
      </w:r>
      <w:proofErr w:type="spellEnd"/>
      <w:r>
        <w:rPr>
          <w:rFonts w:ascii="Calibri" w:eastAsia="Calibri" w:hAnsi="Calibri" w:cs="Calibri"/>
          <w:b/>
          <w:sz w:val="22"/>
          <w:szCs w:val="22"/>
        </w:rPr>
        <w:t xml:space="preserve"> vs NHB provider performance ranking </w:t>
      </w:r>
    </w:p>
    <w:p w14:paraId="74CF61AD" w14:textId="77777777" w:rsidR="0005042F" w:rsidRDefault="007D1A26">
      <w:pPr>
        <w:spacing w:line="256" w:lineRule="auto"/>
        <w:jc w:val="center"/>
        <w:rPr>
          <w:rFonts w:ascii="Calibri" w:eastAsia="Calibri" w:hAnsi="Calibri" w:cs="Calibri"/>
          <w:sz w:val="22"/>
          <w:szCs w:val="22"/>
        </w:rPr>
      </w:pPr>
      <w:r>
        <w:rPr>
          <w:rFonts w:ascii="Calibri" w:eastAsia="Calibri" w:hAnsi="Calibri" w:cs="Calibri"/>
          <w:noProof/>
          <w:sz w:val="22"/>
          <w:szCs w:val="22"/>
        </w:rPr>
        <w:drawing>
          <wp:inline distT="0" distB="0" distL="0" distR="0" wp14:anchorId="689BC596" wp14:editId="3AF7F1FF">
            <wp:extent cx="4057650" cy="4057650"/>
            <wp:effectExtent l="0" t="0" r="0" b="0"/>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6"/>
                    <a:srcRect/>
                    <a:stretch>
                      <a:fillRect/>
                    </a:stretch>
                  </pic:blipFill>
                  <pic:spPr>
                    <a:xfrm>
                      <a:off x="0" y="0"/>
                      <a:ext cx="4057650" cy="4057650"/>
                    </a:xfrm>
                    <a:prstGeom prst="rect">
                      <a:avLst/>
                    </a:prstGeom>
                    <a:ln/>
                  </pic:spPr>
                </pic:pic>
              </a:graphicData>
            </a:graphic>
          </wp:inline>
        </w:drawing>
      </w:r>
    </w:p>
    <w:p w14:paraId="52E32822" w14:textId="77777777" w:rsidR="0005042F" w:rsidRDefault="007D1A26">
      <w:pPr>
        <w:spacing w:line="276" w:lineRule="auto"/>
        <w:rPr>
          <w:rFonts w:ascii="Calibri" w:eastAsia="Calibri" w:hAnsi="Calibri" w:cs="Calibri"/>
          <w:sz w:val="18"/>
          <w:szCs w:val="18"/>
        </w:rPr>
      </w:pPr>
      <w:r>
        <w:rPr>
          <w:rFonts w:ascii="Calibri" w:eastAsia="Calibri" w:hAnsi="Calibri" w:cs="Calibri"/>
          <w:sz w:val="18"/>
          <w:szCs w:val="18"/>
        </w:rPr>
        <w:t xml:space="preserve">Note. </w:t>
      </w:r>
      <w:proofErr w:type="spellStart"/>
      <w:r>
        <w:rPr>
          <w:rFonts w:ascii="Calibri" w:eastAsia="Calibri" w:hAnsi="Calibri" w:cs="Calibri"/>
          <w:sz w:val="18"/>
          <w:szCs w:val="18"/>
        </w:rPr>
        <w:t>eNHB</w:t>
      </w:r>
      <w:proofErr w:type="spellEnd"/>
      <w:r>
        <w:rPr>
          <w:rFonts w:ascii="Calibri" w:eastAsia="Calibri" w:hAnsi="Calibri" w:cs="Calibri"/>
          <w:sz w:val="18"/>
          <w:szCs w:val="18"/>
        </w:rPr>
        <w:t xml:space="preserve">: equivalent net health benefit: </w:t>
      </w:r>
      <w:r>
        <w:rPr>
          <w:rFonts w:ascii="Calibri" w:eastAsia="Calibri" w:hAnsi="Calibri" w:cs="Calibri"/>
          <w:noProof/>
          <w:sz w:val="30"/>
          <w:szCs w:val="30"/>
          <w:vertAlign w:val="subscript"/>
        </w:rPr>
        <w:drawing>
          <wp:inline distT="0" distB="0" distL="0" distR="0" wp14:anchorId="550B89B2" wp14:editId="36AE4523">
            <wp:extent cx="1190625" cy="276225"/>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1190625" cy="276225"/>
                    </a:xfrm>
                    <a:prstGeom prst="rect">
                      <a:avLst/>
                    </a:prstGeom>
                    <a:ln/>
                  </pic:spPr>
                </pic:pic>
              </a:graphicData>
            </a:graphic>
          </wp:inline>
        </w:drawing>
      </w:r>
      <w:r>
        <w:rPr>
          <w:rFonts w:ascii="Calibri" w:eastAsia="Calibri" w:hAnsi="Calibri" w:cs="Calibri"/>
          <w:sz w:val="18"/>
          <w:szCs w:val="18"/>
        </w:rPr>
        <w:t xml:space="preserve">. NHB: net health benefit: </w:t>
      </w:r>
      <w:r>
        <w:rPr>
          <w:rFonts w:ascii="Calibri" w:eastAsia="Calibri" w:hAnsi="Calibri" w:cs="Calibri"/>
          <w:noProof/>
          <w:sz w:val="30"/>
          <w:szCs w:val="30"/>
          <w:vertAlign w:val="subscript"/>
        </w:rPr>
        <w:drawing>
          <wp:inline distT="0" distB="0" distL="0" distR="0" wp14:anchorId="569F1087" wp14:editId="2F49E974">
            <wp:extent cx="514350" cy="190500"/>
            <wp:effectExtent l="0" t="0" r="0" b="0"/>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5"/>
                    <a:srcRect/>
                    <a:stretch>
                      <a:fillRect/>
                    </a:stretch>
                  </pic:blipFill>
                  <pic:spPr>
                    <a:xfrm>
                      <a:off x="0" y="0"/>
                      <a:ext cx="514350" cy="190500"/>
                    </a:xfrm>
                    <a:prstGeom prst="rect">
                      <a:avLst/>
                    </a:prstGeom>
                    <a:ln/>
                  </pic:spPr>
                </pic:pic>
              </a:graphicData>
            </a:graphic>
          </wp:inline>
        </w:drawing>
      </w:r>
      <w:r>
        <w:rPr>
          <w:rFonts w:ascii="Calibri" w:eastAsia="Calibri" w:hAnsi="Calibri" w:cs="Calibri"/>
          <w:sz w:val="18"/>
          <w:szCs w:val="18"/>
        </w:rPr>
        <w:t xml:space="preserve">.  Rank 1 is best performance. </w:t>
      </w:r>
    </w:p>
    <w:p w14:paraId="6F8774CB" w14:textId="77777777" w:rsidR="0005042F" w:rsidRDefault="0005042F"/>
    <w:p w14:paraId="3A9884C9" w14:textId="77777777" w:rsidR="0005042F" w:rsidRDefault="007D1A26">
      <w:pPr>
        <w:spacing w:after="160" w:line="256" w:lineRule="auto"/>
        <w:jc w:val="left"/>
        <w:rPr>
          <w:rFonts w:ascii="Calibri" w:eastAsia="Calibri" w:hAnsi="Calibri" w:cs="Calibri"/>
          <w:b/>
          <w:sz w:val="22"/>
          <w:szCs w:val="22"/>
        </w:rPr>
      </w:pPr>
      <w:r>
        <w:rPr>
          <w:rFonts w:ascii="Calibri" w:eastAsia="Calibri" w:hAnsi="Calibri" w:cs="Calibri"/>
          <w:b/>
          <w:sz w:val="22"/>
          <w:szCs w:val="22"/>
        </w:rPr>
        <w:t xml:space="preserve">Figure 2. Comparison of ranking of Care Quality Commission rating with ranking by </w:t>
      </w:r>
      <w:proofErr w:type="spellStart"/>
      <w:r>
        <w:rPr>
          <w:rFonts w:ascii="Calibri" w:eastAsia="Calibri" w:hAnsi="Calibri" w:cs="Calibri"/>
          <w:b/>
          <w:sz w:val="22"/>
          <w:szCs w:val="22"/>
        </w:rPr>
        <w:t>eNHB</w:t>
      </w:r>
      <w:proofErr w:type="spellEnd"/>
      <w:r>
        <w:rPr>
          <w:rFonts w:ascii="Calibri" w:eastAsia="Calibri" w:hAnsi="Calibri" w:cs="Calibri"/>
          <w:b/>
          <w:sz w:val="22"/>
          <w:szCs w:val="22"/>
        </w:rPr>
        <w:t xml:space="preserve"> quartile</w:t>
      </w:r>
    </w:p>
    <w:p w14:paraId="082AE25F" w14:textId="77777777" w:rsidR="0005042F" w:rsidRDefault="007D1A26">
      <w:pPr>
        <w:spacing w:after="160" w:line="256" w:lineRule="auto"/>
        <w:jc w:val="left"/>
      </w:pPr>
      <w:r>
        <w:rPr>
          <w:rFonts w:ascii="Calibri" w:eastAsia="Calibri" w:hAnsi="Calibri" w:cs="Calibri"/>
          <w:b/>
          <w:noProof/>
          <w:sz w:val="22"/>
          <w:szCs w:val="22"/>
        </w:rPr>
        <w:drawing>
          <wp:inline distT="114300" distB="114300" distL="114300" distR="114300" wp14:anchorId="418DDBE2" wp14:editId="7A3957A5">
            <wp:extent cx="5731200" cy="34417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7"/>
                    <a:srcRect/>
                    <a:stretch>
                      <a:fillRect/>
                    </a:stretch>
                  </pic:blipFill>
                  <pic:spPr>
                    <a:xfrm>
                      <a:off x="0" y="0"/>
                      <a:ext cx="5731200" cy="3441700"/>
                    </a:xfrm>
                    <a:prstGeom prst="rect">
                      <a:avLst/>
                    </a:prstGeom>
                    <a:ln/>
                  </pic:spPr>
                </pic:pic>
              </a:graphicData>
            </a:graphic>
          </wp:inline>
        </w:drawing>
      </w:r>
    </w:p>
    <w:sectPr w:rsidR="0005042F">
      <w:footerReference w:type="default" r:id="rId1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B8C059" w14:textId="77777777" w:rsidR="007D1A26" w:rsidRDefault="007D1A26">
      <w:pPr>
        <w:spacing w:line="240" w:lineRule="auto"/>
      </w:pPr>
      <w:r>
        <w:separator/>
      </w:r>
    </w:p>
  </w:endnote>
  <w:endnote w:type="continuationSeparator" w:id="0">
    <w:p w14:paraId="7474DCF6" w14:textId="77777777" w:rsidR="007D1A26" w:rsidRDefault="007D1A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ungsuh">
    <w:altName w:val="Malgun Gothic Semilight"/>
    <w:charset w:val="81"/>
    <w:family w:val="roman"/>
    <w:pitch w:val="variable"/>
    <w:sig w:usb0="00000000"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4B0CA" w14:textId="2FBA1FAE" w:rsidR="0005042F" w:rsidRDefault="007D1A26">
    <w:pPr>
      <w:pBdr>
        <w:top w:val="nil"/>
        <w:left w:val="nil"/>
        <w:bottom w:val="nil"/>
        <w:right w:val="nil"/>
        <w:between w:val="nil"/>
      </w:pBdr>
      <w:tabs>
        <w:tab w:val="center" w:pos="4513"/>
        <w:tab w:val="right" w:pos="9026"/>
      </w:tabs>
      <w:spacing w:line="240" w:lineRule="auto"/>
      <w:jc w:val="center"/>
      <w:rPr>
        <w:color w:val="000000"/>
      </w:rPr>
    </w:pPr>
    <w:r>
      <w:rPr>
        <w:color w:val="000000"/>
      </w:rPr>
      <w:fldChar w:fldCharType="begin"/>
    </w:r>
    <w:r>
      <w:rPr>
        <w:color w:val="000000"/>
      </w:rPr>
      <w:instrText>PAGE</w:instrText>
    </w:r>
    <w:r>
      <w:rPr>
        <w:color w:val="000000"/>
      </w:rPr>
      <w:fldChar w:fldCharType="separate"/>
    </w:r>
    <w:r w:rsidR="003F3909">
      <w:rPr>
        <w:noProof/>
        <w:color w:val="000000"/>
      </w:rPr>
      <w:t>20</w:t>
    </w:r>
    <w:r>
      <w:rPr>
        <w:color w:val="000000"/>
      </w:rPr>
      <w:fldChar w:fldCharType="end"/>
    </w:r>
  </w:p>
  <w:p w14:paraId="044EEDF5" w14:textId="77777777" w:rsidR="0005042F" w:rsidRDefault="0005042F">
    <w:pPr>
      <w:pBdr>
        <w:top w:val="nil"/>
        <w:left w:val="nil"/>
        <w:bottom w:val="nil"/>
        <w:right w:val="nil"/>
        <w:between w:val="nil"/>
      </w:pBdr>
      <w:tabs>
        <w:tab w:val="center" w:pos="4513"/>
        <w:tab w:val="right" w:pos="9026"/>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F4B4D1" w14:textId="77777777" w:rsidR="007D1A26" w:rsidRDefault="007D1A26">
      <w:pPr>
        <w:spacing w:line="240" w:lineRule="auto"/>
      </w:pPr>
      <w:r>
        <w:separator/>
      </w:r>
    </w:p>
  </w:footnote>
  <w:footnote w:type="continuationSeparator" w:id="0">
    <w:p w14:paraId="7AB6ABB0" w14:textId="77777777" w:rsidR="007D1A26" w:rsidRDefault="007D1A2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639BF"/>
    <w:multiLevelType w:val="multilevel"/>
    <w:tmpl w:val="1DEEA3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78D2AEB"/>
    <w:multiLevelType w:val="multilevel"/>
    <w:tmpl w:val="79F082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42F"/>
    <w:rsid w:val="0005042F"/>
    <w:rsid w:val="00053207"/>
    <w:rsid w:val="00102323"/>
    <w:rsid w:val="00173702"/>
    <w:rsid w:val="00364DFD"/>
    <w:rsid w:val="003F3909"/>
    <w:rsid w:val="004A7B50"/>
    <w:rsid w:val="005D2B69"/>
    <w:rsid w:val="00620F01"/>
    <w:rsid w:val="006C1A20"/>
    <w:rsid w:val="00745888"/>
    <w:rsid w:val="0076716E"/>
    <w:rsid w:val="007D1A26"/>
    <w:rsid w:val="008B2298"/>
    <w:rsid w:val="009854E3"/>
    <w:rsid w:val="009B3563"/>
    <w:rsid w:val="00B00085"/>
    <w:rsid w:val="00CA7D2A"/>
    <w:rsid w:val="00DE653D"/>
    <w:rsid w:val="00E86299"/>
    <w:rsid w:val="00ED4EDE"/>
    <w:rsid w:val="00ED6186"/>
    <w:rsid w:val="00F307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A2366"/>
  <w15:docId w15:val="{1D7298CE-BE38-4685-AAB8-D7D6F118A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240" w:line="256" w:lineRule="auto"/>
      <w:ind w:left="432" w:hanging="432"/>
      <w:jc w:val="left"/>
      <w:outlineLvl w:val="0"/>
    </w:pPr>
    <w:rPr>
      <w:b/>
      <w:color w:val="000000"/>
      <w:sz w:val="28"/>
      <w:szCs w:val="28"/>
    </w:rPr>
  </w:style>
  <w:style w:type="paragraph" w:styleId="Heading2">
    <w:name w:val="heading 2"/>
    <w:basedOn w:val="Normal"/>
    <w:next w:val="Normal"/>
    <w:uiPriority w:val="9"/>
    <w:semiHidden/>
    <w:unhideWhenUsed/>
    <w:qFormat/>
    <w:pPr>
      <w:keepNext/>
      <w:keepLines/>
      <w:spacing w:before="40" w:line="256" w:lineRule="auto"/>
      <w:ind w:left="576" w:hanging="576"/>
      <w:jc w:val="left"/>
      <w:outlineLvl w:val="1"/>
    </w:pPr>
    <w:rPr>
      <w:b/>
      <w:color w:val="000000"/>
    </w:rPr>
  </w:style>
  <w:style w:type="paragraph" w:styleId="Heading3">
    <w:name w:val="heading 3"/>
    <w:basedOn w:val="Normal"/>
    <w:next w:val="Normal"/>
    <w:uiPriority w:val="9"/>
    <w:semiHidden/>
    <w:unhideWhenUsed/>
    <w:qFormat/>
    <w:pPr>
      <w:keepNext/>
      <w:keepLines/>
      <w:spacing w:before="40" w:line="256" w:lineRule="auto"/>
      <w:ind w:left="720" w:hanging="720"/>
      <w:jc w:val="left"/>
      <w:outlineLvl w:val="2"/>
    </w:pPr>
    <w:rPr>
      <w:rFonts w:ascii="Calibri" w:eastAsia="Calibri" w:hAnsi="Calibri" w:cs="Calibri"/>
      <w:color w:val="1F3863"/>
    </w:rPr>
  </w:style>
  <w:style w:type="paragraph" w:styleId="Heading4">
    <w:name w:val="heading 4"/>
    <w:basedOn w:val="Normal"/>
    <w:next w:val="Normal"/>
    <w:uiPriority w:val="9"/>
    <w:semiHidden/>
    <w:unhideWhenUsed/>
    <w:qFormat/>
    <w:pPr>
      <w:keepNext/>
      <w:keepLines/>
      <w:spacing w:before="40" w:line="256" w:lineRule="auto"/>
      <w:ind w:left="864" w:hanging="864"/>
      <w:jc w:val="left"/>
      <w:outlineLvl w:val="3"/>
    </w:pPr>
    <w:rPr>
      <w:rFonts w:ascii="Calibri" w:eastAsia="Calibri" w:hAnsi="Calibri" w:cs="Calibri"/>
      <w:i/>
      <w:color w:val="2F5496"/>
      <w:sz w:val="22"/>
      <w:szCs w:val="22"/>
    </w:rPr>
  </w:style>
  <w:style w:type="paragraph" w:styleId="Heading5">
    <w:name w:val="heading 5"/>
    <w:basedOn w:val="Normal"/>
    <w:next w:val="Normal"/>
    <w:uiPriority w:val="9"/>
    <w:semiHidden/>
    <w:unhideWhenUsed/>
    <w:qFormat/>
    <w:pPr>
      <w:keepNext/>
      <w:keepLines/>
      <w:spacing w:before="40" w:line="256" w:lineRule="auto"/>
      <w:ind w:left="1008" w:hanging="1008"/>
      <w:jc w:val="left"/>
      <w:outlineLvl w:val="4"/>
    </w:pPr>
    <w:rPr>
      <w:rFonts w:ascii="Calibri" w:eastAsia="Calibri" w:hAnsi="Calibri" w:cs="Calibri"/>
      <w:color w:val="2F5496"/>
      <w:sz w:val="22"/>
      <w:szCs w:val="22"/>
    </w:rPr>
  </w:style>
  <w:style w:type="paragraph" w:styleId="Heading6">
    <w:name w:val="heading 6"/>
    <w:basedOn w:val="Normal"/>
    <w:next w:val="Normal"/>
    <w:uiPriority w:val="9"/>
    <w:semiHidden/>
    <w:unhideWhenUsed/>
    <w:qFormat/>
    <w:pPr>
      <w:keepNext/>
      <w:keepLines/>
      <w:spacing w:before="40" w:line="256" w:lineRule="auto"/>
      <w:ind w:left="1152" w:hanging="1152"/>
      <w:jc w:val="left"/>
      <w:outlineLvl w:val="5"/>
    </w:pPr>
    <w:rPr>
      <w:rFonts w:ascii="Calibri" w:eastAsia="Calibri" w:hAnsi="Calibri" w:cs="Calibri"/>
      <w:color w:val="1F3863"/>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rPr>
      <w:rFonts w:ascii="Calibri" w:eastAsia="Calibri" w:hAnsi="Calibri" w:cs="Calibri"/>
    </w:rPr>
    <w:tblPr>
      <w:tblStyleRowBandSize w:val="1"/>
      <w:tblStyleColBandSize w:val="1"/>
      <w:tblCellMar>
        <w:left w:w="28" w:type="dxa"/>
        <w:right w:w="28" w:type="dxa"/>
      </w:tblCellMar>
    </w:tblPr>
  </w:style>
  <w:style w:type="table" w:customStyle="1" w:styleId="a0">
    <w:basedOn w:val="TableNormal"/>
    <w:pPr>
      <w:spacing w:line="240" w:lineRule="auto"/>
    </w:pPr>
    <w:rPr>
      <w:rFonts w:ascii="Calibri" w:eastAsia="Calibri" w:hAnsi="Calibri" w:cs="Calibri"/>
    </w:rPr>
    <w:tblPr>
      <w:tblStyleRowBandSize w:val="1"/>
      <w:tblStyleColBandSize w:val="1"/>
      <w:tblCellMar>
        <w:left w:w="28" w:type="dxa"/>
        <w:right w:w="28" w:type="dxa"/>
      </w:tblCellMar>
    </w:tblPr>
  </w:style>
  <w:style w:type="table" w:customStyle="1" w:styleId="a1">
    <w:basedOn w:val="TableNormal"/>
    <w:pPr>
      <w:spacing w:line="240" w:lineRule="auto"/>
    </w:pPr>
    <w:rPr>
      <w:rFonts w:ascii="Calibri" w:eastAsia="Calibri" w:hAnsi="Calibri" w:cs="Calibri"/>
    </w:rPr>
    <w:tblPr>
      <w:tblStyleRowBandSize w:val="1"/>
      <w:tblStyleColBandSize w:val="1"/>
      <w:tblCellMar>
        <w:left w:w="28" w:type="dxa"/>
        <w:right w:w="28" w:type="dxa"/>
      </w:tblCellMar>
    </w:tblPr>
  </w:style>
  <w:style w:type="table" w:customStyle="1" w:styleId="a2">
    <w:basedOn w:val="TableNormal"/>
    <w:pPr>
      <w:spacing w:line="240" w:lineRule="auto"/>
    </w:pPr>
    <w:rPr>
      <w:rFonts w:ascii="Calibri" w:eastAsia="Calibri" w:hAnsi="Calibri" w:cs="Calibri"/>
    </w:rPr>
    <w:tblPr>
      <w:tblStyleRowBandSize w:val="1"/>
      <w:tblStyleColBandSize w:val="1"/>
      <w:tblCellMar>
        <w:left w:w="28" w:type="dxa"/>
        <w:right w:w="28"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76716E"/>
    <w:rPr>
      <w:color w:val="0000FF" w:themeColor="hyperlink"/>
      <w:u w:val="single"/>
    </w:rPr>
  </w:style>
  <w:style w:type="character" w:customStyle="1" w:styleId="UnresolvedMention">
    <w:name w:val="Unresolved Mention"/>
    <w:basedOn w:val="DefaultParagraphFont"/>
    <w:uiPriority w:val="99"/>
    <w:semiHidden/>
    <w:unhideWhenUsed/>
    <w:rsid w:val="0076716E"/>
    <w:rPr>
      <w:color w:val="605E5C"/>
      <w:shd w:val="clear" w:color="auto" w:fill="E1DFDD"/>
    </w:rPr>
  </w:style>
  <w:style w:type="character" w:customStyle="1" w:styleId="cf01">
    <w:name w:val="cf01"/>
    <w:basedOn w:val="DefaultParagraphFont"/>
    <w:rsid w:val="00620F0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he-nhs-constitution-for-england/the-nhs-constitution-for-england" TargetMode="Externa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uk/government/publications/healthy-lives-healthy-people-our-strategy-for-public-health-in-england" TargetMode="External"/><Relationship Id="rId12" Type="http://schemas.openxmlformats.org/officeDocument/2006/relationships/hyperlink" Target="https://nhssurveys.org/surveys/" TargetMode="Externa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ngland.nhs.uk/wp-content/uploads/2016/07/fyfv-mh.pdf" TargetMode="Externa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https://www.england.nhs.uk/wp-content/uploads/2017/03/NEXT-STEPS-ON-THE-NHS-FIVE-YEAR-FORWARD-VIEW.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ohe.org/wp-content/uploads/2014/07/350-IncorporatingMutlipleCriteria.pdf"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21</Pages>
  <Words>8388</Words>
  <Characters>47816</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Rowena Jacobs</dc:creator>
  <cp:lastModifiedBy>Rowena Jacobs</cp:lastModifiedBy>
  <cp:revision>3</cp:revision>
  <dcterms:created xsi:type="dcterms:W3CDTF">2023-12-27T09:30:00Z</dcterms:created>
  <dcterms:modified xsi:type="dcterms:W3CDTF">2023-12-27T09:35:00Z</dcterms:modified>
</cp:coreProperties>
</file>